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4F4AD92" w14:textId="77777777" w:rsidTr="00BF1190">
        <w:trPr>
          <w:trHeight w:val="1863"/>
        </w:trPr>
        <w:tc>
          <w:tcPr>
            <w:tcW w:w="3652" w:type="dxa"/>
            <w:tcBorders>
              <w:top w:val="nil"/>
              <w:left w:val="nil"/>
              <w:bottom w:val="nil"/>
              <w:right w:val="nil"/>
            </w:tcBorders>
          </w:tcPr>
          <w:p w14:paraId="57FD2155" w14:textId="1219BAE8" w:rsidR="008E7846" w:rsidRPr="00096AA7" w:rsidRDefault="00B71C5F" w:rsidP="00096AA7">
            <w:pPr>
              <w:rPr>
                <w:rFonts w:ascii="Arial" w:hAnsi="Arial" w:cs="Arial"/>
                <w:b/>
                <w:color w:val="002C47"/>
                <w:sz w:val="36"/>
                <w:szCs w:val="36"/>
              </w:rPr>
            </w:pPr>
            <w:bookmarkStart w:id="0" w:name="_GoBack"/>
            <w:bookmarkEnd w:id="0"/>
            <w:r>
              <w:rPr>
                <w:rFonts w:ascii="Arial" w:hAnsi="Arial" w:cs="Arial"/>
                <w:b/>
                <w:color w:val="002C47"/>
                <w:sz w:val="36"/>
                <w:szCs w:val="36"/>
              </w:rPr>
              <w:t>December</w:t>
            </w:r>
            <w:r w:rsidR="00C346AB">
              <w:rPr>
                <w:rFonts w:ascii="Arial" w:hAnsi="Arial" w:cs="Arial"/>
                <w:b/>
                <w:color w:val="002C47"/>
                <w:sz w:val="36"/>
                <w:szCs w:val="36"/>
              </w:rPr>
              <w:t xml:space="preserve"> </w:t>
            </w:r>
            <w:r w:rsidR="007F5386">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618149F" w14:textId="77777777" w:rsidTr="0032583B">
        <w:trPr>
          <w:trHeight w:val="868"/>
        </w:trPr>
        <w:tc>
          <w:tcPr>
            <w:tcW w:w="9079" w:type="dxa"/>
          </w:tcPr>
          <w:p w14:paraId="59B37EE6" w14:textId="4561A575" w:rsidR="0032583B" w:rsidRPr="00A964D1" w:rsidRDefault="0032583B" w:rsidP="007F5386">
            <w:pPr>
              <w:pStyle w:val="Title"/>
              <w:rPr>
                <w:color w:val="FFFFFF" w:themeColor="background1"/>
              </w:rPr>
            </w:pPr>
            <w:r w:rsidRPr="00A964D1">
              <w:rPr>
                <w:color w:val="FFFFFF" w:themeColor="background1"/>
              </w:rPr>
              <w:t>Australia</w:t>
            </w:r>
            <w:r w:rsidR="007F5386">
              <w:rPr>
                <w:color w:val="FFFFFF" w:themeColor="background1"/>
              </w:rPr>
              <w:t xml:space="preserve">n Public Assessment Report for </w:t>
            </w:r>
            <w:r w:rsidR="007F5386" w:rsidRPr="007F5386">
              <w:rPr>
                <w:color w:val="FFFFFF" w:themeColor="background1"/>
              </w:rPr>
              <w:t>Quadrivalent Influenza Vaccine</w:t>
            </w:r>
          </w:p>
        </w:tc>
      </w:tr>
      <w:tr w:rsidR="0032583B" w:rsidRPr="00B64760" w14:paraId="35322E39" w14:textId="77777777" w:rsidTr="0032583B">
        <w:tc>
          <w:tcPr>
            <w:tcW w:w="9079" w:type="dxa"/>
          </w:tcPr>
          <w:p w14:paraId="74DBF425" w14:textId="673840F6" w:rsidR="0032583B" w:rsidRPr="008E7846" w:rsidRDefault="007F5386" w:rsidP="007F5386">
            <w:pPr>
              <w:pStyle w:val="Subtitle"/>
              <w:rPr>
                <w:color w:val="FFFFFF" w:themeColor="background1"/>
              </w:rPr>
            </w:pPr>
            <w:r>
              <w:rPr>
                <w:color w:val="FFFFFF" w:themeColor="background1"/>
              </w:rPr>
              <w:t>Proprietary Product Name: Flucelvax</w:t>
            </w:r>
            <w:r w:rsidRPr="007F5386">
              <w:rPr>
                <w:color w:val="FFFFFF" w:themeColor="background1"/>
              </w:rPr>
              <w:t xml:space="preserve"> Quad</w:t>
            </w:r>
          </w:p>
        </w:tc>
      </w:tr>
      <w:tr w:rsidR="0032583B" w:rsidRPr="00B64760" w14:paraId="3D49EA81" w14:textId="77777777" w:rsidTr="0032583B">
        <w:trPr>
          <w:trHeight w:val="486"/>
        </w:trPr>
        <w:tc>
          <w:tcPr>
            <w:tcW w:w="9079" w:type="dxa"/>
          </w:tcPr>
          <w:p w14:paraId="61240112" w14:textId="69304358" w:rsidR="0032583B" w:rsidRPr="008E7846" w:rsidRDefault="00460036" w:rsidP="007F5386">
            <w:pPr>
              <w:pStyle w:val="Subtitle"/>
              <w:rPr>
                <w:color w:val="FFFFFF" w:themeColor="background1"/>
              </w:rPr>
            </w:pPr>
            <w:r>
              <w:rPr>
                <w:color w:val="FFFFFF" w:themeColor="background1"/>
              </w:rPr>
              <w:t>Sponsor:</w:t>
            </w:r>
            <w:r w:rsidR="007F5386">
              <w:rPr>
                <w:color w:val="FFFFFF" w:themeColor="background1"/>
              </w:rPr>
              <w:t xml:space="preserve"> </w:t>
            </w:r>
            <w:r w:rsidR="007F5386" w:rsidRPr="007F5386">
              <w:rPr>
                <w:color w:val="FFFFFF" w:themeColor="background1"/>
              </w:rPr>
              <w:t>Seqirus Pty Ltd</w:t>
            </w:r>
          </w:p>
        </w:tc>
      </w:tr>
    </w:tbl>
    <w:p w14:paraId="57B61DF8" w14:textId="77777777" w:rsidR="008E7846" w:rsidRPr="0085156D" w:rsidRDefault="008E7846" w:rsidP="0085156D">
      <w:r w:rsidRPr="0085156D">
        <w:br w:type="page"/>
      </w:r>
    </w:p>
    <w:p w14:paraId="00A89B66" w14:textId="77777777" w:rsidR="008E7846" w:rsidRPr="001F6CBA" w:rsidRDefault="008E7846" w:rsidP="008E7846">
      <w:pPr>
        <w:pStyle w:val="NonTOCHeading2"/>
      </w:pPr>
      <w:r w:rsidRPr="001F6CBA">
        <w:lastRenderedPageBreak/>
        <w:t>About the Therapeutic Goods Administration (TGA)</w:t>
      </w:r>
    </w:p>
    <w:p w14:paraId="5F5E4589" w14:textId="77777777" w:rsidR="008E7846" w:rsidRDefault="008E7846" w:rsidP="007B06E1">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3E9E7C6D" w14:textId="77777777" w:rsidR="008E7846" w:rsidRDefault="00C80137" w:rsidP="007B06E1">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11836DD" w14:textId="77777777" w:rsidR="008E7846" w:rsidRDefault="008E7846" w:rsidP="007B06E1">
      <w:pPr>
        <w:pStyle w:val="ListBullet"/>
      </w:pPr>
      <w:r>
        <w:t>The work of the TGA is based on applying scientific and clinical expertise to decision-making, to ensure that the benefits to consumers outweigh any risks associated with the use of medicines and medical devices.</w:t>
      </w:r>
    </w:p>
    <w:p w14:paraId="78FDB13F" w14:textId="77777777" w:rsidR="008E7846" w:rsidRDefault="008E7846" w:rsidP="007B06E1">
      <w:pPr>
        <w:pStyle w:val="ListBullet"/>
      </w:pPr>
      <w:r>
        <w:t>The TGA relies on the public, healthcare professionals and industry to report problems with medicines or medical devices. TGA investigates reports received by it to determine any necessary regulatory action.</w:t>
      </w:r>
    </w:p>
    <w:p w14:paraId="3785AC7B" w14:textId="3F8B08CD" w:rsidR="00441C3F" w:rsidRDefault="008E7846" w:rsidP="007B06E1">
      <w:pPr>
        <w:pStyle w:val="ListBullet"/>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E36C86C" w14:textId="77777777" w:rsidR="008E7846" w:rsidRDefault="008E7846" w:rsidP="00875A6B">
      <w:pPr>
        <w:pStyle w:val="NonTOCHeading2"/>
      </w:pPr>
      <w:r>
        <w:t>About AusPARs</w:t>
      </w:r>
    </w:p>
    <w:p w14:paraId="36B393A1" w14:textId="77777777" w:rsidR="008E7846" w:rsidRDefault="008E7846" w:rsidP="007B06E1">
      <w:pPr>
        <w:pStyle w:val="ListBullet"/>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2334A67" w14:textId="77777777" w:rsidR="008E7846" w:rsidRDefault="008E7846" w:rsidP="007B06E1">
      <w:pPr>
        <w:pStyle w:val="ListBullet"/>
      </w:pPr>
      <w:r>
        <w:t>AusPARs are prepared and published by the TGA.</w:t>
      </w:r>
    </w:p>
    <w:p w14:paraId="24BA0CC3" w14:textId="77777777" w:rsidR="008E7846" w:rsidRDefault="008E7846" w:rsidP="007B06E1">
      <w:pPr>
        <w:pStyle w:val="ListBullet"/>
      </w:pPr>
      <w:r>
        <w:t>An AusPAR is prepared for submissions that relate to new chemical entities, generic medicines, major variations and extensions of indications.</w:t>
      </w:r>
    </w:p>
    <w:p w14:paraId="1088694A" w14:textId="77777777" w:rsidR="008E7846" w:rsidRDefault="008E7846" w:rsidP="007B06E1">
      <w:pPr>
        <w:pStyle w:val="ListBullet"/>
      </w:pPr>
      <w:r>
        <w:t>An AusPAR is a static document</w:t>
      </w:r>
      <w:r w:rsidR="00133A1B">
        <w:t>;</w:t>
      </w:r>
      <w:r>
        <w:t xml:space="preserve"> it provide</w:t>
      </w:r>
      <w:r w:rsidR="00133A1B">
        <w:t>s</w:t>
      </w:r>
      <w:r>
        <w:t xml:space="preserve"> information that relates to a submission at a particular point in time.</w:t>
      </w:r>
    </w:p>
    <w:p w14:paraId="5C3BE431" w14:textId="77777777" w:rsidR="00B452CE" w:rsidRDefault="008E7846" w:rsidP="007B06E1">
      <w:pPr>
        <w:pStyle w:val="ListBullet"/>
      </w:pPr>
      <w:r>
        <w:t>A new AusPAR will be developed to reflect changes to indications and/or major variations to a prescription medicine subject to evaluation by the TGA.</w:t>
      </w:r>
    </w:p>
    <w:p w14:paraId="00AE215E" w14:textId="77777777" w:rsidR="00924482" w:rsidRPr="00DF1D7F" w:rsidRDefault="00924482" w:rsidP="00F54B65">
      <w:pPr>
        <w:pStyle w:val="LegalSubheading"/>
        <w:spacing w:before="3120"/>
      </w:pPr>
      <w:r w:rsidRPr="00DF1D7F">
        <w:t>Copyright</w:t>
      </w:r>
    </w:p>
    <w:p w14:paraId="3342C667" w14:textId="53DD8151"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23C21A30"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8736E54" w14:textId="77777777" w:rsidR="0089635C" w:rsidRPr="0089635C" w:rsidRDefault="0089635C" w:rsidP="0010788A">
          <w:pPr>
            <w:pStyle w:val="Contents"/>
          </w:pPr>
          <w:r w:rsidRPr="0010788A">
            <w:t>Contents</w:t>
          </w:r>
        </w:p>
        <w:p w14:paraId="1C079F8E" w14:textId="596297F1" w:rsidR="0064386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9112161" w:history="1">
            <w:r w:rsidR="0064386B" w:rsidRPr="008153C2">
              <w:rPr>
                <w:rStyle w:val="Hyperlink"/>
                <w:noProof/>
              </w:rPr>
              <w:t>Common abbreviations</w:t>
            </w:r>
            <w:r w:rsidR="0064386B">
              <w:rPr>
                <w:noProof/>
                <w:webHidden/>
              </w:rPr>
              <w:tab/>
            </w:r>
            <w:r w:rsidR="0064386B">
              <w:rPr>
                <w:noProof/>
                <w:webHidden/>
              </w:rPr>
              <w:fldChar w:fldCharType="begin"/>
            </w:r>
            <w:r w:rsidR="0064386B">
              <w:rPr>
                <w:noProof/>
                <w:webHidden/>
              </w:rPr>
              <w:instrText xml:space="preserve"> PAGEREF _Toc59112161 \h </w:instrText>
            </w:r>
            <w:r w:rsidR="0064386B">
              <w:rPr>
                <w:noProof/>
                <w:webHidden/>
              </w:rPr>
            </w:r>
            <w:r w:rsidR="0064386B">
              <w:rPr>
                <w:noProof/>
                <w:webHidden/>
              </w:rPr>
              <w:fldChar w:fldCharType="separate"/>
            </w:r>
            <w:r w:rsidR="0064386B">
              <w:rPr>
                <w:noProof/>
                <w:webHidden/>
              </w:rPr>
              <w:t>4</w:t>
            </w:r>
            <w:r w:rsidR="0064386B">
              <w:rPr>
                <w:noProof/>
                <w:webHidden/>
              </w:rPr>
              <w:fldChar w:fldCharType="end"/>
            </w:r>
          </w:hyperlink>
        </w:p>
        <w:p w14:paraId="6B80BBD0" w14:textId="7A8A578C" w:rsidR="0064386B" w:rsidRDefault="001F37C8">
          <w:pPr>
            <w:pStyle w:val="TOC1"/>
            <w:rPr>
              <w:rFonts w:asciiTheme="minorHAnsi" w:eastAsiaTheme="minorEastAsia" w:hAnsiTheme="minorHAnsi" w:cstheme="minorBidi"/>
              <w:b w:val="0"/>
              <w:noProof/>
              <w:sz w:val="22"/>
              <w:lang w:eastAsia="en-AU"/>
            </w:rPr>
          </w:pPr>
          <w:hyperlink w:anchor="_Toc59112162" w:history="1">
            <w:r w:rsidR="0064386B" w:rsidRPr="008153C2">
              <w:rPr>
                <w:rStyle w:val="Hyperlink"/>
                <w:noProof/>
              </w:rPr>
              <w:t>I. Introduction to product submission</w:t>
            </w:r>
            <w:r w:rsidR="0064386B">
              <w:rPr>
                <w:noProof/>
                <w:webHidden/>
              </w:rPr>
              <w:tab/>
            </w:r>
            <w:r w:rsidR="0064386B">
              <w:rPr>
                <w:noProof/>
                <w:webHidden/>
              </w:rPr>
              <w:fldChar w:fldCharType="begin"/>
            </w:r>
            <w:r w:rsidR="0064386B">
              <w:rPr>
                <w:noProof/>
                <w:webHidden/>
              </w:rPr>
              <w:instrText xml:space="preserve"> PAGEREF _Toc59112162 \h </w:instrText>
            </w:r>
            <w:r w:rsidR="0064386B">
              <w:rPr>
                <w:noProof/>
                <w:webHidden/>
              </w:rPr>
            </w:r>
            <w:r w:rsidR="0064386B">
              <w:rPr>
                <w:noProof/>
                <w:webHidden/>
              </w:rPr>
              <w:fldChar w:fldCharType="separate"/>
            </w:r>
            <w:r w:rsidR="0064386B">
              <w:rPr>
                <w:noProof/>
                <w:webHidden/>
              </w:rPr>
              <w:t>6</w:t>
            </w:r>
            <w:r w:rsidR="0064386B">
              <w:rPr>
                <w:noProof/>
                <w:webHidden/>
              </w:rPr>
              <w:fldChar w:fldCharType="end"/>
            </w:r>
          </w:hyperlink>
        </w:p>
        <w:p w14:paraId="44B2015D" w14:textId="2F1BFF66" w:rsidR="0064386B" w:rsidRDefault="001F37C8">
          <w:pPr>
            <w:pStyle w:val="TOC2"/>
            <w:rPr>
              <w:rFonts w:asciiTheme="minorHAnsi" w:eastAsiaTheme="minorEastAsia" w:hAnsiTheme="minorHAnsi" w:cstheme="minorBidi"/>
              <w:b w:val="0"/>
              <w:noProof/>
              <w:sz w:val="22"/>
              <w:lang w:eastAsia="en-AU"/>
            </w:rPr>
          </w:pPr>
          <w:hyperlink w:anchor="_Toc59112163" w:history="1">
            <w:r w:rsidR="0064386B" w:rsidRPr="008153C2">
              <w:rPr>
                <w:rStyle w:val="Hyperlink"/>
                <w:noProof/>
                <w:lang w:eastAsia="en-AU"/>
              </w:rPr>
              <w:t>Submission details</w:t>
            </w:r>
            <w:r w:rsidR="0064386B">
              <w:rPr>
                <w:noProof/>
                <w:webHidden/>
              </w:rPr>
              <w:tab/>
            </w:r>
            <w:r w:rsidR="0064386B">
              <w:rPr>
                <w:noProof/>
                <w:webHidden/>
              </w:rPr>
              <w:fldChar w:fldCharType="begin"/>
            </w:r>
            <w:r w:rsidR="0064386B">
              <w:rPr>
                <w:noProof/>
                <w:webHidden/>
              </w:rPr>
              <w:instrText xml:space="preserve"> PAGEREF _Toc59112163 \h </w:instrText>
            </w:r>
            <w:r w:rsidR="0064386B">
              <w:rPr>
                <w:noProof/>
                <w:webHidden/>
              </w:rPr>
            </w:r>
            <w:r w:rsidR="0064386B">
              <w:rPr>
                <w:noProof/>
                <w:webHidden/>
              </w:rPr>
              <w:fldChar w:fldCharType="separate"/>
            </w:r>
            <w:r w:rsidR="0064386B">
              <w:rPr>
                <w:noProof/>
                <w:webHidden/>
              </w:rPr>
              <w:t>6</w:t>
            </w:r>
            <w:r w:rsidR="0064386B">
              <w:rPr>
                <w:noProof/>
                <w:webHidden/>
              </w:rPr>
              <w:fldChar w:fldCharType="end"/>
            </w:r>
          </w:hyperlink>
        </w:p>
        <w:p w14:paraId="7BEB2EB7" w14:textId="7E557E0E" w:rsidR="0064386B" w:rsidRDefault="001F37C8">
          <w:pPr>
            <w:pStyle w:val="TOC2"/>
            <w:rPr>
              <w:rFonts w:asciiTheme="minorHAnsi" w:eastAsiaTheme="minorEastAsia" w:hAnsiTheme="minorHAnsi" w:cstheme="minorBidi"/>
              <w:b w:val="0"/>
              <w:noProof/>
              <w:sz w:val="22"/>
              <w:lang w:eastAsia="en-AU"/>
            </w:rPr>
          </w:pPr>
          <w:hyperlink w:anchor="_Toc59112164" w:history="1">
            <w:r w:rsidR="0064386B" w:rsidRPr="008153C2">
              <w:rPr>
                <w:rStyle w:val="Hyperlink"/>
                <w:noProof/>
              </w:rPr>
              <w:t>Product background</w:t>
            </w:r>
            <w:r w:rsidR="0064386B">
              <w:rPr>
                <w:noProof/>
                <w:webHidden/>
              </w:rPr>
              <w:tab/>
            </w:r>
            <w:r w:rsidR="0064386B">
              <w:rPr>
                <w:noProof/>
                <w:webHidden/>
              </w:rPr>
              <w:fldChar w:fldCharType="begin"/>
            </w:r>
            <w:r w:rsidR="0064386B">
              <w:rPr>
                <w:noProof/>
                <w:webHidden/>
              </w:rPr>
              <w:instrText xml:space="preserve"> PAGEREF _Toc59112164 \h </w:instrText>
            </w:r>
            <w:r w:rsidR="0064386B">
              <w:rPr>
                <w:noProof/>
                <w:webHidden/>
              </w:rPr>
            </w:r>
            <w:r w:rsidR="0064386B">
              <w:rPr>
                <w:noProof/>
                <w:webHidden/>
              </w:rPr>
              <w:fldChar w:fldCharType="separate"/>
            </w:r>
            <w:r w:rsidR="0064386B">
              <w:rPr>
                <w:noProof/>
                <w:webHidden/>
              </w:rPr>
              <w:t>7</w:t>
            </w:r>
            <w:r w:rsidR="0064386B">
              <w:rPr>
                <w:noProof/>
                <w:webHidden/>
              </w:rPr>
              <w:fldChar w:fldCharType="end"/>
            </w:r>
          </w:hyperlink>
        </w:p>
        <w:p w14:paraId="086C0BD5" w14:textId="14E1CF8E" w:rsidR="0064386B" w:rsidRDefault="001F37C8">
          <w:pPr>
            <w:pStyle w:val="TOC2"/>
            <w:rPr>
              <w:rFonts w:asciiTheme="minorHAnsi" w:eastAsiaTheme="minorEastAsia" w:hAnsiTheme="minorHAnsi" w:cstheme="minorBidi"/>
              <w:b w:val="0"/>
              <w:noProof/>
              <w:sz w:val="22"/>
              <w:lang w:eastAsia="en-AU"/>
            </w:rPr>
          </w:pPr>
          <w:hyperlink w:anchor="_Toc59112165" w:history="1">
            <w:r w:rsidR="0064386B" w:rsidRPr="008153C2">
              <w:rPr>
                <w:rStyle w:val="Hyperlink"/>
                <w:noProof/>
              </w:rPr>
              <w:t>Regulatory status</w:t>
            </w:r>
            <w:r w:rsidR="0064386B">
              <w:rPr>
                <w:noProof/>
                <w:webHidden/>
              </w:rPr>
              <w:tab/>
            </w:r>
            <w:r w:rsidR="0064386B">
              <w:rPr>
                <w:noProof/>
                <w:webHidden/>
              </w:rPr>
              <w:fldChar w:fldCharType="begin"/>
            </w:r>
            <w:r w:rsidR="0064386B">
              <w:rPr>
                <w:noProof/>
                <w:webHidden/>
              </w:rPr>
              <w:instrText xml:space="preserve"> PAGEREF _Toc59112165 \h </w:instrText>
            </w:r>
            <w:r w:rsidR="0064386B">
              <w:rPr>
                <w:noProof/>
                <w:webHidden/>
              </w:rPr>
            </w:r>
            <w:r w:rsidR="0064386B">
              <w:rPr>
                <w:noProof/>
                <w:webHidden/>
              </w:rPr>
              <w:fldChar w:fldCharType="separate"/>
            </w:r>
            <w:r w:rsidR="0064386B">
              <w:rPr>
                <w:noProof/>
                <w:webHidden/>
              </w:rPr>
              <w:t>8</w:t>
            </w:r>
            <w:r w:rsidR="0064386B">
              <w:rPr>
                <w:noProof/>
                <w:webHidden/>
              </w:rPr>
              <w:fldChar w:fldCharType="end"/>
            </w:r>
          </w:hyperlink>
        </w:p>
        <w:p w14:paraId="340EACD7" w14:textId="7B9D30B5" w:rsidR="0064386B" w:rsidRDefault="001F37C8">
          <w:pPr>
            <w:pStyle w:val="TOC2"/>
            <w:rPr>
              <w:rFonts w:asciiTheme="minorHAnsi" w:eastAsiaTheme="minorEastAsia" w:hAnsiTheme="minorHAnsi" w:cstheme="minorBidi"/>
              <w:b w:val="0"/>
              <w:noProof/>
              <w:sz w:val="22"/>
              <w:lang w:eastAsia="en-AU"/>
            </w:rPr>
          </w:pPr>
          <w:hyperlink w:anchor="_Toc59112166" w:history="1">
            <w:r w:rsidR="0064386B" w:rsidRPr="008153C2">
              <w:rPr>
                <w:rStyle w:val="Hyperlink"/>
                <w:noProof/>
              </w:rPr>
              <w:t>Product Information</w:t>
            </w:r>
            <w:r w:rsidR="0064386B">
              <w:rPr>
                <w:noProof/>
                <w:webHidden/>
              </w:rPr>
              <w:tab/>
            </w:r>
            <w:r w:rsidR="0064386B">
              <w:rPr>
                <w:noProof/>
                <w:webHidden/>
              </w:rPr>
              <w:fldChar w:fldCharType="begin"/>
            </w:r>
            <w:r w:rsidR="0064386B">
              <w:rPr>
                <w:noProof/>
                <w:webHidden/>
              </w:rPr>
              <w:instrText xml:space="preserve"> PAGEREF _Toc59112166 \h </w:instrText>
            </w:r>
            <w:r w:rsidR="0064386B">
              <w:rPr>
                <w:noProof/>
                <w:webHidden/>
              </w:rPr>
            </w:r>
            <w:r w:rsidR="0064386B">
              <w:rPr>
                <w:noProof/>
                <w:webHidden/>
              </w:rPr>
              <w:fldChar w:fldCharType="separate"/>
            </w:r>
            <w:r w:rsidR="0064386B">
              <w:rPr>
                <w:noProof/>
                <w:webHidden/>
              </w:rPr>
              <w:t>9</w:t>
            </w:r>
            <w:r w:rsidR="0064386B">
              <w:rPr>
                <w:noProof/>
                <w:webHidden/>
              </w:rPr>
              <w:fldChar w:fldCharType="end"/>
            </w:r>
          </w:hyperlink>
        </w:p>
        <w:p w14:paraId="3209925E" w14:textId="5D3E5E5F" w:rsidR="0064386B" w:rsidRDefault="001F37C8">
          <w:pPr>
            <w:pStyle w:val="TOC1"/>
            <w:rPr>
              <w:rFonts w:asciiTheme="minorHAnsi" w:eastAsiaTheme="minorEastAsia" w:hAnsiTheme="minorHAnsi" w:cstheme="minorBidi"/>
              <w:b w:val="0"/>
              <w:noProof/>
              <w:sz w:val="22"/>
              <w:lang w:eastAsia="en-AU"/>
            </w:rPr>
          </w:pPr>
          <w:hyperlink w:anchor="_Toc59112167" w:history="1">
            <w:r w:rsidR="0064386B" w:rsidRPr="008153C2">
              <w:rPr>
                <w:rStyle w:val="Hyperlink"/>
                <w:noProof/>
              </w:rPr>
              <w:t>II. Registration timeline</w:t>
            </w:r>
            <w:r w:rsidR="0064386B">
              <w:rPr>
                <w:noProof/>
                <w:webHidden/>
              </w:rPr>
              <w:tab/>
            </w:r>
            <w:r w:rsidR="0064386B">
              <w:rPr>
                <w:noProof/>
                <w:webHidden/>
              </w:rPr>
              <w:fldChar w:fldCharType="begin"/>
            </w:r>
            <w:r w:rsidR="0064386B">
              <w:rPr>
                <w:noProof/>
                <w:webHidden/>
              </w:rPr>
              <w:instrText xml:space="preserve"> PAGEREF _Toc59112167 \h </w:instrText>
            </w:r>
            <w:r w:rsidR="0064386B">
              <w:rPr>
                <w:noProof/>
                <w:webHidden/>
              </w:rPr>
            </w:r>
            <w:r w:rsidR="0064386B">
              <w:rPr>
                <w:noProof/>
                <w:webHidden/>
              </w:rPr>
              <w:fldChar w:fldCharType="separate"/>
            </w:r>
            <w:r w:rsidR="0064386B">
              <w:rPr>
                <w:noProof/>
                <w:webHidden/>
              </w:rPr>
              <w:t>10</w:t>
            </w:r>
            <w:r w:rsidR="0064386B">
              <w:rPr>
                <w:noProof/>
                <w:webHidden/>
              </w:rPr>
              <w:fldChar w:fldCharType="end"/>
            </w:r>
          </w:hyperlink>
        </w:p>
        <w:p w14:paraId="3440E6F5" w14:textId="4FB11CEB" w:rsidR="0064386B" w:rsidRDefault="001F37C8">
          <w:pPr>
            <w:pStyle w:val="TOC1"/>
            <w:rPr>
              <w:rFonts w:asciiTheme="minorHAnsi" w:eastAsiaTheme="minorEastAsia" w:hAnsiTheme="minorHAnsi" w:cstheme="minorBidi"/>
              <w:b w:val="0"/>
              <w:noProof/>
              <w:sz w:val="22"/>
              <w:lang w:eastAsia="en-AU"/>
            </w:rPr>
          </w:pPr>
          <w:hyperlink w:anchor="_Toc59112168" w:history="1">
            <w:r w:rsidR="0064386B" w:rsidRPr="008153C2">
              <w:rPr>
                <w:rStyle w:val="Hyperlink"/>
                <w:noProof/>
              </w:rPr>
              <w:t>III. Submission overview and risk/benefit assessment</w:t>
            </w:r>
            <w:r w:rsidR="0064386B">
              <w:rPr>
                <w:noProof/>
                <w:webHidden/>
              </w:rPr>
              <w:tab/>
            </w:r>
            <w:r w:rsidR="0064386B">
              <w:rPr>
                <w:noProof/>
                <w:webHidden/>
              </w:rPr>
              <w:fldChar w:fldCharType="begin"/>
            </w:r>
            <w:r w:rsidR="0064386B">
              <w:rPr>
                <w:noProof/>
                <w:webHidden/>
              </w:rPr>
              <w:instrText xml:space="preserve"> PAGEREF _Toc59112168 \h </w:instrText>
            </w:r>
            <w:r w:rsidR="0064386B">
              <w:rPr>
                <w:noProof/>
                <w:webHidden/>
              </w:rPr>
            </w:r>
            <w:r w:rsidR="0064386B">
              <w:rPr>
                <w:noProof/>
                <w:webHidden/>
              </w:rPr>
              <w:fldChar w:fldCharType="separate"/>
            </w:r>
            <w:r w:rsidR="0064386B">
              <w:rPr>
                <w:noProof/>
                <w:webHidden/>
              </w:rPr>
              <w:t>10</w:t>
            </w:r>
            <w:r w:rsidR="0064386B">
              <w:rPr>
                <w:noProof/>
                <w:webHidden/>
              </w:rPr>
              <w:fldChar w:fldCharType="end"/>
            </w:r>
          </w:hyperlink>
        </w:p>
        <w:p w14:paraId="38E9116E" w14:textId="363F66BF" w:rsidR="0064386B" w:rsidRDefault="001F37C8">
          <w:pPr>
            <w:pStyle w:val="TOC2"/>
            <w:rPr>
              <w:rFonts w:asciiTheme="minorHAnsi" w:eastAsiaTheme="minorEastAsia" w:hAnsiTheme="minorHAnsi" w:cstheme="minorBidi"/>
              <w:b w:val="0"/>
              <w:noProof/>
              <w:sz w:val="22"/>
              <w:lang w:eastAsia="en-AU"/>
            </w:rPr>
          </w:pPr>
          <w:hyperlink w:anchor="_Toc59112169" w:history="1">
            <w:r w:rsidR="0064386B" w:rsidRPr="008153C2">
              <w:rPr>
                <w:rStyle w:val="Hyperlink"/>
                <w:noProof/>
              </w:rPr>
              <w:t>Quality</w:t>
            </w:r>
            <w:r w:rsidR="0064386B">
              <w:rPr>
                <w:noProof/>
                <w:webHidden/>
              </w:rPr>
              <w:tab/>
            </w:r>
            <w:r w:rsidR="0064386B">
              <w:rPr>
                <w:noProof/>
                <w:webHidden/>
              </w:rPr>
              <w:fldChar w:fldCharType="begin"/>
            </w:r>
            <w:r w:rsidR="0064386B">
              <w:rPr>
                <w:noProof/>
                <w:webHidden/>
              </w:rPr>
              <w:instrText xml:space="preserve"> PAGEREF _Toc59112169 \h </w:instrText>
            </w:r>
            <w:r w:rsidR="0064386B">
              <w:rPr>
                <w:noProof/>
                <w:webHidden/>
              </w:rPr>
            </w:r>
            <w:r w:rsidR="0064386B">
              <w:rPr>
                <w:noProof/>
                <w:webHidden/>
              </w:rPr>
              <w:fldChar w:fldCharType="separate"/>
            </w:r>
            <w:r w:rsidR="0064386B">
              <w:rPr>
                <w:noProof/>
                <w:webHidden/>
              </w:rPr>
              <w:t>10</w:t>
            </w:r>
            <w:r w:rsidR="0064386B">
              <w:rPr>
                <w:noProof/>
                <w:webHidden/>
              </w:rPr>
              <w:fldChar w:fldCharType="end"/>
            </w:r>
          </w:hyperlink>
        </w:p>
        <w:p w14:paraId="604E8D4A" w14:textId="2E797BFB" w:rsidR="0064386B" w:rsidRDefault="001F37C8">
          <w:pPr>
            <w:pStyle w:val="TOC2"/>
            <w:rPr>
              <w:rFonts w:asciiTheme="minorHAnsi" w:eastAsiaTheme="minorEastAsia" w:hAnsiTheme="minorHAnsi" w:cstheme="minorBidi"/>
              <w:b w:val="0"/>
              <w:noProof/>
              <w:sz w:val="22"/>
              <w:lang w:eastAsia="en-AU"/>
            </w:rPr>
          </w:pPr>
          <w:hyperlink w:anchor="_Toc59112170" w:history="1">
            <w:r w:rsidR="0064386B" w:rsidRPr="008153C2">
              <w:rPr>
                <w:rStyle w:val="Hyperlink"/>
                <w:noProof/>
              </w:rPr>
              <w:t>Nonclinical</w:t>
            </w:r>
            <w:r w:rsidR="0064386B">
              <w:rPr>
                <w:noProof/>
                <w:webHidden/>
              </w:rPr>
              <w:tab/>
            </w:r>
            <w:r w:rsidR="0064386B">
              <w:rPr>
                <w:noProof/>
                <w:webHidden/>
              </w:rPr>
              <w:fldChar w:fldCharType="begin"/>
            </w:r>
            <w:r w:rsidR="0064386B">
              <w:rPr>
                <w:noProof/>
                <w:webHidden/>
              </w:rPr>
              <w:instrText xml:space="preserve"> PAGEREF _Toc59112170 \h </w:instrText>
            </w:r>
            <w:r w:rsidR="0064386B">
              <w:rPr>
                <w:noProof/>
                <w:webHidden/>
              </w:rPr>
            </w:r>
            <w:r w:rsidR="0064386B">
              <w:rPr>
                <w:noProof/>
                <w:webHidden/>
              </w:rPr>
              <w:fldChar w:fldCharType="separate"/>
            </w:r>
            <w:r w:rsidR="0064386B">
              <w:rPr>
                <w:noProof/>
                <w:webHidden/>
              </w:rPr>
              <w:t>12</w:t>
            </w:r>
            <w:r w:rsidR="0064386B">
              <w:rPr>
                <w:noProof/>
                <w:webHidden/>
              </w:rPr>
              <w:fldChar w:fldCharType="end"/>
            </w:r>
          </w:hyperlink>
        </w:p>
        <w:p w14:paraId="408F320A" w14:textId="34D978D5" w:rsidR="0064386B" w:rsidRDefault="001F37C8">
          <w:pPr>
            <w:pStyle w:val="TOC2"/>
            <w:rPr>
              <w:rFonts w:asciiTheme="minorHAnsi" w:eastAsiaTheme="minorEastAsia" w:hAnsiTheme="minorHAnsi" w:cstheme="minorBidi"/>
              <w:b w:val="0"/>
              <w:noProof/>
              <w:sz w:val="22"/>
              <w:lang w:eastAsia="en-AU"/>
            </w:rPr>
          </w:pPr>
          <w:hyperlink w:anchor="_Toc59112171" w:history="1">
            <w:r w:rsidR="0064386B" w:rsidRPr="008153C2">
              <w:rPr>
                <w:rStyle w:val="Hyperlink"/>
                <w:noProof/>
              </w:rPr>
              <w:t>Clinical</w:t>
            </w:r>
            <w:r w:rsidR="0064386B">
              <w:rPr>
                <w:noProof/>
                <w:webHidden/>
              </w:rPr>
              <w:tab/>
            </w:r>
            <w:r w:rsidR="0064386B">
              <w:rPr>
                <w:noProof/>
                <w:webHidden/>
              </w:rPr>
              <w:fldChar w:fldCharType="begin"/>
            </w:r>
            <w:r w:rsidR="0064386B">
              <w:rPr>
                <w:noProof/>
                <w:webHidden/>
              </w:rPr>
              <w:instrText xml:space="preserve"> PAGEREF _Toc59112171 \h </w:instrText>
            </w:r>
            <w:r w:rsidR="0064386B">
              <w:rPr>
                <w:noProof/>
                <w:webHidden/>
              </w:rPr>
            </w:r>
            <w:r w:rsidR="0064386B">
              <w:rPr>
                <w:noProof/>
                <w:webHidden/>
              </w:rPr>
              <w:fldChar w:fldCharType="separate"/>
            </w:r>
            <w:r w:rsidR="0064386B">
              <w:rPr>
                <w:noProof/>
                <w:webHidden/>
              </w:rPr>
              <w:t>12</w:t>
            </w:r>
            <w:r w:rsidR="0064386B">
              <w:rPr>
                <w:noProof/>
                <w:webHidden/>
              </w:rPr>
              <w:fldChar w:fldCharType="end"/>
            </w:r>
          </w:hyperlink>
        </w:p>
        <w:p w14:paraId="507F8186" w14:textId="0E4FC8CA" w:rsidR="0064386B" w:rsidRDefault="001F37C8">
          <w:pPr>
            <w:pStyle w:val="TOC2"/>
            <w:rPr>
              <w:rFonts w:asciiTheme="minorHAnsi" w:eastAsiaTheme="minorEastAsia" w:hAnsiTheme="minorHAnsi" w:cstheme="minorBidi"/>
              <w:b w:val="0"/>
              <w:noProof/>
              <w:sz w:val="22"/>
              <w:lang w:eastAsia="en-AU"/>
            </w:rPr>
          </w:pPr>
          <w:hyperlink w:anchor="_Toc59112172" w:history="1">
            <w:r w:rsidR="0064386B" w:rsidRPr="008153C2">
              <w:rPr>
                <w:rStyle w:val="Hyperlink"/>
                <w:noProof/>
                <w:lang w:eastAsia="en-AU"/>
              </w:rPr>
              <w:t>Risk management plan</w:t>
            </w:r>
            <w:r w:rsidR="0064386B">
              <w:rPr>
                <w:noProof/>
                <w:webHidden/>
              </w:rPr>
              <w:tab/>
            </w:r>
            <w:r w:rsidR="0064386B">
              <w:rPr>
                <w:noProof/>
                <w:webHidden/>
              </w:rPr>
              <w:fldChar w:fldCharType="begin"/>
            </w:r>
            <w:r w:rsidR="0064386B">
              <w:rPr>
                <w:noProof/>
                <w:webHidden/>
              </w:rPr>
              <w:instrText xml:space="preserve"> PAGEREF _Toc59112172 \h </w:instrText>
            </w:r>
            <w:r w:rsidR="0064386B">
              <w:rPr>
                <w:noProof/>
                <w:webHidden/>
              </w:rPr>
            </w:r>
            <w:r w:rsidR="0064386B">
              <w:rPr>
                <w:noProof/>
                <w:webHidden/>
              </w:rPr>
              <w:fldChar w:fldCharType="separate"/>
            </w:r>
            <w:r w:rsidR="0064386B">
              <w:rPr>
                <w:noProof/>
                <w:webHidden/>
              </w:rPr>
              <w:t>29</w:t>
            </w:r>
            <w:r w:rsidR="0064386B">
              <w:rPr>
                <w:noProof/>
                <w:webHidden/>
              </w:rPr>
              <w:fldChar w:fldCharType="end"/>
            </w:r>
          </w:hyperlink>
        </w:p>
        <w:p w14:paraId="4698CDFE" w14:textId="6171E57E" w:rsidR="0064386B" w:rsidRDefault="001F37C8">
          <w:pPr>
            <w:pStyle w:val="TOC2"/>
            <w:rPr>
              <w:rFonts w:asciiTheme="minorHAnsi" w:eastAsiaTheme="minorEastAsia" w:hAnsiTheme="minorHAnsi" w:cstheme="minorBidi"/>
              <w:b w:val="0"/>
              <w:noProof/>
              <w:sz w:val="22"/>
              <w:lang w:eastAsia="en-AU"/>
            </w:rPr>
          </w:pPr>
          <w:hyperlink w:anchor="_Toc59112173" w:history="1">
            <w:r w:rsidR="0064386B" w:rsidRPr="008153C2">
              <w:rPr>
                <w:rStyle w:val="Hyperlink"/>
                <w:noProof/>
              </w:rPr>
              <w:t>Risk-benefit analysis</w:t>
            </w:r>
            <w:r w:rsidR="0064386B">
              <w:rPr>
                <w:noProof/>
                <w:webHidden/>
              </w:rPr>
              <w:tab/>
            </w:r>
            <w:r w:rsidR="0064386B">
              <w:rPr>
                <w:noProof/>
                <w:webHidden/>
              </w:rPr>
              <w:fldChar w:fldCharType="begin"/>
            </w:r>
            <w:r w:rsidR="0064386B">
              <w:rPr>
                <w:noProof/>
                <w:webHidden/>
              </w:rPr>
              <w:instrText xml:space="preserve"> PAGEREF _Toc59112173 \h </w:instrText>
            </w:r>
            <w:r w:rsidR="0064386B">
              <w:rPr>
                <w:noProof/>
                <w:webHidden/>
              </w:rPr>
            </w:r>
            <w:r w:rsidR="0064386B">
              <w:rPr>
                <w:noProof/>
                <w:webHidden/>
              </w:rPr>
              <w:fldChar w:fldCharType="separate"/>
            </w:r>
            <w:r w:rsidR="0064386B">
              <w:rPr>
                <w:noProof/>
                <w:webHidden/>
              </w:rPr>
              <w:t>30</w:t>
            </w:r>
            <w:r w:rsidR="0064386B">
              <w:rPr>
                <w:noProof/>
                <w:webHidden/>
              </w:rPr>
              <w:fldChar w:fldCharType="end"/>
            </w:r>
          </w:hyperlink>
        </w:p>
        <w:p w14:paraId="6F235AB8" w14:textId="6A8708D1" w:rsidR="0064386B" w:rsidRDefault="001F37C8">
          <w:pPr>
            <w:pStyle w:val="TOC2"/>
            <w:rPr>
              <w:rFonts w:asciiTheme="minorHAnsi" w:eastAsiaTheme="minorEastAsia" w:hAnsiTheme="minorHAnsi" w:cstheme="minorBidi"/>
              <w:b w:val="0"/>
              <w:noProof/>
              <w:sz w:val="22"/>
              <w:lang w:eastAsia="en-AU"/>
            </w:rPr>
          </w:pPr>
          <w:hyperlink w:anchor="_Toc59112174" w:history="1">
            <w:r w:rsidR="0064386B" w:rsidRPr="008153C2">
              <w:rPr>
                <w:rStyle w:val="Hyperlink"/>
                <w:noProof/>
              </w:rPr>
              <w:t>Outcome</w:t>
            </w:r>
            <w:r w:rsidR="0064386B">
              <w:rPr>
                <w:noProof/>
                <w:webHidden/>
              </w:rPr>
              <w:tab/>
            </w:r>
            <w:r w:rsidR="0064386B">
              <w:rPr>
                <w:noProof/>
                <w:webHidden/>
              </w:rPr>
              <w:fldChar w:fldCharType="begin"/>
            </w:r>
            <w:r w:rsidR="0064386B">
              <w:rPr>
                <w:noProof/>
                <w:webHidden/>
              </w:rPr>
              <w:instrText xml:space="preserve"> PAGEREF _Toc59112174 \h </w:instrText>
            </w:r>
            <w:r w:rsidR="0064386B">
              <w:rPr>
                <w:noProof/>
                <w:webHidden/>
              </w:rPr>
            </w:r>
            <w:r w:rsidR="0064386B">
              <w:rPr>
                <w:noProof/>
                <w:webHidden/>
              </w:rPr>
              <w:fldChar w:fldCharType="separate"/>
            </w:r>
            <w:r w:rsidR="0064386B">
              <w:rPr>
                <w:noProof/>
                <w:webHidden/>
              </w:rPr>
              <w:t>35</w:t>
            </w:r>
            <w:r w:rsidR="0064386B">
              <w:rPr>
                <w:noProof/>
                <w:webHidden/>
              </w:rPr>
              <w:fldChar w:fldCharType="end"/>
            </w:r>
          </w:hyperlink>
        </w:p>
        <w:p w14:paraId="3A5C2FB1" w14:textId="634205E8" w:rsidR="0064386B" w:rsidRDefault="001F37C8">
          <w:pPr>
            <w:pStyle w:val="TOC1"/>
            <w:rPr>
              <w:rFonts w:asciiTheme="minorHAnsi" w:eastAsiaTheme="minorEastAsia" w:hAnsiTheme="minorHAnsi" w:cstheme="minorBidi"/>
              <w:b w:val="0"/>
              <w:noProof/>
              <w:sz w:val="22"/>
              <w:lang w:eastAsia="en-AU"/>
            </w:rPr>
          </w:pPr>
          <w:hyperlink w:anchor="_Toc59112175" w:history="1">
            <w:r w:rsidR="0064386B" w:rsidRPr="008153C2">
              <w:rPr>
                <w:rStyle w:val="Hyperlink"/>
                <w:noProof/>
              </w:rPr>
              <w:t>Attachment 1. Product Information</w:t>
            </w:r>
            <w:r w:rsidR="0064386B">
              <w:rPr>
                <w:noProof/>
                <w:webHidden/>
              </w:rPr>
              <w:tab/>
            </w:r>
            <w:r w:rsidR="0064386B">
              <w:rPr>
                <w:noProof/>
                <w:webHidden/>
              </w:rPr>
              <w:fldChar w:fldCharType="begin"/>
            </w:r>
            <w:r w:rsidR="0064386B">
              <w:rPr>
                <w:noProof/>
                <w:webHidden/>
              </w:rPr>
              <w:instrText xml:space="preserve"> PAGEREF _Toc59112175 \h </w:instrText>
            </w:r>
            <w:r w:rsidR="0064386B">
              <w:rPr>
                <w:noProof/>
                <w:webHidden/>
              </w:rPr>
            </w:r>
            <w:r w:rsidR="0064386B">
              <w:rPr>
                <w:noProof/>
                <w:webHidden/>
              </w:rPr>
              <w:fldChar w:fldCharType="separate"/>
            </w:r>
            <w:r w:rsidR="0064386B">
              <w:rPr>
                <w:noProof/>
                <w:webHidden/>
              </w:rPr>
              <w:t>37</w:t>
            </w:r>
            <w:r w:rsidR="0064386B">
              <w:rPr>
                <w:noProof/>
                <w:webHidden/>
              </w:rPr>
              <w:fldChar w:fldCharType="end"/>
            </w:r>
          </w:hyperlink>
        </w:p>
        <w:p w14:paraId="303F178F" w14:textId="0D94AEEE" w:rsidR="003A7F6C" w:rsidRPr="00B811C6" w:rsidRDefault="00C525A2" w:rsidP="00331F5E">
          <w:pPr>
            <w:pStyle w:val="TOC2"/>
            <w:ind w:left="0"/>
          </w:pPr>
          <w:r>
            <w:fldChar w:fldCharType="end"/>
          </w:r>
        </w:p>
      </w:sdtContent>
    </w:sdt>
    <w:bookmarkStart w:id="3" w:name="_Toc314842482" w:displacedByCustomXml="prev"/>
    <w:p w14:paraId="27A21F9D" w14:textId="77777777" w:rsidR="00C52E24" w:rsidRPr="00C52E24" w:rsidRDefault="00441C3F" w:rsidP="007B06E1">
      <w:pPr>
        <w:pStyle w:val="Heading2"/>
        <w:pageBreakBefore/>
      </w:pPr>
      <w:bookmarkStart w:id="4" w:name="_Toc351716269"/>
      <w:bookmarkStart w:id="5" w:name="_Toc351718881"/>
      <w:bookmarkStart w:id="6" w:name="_Toc355338616"/>
      <w:bookmarkStart w:id="7" w:name="_Toc356306144"/>
      <w:bookmarkStart w:id="8" w:name="_Toc59112161"/>
      <w:r>
        <w:t>Common</w:t>
      </w:r>
      <w:r w:rsidR="00FD119B" w:rsidRPr="00FD119B">
        <w:t xml:space="preserve"> abbreviations</w:t>
      </w:r>
      <w:bookmarkEnd w:id="4"/>
      <w:bookmarkEnd w:id="5"/>
      <w:bookmarkEnd w:id="6"/>
      <w:bookmarkEnd w:id="7"/>
      <w:bookmarkEnd w:id="8"/>
    </w:p>
    <w:tbl>
      <w:tblPr>
        <w:tblStyle w:val="TableTGAblue"/>
        <w:tblW w:w="8720" w:type="dxa"/>
        <w:tblLook w:val="04A0" w:firstRow="1" w:lastRow="0" w:firstColumn="1" w:lastColumn="0" w:noHBand="0" w:noVBand="1"/>
      </w:tblPr>
      <w:tblGrid>
        <w:gridCol w:w="1832"/>
        <w:gridCol w:w="6888"/>
      </w:tblGrid>
      <w:tr w:rsidR="00E43D74" w:rsidRPr="009253CF" w14:paraId="59C271B6" w14:textId="77777777" w:rsidTr="00E43D74">
        <w:trPr>
          <w:cnfStyle w:val="100000000000" w:firstRow="1" w:lastRow="0" w:firstColumn="0" w:lastColumn="0" w:oddVBand="0" w:evenVBand="0" w:oddHBand="0" w:evenHBand="0" w:firstRowFirstColumn="0" w:firstRowLastColumn="0" w:lastRowFirstColumn="0" w:lastRowLastColumn="0"/>
          <w:trHeight w:val="516"/>
        </w:trPr>
        <w:tc>
          <w:tcPr>
            <w:tcW w:w="1832" w:type="dxa"/>
          </w:tcPr>
          <w:p w14:paraId="773FC2E1" w14:textId="77777777" w:rsidR="00E43D74" w:rsidRPr="009253CF" w:rsidRDefault="00E43D74" w:rsidP="00CF5DAD">
            <w:pPr>
              <w:keepNext w:val="0"/>
              <w:ind w:left="0" w:right="0"/>
              <w:rPr>
                <w:rFonts w:asciiTheme="minorHAnsi" w:hAnsiTheme="minorHAnsi"/>
                <w:szCs w:val="22"/>
                <w:lang w:eastAsia="en-US"/>
              </w:rPr>
            </w:pPr>
            <w:r w:rsidRPr="009253CF">
              <w:rPr>
                <w:rFonts w:asciiTheme="minorHAnsi" w:hAnsiTheme="minorHAnsi"/>
                <w:szCs w:val="22"/>
                <w:lang w:eastAsia="en-US"/>
              </w:rPr>
              <w:t>Abbreviation</w:t>
            </w:r>
          </w:p>
        </w:tc>
        <w:tc>
          <w:tcPr>
            <w:tcW w:w="6888" w:type="dxa"/>
          </w:tcPr>
          <w:p w14:paraId="64242593" w14:textId="77777777" w:rsidR="00E43D74" w:rsidRPr="009253CF" w:rsidRDefault="00E43D74" w:rsidP="00CF5DAD">
            <w:pPr>
              <w:keepNext w:val="0"/>
              <w:ind w:left="0" w:right="0"/>
              <w:rPr>
                <w:rFonts w:asciiTheme="minorHAnsi" w:hAnsiTheme="minorHAnsi"/>
                <w:szCs w:val="22"/>
                <w:lang w:eastAsia="en-US"/>
              </w:rPr>
            </w:pPr>
            <w:r w:rsidRPr="009253CF">
              <w:rPr>
                <w:rFonts w:asciiTheme="minorHAnsi" w:hAnsiTheme="minorHAnsi"/>
                <w:szCs w:val="22"/>
                <w:lang w:eastAsia="en-US"/>
              </w:rPr>
              <w:t>Meaning</w:t>
            </w:r>
          </w:p>
        </w:tc>
      </w:tr>
      <w:tr w:rsidR="00E43D74" w:rsidRPr="000E48FD" w14:paraId="0186DBFA" w14:textId="77777777" w:rsidTr="00E43D74">
        <w:trPr>
          <w:trHeight w:val="516"/>
        </w:trPr>
        <w:tc>
          <w:tcPr>
            <w:tcW w:w="1832" w:type="dxa"/>
            <w:noWrap/>
            <w:hideMark/>
          </w:tcPr>
          <w:p w14:paraId="13912FE2"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ACV</w:t>
            </w:r>
          </w:p>
        </w:tc>
        <w:tc>
          <w:tcPr>
            <w:tcW w:w="6888" w:type="dxa"/>
            <w:noWrap/>
            <w:hideMark/>
          </w:tcPr>
          <w:p w14:paraId="43E69FA2" w14:textId="02F6D789" w:rsidR="00E43D74" w:rsidRPr="009253CF" w:rsidRDefault="007B06E1" w:rsidP="009253CF">
            <w:pPr>
              <w:rPr>
                <w:rFonts w:asciiTheme="minorHAnsi" w:eastAsia="Times New Roman" w:hAnsiTheme="minorHAnsi" w:cs="Calibri"/>
                <w:color w:val="000000"/>
              </w:rPr>
            </w:pPr>
            <w:r>
              <w:rPr>
                <w:rFonts w:asciiTheme="minorHAnsi" w:eastAsia="Times New Roman" w:hAnsiTheme="minorHAnsi" w:cs="Calibri"/>
                <w:color w:val="000000"/>
              </w:rPr>
              <w:t>Advisory Committee on Vaccines</w:t>
            </w:r>
          </w:p>
        </w:tc>
      </w:tr>
      <w:tr w:rsidR="00E43D74" w:rsidRPr="000E48FD" w14:paraId="62E0BCAC" w14:textId="77777777" w:rsidTr="00E43D74">
        <w:trPr>
          <w:trHeight w:val="516"/>
        </w:trPr>
        <w:tc>
          <w:tcPr>
            <w:tcW w:w="1832" w:type="dxa"/>
            <w:noWrap/>
            <w:hideMark/>
          </w:tcPr>
          <w:p w14:paraId="2DB1BC4B"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AE</w:t>
            </w:r>
          </w:p>
        </w:tc>
        <w:tc>
          <w:tcPr>
            <w:tcW w:w="6888" w:type="dxa"/>
            <w:noWrap/>
            <w:hideMark/>
          </w:tcPr>
          <w:p w14:paraId="1691651D"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A</w:t>
            </w:r>
            <w:r w:rsidRPr="009253CF">
              <w:rPr>
                <w:rFonts w:asciiTheme="minorHAnsi" w:eastAsia="Times New Roman" w:hAnsiTheme="minorHAnsi" w:cs="Calibri"/>
                <w:color w:val="000000"/>
              </w:rPr>
              <w:t>dverse event</w:t>
            </w:r>
          </w:p>
        </w:tc>
      </w:tr>
      <w:tr w:rsidR="00E43D74" w:rsidRPr="000E48FD" w14:paraId="76DB6BCF" w14:textId="77777777" w:rsidTr="00E43D74">
        <w:trPr>
          <w:trHeight w:val="516"/>
        </w:trPr>
        <w:tc>
          <w:tcPr>
            <w:tcW w:w="1832" w:type="dxa"/>
            <w:noWrap/>
            <w:hideMark/>
          </w:tcPr>
          <w:p w14:paraId="62B2FE58"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ARGPM</w:t>
            </w:r>
          </w:p>
        </w:tc>
        <w:tc>
          <w:tcPr>
            <w:tcW w:w="6888" w:type="dxa"/>
            <w:noWrap/>
            <w:hideMark/>
          </w:tcPr>
          <w:p w14:paraId="07D44EB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Australian Regulatory Guidelines for Prescription Medicines</w:t>
            </w:r>
          </w:p>
        </w:tc>
      </w:tr>
      <w:tr w:rsidR="00E43D74" w:rsidRPr="000E48FD" w14:paraId="56BEE0E6" w14:textId="77777777" w:rsidTr="00E43D74">
        <w:trPr>
          <w:trHeight w:val="516"/>
        </w:trPr>
        <w:tc>
          <w:tcPr>
            <w:tcW w:w="1832" w:type="dxa"/>
            <w:noWrap/>
          </w:tcPr>
          <w:p w14:paraId="5AC3D50A" w14:textId="77777777" w:rsidR="00E43D74" w:rsidRPr="009253CF" w:rsidRDefault="00E43D74" w:rsidP="009253CF">
            <w:pPr>
              <w:rPr>
                <w:rFonts w:asciiTheme="minorHAnsi" w:hAnsiTheme="minorHAnsi"/>
              </w:rPr>
            </w:pPr>
            <w:r w:rsidRPr="009253CF">
              <w:rPr>
                <w:rFonts w:asciiTheme="minorHAnsi" w:hAnsiTheme="minorHAnsi"/>
                <w:szCs w:val="22"/>
              </w:rPr>
              <w:t>ARTG</w:t>
            </w:r>
          </w:p>
        </w:tc>
        <w:tc>
          <w:tcPr>
            <w:tcW w:w="6888" w:type="dxa"/>
            <w:noWrap/>
          </w:tcPr>
          <w:p w14:paraId="25D0CFC1" w14:textId="77777777" w:rsidR="00E43D74" w:rsidRPr="009253CF" w:rsidRDefault="00E43D74" w:rsidP="009253CF">
            <w:pPr>
              <w:rPr>
                <w:rFonts w:asciiTheme="minorHAnsi" w:hAnsiTheme="minorHAnsi"/>
              </w:rPr>
            </w:pPr>
            <w:r w:rsidRPr="009253CF">
              <w:rPr>
                <w:rFonts w:asciiTheme="minorHAnsi" w:hAnsiTheme="minorHAnsi"/>
                <w:szCs w:val="22"/>
              </w:rPr>
              <w:t>Australian Register of Therapeutic Goods</w:t>
            </w:r>
          </w:p>
        </w:tc>
      </w:tr>
      <w:tr w:rsidR="00E43D74" w:rsidRPr="000E48FD" w14:paraId="38D22747" w14:textId="77777777" w:rsidTr="00E43D74">
        <w:trPr>
          <w:trHeight w:val="516"/>
        </w:trPr>
        <w:tc>
          <w:tcPr>
            <w:tcW w:w="1832" w:type="dxa"/>
            <w:noWrap/>
            <w:hideMark/>
          </w:tcPr>
          <w:p w14:paraId="73C6C3D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ASA</w:t>
            </w:r>
          </w:p>
        </w:tc>
        <w:tc>
          <w:tcPr>
            <w:tcW w:w="6888" w:type="dxa"/>
            <w:noWrap/>
            <w:hideMark/>
          </w:tcPr>
          <w:p w14:paraId="2B53618D"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Australia Specific Annex</w:t>
            </w:r>
          </w:p>
        </w:tc>
      </w:tr>
      <w:tr w:rsidR="00E43D74" w:rsidRPr="000E48FD" w14:paraId="407EA691" w14:textId="77777777" w:rsidTr="00E43D74">
        <w:trPr>
          <w:trHeight w:val="516"/>
        </w:trPr>
        <w:tc>
          <w:tcPr>
            <w:tcW w:w="1832" w:type="dxa"/>
            <w:noWrap/>
          </w:tcPr>
          <w:p w14:paraId="7139AC73" w14:textId="77777777" w:rsidR="00E43D74" w:rsidRPr="009253CF" w:rsidRDefault="00E43D74" w:rsidP="009253CF">
            <w:pPr>
              <w:rPr>
                <w:rFonts w:asciiTheme="minorHAnsi" w:hAnsiTheme="minorHAnsi"/>
              </w:rPr>
            </w:pPr>
            <w:r w:rsidRPr="009253CF">
              <w:rPr>
                <w:rFonts w:asciiTheme="minorHAnsi" w:hAnsiTheme="minorHAnsi"/>
                <w:szCs w:val="22"/>
              </w:rPr>
              <w:t>AusPAR</w:t>
            </w:r>
          </w:p>
        </w:tc>
        <w:tc>
          <w:tcPr>
            <w:tcW w:w="6888" w:type="dxa"/>
            <w:noWrap/>
          </w:tcPr>
          <w:p w14:paraId="4C99B9ED" w14:textId="77777777" w:rsidR="00E43D74" w:rsidRPr="009253CF" w:rsidRDefault="00E43D74" w:rsidP="009253CF">
            <w:pPr>
              <w:rPr>
                <w:rFonts w:asciiTheme="minorHAnsi" w:hAnsiTheme="minorHAnsi"/>
              </w:rPr>
            </w:pPr>
            <w:r w:rsidRPr="009253CF">
              <w:rPr>
                <w:rFonts w:asciiTheme="minorHAnsi" w:hAnsiTheme="minorHAnsi"/>
                <w:szCs w:val="22"/>
              </w:rPr>
              <w:t>Australian Public Assessment Report</w:t>
            </w:r>
          </w:p>
        </w:tc>
      </w:tr>
      <w:tr w:rsidR="00E43D74" w:rsidRPr="000E48FD" w14:paraId="375BAF6A" w14:textId="77777777" w:rsidTr="00E43D74">
        <w:trPr>
          <w:trHeight w:val="516"/>
        </w:trPr>
        <w:tc>
          <w:tcPr>
            <w:tcW w:w="1832" w:type="dxa"/>
            <w:noWrap/>
            <w:hideMark/>
          </w:tcPr>
          <w:p w14:paraId="55C8F0FA"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AusVaxSafety</w:t>
            </w:r>
          </w:p>
        </w:tc>
        <w:tc>
          <w:tcPr>
            <w:tcW w:w="6888" w:type="dxa"/>
            <w:noWrap/>
            <w:hideMark/>
          </w:tcPr>
          <w:p w14:paraId="18D17AAB"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Australia vaccine safety system</w:t>
            </w:r>
          </w:p>
        </w:tc>
      </w:tr>
      <w:tr w:rsidR="00E43D74" w:rsidRPr="000E48FD" w14:paraId="5D7F0A26" w14:textId="77777777" w:rsidTr="00E43D74">
        <w:trPr>
          <w:trHeight w:val="516"/>
        </w:trPr>
        <w:tc>
          <w:tcPr>
            <w:tcW w:w="1832" w:type="dxa"/>
            <w:noWrap/>
            <w:hideMark/>
          </w:tcPr>
          <w:p w14:paraId="53653F5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CBER</w:t>
            </w:r>
          </w:p>
        </w:tc>
        <w:tc>
          <w:tcPr>
            <w:tcW w:w="6888" w:type="dxa"/>
            <w:noWrap/>
            <w:hideMark/>
          </w:tcPr>
          <w:p w14:paraId="6E3AB6AD" w14:textId="7ECBABEF" w:rsidR="00E43D74" w:rsidRPr="009253CF" w:rsidRDefault="00E43D74" w:rsidP="00E43D74">
            <w:pPr>
              <w:rPr>
                <w:rFonts w:asciiTheme="minorHAnsi" w:eastAsia="Times New Roman" w:hAnsiTheme="minorHAnsi" w:cs="Calibri"/>
                <w:color w:val="000000"/>
              </w:rPr>
            </w:pPr>
            <w:r w:rsidRPr="009253CF">
              <w:rPr>
                <w:rFonts w:asciiTheme="minorHAnsi" w:eastAsia="Times New Roman" w:hAnsiTheme="minorHAnsi" w:cs="Calibri"/>
                <w:color w:val="000000"/>
              </w:rPr>
              <w:t>Cent</w:t>
            </w:r>
            <w:r w:rsidR="00B92C4F">
              <w:rPr>
                <w:rFonts w:asciiTheme="minorHAnsi" w:eastAsia="Times New Roman" w:hAnsiTheme="minorHAnsi" w:cs="Calibri"/>
                <w:color w:val="000000"/>
              </w:rPr>
              <w:t>er</w:t>
            </w:r>
            <w:r w:rsidRPr="009253CF">
              <w:rPr>
                <w:rFonts w:asciiTheme="minorHAnsi" w:eastAsia="Times New Roman" w:hAnsiTheme="minorHAnsi" w:cs="Calibri"/>
                <w:color w:val="000000"/>
              </w:rPr>
              <w:t xml:space="preserve"> </w:t>
            </w:r>
            <w:r w:rsidR="00B92C4F">
              <w:rPr>
                <w:rFonts w:asciiTheme="minorHAnsi" w:eastAsia="Times New Roman" w:hAnsiTheme="minorHAnsi" w:cs="Calibri"/>
                <w:color w:val="000000"/>
              </w:rPr>
              <w:t>for</w:t>
            </w:r>
            <w:r w:rsidRPr="009253CF">
              <w:rPr>
                <w:rFonts w:asciiTheme="minorHAnsi" w:eastAsia="Times New Roman" w:hAnsiTheme="minorHAnsi" w:cs="Calibri"/>
                <w:color w:val="000000"/>
              </w:rPr>
              <w:t xml:space="preserve"> Bi</w:t>
            </w:r>
            <w:r>
              <w:rPr>
                <w:rFonts w:asciiTheme="minorHAnsi" w:eastAsia="Times New Roman" w:hAnsiTheme="minorHAnsi" w:cs="Calibri"/>
                <w:color w:val="000000"/>
              </w:rPr>
              <w:t>ologics Evaluation and Research (</w:t>
            </w:r>
            <w:r>
              <w:t>United States</w:t>
            </w:r>
            <w:r w:rsidR="00B92C4F">
              <w:t xml:space="preserve"> Food and Drug Administration</w:t>
            </w:r>
            <w:r>
              <w:t>)</w:t>
            </w:r>
          </w:p>
        </w:tc>
      </w:tr>
      <w:tr w:rsidR="00E43D74" w:rsidRPr="000E48FD" w14:paraId="68B44276" w14:textId="77777777" w:rsidTr="00E43D74">
        <w:trPr>
          <w:trHeight w:val="516"/>
        </w:trPr>
        <w:tc>
          <w:tcPr>
            <w:tcW w:w="1832" w:type="dxa"/>
            <w:noWrap/>
            <w:hideMark/>
          </w:tcPr>
          <w:p w14:paraId="6DB54505"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CCI</w:t>
            </w:r>
          </w:p>
        </w:tc>
        <w:tc>
          <w:tcPr>
            <w:tcW w:w="6888" w:type="dxa"/>
            <w:noWrap/>
            <w:hideMark/>
          </w:tcPr>
          <w:p w14:paraId="5E25BC43"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C</w:t>
            </w:r>
            <w:r w:rsidRPr="009253CF">
              <w:rPr>
                <w:rFonts w:asciiTheme="minorHAnsi" w:eastAsia="Times New Roman" w:hAnsiTheme="minorHAnsi" w:cs="Calibri"/>
                <w:color w:val="000000"/>
              </w:rPr>
              <w:t>ell culture derived influenza virus vaccine</w:t>
            </w:r>
          </w:p>
        </w:tc>
      </w:tr>
      <w:tr w:rsidR="00E43D74" w:rsidRPr="000E48FD" w14:paraId="29FC8DFA" w14:textId="77777777" w:rsidTr="00E43D74">
        <w:trPr>
          <w:trHeight w:val="516"/>
        </w:trPr>
        <w:tc>
          <w:tcPr>
            <w:tcW w:w="1832" w:type="dxa"/>
            <w:noWrap/>
            <w:hideMark/>
          </w:tcPr>
          <w:p w14:paraId="666686D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CHMP</w:t>
            </w:r>
          </w:p>
        </w:tc>
        <w:tc>
          <w:tcPr>
            <w:tcW w:w="6888" w:type="dxa"/>
            <w:noWrap/>
            <w:hideMark/>
          </w:tcPr>
          <w:p w14:paraId="064F4451" w14:textId="77777777" w:rsidR="00E43D74" w:rsidRPr="009253CF" w:rsidRDefault="00E43D74" w:rsidP="00E43D74">
            <w:pPr>
              <w:rPr>
                <w:rFonts w:asciiTheme="minorHAnsi" w:eastAsia="Times New Roman" w:hAnsiTheme="minorHAnsi" w:cs="Calibri"/>
                <w:color w:val="000000"/>
              </w:rPr>
            </w:pPr>
            <w:r w:rsidRPr="009253CF">
              <w:rPr>
                <w:rFonts w:asciiTheme="minorHAnsi" w:eastAsia="Times New Roman" w:hAnsiTheme="minorHAnsi" w:cs="Calibri"/>
                <w:color w:val="000000"/>
              </w:rPr>
              <w:t>Committee for Medicinal Products for Human Use</w:t>
            </w:r>
            <w:r>
              <w:rPr>
                <w:rFonts w:asciiTheme="minorHAnsi" w:eastAsia="Times New Roman" w:hAnsiTheme="minorHAnsi" w:cs="Calibri"/>
                <w:color w:val="000000"/>
              </w:rPr>
              <w:t xml:space="preserve"> (</w:t>
            </w:r>
            <w:r>
              <w:t>European Union)</w:t>
            </w:r>
          </w:p>
        </w:tc>
      </w:tr>
      <w:tr w:rsidR="00E43D74" w:rsidRPr="000E48FD" w14:paraId="4C3E426D" w14:textId="77777777" w:rsidTr="00E43D74">
        <w:trPr>
          <w:trHeight w:val="516"/>
        </w:trPr>
        <w:tc>
          <w:tcPr>
            <w:tcW w:w="1832" w:type="dxa"/>
            <w:noWrap/>
            <w:hideMark/>
          </w:tcPr>
          <w:p w14:paraId="58DF6C49"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CI</w:t>
            </w:r>
          </w:p>
        </w:tc>
        <w:tc>
          <w:tcPr>
            <w:tcW w:w="6888" w:type="dxa"/>
            <w:noWrap/>
            <w:hideMark/>
          </w:tcPr>
          <w:p w14:paraId="0E4A1CC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Confidence interval</w:t>
            </w:r>
          </w:p>
        </w:tc>
      </w:tr>
      <w:tr w:rsidR="00E43D74" w:rsidRPr="000E48FD" w14:paraId="6AAE0F22" w14:textId="77777777" w:rsidTr="00E43D74">
        <w:trPr>
          <w:trHeight w:val="516"/>
        </w:trPr>
        <w:tc>
          <w:tcPr>
            <w:tcW w:w="1832" w:type="dxa"/>
            <w:noWrap/>
            <w:hideMark/>
          </w:tcPr>
          <w:p w14:paraId="0B87246C"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CPD</w:t>
            </w:r>
          </w:p>
        </w:tc>
        <w:tc>
          <w:tcPr>
            <w:tcW w:w="6888" w:type="dxa"/>
            <w:noWrap/>
            <w:hideMark/>
          </w:tcPr>
          <w:p w14:paraId="5A8CE806" w14:textId="6BDBA662"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Certified Product Details</w:t>
            </w:r>
          </w:p>
        </w:tc>
      </w:tr>
      <w:tr w:rsidR="00E43D74" w:rsidRPr="000E48FD" w14:paraId="73480EF5" w14:textId="77777777" w:rsidTr="00E43D74">
        <w:trPr>
          <w:trHeight w:val="516"/>
        </w:trPr>
        <w:tc>
          <w:tcPr>
            <w:tcW w:w="1832" w:type="dxa"/>
            <w:noWrap/>
            <w:hideMark/>
          </w:tcPr>
          <w:p w14:paraId="32878D3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CSR</w:t>
            </w:r>
          </w:p>
        </w:tc>
        <w:tc>
          <w:tcPr>
            <w:tcW w:w="6888" w:type="dxa"/>
            <w:noWrap/>
            <w:hideMark/>
          </w:tcPr>
          <w:p w14:paraId="1540D56A"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Clinical study report</w:t>
            </w:r>
          </w:p>
        </w:tc>
      </w:tr>
      <w:tr w:rsidR="00E43D74" w:rsidRPr="000E48FD" w14:paraId="50A7EF26" w14:textId="77777777" w:rsidTr="00E43D74">
        <w:trPr>
          <w:trHeight w:val="516"/>
        </w:trPr>
        <w:tc>
          <w:tcPr>
            <w:tcW w:w="1832" w:type="dxa"/>
            <w:noWrap/>
            <w:hideMark/>
          </w:tcPr>
          <w:p w14:paraId="2E72C9D6"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DLP</w:t>
            </w:r>
          </w:p>
        </w:tc>
        <w:tc>
          <w:tcPr>
            <w:tcW w:w="6888" w:type="dxa"/>
            <w:noWrap/>
            <w:hideMark/>
          </w:tcPr>
          <w:p w14:paraId="04B5E1E6"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Data lock point</w:t>
            </w:r>
          </w:p>
        </w:tc>
      </w:tr>
      <w:tr w:rsidR="00E43D74" w:rsidRPr="000E48FD" w14:paraId="6EA4C704" w14:textId="77777777" w:rsidTr="00E43D74">
        <w:trPr>
          <w:trHeight w:val="516"/>
        </w:trPr>
        <w:tc>
          <w:tcPr>
            <w:tcW w:w="1832" w:type="dxa"/>
            <w:noWrap/>
            <w:hideMark/>
          </w:tcPr>
          <w:p w14:paraId="558E604B"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EMA</w:t>
            </w:r>
          </w:p>
        </w:tc>
        <w:tc>
          <w:tcPr>
            <w:tcW w:w="6888" w:type="dxa"/>
            <w:noWrap/>
            <w:hideMark/>
          </w:tcPr>
          <w:p w14:paraId="5210EEC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European Medicines Agency</w:t>
            </w:r>
            <w:r>
              <w:rPr>
                <w:rFonts w:asciiTheme="minorHAnsi" w:eastAsia="Times New Roman" w:hAnsiTheme="minorHAnsi" w:cs="Calibri"/>
                <w:color w:val="000000"/>
              </w:rPr>
              <w:t xml:space="preserve"> (</w:t>
            </w:r>
            <w:r>
              <w:t>European Union)</w:t>
            </w:r>
          </w:p>
        </w:tc>
      </w:tr>
      <w:tr w:rsidR="00E43D74" w:rsidRPr="000E48FD" w14:paraId="11A03F72" w14:textId="77777777" w:rsidTr="00E43D74">
        <w:trPr>
          <w:trHeight w:val="516"/>
        </w:trPr>
        <w:tc>
          <w:tcPr>
            <w:tcW w:w="1832" w:type="dxa"/>
            <w:noWrap/>
            <w:hideMark/>
          </w:tcPr>
          <w:p w14:paraId="4273E149"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EU</w:t>
            </w:r>
          </w:p>
        </w:tc>
        <w:tc>
          <w:tcPr>
            <w:tcW w:w="6888" w:type="dxa"/>
            <w:noWrap/>
            <w:hideMark/>
          </w:tcPr>
          <w:p w14:paraId="729678AB"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European Union</w:t>
            </w:r>
          </w:p>
        </w:tc>
      </w:tr>
      <w:tr w:rsidR="00E43D74" w:rsidRPr="000E48FD" w14:paraId="4096C444" w14:textId="77777777" w:rsidTr="00E43D74">
        <w:trPr>
          <w:trHeight w:val="516"/>
        </w:trPr>
        <w:tc>
          <w:tcPr>
            <w:tcW w:w="1832" w:type="dxa"/>
            <w:noWrap/>
            <w:hideMark/>
          </w:tcPr>
          <w:p w14:paraId="4BAEADB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FAS</w:t>
            </w:r>
          </w:p>
        </w:tc>
        <w:tc>
          <w:tcPr>
            <w:tcW w:w="6888" w:type="dxa"/>
            <w:noWrap/>
            <w:hideMark/>
          </w:tcPr>
          <w:p w14:paraId="074A1866"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Full analysis set</w:t>
            </w:r>
          </w:p>
        </w:tc>
      </w:tr>
      <w:tr w:rsidR="00E43D74" w:rsidRPr="000E48FD" w14:paraId="36DACCEA" w14:textId="77777777" w:rsidTr="00E43D74">
        <w:trPr>
          <w:trHeight w:val="516"/>
        </w:trPr>
        <w:tc>
          <w:tcPr>
            <w:tcW w:w="1832" w:type="dxa"/>
            <w:noWrap/>
          </w:tcPr>
          <w:p w14:paraId="72F43BEB"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FDA</w:t>
            </w:r>
          </w:p>
        </w:tc>
        <w:tc>
          <w:tcPr>
            <w:tcW w:w="6888" w:type="dxa"/>
            <w:noWrap/>
          </w:tcPr>
          <w:p w14:paraId="1EAB90B2" w14:textId="77777777" w:rsidR="00E43D74" w:rsidRPr="009253CF" w:rsidRDefault="00E43D74" w:rsidP="009253CF">
            <w:pPr>
              <w:rPr>
                <w:rFonts w:asciiTheme="minorHAnsi" w:eastAsia="Times New Roman" w:hAnsiTheme="minorHAnsi" w:cs="Calibri"/>
                <w:color w:val="000000"/>
              </w:rPr>
            </w:pPr>
            <w:r w:rsidRPr="00E43D74">
              <w:rPr>
                <w:rFonts w:asciiTheme="minorHAnsi" w:eastAsia="Times New Roman" w:hAnsiTheme="minorHAnsi" w:cs="Calibri"/>
                <w:color w:val="000000"/>
              </w:rPr>
              <w:t>Food and Drug Administration</w:t>
            </w:r>
            <w:r>
              <w:rPr>
                <w:rFonts w:asciiTheme="minorHAnsi" w:eastAsia="Times New Roman" w:hAnsiTheme="minorHAnsi" w:cs="Calibri"/>
                <w:color w:val="000000"/>
              </w:rPr>
              <w:t xml:space="preserve"> (United States)</w:t>
            </w:r>
          </w:p>
        </w:tc>
      </w:tr>
      <w:tr w:rsidR="00E43D74" w:rsidRPr="000E48FD" w14:paraId="12331A2C" w14:textId="77777777" w:rsidTr="00E43D74">
        <w:trPr>
          <w:trHeight w:val="516"/>
        </w:trPr>
        <w:tc>
          <w:tcPr>
            <w:tcW w:w="1832" w:type="dxa"/>
            <w:noWrap/>
            <w:hideMark/>
          </w:tcPr>
          <w:p w14:paraId="02F3F518"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GMT</w:t>
            </w:r>
          </w:p>
        </w:tc>
        <w:tc>
          <w:tcPr>
            <w:tcW w:w="6888" w:type="dxa"/>
            <w:noWrap/>
            <w:hideMark/>
          </w:tcPr>
          <w:p w14:paraId="640E4327"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G</w:t>
            </w:r>
            <w:r w:rsidRPr="009253CF">
              <w:rPr>
                <w:rFonts w:asciiTheme="minorHAnsi" w:eastAsia="Times New Roman" w:hAnsiTheme="minorHAnsi" w:cs="Calibri"/>
                <w:color w:val="000000"/>
              </w:rPr>
              <w:t>eometric mean titre</w:t>
            </w:r>
          </w:p>
        </w:tc>
      </w:tr>
      <w:tr w:rsidR="00E43D74" w:rsidRPr="000E48FD" w14:paraId="4690B382" w14:textId="77777777" w:rsidTr="00E43D74">
        <w:trPr>
          <w:trHeight w:val="516"/>
        </w:trPr>
        <w:tc>
          <w:tcPr>
            <w:tcW w:w="1832" w:type="dxa"/>
            <w:noWrap/>
            <w:hideMark/>
          </w:tcPr>
          <w:p w14:paraId="4D7FBCC9"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GVP</w:t>
            </w:r>
          </w:p>
        </w:tc>
        <w:tc>
          <w:tcPr>
            <w:tcW w:w="6888" w:type="dxa"/>
            <w:noWrap/>
            <w:hideMark/>
          </w:tcPr>
          <w:p w14:paraId="387A4AB4" w14:textId="061C63AB"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Good pharmacovigilance practices</w:t>
            </w:r>
          </w:p>
        </w:tc>
      </w:tr>
      <w:tr w:rsidR="00E43D74" w:rsidRPr="000E48FD" w14:paraId="1C5CA917" w14:textId="77777777" w:rsidTr="00E43D74">
        <w:trPr>
          <w:trHeight w:val="516"/>
        </w:trPr>
        <w:tc>
          <w:tcPr>
            <w:tcW w:w="1832" w:type="dxa"/>
            <w:noWrap/>
            <w:hideMark/>
          </w:tcPr>
          <w:p w14:paraId="38434D15"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HA</w:t>
            </w:r>
          </w:p>
        </w:tc>
        <w:tc>
          <w:tcPr>
            <w:tcW w:w="6888" w:type="dxa"/>
            <w:noWrap/>
            <w:hideMark/>
          </w:tcPr>
          <w:p w14:paraId="08F0E3B7"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H</w:t>
            </w:r>
            <w:r w:rsidRPr="009253CF">
              <w:rPr>
                <w:rFonts w:asciiTheme="minorHAnsi" w:eastAsia="Times New Roman" w:hAnsiTheme="minorHAnsi" w:cs="Calibri"/>
                <w:color w:val="000000"/>
              </w:rPr>
              <w:t>aemagglutinin</w:t>
            </w:r>
          </w:p>
        </w:tc>
      </w:tr>
      <w:tr w:rsidR="00E43D74" w:rsidRPr="000E48FD" w14:paraId="3FFE6775" w14:textId="77777777" w:rsidTr="00E43D74">
        <w:trPr>
          <w:trHeight w:val="516"/>
        </w:trPr>
        <w:tc>
          <w:tcPr>
            <w:tcW w:w="1832" w:type="dxa"/>
            <w:noWrap/>
            <w:hideMark/>
          </w:tcPr>
          <w:p w14:paraId="29CFA761"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HI</w:t>
            </w:r>
          </w:p>
        </w:tc>
        <w:tc>
          <w:tcPr>
            <w:tcW w:w="6888" w:type="dxa"/>
            <w:noWrap/>
            <w:hideMark/>
          </w:tcPr>
          <w:p w14:paraId="1E550DC8" w14:textId="47350DC8"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H</w:t>
            </w:r>
            <w:r w:rsidRPr="009253CF">
              <w:rPr>
                <w:rFonts w:asciiTheme="minorHAnsi" w:eastAsia="Times New Roman" w:hAnsiTheme="minorHAnsi" w:cs="Calibri"/>
                <w:color w:val="000000"/>
              </w:rPr>
              <w:t>emagglutination inhibition</w:t>
            </w:r>
          </w:p>
        </w:tc>
      </w:tr>
      <w:tr w:rsidR="00E43D74" w:rsidRPr="000E48FD" w14:paraId="2E6B7B8D" w14:textId="77777777" w:rsidTr="00E43D74">
        <w:trPr>
          <w:trHeight w:val="516"/>
        </w:trPr>
        <w:tc>
          <w:tcPr>
            <w:tcW w:w="1832" w:type="dxa"/>
            <w:noWrap/>
            <w:hideMark/>
          </w:tcPr>
          <w:p w14:paraId="1DD3B70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ILI</w:t>
            </w:r>
          </w:p>
        </w:tc>
        <w:tc>
          <w:tcPr>
            <w:tcW w:w="6888" w:type="dxa"/>
            <w:noWrap/>
            <w:hideMark/>
          </w:tcPr>
          <w:p w14:paraId="5E20E12E"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I</w:t>
            </w:r>
            <w:r w:rsidRPr="009253CF">
              <w:rPr>
                <w:rFonts w:asciiTheme="minorHAnsi" w:eastAsia="Times New Roman" w:hAnsiTheme="minorHAnsi" w:cs="Calibri"/>
                <w:color w:val="000000"/>
              </w:rPr>
              <w:t>nfluenza-like illness</w:t>
            </w:r>
          </w:p>
        </w:tc>
      </w:tr>
      <w:tr w:rsidR="00E43D74" w:rsidRPr="000E48FD" w14:paraId="2803CD6E" w14:textId="77777777" w:rsidTr="00E43D74">
        <w:trPr>
          <w:trHeight w:val="516"/>
        </w:trPr>
        <w:tc>
          <w:tcPr>
            <w:tcW w:w="1832" w:type="dxa"/>
            <w:noWrap/>
            <w:hideMark/>
          </w:tcPr>
          <w:p w14:paraId="6C6FA1E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IVV</w:t>
            </w:r>
          </w:p>
        </w:tc>
        <w:tc>
          <w:tcPr>
            <w:tcW w:w="6888" w:type="dxa"/>
            <w:noWrap/>
            <w:hideMark/>
          </w:tcPr>
          <w:p w14:paraId="11A2A796" w14:textId="13648318" w:rsidR="00E43D74" w:rsidRPr="009253CF" w:rsidRDefault="00B92C4F" w:rsidP="009253CF">
            <w:pPr>
              <w:rPr>
                <w:rFonts w:asciiTheme="minorHAnsi" w:eastAsia="Times New Roman" w:hAnsiTheme="minorHAnsi" w:cs="Calibri"/>
                <w:color w:val="000000"/>
              </w:rPr>
            </w:pPr>
            <w:r>
              <w:rPr>
                <w:rFonts w:asciiTheme="minorHAnsi" w:eastAsia="Times New Roman" w:hAnsiTheme="minorHAnsi" w:cs="Calibri"/>
                <w:color w:val="000000"/>
              </w:rPr>
              <w:t>I</w:t>
            </w:r>
            <w:r w:rsidR="00E43D74" w:rsidRPr="009253CF">
              <w:rPr>
                <w:rFonts w:asciiTheme="minorHAnsi" w:eastAsia="Times New Roman" w:hAnsiTheme="minorHAnsi" w:cs="Calibri"/>
                <w:color w:val="000000"/>
              </w:rPr>
              <w:t>nfluenza virus vaccine</w:t>
            </w:r>
          </w:p>
        </w:tc>
      </w:tr>
      <w:tr w:rsidR="00E43D74" w:rsidRPr="000E48FD" w14:paraId="1841F938" w14:textId="77777777" w:rsidTr="00E43D74">
        <w:trPr>
          <w:trHeight w:val="516"/>
        </w:trPr>
        <w:tc>
          <w:tcPr>
            <w:tcW w:w="1832" w:type="dxa"/>
            <w:noWrap/>
            <w:hideMark/>
          </w:tcPr>
          <w:p w14:paraId="34ECC7AF"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LBW</w:t>
            </w:r>
          </w:p>
        </w:tc>
        <w:tc>
          <w:tcPr>
            <w:tcW w:w="6888" w:type="dxa"/>
            <w:noWrap/>
            <w:hideMark/>
          </w:tcPr>
          <w:p w14:paraId="7AB54C6D"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Low birth weight</w:t>
            </w:r>
          </w:p>
        </w:tc>
      </w:tr>
      <w:tr w:rsidR="00E43D74" w:rsidRPr="000E48FD" w14:paraId="5F65F475" w14:textId="77777777" w:rsidTr="00E43D74">
        <w:trPr>
          <w:trHeight w:val="516"/>
        </w:trPr>
        <w:tc>
          <w:tcPr>
            <w:tcW w:w="1832" w:type="dxa"/>
            <w:noWrap/>
            <w:hideMark/>
          </w:tcPr>
          <w:p w14:paraId="3602AA7E"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LL</w:t>
            </w:r>
          </w:p>
        </w:tc>
        <w:tc>
          <w:tcPr>
            <w:tcW w:w="6888" w:type="dxa"/>
            <w:noWrap/>
            <w:hideMark/>
          </w:tcPr>
          <w:p w14:paraId="1F5372C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Lower limit</w:t>
            </w:r>
          </w:p>
        </w:tc>
      </w:tr>
      <w:tr w:rsidR="00E43D74" w:rsidRPr="000E48FD" w14:paraId="440E0A5F" w14:textId="77777777" w:rsidTr="00E43D74">
        <w:trPr>
          <w:trHeight w:val="516"/>
        </w:trPr>
        <w:tc>
          <w:tcPr>
            <w:tcW w:w="1832" w:type="dxa"/>
            <w:noWrap/>
            <w:hideMark/>
          </w:tcPr>
          <w:p w14:paraId="65601BFF" w14:textId="7CD8638D"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MCM</w:t>
            </w:r>
          </w:p>
        </w:tc>
        <w:tc>
          <w:tcPr>
            <w:tcW w:w="6888" w:type="dxa"/>
            <w:noWrap/>
            <w:hideMark/>
          </w:tcPr>
          <w:p w14:paraId="331EEA44" w14:textId="15DE9851"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M</w:t>
            </w:r>
            <w:r w:rsidRPr="009253CF">
              <w:rPr>
                <w:rFonts w:asciiTheme="minorHAnsi" w:eastAsia="Times New Roman" w:hAnsiTheme="minorHAnsi" w:cs="Calibri"/>
                <w:color w:val="000000"/>
              </w:rPr>
              <w:t>ajor congenital malformation</w:t>
            </w:r>
          </w:p>
        </w:tc>
      </w:tr>
      <w:tr w:rsidR="00E43D74" w:rsidRPr="000E48FD" w14:paraId="1F2BFC70" w14:textId="77777777" w:rsidTr="00E43D74">
        <w:trPr>
          <w:trHeight w:val="516"/>
        </w:trPr>
        <w:tc>
          <w:tcPr>
            <w:tcW w:w="1832" w:type="dxa"/>
            <w:noWrap/>
            <w:hideMark/>
          </w:tcPr>
          <w:p w14:paraId="69B0A5EB" w14:textId="49486E62"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NA</w:t>
            </w:r>
          </w:p>
        </w:tc>
        <w:tc>
          <w:tcPr>
            <w:tcW w:w="6888" w:type="dxa"/>
            <w:noWrap/>
            <w:hideMark/>
          </w:tcPr>
          <w:p w14:paraId="38DA062F"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Not applicable</w:t>
            </w:r>
          </w:p>
        </w:tc>
      </w:tr>
      <w:tr w:rsidR="00E43D74" w:rsidRPr="000E48FD" w14:paraId="12406D6B" w14:textId="77777777" w:rsidTr="00E43D74">
        <w:trPr>
          <w:trHeight w:val="516"/>
        </w:trPr>
        <w:tc>
          <w:tcPr>
            <w:tcW w:w="1832" w:type="dxa"/>
            <w:noWrap/>
            <w:hideMark/>
          </w:tcPr>
          <w:p w14:paraId="75801379" w14:textId="6C2C9A42"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NE</w:t>
            </w:r>
          </w:p>
        </w:tc>
        <w:tc>
          <w:tcPr>
            <w:tcW w:w="6888" w:type="dxa"/>
            <w:noWrap/>
            <w:hideMark/>
          </w:tcPr>
          <w:p w14:paraId="4D781167"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Not evaluable</w:t>
            </w:r>
          </w:p>
        </w:tc>
      </w:tr>
      <w:tr w:rsidR="00E43D74" w:rsidRPr="000E48FD" w14:paraId="190C22F7" w14:textId="77777777" w:rsidTr="00E43D74">
        <w:trPr>
          <w:trHeight w:val="516"/>
        </w:trPr>
        <w:tc>
          <w:tcPr>
            <w:tcW w:w="1832" w:type="dxa"/>
            <w:noWrap/>
            <w:hideMark/>
          </w:tcPr>
          <w:p w14:paraId="4CB262E9"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NA</w:t>
            </w:r>
          </w:p>
        </w:tc>
        <w:tc>
          <w:tcPr>
            <w:tcW w:w="6888" w:type="dxa"/>
            <w:noWrap/>
            <w:hideMark/>
          </w:tcPr>
          <w:p w14:paraId="72895198"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N</w:t>
            </w:r>
            <w:r w:rsidRPr="009253CF">
              <w:rPr>
                <w:rFonts w:asciiTheme="minorHAnsi" w:eastAsia="Times New Roman" w:hAnsiTheme="minorHAnsi" w:cs="Calibri"/>
                <w:color w:val="000000"/>
              </w:rPr>
              <w:t>euraminidase</w:t>
            </w:r>
          </w:p>
        </w:tc>
      </w:tr>
      <w:tr w:rsidR="00E43D74" w:rsidRPr="000E48FD" w14:paraId="7D7A763E" w14:textId="77777777" w:rsidTr="00E43D74">
        <w:trPr>
          <w:trHeight w:val="516"/>
        </w:trPr>
        <w:tc>
          <w:tcPr>
            <w:tcW w:w="1832" w:type="dxa"/>
            <w:noWrap/>
            <w:hideMark/>
          </w:tcPr>
          <w:p w14:paraId="01A62331" w14:textId="77777777" w:rsidR="00E43D74" w:rsidRPr="009253CF" w:rsidRDefault="00E43D74" w:rsidP="009253CF">
            <w:pPr>
              <w:rPr>
                <w:rFonts w:asciiTheme="minorHAnsi" w:eastAsia="Times New Roman" w:hAnsiTheme="minorHAnsi" w:cs="Calibri"/>
                <w:color w:val="000000"/>
              </w:rPr>
            </w:pPr>
            <w:r w:rsidRPr="009253CF">
              <w:rPr>
                <w:rFonts w:asciiTheme="minorHAnsi" w:hAnsiTheme="minorHAnsi"/>
              </w:rPr>
              <w:t>NH</w:t>
            </w:r>
          </w:p>
        </w:tc>
        <w:tc>
          <w:tcPr>
            <w:tcW w:w="6888" w:type="dxa"/>
            <w:noWrap/>
            <w:hideMark/>
          </w:tcPr>
          <w:p w14:paraId="5DA0D0E3" w14:textId="32D6ACF1" w:rsidR="00E43D74" w:rsidRPr="009253CF" w:rsidRDefault="00E43D74" w:rsidP="009253CF">
            <w:pPr>
              <w:rPr>
                <w:rFonts w:asciiTheme="minorHAnsi" w:eastAsia="Times New Roman" w:hAnsiTheme="minorHAnsi" w:cs="Calibri"/>
                <w:color w:val="000000"/>
              </w:rPr>
            </w:pPr>
            <w:r>
              <w:rPr>
                <w:rFonts w:asciiTheme="minorHAnsi" w:hAnsiTheme="minorHAnsi"/>
              </w:rPr>
              <w:t>N</w:t>
            </w:r>
            <w:r w:rsidRPr="009253CF">
              <w:rPr>
                <w:rFonts w:asciiTheme="minorHAnsi" w:hAnsiTheme="minorHAnsi"/>
              </w:rPr>
              <w:t xml:space="preserve">orthern </w:t>
            </w:r>
            <w:r w:rsidR="00B92C4F">
              <w:rPr>
                <w:rFonts w:asciiTheme="minorHAnsi" w:hAnsiTheme="minorHAnsi"/>
              </w:rPr>
              <w:t>H</w:t>
            </w:r>
            <w:r w:rsidRPr="009253CF">
              <w:rPr>
                <w:rFonts w:asciiTheme="minorHAnsi" w:hAnsiTheme="minorHAnsi"/>
              </w:rPr>
              <w:t>emisphere</w:t>
            </w:r>
          </w:p>
        </w:tc>
      </w:tr>
      <w:tr w:rsidR="00E43D74" w:rsidRPr="000E48FD" w14:paraId="47B9B1C2" w14:textId="77777777" w:rsidTr="00E43D74">
        <w:trPr>
          <w:trHeight w:val="516"/>
        </w:trPr>
        <w:tc>
          <w:tcPr>
            <w:tcW w:w="1832" w:type="dxa"/>
            <w:noWrap/>
            <w:hideMark/>
          </w:tcPr>
          <w:p w14:paraId="5E1735C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OMCL</w:t>
            </w:r>
          </w:p>
        </w:tc>
        <w:tc>
          <w:tcPr>
            <w:tcW w:w="6888" w:type="dxa"/>
            <w:noWrap/>
            <w:hideMark/>
          </w:tcPr>
          <w:p w14:paraId="3B7662D1" w14:textId="77777777" w:rsidR="00E43D74" w:rsidRPr="009253CF" w:rsidRDefault="00E43D74" w:rsidP="009253CF">
            <w:pPr>
              <w:rPr>
                <w:rFonts w:asciiTheme="minorHAnsi" w:eastAsia="Times New Roman" w:hAnsiTheme="minorHAnsi" w:cs="Calibri"/>
                <w:color w:val="4D5156"/>
              </w:rPr>
            </w:pPr>
            <w:r>
              <w:rPr>
                <w:rFonts w:asciiTheme="minorHAnsi" w:eastAsia="Times New Roman" w:hAnsiTheme="minorHAnsi" w:cs="Calibri"/>
                <w:color w:val="auto"/>
              </w:rPr>
              <w:t>O</w:t>
            </w:r>
            <w:r w:rsidRPr="00E43D74">
              <w:rPr>
                <w:rFonts w:asciiTheme="minorHAnsi" w:eastAsia="Times New Roman" w:hAnsiTheme="minorHAnsi" w:cs="Calibri"/>
                <w:color w:val="auto"/>
              </w:rPr>
              <w:t>fficial medicines control laboratory</w:t>
            </w:r>
          </w:p>
        </w:tc>
      </w:tr>
      <w:tr w:rsidR="00E43D74" w:rsidRPr="000E48FD" w14:paraId="1F43924B" w14:textId="77777777" w:rsidTr="00E43D74">
        <w:trPr>
          <w:trHeight w:val="516"/>
        </w:trPr>
        <w:tc>
          <w:tcPr>
            <w:tcW w:w="1832" w:type="dxa"/>
            <w:noWrap/>
          </w:tcPr>
          <w:p w14:paraId="39E54468" w14:textId="77777777" w:rsidR="00E43D74" w:rsidRPr="009253CF" w:rsidRDefault="00E43D74" w:rsidP="009253CF">
            <w:pPr>
              <w:rPr>
                <w:rFonts w:asciiTheme="minorHAnsi" w:hAnsiTheme="minorHAnsi"/>
              </w:rPr>
            </w:pPr>
            <w:r w:rsidRPr="009253CF">
              <w:rPr>
                <w:rFonts w:asciiTheme="minorHAnsi" w:hAnsiTheme="minorHAnsi"/>
                <w:szCs w:val="22"/>
              </w:rPr>
              <w:t>PI</w:t>
            </w:r>
          </w:p>
        </w:tc>
        <w:tc>
          <w:tcPr>
            <w:tcW w:w="6888" w:type="dxa"/>
            <w:noWrap/>
          </w:tcPr>
          <w:p w14:paraId="2B7E16F5" w14:textId="77777777" w:rsidR="00E43D74" w:rsidRPr="009253CF" w:rsidRDefault="00E43D74" w:rsidP="009253CF">
            <w:pPr>
              <w:rPr>
                <w:rFonts w:asciiTheme="minorHAnsi" w:hAnsiTheme="minorHAnsi"/>
              </w:rPr>
            </w:pPr>
            <w:r>
              <w:rPr>
                <w:rFonts w:asciiTheme="minorHAnsi" w:hAnsiTheme="minorHAnsi"/>
              </w:rPr>
              <w:t>Product Information</w:t>
            </w:r>
          </w:p>
        </w:tc>
      </w:tr>
      <w:tr w:rsidR="00E43D74" w:rsidRPr="000E48FD" w14:paraId="2DD62F39" w14:textId="77777777" w:rsidTr="00E43D74">
        <w:trPr>
          <w:trHeight w:val="516"/>
        </w:trPr>
        <w:tc>
          <w:tcPr>
            <w:tcW w:w="1832" w:type="dxa"/>
            <w:noWrap/>
            <w:hideMark/>
          </w:tcPr>
          <w:p w14:paraId="7E50003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PP</w:t>
            </w:r>
          </w:p>
        </w:tc>
        <w:tc>
          <w:tcPr>
            <w:tcW w:w="6888" w:type="dxa"/>
            <w:noWrap/>
            <w:hideMark/>
          </w:tcPr>
          <w:p w14:paraId="5E24337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Per protocol</w:t>
            </w:r>
          </w:p>
        </w:tc>
      </w:tr>
      <w:tr w:rsidR="00E43D74" w:rsidRPr="000E48FD" w14:paraId="14BA52A6" w14:textId="77777777" w:rsidTr="00E43D74">
        <w:trPr>
          <w:trHeight w:val="516"/>
        </w:trPr>
        <w:tc>
          <w:tcPr>
            <w:tcW w:w="1832" w:type="dxa"/>
            <w:noWrap/>
            <w:hideMark/>
          </w:tcPr>
          <w:p w14:paraId="0CDE67E4"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QC</w:t>
            </w:r>
          </w:p>
        </w:tc>
        <w:tc>
          <w:tcPr>
            <w:tcW w:w="6888" w:type="dxa"/>
            <w:noWrap/>
            <w:hideMark/>
          </w:tcPr>
          <w:p w14:paraId="4B44428F"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Quality control</w:t>
            </w:r>
          </w:p>
        </w:tc>
      </w:tr>
      <w:tr w:rsidR="00E43D74" w:rsidRPr="000E48FD" w14:paraId="58C6D22B" w14:textId="77777777" w:rsidTr="00E43D74">
        <w:trPr>
          <w:trHeight w:val="516"/>
        </w:trPr>
        <w:tc>
          <w:tcPr>
            <w:tcW w:w="1832" w:type="dxa"/>
            <w:noWrap/>
            <w:hideMark/>
          </w:tcPr>
          <w:p w14:paraId="4B0176F5"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QIVc</w:t>
            </w:r>
          </w:p>
        </w:tc>
        <w:tc>
          <w:tcPr>
            <w:tcW w:w="6888" w:type="dxa"/>
            <w:noWrap/>
            <w:hideMark/>
          </w:tcPr>
          <w:p w14:paraId="123D67E1" w14:textId="7777777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C</w:t>
            </w:r>
            <w:r w:rsidRPr="009253CF">
              <w:rPr>
                <w:rFonts w:asciiTheme="minorHAnsi" w:eastAsia="Times New Roman" w:hAnsiTheme="minorHAnsi" w:cs="Calibri"/>
                <w:color w:val="000000"/>
              </w:rPr>
              <w:t>ell culture</w:t>
            </w:r>
            <w:r>
              <w:rPr>
                <w:rFonts w:asciiTheme="minorHAnsi" w:eastAsia="Times New Roman" w:hAnsiTheme="minorHAnsi" w:cs="Calibri"/>
                <w:color w:val="000000"/>
              </w:rPr>
              <w:t xml:space="preserve"> derived quadrivalent influenza </w:t>
            </w:r>
            <w:r w:rsidRPr="009253CF">
              <w:rPr>
                <w:rFonts w:asciiTheme="minorHAnsi" w:eastAsia="Times New Roman" w:hAnsiTheme="minorHAnsi" w:cs="Calibri"/>
                <w:color w:val="000000"/>
              </w:rPr>
              <w:t>vaccine</w:t>
            </w:r>
          </w:p>
        </w:tc>
      </w:tr>
      <w:tr w:rsidR="00E43D74" w:rsidRPr="000E48FD" w14:paraId="5AA677B9" w14:textId="77777777" w:rsidTr="00E43D74">
        <w:trPr>
          <w:trHeight w:val="516"/>
        </w:trPr>
        <w:tc>
          <w:tcPr>
            <w:tcW w:w="1832" w:type="dxa"/>
            <w:noWrap/>
            <w:hideMark/>
          </w:tcPr>
          <w:p w14:paraId="5E7994A2"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RMP</w:t>
            </w:r>
          </w:p>
        </w:tc>
        <w:tc>
          <w:tcPr>
            <w:tcW w:w="6888" w:type="dxa"/>
            <w:noWrap/>
            <w:hideMark/>
          </w:tcPr>
          <w:p w14:paraId="794802F5"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Risk management plan</w:t>
            </w:r>
          </w:p>
        </w:tc>
      </w:tr>
      <w:tr w:rsidR="00E43D74" w:rsidRPr="000E48FD" w14:paraId="6A09EF0E" w14:textId="77777777" w:rsidTr="00E43D74">
        <w:trPr>
          <w:trHeight w:val="516"/>
        </w:trPr>
        <w:tc>
          <w:tcPr>
            <w:tcW w:w="1832" w:type="dxa"/>
            <w:noWrap/>
            <w:hideMark/>
          </w:tcPr>
          <w:p w14:paraId="3F4BE4D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SAC</w:t>
            </w:r>
          </w:p>
        </w:tc>
        <w:tc>
          <w:tcPr>
            <w:tcW w:w="6888" w:type="dxa"/>
            <w:noWrap/>
            <w:hideMark/>
          </w:tcPr>
          <w:p w14:paraId="5D964CB7" w14:textId="3FE3A22E"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 xml:space="preserve">Scientific </w:t>
            </w:r>
            <w:r w:rsidR="00B92C4F">
              <w:rPr>
                <w:rFonts w:asciiTheme="minorHAnsi" w:eastAsia="Times New Roman" w:hAnsiTheme="minorHAnsi" w:cs="Calibri"/>
                <w:color w:val="000000"/>
              </w:rPr>
              <w:t>A</w:t>
            </w:r>
            <w:r w:rsidRPr="009253CF">
              <w:rPr>
                <w:rFonts w:asciiTheme="minorHAnsi" w:eastAsia="Times New Roman" w:hAnsiTheme="minorHAnsi" w:cs="Calibri"/>
                <w:color w:val="000000"/>
              </w:rPr>
              <w:t xml:space="preserve">dvisory </w:t>
            </w:r>
            <w:r w:rsidR="00B92C4F">
              <w:rPr>
                <w:rFonts w:asciiTheme="minorHAnsi" w:eastAsia="Times New Roman" w:hAnsiTheme="minorHAnsi" w:cs="Calibri"/>
                <w:color w:val="000000"/>
              </w:rPr>
              <w:t>C</w:t>
            </w:r>
            <w:r w:rsidRPr="009253CF">
              <w:rPr>
                <w:rFonts w:asciiTheme="minorHAnsi" w:eastAsia="Times New Roman" w:hAnsiTheme="minorHAnsi" w:cs="Calibri"/>
                <w:color w:val="000000"/>
              </w:rPr>
              <w:t>ommittee</w:t>
            </w:r>
          </w:p>
        </w:tc>
      </w:tr>
      <w:tr w:rsidR="00E43D74" w:rsidRPr="000E48FD" w14:paraId="3371F9AC" w14:textId="77777777" w:rsidTr="00E43D74">
        <w:trPr>
          <w:trHeight w:val="516"/>
        </w:trPr>
        <w:tc>
          <w:tcPr>
            <w:tcW w:w="1832" w:type="dxa"/>
            <w:noWrap/>
            <w:hideMark/>
          </w:tcPr>
          <w:p w14:paraId="1A24DF7A"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SAE</w:t>
            </w:r>
          </w:p>
        </w:tc>
        <w:tc>
          <w:tcPr>
            <w:tcW w:w="6888" w:type="dxa"/>
            <w:noWrap/>
            <w:hideMark/>
          </w:tcPr>
          <w:p w14:paraId="139E1AAC" w14:textId="5B9657F7" w:rsidR="00E43D74" w:rsidRPr="009253CF" w:rsidRDefault="00B92C4F" w:rsidP="009253CF">
            <w:pPr>
              <w:rPr>
                <w:rFonts w:asciiTheme="minorHAnsi" w:eastAsia="Times New Roman" w:hAnsiTheme="minorHAnsi" w:cs="Calibri"/>
                <w:color w:val="000000"/>
              </w:rPr>
            </w:pPr>
            <w:r>
              <w:rPr>
                <w:rFonts w:asciiTheme="minorHAnsi" w:eastAsia="Times New Roman" w:hAnsiTheme="minorHAnsi" w:cs="Calibri"/>
                <w:color w:val="000000"/>
              </w:rPr>
              <w:t>S</w:t>
            </w:r>
            <w:r w:rsidR="00E43D74" w:rsidRPr="009253CF">
              <w:rPr>
                <w:rFonts w:asciiTheme="minorHAnsi" w:eastAsia="Times New Roman" w:hAnsiTheme="minorHAnsi" w:cs="Calibri"/>
                <w:color w:val="000000"/>
              </w:rPr>
              <w:t>erious adverse event</w:t>
            </w:r>
          </w:p>
        </w:tc>
      </w:tr>
      <w:tr w:rsidR="00E43D74" w:rsidRPr="000E48FD" w14:paraId="370E5C83" w14:textId="77777777" w:rsidTr="00E43D74">
        <w:trPr>
          <w:trHeight w:val="516"/>
        </w:trPr>
        <w:tc>
          <w:tcPr>
            <w:tcW w:w="1832" w:type="dxa"/>
            <w:noWrap/>
            <w:hideMark/>
          </w:tcPr>
          <w:p w14:paraId="36841660"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SH</w:t>
            </w:r>
          </w:p>
        </w:tc>
        <w:tc>
          <w:tcPr>
            <w:tcW w:w="6888" w:type="dxa"/>
            <w:noWrap/>
            <w:hideMark/>
          </w:tcPr>
          <w:p w14:paraId="045B2105" w14:textId="764BAFF7"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S</w:t>
            </w:r>
            <w:r w:rsidRPr="009253CF">
              <w:rPr>
                <w:rFonts w:asciiTheme="minorHAnsi" w:eastAsia="Times New Roman" w:hAnsiTheme="minorHAnsi" w:cs="Calibri"/>
                <w:color w:val="000000"/>
              </w:rPr>
              <w:t xml:space="preserve">outhern </w:t>
            </w:r>
            <w:r w:rsidR="00B92C4F">
              <w:rPr>
                <w:rFonts w:asciiTheme="minorHAnsi" w:eastAsia="Times New Roman" w:hAnsiTheme="minorHAnsi" w:cs="Calibri"/>
                <w:color w:val="000000"/>
              </w:rPr>
              <w:t>H</w:t>
            </w:r>
            <w:r w:rsidRPr="009253CF">
              <w:rPr>
                <w:rFonts w:asciiTheme="minorHAnsi" w:eastAsia="Times New Roman" w:hAnsiTheme="minorHAnsi" w:cs="Calibri"/>
                <w:color w:val="000000"/>
              </w:rPr>
              <w:t>emisphere</w:t>
            </w:r>
          </w:p>
        </w:tc>
      </w:tr>
      <w:tr w:rsidR="00E43D74" w:rsidRPr="000E48FD" w14:paraId="5C4E4F89" w14:textId="77777777" w:rsidTr="00E43D74">
        <w:trPr>
          <w:trHeight w:val="516"/>
        </w:trPr>
        <w:tc>
          <w:tcPr>
            <w:tcW w:w="1832" w:type="dxa"/>
            <w:noWrap/>
          </w:tcPr>
          <w:p w14:paraId="3CFFE10F" w14:textId="77777777" w:rsidR="00E43D74" w:rsidRPr="009253CF" w:rsidRDefault="00E43D74" w:rsidP="009253CF">
            <w:pPr>
              <w:rPr>
                <w:rFonts w:asciiTheme="minorHAnsi" w:hAnsiTheme="minorHAnsi"/>
              </w:rPr>
            </w:pPr>
            <w:r w:rsidRPr="005E40FD">
              <w:rPr>
                <w:rFonts w:asciiTheme="minorHAnsi" w:eastAsia="Times New Roman" w:hAnsiTheme="minorHAnsi"/>
                <w:color w:val="000000"/>
                <w:szCs w:val="22"/>
              </w:rPr>
              <w:t>TGA</w:t>
            </w:r>
          </w:p>
        </w:tc>
        <w:tc>
          <w:tcPr>
            <w:tcW w:w="6888" w:type="dxa"/>
            <w:noWrap/>
          </w:tcPr>
          <w:p w14:paraId="3F69E3A0" w14:textId="77777777" w:rsidR="00E43D74" w:rsidRPr="009253CF" w:rsidRDefault="00E43D74" w:rsidP="009253CF">
            <w:pPr>
              <w:rPr>
                <w:rFonts w:asciiTheme="minorHAnsi" w:hAnsiTheme="minorHAnsi"/>
              </w:rPr>
            </w:pPr>
            <w:r>
              <w:rPr>
                <w:rFonts w:asciiTheme="minorHAnsi" w:eastAsia="Times New Roman" w:hAnsiTheme="minorHAnsi"/>
                <w:color w:val="000000"/>
                <w:szCs w:val="22"/>
              </w:rPr>
              <w:t>Therapeutic Goods Administration</w:t>
            </w:r>
          </w:p>
        </w:tc>
      </w:tr>
      <w:tr w:rsidR="00E43D74" w:rsidRPr="000E48FD" w14:paraId="7509C6CA" w14:textId="77777777" w:rsidTr="00E43D74">
        <w:trPr>
          <w:trHeight w:val="516"/>
        </w:trPr>
        <w:tc>
          <w:tcPr>
            <w:tcW w:w="1832" w:type="dxa"/>
            <w:noWrap/>
            <w:hideMark/>
          </w:tcPr>
          <w:p w14:paraId="434E0F8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TIVc</w:t>
            </w:r>
          </w:p>
        </w:tc>
        <w:tc>
          <w:tcPr>
            <w:tcW w:w="6888" w:type="dxa"/>
            <w:noWrap/>
            <w:hideMark/>
          </w:tcPr>
          <w:p w14:paraId="24B5FF24" w14:textId="52B03999"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C</w:t>
            </w:r>
            <w:r w:rsidRPr="009253CF">
              <w:rPr>
                <w:rFonts w:asciiTheme="minorHAnsi" w:eastAsia="Times New Roman" w:hAnsiTheme="minorHAnsi" w:cs="Calibri"/>
                <w:color w:val="000000"/>
              </w:rPr>
              <w:t xml:space="preserve">ell culture derived trivalent </w:t>
            </w:r>
            <w:r w:rsidR="00B92C4F">
              <w:rPr>
                <w:rFonts w:asciiTheme="minorHAnsi" w:eastAsia="Times New Roman" w:hAnsiTheme="minorHAnsi" w:cs="Calibri"/>
                <w:color w:val="000000"/>
              </w:rPr>
              <w:t xml:space="preserve">influenza </w:t>
            </w:r>
            <w:r w:rsidRPr="009253CF">
              <w:rPr>
                <w:rFonts w:asciiTheme="minorHAnsi" w:eastAsia="Times New Roman" w:hAnsiTheme="minorHAnsi" w:cs="Calibri"/>
                <w:color w:val="000000"/>
              </w:rPr>
              <w:t>vaccine</w:t>
            </w:r>
          </w:p>
        </w:tc>
      </w:tr>
      <w:tr w:rsidR="00E43D74" w:rsidRPr="000E48FD" w14:paraId="66A5D3C9" w14:textId="77777777" w:rsidTr="00E43D74">
        <w:trPr>
          <w:trHeight w:val="516"/>
        </w:trPr>
        <w:tc>
          <w:tcPr>
            <w:tcW w:w="1832" w:type="dxa"/>
            <w:noWrap/>
            <w:hideMark/>
          </w:tcPr>
          <w:p w14:paraId="131C34DD"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TIVeA</w:t>
            </w:r>
          </w:p>
        </w:tc>
        <w:tc>
          <w:tcPr>
            <w:tcW w:w="6888" w:type="dxa"/>
            <w:noWrap/>
            <w:hideMark/>
          </w:tcPr>
          <w:p w14:paraId="3C24B0F7" w14:textId="0F6D1E72" w:rsidR="00E43D74" w:rsidRPr="009253CF" w:rsidRDefault="00E43D74" w:rsidP="009253CF">
            <w:pPr>
              <w:rPr>
                <w:rFonts w:asciiTheme="minorHAnsi" w:eastAsia="Times New Roman" w:hAnsiTheme="minorHAnsi" w:cs="Calibri"/>
                <w:color w:val="000000"/>
              </w:rPr>
            </w:pPr>
            <w:r>
              <w:rPr>
                <w:rFonts w:asciiTheme="minorHAnsi" w:eastAsia="Times New Roman" w:hAnsiTheme="minorHAnsi" w:cs="Calibri"/>
                <w:color w:val="000000"/>
              </w:rPr>
              <w:t>E</w:t>
            </w:r>
            <w:r w:rsidRPr="009253CF">
              <w:rPr>
                <w:rFonts w:asciiTheme="minorHAnsi" w:eastAsia="Times New Roman" w:hAnsiTheme="minorHAnsi" w:cs="Calibri"/>
                <w:color w:val="000000"/>
              </w:rPr>
              <w:t xml:space="preserve">gg derived trivalent </w:t>
            </w:r>
            <w:r w:rsidR="00B92C4F">
              <w:rPr>
                <w:rFonts w:asciiTheme="minorHAnsi" w:eastAsia="Times New Roman" w:hAnsiTheme="minorHAnsi" w:cs="Calibri"/>
                <w:color w:val="000000"/>
              </w:rPr>
              <w:t xml:space="preserve">influenza </w:t>
            </w:r>
            <w:r w:rsidRPr="009253CF">
              <w:rPr>
                <w:rFonts w:asciiTheme="minorHAnsi" w:eastAsia="Times New Roman" w:hAnsiTheme="minorHAnsi" w:cs="Calibri"/>
                <w:color w:val="000000"/>
              </w:rPr>
              <w:t>vaccine</w:t>
            </w:r>
          </w:p>
        </w:tc>
      </w:tr>
      <w:tr w:rsidR="00E43D74" w:rsidRPr="000E48FD" w14:paraId="39185049" w14:textId="77777777" w:rsidTr="00E43D74">
        <w:trPr>
          <w:trHeight w:val="516"/>
        </w:trPr>
        <w:tc>
          <w:tcPr>
            <w:tcW w:w="1832" w:type="dxa"/>
            <w:noWrap/>
            <w:hideMark/>
          </w:tcPr>
          <w:p w14:paraId="02BAC0FB"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US(A)</w:t>
            </w:r>
          </w:p>
        </w:tc>
        <w:tc>
          <w:tcPr>
            <w:tcW w:w="6888" w:type="dxa"/>
            <w:noWrap/>
            <w:hideMark/>
          </w:tcPr>
          <w:p w14:paraId="518A136E"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 xml:space="preserve">United States </w:t>
            </w:r>
            <w:r>
              <w:rPr>
                <w:rFonts w:asciiTheme="minorHAnsi" w:eastAsia="Times New Roman" w:hAnsiTheme="minorHAnsi" w:cs="Calibri"/>
                <w:color w:val="000000"/>
              </w:rPr>
              <w:t>(</w:t>
            </w:r>
            <w:r w:rsidRPr="009253CF">
              <w:rPr>
                <w:rFonts w:asciiTheme="minorHAnsi" w:eastAsia="Times New Roman" w:hAnsiTheme="minorHAnsi" w:cs="Calibri"/>
                <w:color w:val="000000"/>
              </w:rPr>
              <w:t>of America</w:t>
            </w:r>
            <w:r>
              <w:rPr>
                <w:rFonts w:asciiTheme="minorHAnsi" w:eastAsia="Times New Roman" w:hAnsiTheme="minorHAnsi" w:cs="Calibri"/>
                <w:color w:val="000000"/>
              </w:rPr>
              <w:t>)</w:t>
            </w:r>
          </w:p>
        </w:tc>
      </w:tr>
      <w:tr w:rsidR="00E43D74" w:rsidRPr="000E48FD" w14:paraId="341004C2" w14:textId="77777777" w:rsidTr="00E43D74">
        <w:trPr>
          <w:trHeight w:val="516"/>
        </w:trPr>
        <w:tc>
          <w:tcPr>
            <w:tcW w:w="1832" w:type="dxa"/>
            <w:noWrap/>
            <w:hideMark/>
          </w:tcPr>
          <w:p w14:paraId="74CCCB85"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VE</w:t>
            </w:r>
          </w:p>
        </w:tc>
        <w:tc>
          <w:tcPr>
            <w:tcW w:w="6888" w:type="dxa"/>
            <w:noWrap/>
            <w:hideMark/>
          </w:tcPr>
          <w:p w14:paraId="6FA8A6B3" w14:textId="77777777"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Vaccine efficacy</w:t>
            </w:r>
          </w:p>
        </w:tc>
      </w:tr>
      <w:tr w:rsidR="00E43D74" w:rsidRPr="000E48FD" w14:paraId="25145698" w14:textId="77777777" w:rsidTr="00E43D74">
        <w:trPr>
          <w:trHeight w:val="516"/>
        </w:trPr>
        <w:tc>
          <w:tcPr>
            <w:tcW w:w="1832" w:type="dxa"/>
            <w:noWrap/>
            <w:hideMark/>
          </w:tcPr>
          <w:p w14:paraId="65935752" w14:textId="031FD928"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WHO</w:t>
            </w:r>
          </w:p>
        </w:tc>
        <w:tc>
          <w:tcPr>
            <w:tcW w:w="6888" w:type="dxa"/>
            <w:noWrap/>
            <w:hideMark/>
          </w:tcPr>
          <w:p w14:paraId="6089E49D" w14:textId="514E9E19" w:rsidR="00E43D74" w:rsidRPr="009253CF" w:rsidRDefault="00E43D74" w:rsidP="009253CF">
            <w:pPr>
              <w:rPr>
                <w:rFonts w:asciiTheme="minorHAnsi" w:eastAsia="Times New Roman" w:hAnsiTheme="minorHAnsi" w:cs="Calibri"/>
                <w:color w:val="000000"/>
              </w:rPr>
            </w:pPr>
            <w:r w:rsidRPr="009253CF">
              <w:rPr>
                <w:rFonts w:asciiTheme="minorHAnsi" w:eastAsia="Times New Roman" w:hAnsiTheme="minorHAnsi" w:cs="Calibri"/>
                <w:color w:val="000000"/>
              </w:rPr>
              <w:t>World Health Organi</w:t>
            </w:r>
            <w:r w:rsidR="00B92C4F">
              <w:rPr>
                <w:rFonts w:asciiTheme="minorHAnsi" w:eastAsia="Times New Roman" w:hAnsiTheme="minorHAnsi" w:cs="Calibri"/>
                <w:color w:val="000000"/>
              </w:rPr>
              <w:t>z</w:t>
            </w:r>
            <w:r w:rsidRPr="009253CF">
              <w:rPr>
                <w:rFonts w:asciiTheme="minorHAnsi" w:eastAsia="Times New Roman" w:hAnsiTheme="minorHAnsi" w:cs="Calibri"/>
                <w:color w:val="000000"/>
              </w:rPr>
              <w:t>ation</w:t>
            </w:r>
          </w:p>
        </w:tc>
      </w:tr>
    </w:tbl>
    <w:p w14:paraId="2F83CAF1" w14:textId="77777777" w:rsidR="008E7846" w:rsidRDefault="00F53C07" w:rsidP="007B06E1">
      <w:pPr>
        <w:pStyle w:val="Heading2"/>
        <w:pageBreakBefore/>
      </w:pPr>
      <w:bookmarkStart w:id="9" w:name="_Toc59112162"/>
      <w:r>
        <w:t>I.</w:t>
      </w:r>
      <w:r w:rsidR="008E7846">
        <w:t xml:space="preserve"> Introduction to product submission</w:t>
      </w:r>
      <w:bookmarkEnd w:id="9"/>
      <w:bookmarkEnd w:id="3"/>
      <w:bookmarkEnd w:id="1"/>
    </w:p>
    <w:p w14:paraId="6E0D5C03" w14:textId="77777777" w:rsidR="008E7846" w:rsidRDefault="008E7846" w:rsidP="008E7846">
      <w:pPr>
        <w:pStyle w:val="Heading3"/>
        <w:rPr>
          <w:lang w:eastAsia="en-AU"/>
        </w:rPr>
      </w:pPr>
      <w:bookmarkStart w:id="10" w:name="_Toc247691502"/>
      <w:bookmarkStart w:id="11" w:name="_Toc314842483"/>
      <w:bookmarkStart w:id="12" w:name="_Toc5911216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B23F185" w14:textId="77777777" w:rsidTr="003735BC">
        <w:tc>
          <w:tcPr>
            <w:tcW w:w="2907" w:type="dxa"/>
          </w:tcPr>
          <w:p w14:paraId="118FBE7A"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28B0AA3" w14:textId="17FBF3FB" w:rsidR="008E7846" w:rsidRPr="003D1E62" w:rsidRDefault="008E7846" w:rsidP="00625042">
            <w:r w:rsidRPr="003D1E62">
              <w:t xml:space="preserve">New </w:t>
            </w:r>
            <w:r w:rsidR="00625042">
              <w:t>biological</w:t>
            </w:r>
            <w:r w:rsidRPr="003D1E62">
              <w:t xml:space="preserve"> </w:t>
            </w:r>
            <w:r w:rsidR="001B5C90">
              <w:t>e</w:t>
            </w:r>
            <w:r w:rsidR="00625042">
              <w:t>ntity</w:t>
            </w:r>
          </w:p>
        </w:tc>
      </w:tr>
      <w:tr w:rsidR="00460036" w:rsidRPr="003D1E62" w14:paraId="3F2D1FF0" w14:textId="77777777" w:rsidTr="003735BC">
        <w:tc>
          <w:tcPr>
            <w:tcW w:w="2907" w:type="dxa"/>
          </w:tcPr>
          <w:p w14:paraId="6CF56124" w14:textId="77777777" w:rsidR="00460036" w:rsidRPr="003D1E62" w:rsidRDefault="00625042" w:rsidP="003D1E62">
            <w:pPr>
              <w:rPr>
                <w:i/>
              </w:rPr>
            </w:pPr>
            <w:r>
              <w:rPr>
                <w:i/>
              </w:rPr>
              <w:t>Product name</w:t>
            </w:r>
            <w:r w:rsidR="00460036" w:rsidRPr="00460036">
              <w:rPr>
                <w:i/>
              </w:rPr>
              <w:t>:</w:t>
            </w:r>
          </w:p>
        </w:tc>
        <w:tc>
          <w:tcPr>
            <w:tcW w:w="6307" w:type="dxa"/>
          </w:tcPr>
          <w:p w14:paraId="1C9C9C83" w14:textId="65043346" w:rsidR="00460036" w:rsidRPr="003D1E62" w:rsidRDefault="00625042" w:rsidP="00145EB1">
            <w:r>
              <w:t>Flucelvax</w:t>
            </w:r>
            <w:r w:rsidRPr="00625042">
              <w:t xml:space="preserve"> Quad</w:t>
            </w:r>
            <w:r w:rsidR="00062421">
              <w:t xml:space="preserve"> </w:t>
            </w:r>
          </w:p>
        </w:tc>
      </w:tr>
      <w:tr w:rsidR="00460036" w:rsidRPr="003D1E62" w14:paraId="36B79C79" w14:textId="77777777" w:rsidTr="003735BC">
        <w:tc>
          <w:tcPr>
            <w:tcW w:w="2907" w:type="dxa"/>
          </w:tcPr>
          <w:p w14:paraId="412F0591" w14:textId="77777777" w:rsidR="00460036" w:rsidRPr="003D1E62" w:rsidRDefault="00625042" w:rsidP="003D1E62">
            <w:pPr>
              <w:rPr>
                <w:i/>
              </w:rPr>
            </w:pPr>
            <w:r>
              <w:rPr>
                <w:i/>
              </w:rPr>
              <w:t>Active ingredient</w:t>
            </w:r>
            <w:r w:rsidR="00460036" w:rsidRPr="00460036">
              <w:rPr>
                <w:i/>
              </w:rPr>
              <w:t>:</w:t>
            </w:r>
          </w:p>
        </w:tc>
        <w:tc>
          <w:tcPr>
            <w:tcW w:w="6307" w:type="dxa"/>
          </w:tcPr>
          <w:p w14:paraId="43F55B2D" w14:textId="2993F7E5" w:rsidR="00460036" w:rsidRPr="003D1E62" w:rsidRDefault="00EC2CA5" w:rsidP="001B5C90">
            <w:r>
              <w:t>Influenza virus haemagglutinin</w:t>
            </w:r>
          </w:p>
        </w:tc>
      </w:tr>
      <w:tr w:rsidR="008E7846" w:rsidRPr="003D1E62" w14:paraId="1750328B" w14:textId="77777777" w:rsidTr="003735BC">
        <w:tc>
          <w:tcPr>
            <w:tcW w:w="2907" w:type="dxa"/>
          </w:tcPr>
          <w:p w14:paraId="3CFAA09A" w14:textId="77777777" w:rsidR="008E7846" w:rsidRPr="003D1E62" w:rsidRDefault="008E7846" w:rsidP="003D1E62">
            <w:r w:rsidRPr="003D1E62">
              <w:rPr>
                <w:i/>
              </w:rPr>
              <w:t>Decision</w:t>
            </w:r>
            <w:r w:rsidRPr="003D1E62">
              <w:t>:</w:t>
            </w:r>
          </w:p>
        </w:tc>
        <w:tc>
          <w:tcPr>
            <w:tcW w:w="6307" w:type="dxa"/>
          </w:tcPr>
          <w:p w14:paraId="75F01B32" w14:textId="77777777" w:rsidR="008E7846" w:rsidRPr="003D1E62" w:rsidRDefault="00625042" w:rsidP="00625042">
            <w:r>
              <w:t>Approved</w:t>
            </w:r>
          </w:p>
        </w:tc>
      </w:tr>
      <w:tr w:rsidR="008E7846" w:rsidRPr="003D1E62" w14:paraId="05386FBE" w14:textId="77777777" w:rsidTr="003735BC">
        <w:tc>
          <w:tcPr>
            <w:tcW w:w="2907" w:type="dxa"/>
          </w:tcPr>
          <w:p w14:paraId="7AAFCF3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5AC7CB1" w14:textId="77777777" w:rsidR="008E7846" w:rsidRPr="003D1E62" w:rsidRDefault="00625042" w:rsidP="001B5C90">
            <w:r>
              <w:t>14 August 2020</w:t>
            </w:r>
          </w:p>
        </w:tc>
      </w:tr>
      <w:tr w:rsidR="00ED2922" w:rsidRPr="003D1E62" w14:paraId="74BE8208" w14:textId="77777777" w:rsidTr="003735BC">
        <w:tc>
          <w:tcPr>
            <w:tcW w:w="2907" w:type="dxa"/>
          </w:tcPr>
          <w:p w14:paraId="61236C8A" w14:textId="77777777" w:rsidR="00ED2922" w:rsidRPr="00441C3F" w:rsidRDefault="00ED2922" w:rsidP="001B5C90">
            <w:pPr>
              <w:rPr>
                <w:i/>
              </w:rPr>
            </w:pPr>
            <w:r w:rsidRPr="00441C3F">
              <w:rPr>
                <w:i/>
              </w:rPr>
              <w:t>Date of entry onto ARTG</w:t>
            </w:r>
            <w:r w:rsidR="00500337">
              <w:rPr>
                <w:i/>
              </w:rPr>
              <w:t>:</w:t>
            </w:r>
          </w:p>
        </w:tc>
        <w:tc>
          <w:tcPr>
            <w:tcW w:w="6307" w:type="dxa"/>
          </w:tcPr>
          <w:p w14:paraId="2707E3E5" w14:textId="77777777" w:rsidR="00ED2922" w:rsidRPr="00441C3F" w:rsidRDefault="00625042" w:rsidP="00625042">
            <w:pPr>
              <w:rPr>
                <w:i/>
              </w:rPr>
            </w:pPr>
            <w:r>
              <w:t>1 September 2020</w:t>
            </w:r>
          </w:p>
        </w:tc>
      </w:tr>
      <w:tr w:rsidR="00500337" w:rsidRPr="003D1E62" w14:paraId="78CDBF0B" w14:textId="77777777" w:rsidTr="003735BC">
        <w:tc>
          <w:tcPr>
            <w:tcW w:w="2907" w:type="dxa"/>
          </w:tcPr>
          <w:p w14:paraId="4B8F75CD" w14:textId="1E0EE0FB" w:rsidR="00500337" w:rsidRPr="00441C3F" w:rsidRDefault="00C04FAC" w:rsidP="001B5C90">
            <w:pPr>
              <w:rPr>
                <w:i/>
              </w:rPr>
            </w:pPr>
            <w:r>
              <w:rPr>
                <w:i/>
              </w:rPr>
              <w:t>ARTG numbers</w:t>
            </w:r>
            <w:r w:rsidR="00500337">
              <w:rPr>
                <w:i/>
              </w:rPr>
              <w:t>:</w:t>
            </w:r>
          </w:p>
        </w:tc>
        <w:tc>
          <w:tcPr>
            <w:tcW w:w="6307" w:type="dxa"/>
          </w:tcPr>
          <w:p w14:paraId="59A70DEA" w14:textId="77777777" w:rsidR="00500337" w:rsidRPr="00441C3F" w:rsidRDefault="00625042" w:rsidP="00EC463D">
            <w:r>
              <w:t>341450, 319093</w:t>
            </w:r>
          </w:p>
        </w:tc>
      </w:tr>
      <w:tr w:rsidR="003735BC" w:rsidRPr="003D1E62" w14:paraId="3F469050" w14:textId="77777777" w:rsidTr="003735BC">
        <w:tc>
          <w:tcPr>
            <w:tcW w:w="2907" w:type="dxa"/>
          </w:tcPr>
          <w:p w14:paraId="0826FE90" w14:textId="77777777" w:rsidR="003735BC" w:rsidRDefault="00FA5069" w:rsidP="00625042">
            <w:r>
              <w:rPr>
                <w:rFonts w:ascii="Wingdings 3" w:hAnsi="Wingdings 3"/>
                <w:sz w:val="34"/>
                <w:szCs w:val="34"/>
                <w:lang w:eastAsia="en-AU"/>
              </w:rPr>
              <w:t></w:t>
            </w:r>
            <w:r w:rsidR="003735BC" w:rsidRPr="00625042">
              <w:rPr>
                <w:i/>
              </w:rPr>
              <w:t>Black Triangle Scheme</w:t>
            </w:r>
            <w:r w:rsidR="004C4FBE">
              <w:t>:</w:t>
            </w:r>
            <w:r w:rsidR="00460036">
              <w:rPr>
                <w:rStyle w:val="FootnoteReference"/>
                <w:i/>
              </w:rPr>
              <w:footnoteReference w:id="1"/>
            </w:r>
          </w:p>
        </w:tc>
        <w:tc>
          <w:tcPr>
            <w:tcW w:w="6307" w:type="dxa"/>
          </w:tcPr>
          <w:p w14:paraId="5B008DA3" w14:textId="77777777" w:rsidR="003735BC" w:rsidRPr="00487162" w:rsidRDefault="00625042" w:rsidP="00625042">
            <w:r>
              <w:t>No</w:t>
            </w:r>
          </w:p>
        </w:tc>
      </w:tr>
    </w:tbl>
    <w:p w14:paraId="111B2EB2" w14:textId="77777777" w:rsidR="008E7846" w:rsidRDefault="008E7846" w:rsidP="00625042"/>
    <w:tbl>
      <w:tblPr>
        <w:tblW w:w="9214" w:type="dxa"/>
        <w:tblInd w:w="108" w:type="dxa"/>
        <w:tblLook w:val="01E0" w:firstRow="1" w:lastRow="1" w:firstColumn="1" w:lastColumn="1" w:noHBand="0" w:noVBand="0"/>
      </w:tblPr>
      <w:tblGrid>
        <w:gridCol w:w="2907"/>
        <w:gridCol w:w="6307"/>
      </w:tblGrid>
      <w:tr w:rsidR="008E7846" w:rsidRPr="00487162" w14:paraId="2DDD80AA" w14:textId="77777777" w:rsidTr="00BF1190">
        <w:tc>
          <w:tcPr>
            <w:tcW w:w="2907" w:type="dxa"/>
          </w:tcPr>
          <w:p w14:paraId="5ADB302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5D2A7E0" w14:textId="77777777" w:rsidR="00625042" w:rsidRDefault="00625042" w:rsidP="00625042">
            <w:r>
              <w:t>Seqirus Pty Limited</w:t>
            </w:r>
          </w:p>
          <w:p w14:paraId="58641835" w14:textId="22D38E76" w:rsidR="00E905A0" w:rsidRDefault="00625042" w:rsidP="00625042">
            <w:r>
              <w:t>63 Poplar Road</w:t>
            </w:r>
            <w:r w:rsidR="00E905A0">
              <w:t>,</w:t>
            </w:r>
          </w:p>
          <w:p w14:paraId="1D7F0B34" w14:textId="147BE18B" w:rsidR="008E7846" w:rsidRPr="00487162" w:rsidRDefault="00625042" w:rsidP="00625042">
            <w:r>
              <w:t>Parkville</w:t>
            </w:r>
            <w:r w:rsidR="00E905A0">
              <w:t>,</w:t>
            </w:r>
            <w:r>
              <w:t xml:space="preserve"> VIC</w:t>
            </w:r>
            <w:r w:rsidR="00E905A0">
              <w:t>,</w:t>
            </w:r>
            <w:r>
              <w:t xml:space="preserve"> 3052</w:t>
            </w:r>
          </w:p>
        </w:tc>
      </w:tr>
      <w:tr w:rsidR="008E7846" w:rsidRPr="00487162" w14:paraId="1309E75C" w14:textId="77777777" w:rsidTr="00BF1190">
        <w:tc>
          <w:tcPr>
            <w:tcW w:w="2907" w:type="dxa"/>
          </w:tcPr>
          <w:p w14:paraId="259DCB22" w14:textId="77777777" w:rsidR="008E7846" w:rsidRPr="00487162" w:rsidRDefault="00625042" w:rsidP="00E45619">
            <w:pPr>
              <w:rPr>
                <w:i/>
              </w:rPr>
            </w:pPr>
            <w:r>
              <w:rPr>
                <w:i/>
              </w:rPr>
              <w:t>Dose form</w:t>
            </w:r>
            <w:r w:rsidR="001B5C90">
              <w:rPr>
                <w:i/>
              </w:rPr>
              <w:t>:</w:t>
            </w:r>
          </w:p>
        </w:tc>
        <w:tc>
          <w:tcPr>
            <w:tcW w:w="6307" w:type="dxa"/>
          </w:tcPr>
          <w:p w14:paraId="318694DE" w14:textId="77777777" w:rsidR="008E7846" w:rsidRPr="00487162" w:rsidRDefault="00625042" w:rsidP="00E45619">
            <w:r>
              <w:t xml:space="preserve">Suspension for injection </w:t>
            </w:r>
          </w:p>
        </w:tc>
      </w:tr>
      <w:tr w:rsidR="00FC7E14" w:rsidRPr="00487162" w14:paraId="4DB7AD5F" w14:textId="77777777" w:rsidTr="00BF1190">
        <w:tc>
          <w:tcPr>
            <w:tcW w:w="2907" w:type="dxa"/>
          </w:tcPr>
          <w:p w14:paraId="7DFD7EAC" w14:textId="38CBE938" w:rsidR="00FC7E14" w:rsidRPr="00487162" w:rsidRDefault="00C04FAC" w:rsidP="00FC7E14">
            <w:r>
              <w:rPr>
                <w:i/>
              </w:rPr>
              <w:t>Strength</w:t>
            </w:r>
            <w:r w:rsidR="00FC7E14" w:rsidRPr="00487162">
              <w:t xml:space="preserve">: </w:t>
            </w:r>
          </w:p>
        </w:tc>
        <w:tc>
          <w:tcPr>
            <w:tcW w:w="6307" w:type="dxa"/>
          </w:tcPr>
          <w:p w14:paraId="00F18CEA" w14:textId="77777777" w:rsidR="00FC7E14" w:rsidRPr="007D5239" w:rsidRDefault="00FC7E14" w:rsidP="00FC7E14">
            <w:pPr>
              <w:rPr>
                <w:rFonts w:eastAsia="Calibri"/>
              </w:rPr>
            </w:pPr>
            <w:r w:rsidRPr="007D5239">
              <w:rPr>
                <w:rFonts w:eastAsia="Calibri"/>
              </w:rPr>
              <w:t xml:space="preserve">60 µg </w:t>
            </w:r>
            <w:r w:rsidRPr="004D3014">
              <w:rPr>
                <w:rFonts w:eastAsia="Calibri"/>
              </w:rPr>
              <w:t xml:space="preserve">(15 µg x 4) </w:t>
            </w:r>
            <w:r w:rsidRPr="007D5239">
              <w:rPr>
                <w:rFonts w:eastAsia="Calibri"/>
              </w:rPr>
              <w:t>haemagglutinin/0.5</w:t>
            </w:r>
            <w:r w:rsidRPr="00B74EC2">
              <w:rPr>
                <w:rFonts w:eastAsia="Calibri"/>
              </w:rPr>
              <w:t xml:space="preserve"> </w:t>
            </w:r>
            <w:r w:rsidRPr="007D5239">
              <w:rPr>
                <w:rFonts w:eastAsia="Calibri"/>
              </w:rPr>
              <w:t>mL</w:t>
            </w:r>
          </w:p>
        </w:tc>
      </w:tr>
      <w:tr w:rsidR="00FC7E14" w:rsidRPr="00487162" w14:paraId="1F55ED1D" w14:textId="77777777" w:rsidTr="00BF1190">
        <w:tc>
          <w:tcPr>
            <w:tcW w:w="2907" w:type="dxa"/>
          </w:tcPr>
          <w:p w14:paraId="1A82F07A" w14:textId="77777777" w:rsidR="00FC7E14" w:rsidRPr="00487162" w:rsidRDefault="00FC7E14" w:rsidP="00FC7E14">
            <w:pPr>
              <w:rPr>
                <w:i/>
              </w:rPr>
            </w:pPr>
            <w:r>
              <w:rPr>
                <w:i/>
              </w:rPr>
              <w:t>Container</w:t>
            </w:r>
            <w:r w:rsidRPr="00487162">
              <w:rPr>
                <w:i/>
              </w:rPr>
              <w:t>s:</w:t>
            </w:r>
          </w:p>
        </w:tc>
        <w:tc>
          <w:tcPr>
            <w:tcW w:w="6307" w:type="dxa"/>
          </w:tcPr>
          <w:p w14:paraId="2C504AE5" w14:textId="61BCDCFC" w:rsidR="00FC7E14" w:rsidRPr="00487162" w:rsidRDefault="00FC7E14" w:rsidP="00FC7E14">
            <w:r w:rsidRPr="007D5239">
              <w:rPr>
                <w:rFonts w:eastAsia="Calibri"/>
              </w:rPr>
              <w:t>Syringe</w:t>
            </w:r>
            <w:r w:rsidR="00E905A0">
              <w:rPr>
                <w:rFonts w:eastAsia="Calibri"/>
              </w:rPr>
              <w:t>; and</w:t>
            </w:r>
            <w:r w:rsidRPr="007D5239">
              <w:rPr>
                <w:rFonts w:eastAsia="Calibri"/>
              </w:rPr>
              <w:t xml:space="preserve"> syringe with attached needle</w:t>
            </w:r>
          </w:p>
        </w:tc>
      </w:tr>
      <w:tr w:rsidR="00FC7E14" w:rsidRPr="00487162" w14:paraId="4DA44661" w14:textId="77777777" w:rsidTr="00BF1190">
        <w:tc>
          <w:tcPr>
            <w:tcW w:w="2907" w:type="dxa"/>
          </w:tcPr>
          <w:p w14:paraId="3E7634AC" w14:textId="77777777" w:rsidR="00FC7E14" w:rsidRPr="00487162" w:rsidRDefault="00FC7E14" w:rsidP="00FC7E14">
            <w:pPr>
              <w:rPr>
                <w:i/>
              </w:rPr>
            </w:pPr>
            <w:r>
              <w:rPr>
                <w:i/>
              </w:rPr>
              <w:t>Pack sizes</w:t>
            </w:r>
            <w:r w:rsidRPr="00487162">
              <w:rPr>
                <w:i/>
              </w:rPr>
              <w:t>:</w:t>
            </w:r>
          </w:p>
        </w:tc>
        <w:tc>
          <w:tcPr>
            <w:tcW w:w="6307" w:type="dxa"/>
          </w:tcPr>
          <w:p w14:paraId="57CF7ABB" w14:textId="77777777" w:rsidR="00FC7E14" w:rsidRPr="00487162" w:rsidRDefault="00FC7E14" w:rsidP="00FC7E14">
            <w:r>
              <w:t>1, 10</w:t>
            </w:r>
          </w:p>
        </w:tc>
      </w:tr>
      <w:tr w:rsidR="00FC7E14" w:rsidRPr="00487162" w14:paraId="5DEEF5E5" w14:textId="77777777" w:rsidTr="00BF1190">
        <w:tc>
          <w:tcPr>
            <w:tcW w:w="2907" w:type="dxa"/>
          </w:tcPr>
          <w:p w14:paraId="322CC70A" w14:textId="77777777" w:rsidR="00FC7E14" w:rsidRPr="00487162" w:rsidRDefault="00FC7E14" w:rsidP="00FC7E14">
            <w:pPr>
              <w:rPr>
                <w:i/>
              </w:rPr>
            </w:pPr>
            <w:r w:rsidRPr="00487162">
              <w:rPr>
                <w:i/>
              </w:rPr>
              <w:t xml:space="preserve">Approved </w:t>
            </w:r>
            <w:r>
              <w:rPr>
                <w:i/>
              </w:rPr>
              <w:t>t</w:t>
            </w:r>
            <w:r w:rsidRPr="00487162">
              <w:rPr>
                <w:i/>
              </w:rPr>
              <w:t>herapeutic use:</w:t>
            </w:r>
          </w:p>
        </w:tc>
        <w:tc>
          <w:tcPr>
            <w:tcW w:w="6307" w:type="dxa"/>
          </w:tcPr>
          <w:p w14:paraId="7ADC8F44" w14:textId="77777777" w:rsidR="00FC7E14" w:rsidRPr="00FC7E14" w:rsidRDefault="00FC7E14" w:rsidP="00FC7E14">
            <w:pPr>
              <w:rPr>
                <w:i/>
              </w:rPr>
            </w:pPr>
            <w:r w:rsidRPr="00FC7E14">
              <w:rPr>
                <w:i/>
              </w:rPr>
              <w:t>For the prevention of influenza caused by Influenza Virus, Types A and B contained in the vaccine. The vaccine is indicated for use in adults and children 9 years of age and older.</w:t>
            </w:r>
          </w:p>
          <w:p w14:paraId="7A710C3A" w14:textId="77777777" w:rsidR="00FC7E14" w:rsidRPr="00487162" w:rsidRDefault="00FC7E14" w:rsidP="00FC7E14">
            <w:pPr>
              <w:rPr>
                <w:rFonts w:eastAsia="MS Mincho"/>
                <w:lang w:eastAsia="ja-JP"/>
              </w:rPr>
            </w:pPr>
            <w:r w:rsidRPr="00FC7E14">
              <w:rPr>
                <w:i/>
              </w:rPr>
              <w:t>For full details regarding recommendations for influenza vaccination, please refer to the relevant national immunisation guidelines.</w:t>
            </w:r>
          </w:p>
        </w:tc>
      </w:tr>
      <w:tr w:rsidR="00FC7E14" w:rsidRPr="00487162" w14:paraId="102DD899" w14:textId="77777777" w:rsidTr="00BF1190">
        <w:tc>
          <w:tcPr>
            <w:tcW w:w="2907" w:type="dxa"/>
          </w:tcPr>
          <w:p w14:paraId="335C3087" w14:textId="0BCE08DB" w:rsidR="00FC7E14" w:rsidRPr="00487162" w:rsidRDefault="00C04FAC" w:rsidP="00FC7E14">
            <w:pPr>
              <w:rPr>
                <w:i/>
              </w:rPr>
            </w:pPr>
            <w:r>
              <w:rPr>
                <w:i/>
              </w:rPr>
              <w:t>Route</w:t>
            </w:r>
            <w:r w:rsidR="00FC7E14" w:rsidRPr="00487162">
              <w:rPr>
                <w:i/>
              </w:rPr>
              <w:t xml:space="preserve"> of administration:</w:t>
            </w:r>
          </w:p>
        </w:tc>
        <w:tc>
          <w:tcPr>
            <w:tcW w:w="6307" w:type="dxa"/>
          </w:tcPr>
          <w:p w14:paraId="72BE78D1" w14:textId="77777777" w:rsidR="00FC7E14" w:rsidRPr="00487162" w:rsidRDefault="00FC7E14" w:rsidP="00FC7E14">
            <w:r>
              <w:t>Intramuscular</w:t>
            </w:r>
          </w:p>
        </w:tc>
      </w:tr>
      <w:tr w:rsidR="00FC7E14" w:rsidRPr="00487162" w14:paraId="2FEB2E93" w14:textId="77777777" w:rsidTr="00BF1190">
        <w:tc>
          <w:tcPr>
            <w:tcW w:w="2907" w:type="dxa"/>
          </w:tcPr>
          <w:p w14:paraId="49DB23FF" w14:textId="77777777" w:rsidR="00FC7E14" w:rsidRPr="00487162" w:rsidRDefault="00FC7E14" w:rsidP="00FC7E14">
            <w:pPr>
              <w:rPr>
                <w:i/>
              </w:rPr>
            </w:pPr>
            <w:r w:rsidRPr="00487162">
              <w:rPr>
                <w:i/>
              </w:rPr>
              <w:t>Dosage:</w:t>
            </w:r>
          </w:p>
        </w:tc>
        <w:tc>
          <w:tcPr>
            <w:tcW w:w="6307" w:type="dxa"/>
          </w:tcPr>
          <w:p w14:paraId="7700D33D" w14:textId="77777777" w:rsidR="00FC7E14" w:rsidRDefault="00FC7E14" w:rsidP="00FC7E14">
            <w:r w:rsidRPr="007D5239">
              <w:rPr>
                <w:rFonts w:eastAsia="Calibri"/>
              </w:rPr>
              <w:t>Adults and children from 9 year of age: a single 0.5 mL dose</w:t>
            </w:r>
            <w:r>
              <w:t>.</w:t>
            </w:r>
          </w:p>
          <w:p w14:paraId="75B4B0AF" w14:textId="77777777" w:rsidR="00FC7E14" w:rsidRPr="00487162" w:rsidRDefault="00FC7E14" w:rsidP="00FC7E14">
            <w:r w:rsidRPr="00460036">
              <w:t>For further information regarding dosage, refer to the Product Information</w:t>
            </w:r>
            <w:r w:rsidR="00570D44">
              <w:t xml:space="preserve"> (PI)</w:t>
            </w:r>
            <w:r w:rsidRPr="00460036">
              <w:t>.</w:t>
            </w:r>
          </w:p>
        </w:tc>
      </w:tr>
      <w:tr w:rsidR="00FC7E14" w:rsidRPr="00487162" w14:paraId="484DD0E1" w14:textId="77777777" w:rsidTr="00BF1190">
        <w:tc>
          <w:tcPr>
            <w:tcW w:w="2907" w:type="dxa"/>
          </w:tcPr>
          <w:p w14:paraId="6C6680C3" w14:textId="77777777" w:rsidR="00FC7E14" w:rsidRPr="00487162" w:rsidRDefault="00FC7E14" w:rsidP="009F1F6D">
            <w:r w:rsidRPr="009F1F6D">
              <w:rPr>
                <w:i/>
              </w:rPr>
              <w:t>Pregnancy category</w:t>
            </w:r>
            <w:r>
              <w:t>:</w:t>
            </w:r>
          </w:p>
        </w:tc>
        <w:tc>
          <w:tcPr>
            <w:tcW w:w="6307" w:type="dxa"/>
          </w:tcPr>
          <w:p w14:paraId="33669DFF" w14:textId="77777777" w:rsidR="00FC7E14" w:rsidRPr="007D5239" w:rsidRDefault="00FC7E14" w:rsidP="009F1F6D">
            <w:pPr>
              <w:rPr>
                <w:rFonts w:eastAsia="Calibri"/>
              </w:rPr>
            </w:pPr>
            <w:r w:rsidRPr="007D5239">
              <w:rPr>
                <w:rFonts w:eastAsia="Calibri"/>
              </w:rPr>
              <w:t>B1</w:t>
            </w:r>
          </w:p>
          <w:p w14:paraId="02C7FB82" w14:textId="77777777" w:rsidR="00FC7E14" w:rsidRPr="007D5239" w:rsidRDefault="00FC7E14" w:rsidP="009F1F6D">
            <w:pPr>
              <w:rPr>
                <w:rFonts w:eastAsia="Calibri"/>
              </w:rPr>
            </w:pPr>
            <w:r w:rsidRPr="007D5239">
              <w:rPr>
                <w:rFonts w:eastAsia="Calibri"/>
              </w:rPr>
              <w:t>Drugs which have been taken by only a limited number of pregnant women and women of childbearing age, without an increase in the frequency of malformation or other direct or indirect harmful effects on the human fetus having been observed.</w:t>
            </w:r>
          </w:p>
          <w:p w14:paraId="4D0862B9" w14:textId="77777777" w:rsidR="00FC7E14" w:rsidRPr="00FC7E14" w:rsidRDefault="00FC7E14" w:rsidP="009F1F6D">
            <w:pPr>
              <w:rPr>
                <w:rFonts w:eastAsia="Calibri"/>
              </w:rPr>
            </w:pPr>
            <w:r w:rsidRPr="007D5239">
              <w:rPr>
                <w:rFonts w:eastAsia="Calibri"/>
              </w:rPr>
              <w:t>Studies in animals have not shown evidence of an increased occurrence of fetal damage.</w:t>
            </w:r>
          </w:p>
          <w:p w14:paraId="55C02B66" w14:textId="77777777" w:rsidR="00FC7E14" w:rsidRPr="00487162" w:rsidRDefault="00FC7E14" w:rsidP="009F1F6D">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C5325FF" w14:textId="77777777" w:rsidR="008E7846" w:rsidRDefault="008E7846" w:rsidP="008E7846">
      <w:pPr>
        <w:pStyle w:val="Heading3"/>
      </w:pPr>
      <w:bookmarkStart w:id="13" w:name="_Toc247691503"/>
      <w:bookmarkStart w:id="14" w:name="_Toc314842484"/>
      <w:bookmarkStart w:id="15" w:name="_Toc59112164"/>
      <w:r>
        <w:t>Product background</w:t>
      </w:r>
      <w:bookmarkEnd w:id="13"/>
      <w:bookmarkEnd w:id="14"/>
      <w:bookmarkEnd w:id="15"/>
    </w:p>
    <w:p w14:paraId="4CE594CF" w14:textId="480C98C1" w:rsidR="008E7846" w:rsidRDefault="00250271" w:rsidP="00E84038">
      <w:r w:rsidRPr="00250271">
        <w:t>This AusPA</w:t>
      </w:r>
      <w:r w:rsidR="00E84038">
        <w:t>R describes the application by Seqirus Pty Ltd</w:t>
      </w:r>
      <w:r w:rsidRPr="00250271">
        <w:t xml:space="preserve"> (the sponsor) to register</w:t>
      </w:r>
      <w:r w:rsidR="00E84038">
        <w:t xml:space="preserve"> Fl</w:t>
      </w:r>
      <w:r w:rsidR="0099045B">
        <w:t>ucelvax Quad q</w:t>
      </w:r>
      <w:r w:rsidR="00E84038">
        <w:t>uadrivalent infl</w:t>
      </w:r>
      <w:r w:rsidR="00C11C9F">
        <w:t>uenza vaccine (s</w:t>
      </w:r>
      <w:r w:rsidR="004C59AE">
        <w:t xml:space="preserve">urface antigen, </w:t>
      </w:r>
      <w:r w:rsidR="00E84038">
        <w:t>inactivated), suspension for injection</w:t>
      </w:r>
      <w:r w:rsidRPr="00250271">
        <w:t xml:space="preserve"> for th</w:t>
      </w:r>
      <w:r w:rsidR="004C59AE">
        <w:t>e following proposed indication:</w:t>
      </w:r>
    </w:p>
    <w:p w14:paraId="74C4DE35" w14:textId="60CBEA9C" w:rsidR="009F1F6D" w:rsidRPr="0064386B" w:rsidRDefault="004C59AE" w:rsidP="0064386B">
      <w:pPr>
        <w:ind w:left="720"/>
        <w:rPr>
          <w:i/>
        </w:rPr>
      </w:pPr>
      <w:r w:rsidRPr="0064386B">
        <w:rPr>
          <w:i/>
        </w:rPr>
        <w:t>For the prevention of influenza caused by Influenza Virus, Types A and B contained in the vaccine. The vaccine is indicated for use in adults and chi</w:t>
      </w:r>
      <w:r w:rsidR="009F1F6D" w:rsidRPr="0064386B">
        <w:rPr>
          <w:i/>
        </w:rPr>
        <w:t>ldren 9 years of age and older.</w:t>
      </w:r>
    </w:p>
    <w:p w14:paraId="548D5130" w14:textId="77777777" w:rsidR="005015F9" w:rsidRPr="0064386B" w:rsidRDefault="004C59AE" w:rsidP="0064386B">
      <w:pPr>
        <w:ind w:left="720"/>
        <w:rPr>
          <w:i/>
        </w:rPr>
      </w:pPr>
      <w:r w:rsidRPr="0064386B">
        <w:rPr>
          <w:i/>
        </w:rPr>
        <w:t>For full details regarding recommendations for influenza vaccination, please refer to the relevant national immunisation guidelines</w:t>
      </w:r>
    </w:p>
    <w:p w14:paraId="4C7076B4" w14:textId="79CAEB35" w:rsidR="005015F9" w:rsidRPr="005015F9" w:rsidRDefault="005015F9" w:rsidP="005015F9">
      <w:pPr>
        <w:rPr>
          <w:rFonts w:cs="TimesNewRoman"/>
        </w:rPr>
      </w:pPr>
      <w:r>
        <w:t xml:space="preserve">Influenza, </w:t>
      </w:r>
      <w:r w:rsidRPr="005B0AF4">
        <w:t>a respiratory orthomyxovirus, is a seasonal in</w:t>
      </w:r>
      <w:r>
        <w:t xml:space="preserve">fectious disease that occurs in </w:t>
      </w:r>
      <w:r w:rsidRPr="005B0AF4">
        <w:t xml:space="preserve">epidemics throughout the </w:t>
      </w:r>
      <w:r w:rsidR="00E905A0">
        <w:t>N</w:t>
      </w:r>
      <w:r w:rsidRPr="005B0AF4">
        <w:t>orthern</w:t>
      </w:r>
      <w:r w:rsidR="00E905A0">
        <w:t xml:space="preserve"> Hemisphere</w:t>
      </w:r>
      <w:r w:rsidRPr="005B0AF4">
        <w:t xml:space="preserve"> </w:t>
      </w:r>
      <w:r>
        <w:t xml:space="preserve">(NH) </w:t>
      </w:r>
      <w:r w:rsidRPr="005B0AF4">
        <w:t xml:space="preserve">and </w:t>
      </w:r>
      <w:r w:rsidR="00E905A0">
        <w:t>S</w:t>
      </w:r>
      <w:r w:rsidRPr="005B0AF4">
        <w:t xml:space="preserve">outhern </w:t>
      </w:r>
      <w:r w:rsidR="00E905A0">
        <w:t>H</w:t>
      </w:r>
      <w:r w:rsidRPr="005B0AF4">
        <w:t>emisphere</w:t>
      </w:r>
      <w:r>
        <w:t xml:space="preserve"> (SH) </w:t>
      </w:r>
      <w:r w:rsidRPr="005B0AF4">
        <w:t xml:space="preserve">winter months, and leads to considerable morbidity and mortality globally in all age </w:t>
      </w:r>
      <w:r w:rsidR="009F1F6D">
        <w:t>group</w:t>
      </w:r>
      <w:r w:rsidRPr="005B0AF4">
        <w:t xml:space="preserve">s. </w:t>
      </w:r>
      <w:r w:rsidRPr="005B0AF4">
        <w:rPr>
          <w:rFonts w:cs="TimesNewRoman"/>
        </w:rPr>
        <w:t xml:space="preserve">In general, influenza </w:t>
      </w:r>
      <w:r>
        <w:rPr>
          <w:rFonts w:cs="TimesNewRoman"/>
        </w:rPr>
        <w:t>resolves</w:t>
      </w:r>
      <w:r w:rsidRPr="005B0AF4">
        <w:rPr>
          <w:rFonts w:cs="TimesNewRoman"/>
        </w:rPr>
        <w:t xml:space="preserve"> within two to seven days, although symptoms of coug</w:t>
      </w:r>
      <w:r>
        <w:rPr>
          <w:rFonts w:cs="TimesNewRoman"/>
        </w:rPr>
        <w:t xml:space="preserve">h and malaise may be prolonged. </w:t>
      </w:r>
      <w:r w:rsidRPr="005B0AF4">
        <w:rPr>
          <w:rFonts w:cs="TimesNewRoman"/>
        </w:rPr>
        <w:t xml:space="preserve">However, for some population </w:t>
      </w:r>
      <w:r w:rsidR="009F1F6D">
        <w:rPr>
          <w:rFonts w:cs="TimesNewRoman"/>
        </w:rPr>
        <w:t>groups</w:t>
      </w:r>
      <w:r w:rsidRPr="005B0AF4">
        <w:rPr>
          <w:rFonts w:cs="TimesNewRoman"/>
        </w:rPr>
        <w:t xml:space="preserve">, notably the elderly </w:t>
      </w:r>
      <w:r>
        <w:rPr>
          <w:rFonts w:cs="TimesNewRoman"/>
        </w:rPr>
        <w:t>and those with chronic diseases</w:t>
      </w:r>
      <w:r w:rsidR="00E905A0">
        <w:rPr>
          <w:rFonts w:cs="TimesNewRoman"/>
        </w:rPr>
        <w:t>,</w:t>
      </w:r>
      <w:r>
        <w:rPr>
          <w:rFonts w:cs="TimesNewRoman"/>
        </w:rPr>
        <w:t xml:space="preserve"> </w:t>
      </w:r>
      <w:r w:rsidRPr="005B0AF4">
        <w:rPr>
          <w:rFonts w:cs="TimesNewRoman"/>
        </w:rPr>
        <w:t>influenza can exacerbate underlying medical conditions and/or lead to secondar</w:t>
      </w:r>
      <w:r w:rsidR="00EB114F">
        <w:rPr>
          <w:rFonts w:cs="TimesNewRoman"/>
        </w:rPr>
        <w:t>y viral or bacterial pneumonia</w:t>
      </w:r>
      <w:r w:rsidRPr="005B0AF4">
        <w:rPr>
          <w:rFonts w:cs="TimesNewRoman"/>
        </w:rPr>
        <w:t>.</w:t>
      </w:r>
      <w:bookmarkStart w:id="16" w:name="_Ref56770992"/>
      <w:r w:rsidR="00EB114F">
        <w:rPr>
          <w:rStyle w:val="FootnoteReference"/>
          <w:rFonts w:cs="TimesNewRoman"/>
        </w:rPr>
        <w:footnoteReference w:id="2"/>
      </w:r>
      <w:bookmarkEnd w:id="16"/>
      <w:r w:rsidR="00EB114F" w:rsidRPr="00EB114F">
        <w:rPr>
          <w:rFonts w:cs="TimesNewRoman"/>
          <w:vertAlign w:val="superscript"/>
        </w:rPr>
        <w:t>,</w:t>
      </w:r>
      <w:r w:rsidR="00EB114F">
        <w:rPr>
          <w:rStyle w:val="FootnoteReference"/>
          <w:rFonts w:cs="TimesNewRoman"/>
        </w:rPr>
        <w:footnoteReference w:id="3"/>
      </w:r>
      <w:r w:rsidRPr="005B0AF4">
        <w:rPr>
          <w:rFonts w:cs="TimesNewRoman"/>
        </w:rPr>
        <w:t xml:space="preserve"> During influenza epidemics, there is an increased mortality risk</w:t>
      </w:r>
      <w:r>
        <w:rPr>
          <w:rFonts w:cs="TimesNewRoman"/>
        </w:rPr>
        <w:t xml:space="preserve"> among older adults (age &gt; </w:t>
      </w:r>
      <w:r w:rsidRPr="005B0AF4">
        <w:rPr>
          <w:rFonts w:cs="TimesNewRoman"/>
        </w:rPr>
        <w:t>65 y</w:t>
      </w:r>
      <w:r w:rsidR="00EB114F">
        <w:rPr>
          <w:rFonts w:cs="TimesNewRoman"/>
        </w:rPr>
        <w:t>ea</w:t>
      </w:r>
      <w:r w:rsidRPr="005B0AF4">
        <w:rPr>
          <w:rFonts w:cs="TimesNewRoman"/>
        </w:rPr>
        <w:t>rs), people with chronic diseases, and very</w:t>
      </w:r>
      <w:r>
        <w:rPr>
          <w:rFonts w:cs="TimesNewRoman"/>
        </w:rPr>
        <w:t xml:space="preserve"> young children (age 0 to 12 m</w:t>
      </w:r>
      <w:r w:rsidR="00EB114F">
        <w:rPr>
          <w:rFonts w:cs="TimesNewRoman"/>
        </w:rPr>
        <w:t>on</w:t>
      </w:r>
      <w:r w:rsidRPr="005B0AF4">
        <w:rPr>
          <w:rFonts w:cs="TimesNewRoman"/>
        </w:rPr>
        <w:t>ths</w:t>
      </w:r>
      <w:r w:rsidR="009F1F6D">
        <w:rPr>
          <w:rFonts w:cs="TimesNewRoman"/>
        </w:rPr>
        <w:t xml:space="preserve"> old</w:t>
      </w:r>
      <w:r w:rsidRPr="005B0AF4">
        <w:rPr>
          <w:rFonts w:cs="TimesNewRoman"/>
        </w:rPr>
        <w:t xml:space="preserve">), as well </w:t>
      </w:r>
      <w:r>
        <w:rPr>
          <w:rFonts w:cs="TimesNewRoman"/>
        </w:rPr>
        <w:t>as an increase in morbidity and hospitalis</w:t>
      </w:r>
      <w:r w:rsidRPr="005B0AF4">
        <w:rPr>
          <w:rFonts w:cs="TimesNewRoman"/>
        </w:rPr>
        <w:t>ation because of infl</w:t>
      </w:r>
      <w:r w:rsidR="00EB114F">
        <w:rPr>
          <w:rFonts w:cs="TimesNewRoman"/>
        </w:rPr>
        <w:t>uenza-associated complications</w:t>
      </w:r>
      <w:r w:rsidRPr="005B0AF4">
        <w:rPr>
          <w:rFonts w:cs="TimesNewRoman"/>
        </w:rPr>
        <w:t>.</w:t>
      </w:r>
      <w:r w:rsidR="00EB114F" w:rsidRPr="00EB114F">
        <w:rPr>
          <w:rFonts w:cs="TimesNewRoman"/>
          <w:vertAlign w:val="superscript"/>
        </w:rPr>
        <w:fldChar w:fldCharType="begin"/>
      </w:r>
      <w:r w:rsidR="00EB114F" w:rsidRPr="00EB114F">
        <w:rPr>
          <w:rFonts w:cs="TimesNewRoman"/>
          <w:vertAlign w:val="superscript"/>
        </w:rPr>
        <w:instrText xml:space="preserve"> NOTEREF _Ref56770992 \h </w:instrText>
      </w:r>
      <w:r w:rsidR="00EB114F">
        <w:rPr>
          <w:rFonts w:cs="TimesNewRoman"/>
          <w:vertAlign w:val="superscript"/>
        </w:rPr>
        <w:instrText xml:space="preserve"> \* MERGEFORMAT </w:instrText>
      </w:r>
      <w:r w:rsidR="00EB114F" w:rsidRPr="00EB114F">
        <w:rPr>
          <w:rFonts w:cs="TimesNewRoman"/>
          <w:vertAlign w:val="superscript"/>
        </w:rPr>
      </w:r>
      <w:r w:rsidR="00EB114F" w:rsidRPr="00EB114F">
        <w:rPr>
          <w:rFonts w:cs="TimesNewRoman"/>
          <w:vertAlign w:val="superscript"/>
        </w:rPr>
        <w:fldChar w:fldCharType="separate"/>
      </w:r>
      <w:r w:rsidR="0064386B">
        <w:rPr>
          <w:rFonts w:cs="TimesNewRoman"/>
          <w:vertAlign w:val="superscript"/>
        </w:rPr>
        <w:t>2</w:t>
      </w:r>
      <w:r w:rsidR="00EB114F" w:rsidRPr="00EB114F">
        <w:rPr>
          <w:rFonts w:cs="TimesNewRoman"/>
          <w:vertAlign w:val="superscript"/>
        </w:rPr>
        <w:fldChar w:fldCharType="end"/>
      </w:r>
    </w:p>
    <w:p w14:paraId="1186B02F" w14:textId="32D79FBB" w:rsidR="005015F9" w:rsidRDefault="005015F9" w:rsidP="005015F9">
      <w:pPr>
        <w:rPr>
          <w:rFonts w:cs="TimesNewRoman"/>
        </w:rPr>
      </w:pPr>
      <w:r w:rsidRPr="005B0AF4">
        <w:t xml:space="preserve">Influenza A and B cause most human disease. Influenza A viruses are divided into subtypes based on two viral external proteins, haemagglutinin (HA) and neuraminidase (NA). </w:t>
      </w:r>
      <w:r w:rsidRPr="005B0AF4">
        <w:rPr>
          <w:rFonts w:cs="TimesNewRoman"/>
        </w:rPr>
        <w:t>Of the influenza type A virus subtypes, the A/H3N2 and A/H1N1 subtypes are clinically the most important. Influenza type B viruses show extensive variation in antigenicity. Influenza B viruses are separated into two distinct genetic lineages, Yamagata and Victoria. In terms of infection, influenza type A viruses have been isolated from several non-human species, including birds, horses, and swine, whereas influenza type B viruses al</w:t>
      </w:r>
      <w:r>
        <w:rPr>
          <w:rFonts w:cs="TimesNewRoman"/>
        </w:rPr>
        <w:t>most exclusively affect humans.</w:t>
      </w:r>
      <w:r>
        <w:t xml:space="preserve"> </w:t>
      </w:r>
      <w:r w:rsidRPr="005B0AF4">
        <w:rPr>
          <w:rFonts w:cs="TimesNewRoman"/>
        </w:rPr>
        <w:t>Influenza epidemics have been associated with the circulation of type A/H3N2, type A/H1N1,</w:t>
      </w:r>
      <w:r>
        <w:rPr>
          <w:rFonts w:cs="TimesNewRoman"/>
        </w:rPr>
        <w:t xml:space="preserve"> </w:t>
      </w:r>
      <w:r w:rsidRPr="005B0AF4">
        <w:rPr>
          <w:rFonts w:cs="TimesNewRoman"/>
        </w:rPr>
        <w:t>and type B viruses, e</w:t>
      </w:r>
      <w:r>
        <w:rPr>
          <w:rFonts w:cs="TimesNewRoman"/>
        </w:rPr>
        <w:t>ither individually or together.</w:t>
      </w:r>
    </w:p>
    <w:p w14:paraId="7721B7EA" w14:textId="097DF3C9" w:rsidR="005015F9" w:rsidRPr="005015F9" w:rsidRDefault="005015F9" w:rsidP="005015F9">
      <w:pPr>
        <w:rPr>
          <w:rFonts w:eastAsia="TimesNewRomanPSMT" w:cs="TimesNewRomanPSMT"/>
        </w:rPr>
      </w:pPr>
      <w:r w:rsidRPr="005B0AF4">
        <w:rPr>
          <w:rFonts w:eastAsia="TimesNewRomanPSMT" w:cs="TimesNewRomanPSMT"/>
        </w:rPr>
        <w:t>Currently, based on viral surveillance data, an influenza B virus representing one of these</w:t>
      </w:r>
      <w:r>
        <w:rPr>
          <w:rFonts w:eastAsia="TimesNewRomanPSMT" w:cs="TimesNewRomanPSMT"/>
        </w:rPr>
        <w:t xml:space="preserve"> </w:t>
      </w:r>
      <w:r w:rsidRPr="005B0AF4">
        <w:rPr>
          <w:rFonts w:eastAsia="TimesNewRomanPSMT" w:cs="TimesNewRomanPSMT"/>
        </w:rPr>
        <w:t>two lineages is selected each year to be included in the annual vaccine. The cross</w:t>
      </w:r>
      <w:r>
        <w:rPr>
          <w:rFonts w:eastAsia="TimesNewRomanPSMT" w:cs="TimesNewRomanPSMT"/>
        </w:rPr>
        <w:t xml:space="preserve"> </w:t>
      </w:r>
      <w:r w:rsidRPr="005B0AF4">
        <w:rPr>
          <w:rFonts w:eastAsia="TimesNewRomanPSMT" w:cs="TimesNewRomanPSMT"/>
        </w:rPr>
        <w:t>protection against infection with one B lineage provided by immunisation with a vaccine</w:t>
      </w:r>
      <w:r>
        <w:rPr>
          <w:rFonts w:eastAsia="TimesNewRomanPSMT" w:cs="TimesNewRomanPSMT"/>
        </w:rPr>
        <w:t xml:space="preserve"> </w:t>
      </w:r>
      <w:r w:rsidRPr="005B0AF4">
        <w:rPr>
          <w:rFonts w:eastAsia="TimesNewRomanPSMT" w:cs="TimesNewRomanPSMT"/>
        </w:rPr>
        <w:t>derived from the other B lineage is unc</w:t>
      </w:r>
      <w:r w:rsidR="00EB114F">
        <w:rPr>
          <w:rFonts w:eastAsia="TimesNewRomanPSMT" w:cs="TimesNewRomanPSMT"/>
        </w:rPr>
        <w:t>ertain, but expected to be low</w:t>
      </w:r>
      <w:r w:rsidRPr="005B0AF4">
        <w:rPr>
          <w:rFonts w:eastAsia="TimesNewRomanPSMT" w:cs="TimesNewRomanPSMT"/>
        </w:rPr>
        <w:t>.</w:t>
      </w:r>
      <w:r w:rsidR="00EB114F">
        <w:rPr>
          <w:rStyle w:val="FootnoteReference"/>
          <w:rFonts w:eastAsia="TimesNewRomanPSMT" w:cs="TimesNewRomanPSMT"/>
        </w:rPr>
        <w:footnoteReference w:id="4"/>
      </w:r>
      <w:r>
        <w:rPr>
          <w:rFonts w:eastAsia="TimesNewRomanPSMT" w:cs="TimesNewRomanPSMT"/>
        </w:rPr>
        <w:t xml:space="preserve"> </w:t>
      </w:r>
      <w:r w:rsidRPr="005B0AF4">
        <w:rPr>
          <w:rFonts w:eastAsia="TimesNewRomanPSMT" w:cs="TimesNewRomanPSMT"/>
        </w:rPr>
        <w:t>Predicting which lineage will predominate has been challenging, and in some seasons</w:t>
      </w:r>
      <w:r>
        <w:rPr>
          <w:rFonts w:eastAsia="TimesNewRomanPSMT" w:cs="TimesNewRomanPSMT"/>
        </w:rPr>
        <w:t xml:space="preserve"> </w:t>
      </w:r>
      <w:r w:rsidRPr="005B0AF4">
        <w:rPr>
          <w:rFonts w:eastAsia="TimesNewRomanPSMT" w:cs="TimesNewRomanPSMT"/>
        </w:rPr>
        <w:t>there has been a mismatch between the lineage chosen for the vaccine and the</w:t>
      </w:r>
      <w:r>
        <w:rPr>
          <w:rFonts w:eastAsia="TimesNewRomanPSMT" w:cs="TimesNewRomanPSMT"/>
        </w:rPr>
        <w:t xml:space="preserve"> </w:t>
      </w:r>
      <w:r w:rsidRPr="005B0AF4">
        <w:rPr>
          <w:rFonts w:eastAsia="TimesNewRomanPSMT" w:cs="TimesNewRomanPSMT"/>
        </w:rPr>
        <w:t>predominant circulating influenza B vir</w:t>
      </w:r>
      <w:r w:rsidR="009F1F6D">
        <w:rPr>
          <w:rFonts w:eastAsia="TimesNewRomanPSMT" w:cs="TimesNewRomanPSMT"/>
        </w:rPr>
        <w:t xml:space="preserve">us lineage. In Europe from 2003 to </w:t>
      </w:r>
      <w:r w:rsidRPr="005B0AF4">
        <w:rPr>
          <w:rFonts w:eastAsia="TimesNewRomanPSMT" w:cs="TimesNewRomanPSMT"/>
        </w:rPr>
        <w:t xml:space="preserve">2004 </w:t>
      </w:r>
      <w:r w:rsidR="009F1F6D">
        <w:rPr>
          <w:rFonts w:eastAsia="TimesNewRomanPSMT" w:cs="TimesNewRomanPSMT"/>
        </w:rPr>
        <w:t xml:space="preserve">and </w:t>
      </w:r>
      <w:r w:rsidRPr="005B0AF4">
        <w:rPr>
          <w:rFonts w:eastAsia="TimesNewRomanPSMT" w:cs="TimesNewRomanPSMT"/>
        </w:rPr>
        <w:t>through</w:t>
      </w:r>
      <w:r>
        <w:rPr>
          <w:rFonts w:eastAsia="TimesNewRomanPSMT" w:cs="TimesNewRomanPSMT"/>
        </w:rPr>
        <w:t xml:space="preserve"> </w:t>
      </w:r>
      <w:r w:rsidRPr="005B0AF4">
        <w:rPr>
          <w:rFonts w:eastAsia="TimesNewRomanPSMT" w:cs="TimesNewRomanPSMT"/>
        </w:rPr>
        <w:t>2010, the predominant lineage of a given season differed from that contained in the</w:t>
      </w:r>
      <w:r>
        <w:rPr>
          <w:rFonts w:eastAsia="TimesNewRomanPSMT" w:cs="TimesNewRomanPSMT"/>
        </w:rPr>
        <w:t xml:space="preserve"> </w:t>
      </w:r>
      <w:r w:rsidRPr="005B0AF4">
        <w:rPr>
          <w:rFonts w:eastAsia="TimesNewRomanPSMT" w:cs="TimesNewRomanPSMT"/>
        </w:rPr>
        <w:t xml:space="preserve">vaccine in four out of eight seasons and </w:t>
      </w:r>
      <w:r w:rsidR="009F1F6D">
        <w:rPr>
          <w:rFonts w:eastAsia="TimesNewRomanPSMT" w:cs="TimesNewRomanPSMT"/>
        </w:rPr>
        <w:t>overall an estimated 58% of lab</w:t>
      </w:r>
      <w:r w:rsidR="00EF477F">
        <w:rPr>
          <w:rFonts w:eastAsia="TimesNewRomanPSMT" w:cs="TimesNewRomanPSMT"/>
        </w:rPr>
        <w:t>oratory</w:t>
      </w:r>
      <w:r w:rsidR="009F1F6D">
        <w:rPr>
          <w:rFonts w:eastAsia="TimesNewRomanPSMT" w:cs="TimesNewRomanPSMT"/>
        </w:rPr>
        <w:t xml:space="preserve"> </w:t>
      </w:r>
      <w:r w:rsidRPr="005B0AF4">
        <w:rPr>
          <w:rFonts w:eastAsia="TimesNewRomanPSMT" w:cs="TimesNewRomanPSMT"/>
        </w:rPr>
        <w:t>confirmed</w:t>
      </w:r>
      <w:r>
        <w:rPr>
          <w:rFonts w:eastAsia="TimesNewRomanPSMT" w:cs="TimesNewRomanPSMT"/>
        </w:rPr>
        <w:t xml:space="preserve"> </w:t>
      </w:r>
      <w:r w:rsidRPr="005B0AF4">
        <w:rPr>
          <w:rFonts w:eastAsia="TimesNewRomanPSMT" w:cs="TimesNewRomanPSMT"/>
        </w:rPr>
        <w:t>influenza B samples were of the linea</w:t>
      </w:r>
      <w:r w:rsidR="00EB114F">
        <w:rPr>
          <w:rFonts w:eastAsia="TimesNewRomanPSMT" w:cs="TimesNewRomanPSMT"/>
        </w:rPr>
        <w:t>ge not included in the vaccine</w:t>
      </w:r>
      <w:r w:rsidRPr="005B0AF4">
        <w:rPr>
          <w:rFonts w:eastAsia="TimesNewRomanPSMT" w:cs="TimesNewRomanPSMT"/>
        </w:rPr>
        <w:t>.</w:t>
      </w:r>
      <w:r w:rsidR="00EB114F">
        <w:rPr>
          <w:rStyle w:val="FootnoteReference"/>
          <w:rFonts w:eastAsia="TimesNewRomanPSMT" w:cs="TimesNewRomanPSMT"/>
        </w:rPr>
        <w:footnoteReference w:id="5"/>
      </w:r>
      <w:r w:rsidRPr="005B0AF4">
        <w:rPr>
          <w:rFonts w:eastAsia="TimesNewRomanPSMT" w:cs="TimesNewRomanPSMT"/>
        </w:rPr>
        <w:t xml:space="preserve"> Based on the demonstrated burden of influenza B, the limited cross-protection between</w:t>
      </w:r>
      <w:r>
        <w:rPr>
          <w:rFonts w:eastAsia="TimesNewRomanPSMT" w:cs="TimesNewRomanPSMT"/>
        </w:rPr>
        <w:t xml:space="preserve"> </w:t>
      </w:r>
      <w:r w:rsidRPr="005B0AF4">
        <w:rPr>
          <w:rFonts w:eastAsia="TimesNewRomanPSMT" w:cs="TimesNewRomanPSMT"/>
        </w:rPr>
        <w:t>the two influenza B lineages, and the inability to accurately predict which influenza B</w:t>
      </w:r>
      <w:r>
        <w:rPr>
          <w:rFonts w:eastAsia="TimesNewRomanPSMT" w:cs="TimesNewRomanPSMT"/>
        </w:rPr>
        <w:t xml:space="preserve"> </w:t>
      </w:r>
      <w:r w:rsidRPr="005B0AF4">
        <w:rPr>
          <w:rFonts w:eastAsia="TimesNewRomanPSMT" w:cs="TimesNewRomanPSMT"/>
        </w:rPr>
        <w:t>lineage will circulate, it may be expected that seasonal influenza vaccines will be</w:t>
      </w:r>
      <w:r>
        <w:rPr>
          <w:rFonts w:eastAsia="TimesNewRomanPSMT" w:cs="TimesNewRomanPSMT"/>
        </w:rPr>
        <w:t xml:space="preserve"> </w:t>
      </w:r>
      <w:r w:rsidRPr="005B0AF4">
        <w:rPr>
          <w:rFonts w:eastAsia="TimesNewRomanPSMT" w:cs="TimesNewRomanPSMT"/>
        </w:rPr>
        <w:t xml:space="preserve">improved by the inclusion of influenza B strains </w:t>
      </w:r>
      <w:r w:rsidRPr="00EB114F">
        <w:rPr>
          <w:rFonts w:eastAsia="TimesNewRomanPSMT" w:cs="TimesNewRomanPSMT"/>
        </w:rPr>
        <w:t>from both lineages. While</w:t>
      </w:r>
      <w:r w:rsidRPr="005B0AF4">
        <w:rPr>
          <w:rFonts w:eastAsia="TimesNewRomanPSMT" w:cs="TimesNewRomanPSMT"/>
        </w:rPr>
        <w:t xml:space="preserve"> a good</w:t>
      </w:r>
      <w:r>
        <w:rPr>
          <w:rFonts w:eastAsia="TimesNewRomanPSMT" w:cs="TimesNewRomanPSMT"/>
        </w:rPr>
        <w:t xml:space="preserve"> </w:t>
      </w:r>
      <w:r w:rsidRPr="005B0AF4">
        <w:rPr>
          <w:rFonts w:eastAsia="TimesNewRomanPSMT" w:cs="TimesNewRomanPSMT"/>
        </w:rPr>
        <w:t>antigenic match would still not be assured, this step would eliminate a mismatch in</w:t>
      </w:r>
      <w:r>
        <w:rPr>
          <w:rFonts w:eastAsia="TimesNewRomanPSMT" w:cs="TimesNewRomanPSMT"/>
        </w:rPr>
        <w:t xml:space="preserve"> </w:t>
      </w:r>
      <w:r w:rsidRPr="005B0AF4">
        <w:rPr>
          <w:rFonts w:eastAsia="TimesNewRomanPSMT" w:cs="TimesNewRomanPSMT"/>
        </w:rPr>
        <w:t>lineage between the vaccine strain and circulating strains.</w:t>
      </w:r>
    </w:p>
    <w:p w14:paraId="639978BA" w14:textId="77777777" w:rsidR="008E7846" w:rsidRPr="003F31A2" w:rsidRDefault="00386150" w:rsidP="008E7846">
      <w:pPr>
        <w:pStyle w:val="Heading3"/>
      </w:pPr>
      <w:bookmarkStart w:id="17" w:name="_Toc314842485"/>
      <w:bookmarkStart w:id="18" w:name="_Toc247691504"/>
      <w:bookmarkStart w:id="19" w:name="_Toc59112165"/>
      <w:r>
        <w:t>Regulatory s</w:t>
      </w:r>
      <w:r w:rsidR="008E7846">
        <w:t>tatus</w:t>
      </w:r>
      <w:bookmarkEnd w:id="17"/>
      <w:bookmarkEnd w:id="18"/>
      <w:bookmarkEnd w:id="19"/>
    </w:p>
    <w:p w14:paraId="11B966FE" w14:textId="35D479D4" w:rsidR="00940A89" w:rsidRDefault="00006FAB" w:rsidP="00940A89">
      <w:bookmarkStart w:id="20" w:name="_Toc247691505"/>
      <w:bookmarkStart w:id="21" w:name="_Toc314842486"/>
      <w:r w:rsidRPr="00006FAB">
        <w:t>This product is considered</w:t>
      </w:r>
      <w:r w:rsidR="00EF477F">
        <w:t xml:space="preserve"> to be</w:t>
      </w:r>
      <w:r w:rsidRPr="00006FAB">
        <w:t xml:space="preserve"> a new biological entity for Australian regulatory purposes.</w:t>
      </w:r>
    </w:p>
    <w:p w14:paraId="10B0D593" w14:textId="618C8DCF" w:rsidR="00940A89" w:rsidRDefault="00006FAB" w:rsidP="002117AE">
      <w:r>
        <w:t xml:space="preserve">At the time the TGA considered this application, a similar application had been approved </w:t>
      </w:r>
      <w:r w:rsidR="002117AE">
        <w:t>in Canada (22 November 2019</w:t>
      </w:r>
      <w:r>
        <w:t>)</w:t>
      </w:r>
      <w:r w:rsidR="002117AE">
        <w:t>, European Union (EU) (12 December 2018), Switzerland (preliminary approval on 30 April 2020), Taiwan (23 March 2020) and</w:t>
      </w:r>
      <w:r w:rsidR="00EF477F">
        <w:t xml:space="preserve"> the</w:t>
      </w:r>
      <w:r w:rsidR="002117AE">
        <w:t xml:space="preserve"> United States of America (USA)</w:t>
      </w:r>
      <w:r>
        <w:t xml:space="preserve"> </w:t>
      </w:r>
      <w:r w:rsidR="002117AE">
        <w:t>(23 May 2016).</w:t>
      </w:r>
    </w:p>
    <w:p w14:paraId="367AE045" w14:textId="6276F44A" w:rsidR="00E91BBF" w:rsidRPr="002117AE" w:rsidRDefault="00E91BBF" w:rsidP="00E91BBF">
      <w:pPr>
        <w:pStyle w:val="TableTitle"/>
      </w:pPr>
      <w:r w:rsidRPr="002117AE">
        <w:t xml:space="preserve">Table </w:t>
      </w:r>
      <w:r w:rsidR="001F37C8">
        <w:fldChar w:fldCharType="begin"/>
      </w:r>
      <w:r w:rsidR="001F37C8">
        <w:instrText xml:space="preserve"> SEQ Table \* ARABIC </w:instrText>
      </w:r>
      <w:r w:rsidR="001F37C8">
        <w:fldChar w:fldCharType="separate"/>
      </w:r>
      <w:r w:rsidR="0064386B">
        <w:rPr>
          <w:noProof/>
        </w:rPr>
        <w:t>1</w:t>
      </w:r>
      <w:r w:rsidR="001F37C8">
        <w:rPr>
          <w:noProof/>
        </w:rPr>
        <w:fldChar w:fldCharType="end"/>
      </w:r>
      <w:r>
        <w:t>: International regulatory history of Flucelvax Quad</w:t>
      </w:r>
    </w:p>
    <w:tbl>
      <w:tblPr>
        <w:tblStyle w:val="TableTGAblue"/>
        <w:tblW w:w="0" w:type="auto"/>
        <w:tblLook w:val="04A0" w:firstRow="1" w:lastRow="0" w:firstColumn="1" w:lastColumn="0" w:noHBand="0" w:noVBand="1"/>
      </w:tblPr>
      <w:tblGrid>
        <w:gridCol w:w="2146"/>
        <w:gridCol w:w="2103"/>
        <w:gridCol w:w="2116"/>
        <w:gridCol w:w="2129"/>
      </w:tblGrid>
      <w:tr w:rsidR="00E91BBF" w14:paraId="62048D39" w14:textId="77777777" w:rsidTr="00BD46F5">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22FA928E" w14:textId="77777777" w:rsidR="00E91BBF" w:rsidRDefault="00E91BBF" w:rsidP="00BD46F5">
            <w:pPr>
              <w:ind w:left="0" w:right="0"/>
            </w:pPr>
            <w:r>
              <w:t>Region</w:t>
            </w:r>
          </w:p>
        </w:tc>
        <w:tc>
          <w:tcPr>
            <w:tcW w:w="2180" w:type="dxa"/>
            <w:tcBorders>
              <w:top w:val="single" w:sz="4" w:space="0" w:color="auto"/>
              <w:left w:val="single" w:sz="4" w:space="0" w:color="auto"/>
              <w:bottom w:val="single" w:sz="4" w:space="0" w:color="auto"/>
              <w:right w:val="single" w:sz="4" w:space="0" w:color="auto"/>
            </w:tcBorders>
          </w:tcPr>
          <w:p w14:paraId="01D5231D" w14:textId="77777777" w:rsidR="00E91BBF" w:rsidRDefault="00E91BBF" w:rsidP="00BD46F5">
            <w:pPr>
              <w:ind w:left="0" w:right="0"/>
            </w:pPr>
            <w:r>
              <w:t>Submission date</w:t>
            </w:r>
          </w:p>
        </w:tc>
        <w:tc>
          <w:tcPr>
            <w:tcW w:w="2180" w:type="dxa"/>
            <w:tcBorders>
              <w:top w:val="single" w:sz="4" w:space="0" w:color="auto"/>
              <w:left w:val="single" w:sz="4" w:space="0" w:color="auto"/>
              <w:bottom w:val="single" w:sz="4" w:space="0" w:color="auto"/>
              <w:right w:val="single" w:sz="4" w:space="0" w:color="auto"/>
            </w:tcBorders>
          </w:tcPr>
          <w:p w14:paraId="68B0B49F" w14:textId="77777777" w:rsidR="00E91BBF" w:rsidRDefault="00E91BBF" w:rsidP="00BD46F5">
            <w:pPr>
              <w:ind w:left="0" w:right="0"/>
            </w:pPr>
            <w:r>
              <w:t>Status</w:t>
            </w:r>
          </w:p>
        </w:tc>
        <w:tc>
          <w:tcPr>
            <w:tcW w:w="2180" w:type="dxa"/>
            <w:tcBorders>
              <w:top w:val="single" w:sz="4" w:space="0" w:color="auto"/>
              <w:left w:val="single" w:sz="4" w:space="0" w:color="auto"/>
              <w:bottom w:val="single" w:sz="4" w:space="0" w:color="auto"/>
              <w:right w:val="single" w:sz="4" w:space="0" w:color="auto"/>
            </w:tcBorders>
          </w:tcPr>
          <w:p w14:paraId="5E0E3498" w14:textId="77777777" w:rsidR="00E91BBF" w:rsidRDefault="00E91BBF" w:rsidP="00BD46F5">
            <w:pPr>
              <w:ind w:left="0" w:right="0"/>
            </w:pPr>
            <w:r>
              <w:t>Approved indications</w:t>
            </w:r>
          </w:p>
        </w:tc>
      </w:tr>
      <w:tr w:rsidR="00BD46F5" w14:paraId="005ADC11" w14:textId="77777777" w:rsidTr="00BD46F5">
        <w:tc>
          <w:tcPr>
            <w:tcW w:w="2180" w:type="dxa"/>
            <w:tcBorders>
              <w:top w:val="single" w:sz="4" w:space="0" w:color="auto"/>
            </w:tcBorders>
          </w:tcPr>
          <w:p w14:paraId="5F361385" w14:textId="18FDE9C5" w:rsidR="00BD46F5" w:rsidRDefault="005624A1" w:rsidP="0074406A">
            <w:pPr>
              <w:ind w:left="0" w:right="41"/>
            </w:pPr>
            <w:r>
              <w:t>Brazil</w:t>
            </w:r>
          </w:p>
        </w:tc>
        <w:tc>
          <w:tcPr>
            <w:tcW w:w="2180" w:type="dxa"/>
            <w:tcBorders>
              <w:top w:val="single" w:sz="4" w:space="0" w:color="auto"/>
            </w:tcBorders>
          </w:tcPr>
          <w:p w14:paraId="3897B6CD" w14:textId="196A2C98" w:rsidR="00BD46F5" w:rsidRDefault="005624A1" w:rsidP="00BD46F5">
            <w:pPr>
              <w:ind w:left="0"/>
            </w:pPr>
            <w:r>
              <w:t>6 December 2017</w:t>
            </w:r>
          </w:p>
        </w:tc>
        <w:tc>
          <w:tcPr>
            <w:tcW w:w="2180" w:type="dxa"/>
            <w:tcBorders>
              <w:top w:val="single" w:sz="4" w:space="0" w:color="auto"/>
            </w:tcBorders>
          </w:tcPr>
          <w:p w14:paraId="2F4C9603" w14:textId="72754685" w:rsidR="00BD46F5" w:rsidRDefault="005624A1" w:rsidP="0074406A">
            <w:pPr>
              <w:ind w:left="0"/>
            </w:pPr>
            <w:r>
              <w:t>Approved on 26</w:t>
            </w:r>
            <w:r w:rsidR="00EF477F">
              <w:t> </w:t>
            </w:r>
            <w:r>
              <w:t>February 2020</w:t>
            </w:r>
          </w:p>
        </w:tc>
        <w:tc>
          <w:tcPr>
            <w:tcW w:w="2180" w:type="dxa"/>
            <w:tcBorders>
              <w:top w:val="single" w:sz="4" w:space="0" w:color="auto"/>
            </w:tcBorders>
          </w:tcPr>
          <w:p w14:paraId="2823CC21" w14:textId="2A6953FE" w:rsidR="00BD46F5" w:rsidRPr="002117AE" w:rsidRDefault="005624A1" w:rsidP="0074406A">
            <w:pPr>
              <w:ind w:left="0"/>
              <w:rPr>
                <w:i/>
              </w:rPr>
            </w:pPr>
            <w:r w:rsidRPr="005624A1">
              <w:rPr>
                <w:i/>
              </w:rPr>
              <w:t>For the prevention of influenza disease caused by influenza virus subtypes A and type B contained in the vaccine for persons 18 years of age and older</w:t>
            </w:r>
          </w:p>
        </w:tc>
      </w:tr>
      <w:tr w:rsidR="00E91BBF" w14:paraId="7FFEA4B1" w14:textId="77777777" w:rsidTr="00BD46F5">
        <w:tc>
          <w:tcPr>
            <w:tcW w:w="2180" w:type="dxa"/>
            <w:tcBorders>
              <w:top w:val="single" w:sz="4" w:space="0" w:color="auto"/>
            </w:tcBorders>
          </w:tcPr>
          <w:p w14:paraId="63AAB406" w14:textId="77777777" w:rsidR="00E91BBF" w:rsidRDefault="00E91BBF" w:rsidP="00BD46F5">
            <w:pPr>
              <w:ind w:left="0" w:right="0"/>
            </w:pPr>
            <w:r>
              <w:t>Canada</w:t>
            </w:r>
          </w:p>
        </w:tc>
        <w:tc>
          <w:tcPr>
            <w:tcW w:w="2180" w:type="dxa"/>
            <w:tcBorders>
              <w:top w:val="single" w:sz="4" w:space="0" w:color="auto"/>
            </w:tcBorders>
          </w:tcPr>
          <w:p w14:paraId="26C92EBC" w14:textId="0E3C669D" w:rsidR="00E91BBF" w:rsidRDefault="00E91BBF" w:rsidP="00BD46F5">
            <w:pPr>
              <w:ind w:left="0" w:right="0"/>
            </w:pPr>
            <w:r>
              <w:t>3 October 2018</w:t>
            </w:r>
          </w:p>
        </w:tc>
        <w:tc>
          <w:tcPr>
            <w:tcW w:w="2180" w:type="dxa"/>
            <w:tcBorders>
              <w:top w:val="single" w:sz="4" w:space="0" w:color="auto"/>
            </w:tcBorders>
          </w:tcPr>
          <w:p w14:paraId="0F12B2FF" w14:textId="50AFAECA" w:rsidR="00E91BBF" w:rsidRDefault="00E91BBF" w:rsidP="00BD46F5">
            <w:pPr>
              <w:ind w:left="0" w:right="0"/>
            </w:pPr>
            <w:r>
              <w:t>Approved on 22</w:t>
            </w:r>
            <w:r w:rsidR="00EF477F">
              <w:t> </w:t>
            </w:r>
            <w:r>
              <w:t>November 2019</w:t>
            </w:r>
          </w:p>
        </w:tc>
        <w:tc>
          <w:tcPr>
            <w:tcW w:w="2180" w:type="dxa"/>
            <w:tcBorders>
              <w:top w:val="single" w:sz="4" w:space="0" w:color="auto"/>
            </w:tcBorders>
          </w:tcPr>
          <w:p w14:paraId="5B69AC2A" w14:textId="77777777" w:rsidR="00E91BBF" w:rsidRPr="002117AE" w:rsidRDefault="00E91BBF" w:rsidP="00BD46F5">
            <w:pPr>
              <w:ind w:left="0"/>
              <w:rPr>
                <w:i/>
              </w:rPr>
            </w:pPr>
            <w:r w:rsidRPr="002117AE">
              <w:rPr>
                <w:i/>
              </w:rPr>
              <w:t>For the active immunization of adults and children aged 9 years or older for the prevention of influenza disease caused by influenza virus subtypes A and type B contained in the vaccine.</w:t>
            </w:r>
          </w:p>
        </w:tc>
      </w:tr>
      <w:tr w:rsidR="00E91BBF" w14:paraId="4C28A110" w14:textId="77777777" w:rsidTr="00BD46F5">
        <w:tc>
          <w:tcPr>
            <w:tcW w:w="2180" w:type="dxa"/>
          </w:tcPr>
          <w:p w14:paraId="18CD18C9" w14:textId="20B1AC87" w:rsidR="00EF477F" w:rsidRDefault="00E91BBF" w:rsidP="00BD46F5">
            <w:pPr>
              <w:ind w:left="0"/>
            </w:pPr>
            <w:r>
              <w:t xml:space="preserve">EU </w:t>
            </w:r>
            <w:r w:rsidR="00EF477F">
              <w:t>(via </w:t>
            </w:r>
            <w:r>
              <w:t>centralised procedure</w:t>
            </w:r>
            <w:r w:rsidR="00EF477F">
              <w:t>)</w:t>
            </w:r>
          </w:p>
          <w:p w14:paraId="6701078B" w14:textId="577F7E21" w:rsidR="00E91BBF" w:rsidRDefault="00E91BBF" w:rsidP="00BD46F5">
            <w:pPr>
              <w:ind w:left="0"/>
            </w:pPr>
            <w:r>
              <w:t>Rapp</w:t>
            </w:r>
            <w:r w:rsidR="00EF477F">
              <w:t>orteur</w:t>
            </w:r>
            <w:r>
              <w:t xml:space="preserve"> Spain; Co-rapp</w:t>
            </w:r>
            <w:r w:rsidR="00EF477F">
              <w:t>orteur</w:t>
            </w:r>
            <w:r>
              <w:t>: France</w:t>
            </w:r>
          </w:p>
        </w:tc>
        <w:tc>
          <w:tcPr>
            <w:tcW w:w="2180" w:type="dxa"/>
          </w:tcPr>
          <w:p w14:paraId="2D8B5968" w14:textId="77777777" w:rsidR="00E91BBF" w:rsidRDefault="00E91BBF" w:rsidP="00BD46F5">
            <w:pPr>
              <w:ind w:left="0" w:right="0"/>
            </w:pPr>
            <w:r>
              <w:t>31 October 2017</w:t>
            </w:r>
          </w:p>
        </w:tc>
        <w:tc>
          <w:tcPr>
            <w:tcW w:w="2180" w:type="dxa"/>
          </w:tcPr>
          <w:p w14:paraId="55F1B290" w14:textId="76934441" w:rsidR="00E91BBF" w:rsidRDefault="00E91BBF" w:rsidP="00BD46F5">
            <w:pPr>
              <w:ind w:left="0" w:right="0"/>
            </w:pPr>
            <w:r>
              <w:t>Approved on 12</w:t>
            </w:r>
            <w:r w:rsidR="00EF477F">
              <w:t> </w:t>
            </w:r>
            <w:r>
              <w:t>December 2018</w:t>
            </w:r>
          </w:p>
        </w:tc>
        <w:tc>
          <w:tcPr>
            <w:tcW w:w="2180" w:type="dxa"/>
          </w:tcPr>
          <w:p w14:paraId="345C189A" w14:textId="77777777" w:rsidR="00E91BBF" w:rsidRPr="002117AE" w:rsidRDefault="00E91BBF" w:rsidP="00BD46F5">
            <w:pPr>
              <w:ind w:left="0"/>
              <w:rPr>
                <w:i/>
              </w:rPr>
            </w:pPr>
            <w:r w:rsidRPr="002117AE">
              <w:rPr>
                <w:i/>
              </w:rPr>
              <w:t>Prophylaxis of influenza in adults and children from 9 years of age.</w:t>
            </w:r>
          </w:p>
        </w:tc>
      </w:tr>
      <w:tr w:rsidR="00E91BBF" w14:paraId="1F3094FC" w14:textId="77777777" w:rsidTr="00BD46F5">
        <w:tc>
          <w:tcPr>
            <w:tcW w:w="2180" w:type="dxa"/>
          </w:tcPr>
          <w:p w14:paraId="4DB7C9D7" w14:textId="77777777" w:rsidR="00E91BBF" w:rsidRDefault="00E91BBF" w:rsidP="00BD46F5">
            <w:pPr>
              <w:ind w:left="0"/>
            </w:pPr>
            <w:r>
              <w:t>Switzerland</w:t>
            </w:r>
          </w:p>
        </w:tc>
        <w:tc>
          <w:tcPr>
            <w:tcW w:w="2180" w:type="dxa"/>
          </w:tcPr>
          <w:p w14:paraId="1EC70D95" w14:textId="77777777" w:rsidR="00E91BBF" w:rsidRDefault="00E91BBF" w:rsidP="00BD46F5">
            <w:pPr>
              <w:ind w:left="0"/>
            </w:pPr>
            <w:r>
              <w:t>15 March 2019</w:t>
            </w:r>
          </w:p>
        </w:tc>
        <w:tc>
          <w:tcPr>
            <w:tcW w:w="2180" w:type="dxa"/>
          </w:tcPr>
          <w:p w14:paraId="5560C3C0" w14:textId="07CD0385" w:rsidR="00E91BBF" w:rsidRDefault="00E91BBF" w:rsidP="00BD46F5">
            <w:pPr>
              <w:ind w:left="0"/>
            </w:pPr>
            <w:r>
              <w:t>Preliminary approval on 30</w:t>
            </w:r>
            <w:r w:rsidR="00EF477F">
              <w:t> </w:t>
            </w:r>
            <w:r>
              <w:t>April 2020</w:t>
            </w:r>
          </w:p>
        </w:tc>
        <w:tc>
          <w:tcPr>
            <w:tcW w:w="2180" w:type="dxa"/>
          </w:tcPr>
          <w:p w14:paraId="7C42868C" w14:textId="77777777" w:rsidR="00E91BBF" w:rsidRPr="002117AE" w:rsidRDefault="00E91BBF" w:rsidP="00BD46F5">
            <w:pPr>
              <w:ind w:left="0"/>
              <w:rPr>
                <w:i/>
              </w:rPr>
            </w:pPr>
            <w:r w:rsidRPr="002117AE">
              <w:rPr>
                <w:i/>
              </w:rPr>
              <w:t>Prophylaxis of influenza in adults and children from 9 years of age.</w:t>
            </w:r>
          </w:p>
        </w:tc>
      </w:tr>
      <w:tr w:rsidR="00E91BBF" w14:paraId="2E030543" w14:textId="77777777" w:rsidTr="00BD46F5">
        <w:tc>
          <w:tcPr>
            <w:tcW w:w="2180" w:type="dxa"/>
          </w:tcPr>
          <w:p w14:paraId="25D03F38" w14:textId="77777777" w:rsidR="00E91BBF" w:rsidRDefault="00E91BBF" w:rsidP="00BD46F5">
            <w:pPr>
              <w:ind w:left="0"/>
            </w:pPr>
            <w:r>
              <w:t>Taiwan</w:t>
            </w:r>
          </w:p>
        </w:tc>
        <w:tc>
          <w:tcPr>
            <w:tcW w:w="2180" w:type="dxa"/>
          </w:tcPr>
          <w:p w14:paraId="41161F9C" w14:textId="77777777" w:rsidR="00E91BBF" w:rsidRDefault="00E91BBF" w:rsidP="00BD46F5">
            <w:pPr>
              <w:ind w:left="0"/>
            </w:pPr>
            <w:r>
              <w:t>2 September 2019</w:t>
            </w:r>
          </w:p>
        </w:tc>
        <w:tc>
          <w:tcPr>
            <w:tcW w:w="2180" w:type="dxa"/>
          </w:tcPr>
          <w:p w14:paraId="08C77C77" w14:textId="434F19D4" w:rsidR="00E91BBF" w:rsidRDefault="00E91BBF" w:rsidP="00BD46F5">
            <w:pPr>
              <w:ind w:left="0"/>
            </w:pPr>
            <w:r>
              <w:t>Approved on 23</w:t>
            </w:r>
            <w:r w:rsidR="00EF477F">
              <w:t> </w:t>
            </w:r>
            <w:r>
              <w:t>March 2020</w:t>
            </w:r>
          </w:p>
        </w:tc>
        <w:tc>
          <w:tcPr>
            <w:tcW w:w="2180" w:type="dxa"/>
          </w:tcPr>
          <w:p w14:paraId="67FE9E12" w14:textId="77777777" w:rsidR="00E91BBF" w:rsidRPr="002117AE" w:rsidRDefault="00E91BBF" w:rsidP="00BD46F5">
            <w:pPr>
              <w:ind w:left="0"/>
              <w:rPr>
                <w:i/>
              </w:rPr>
            </w:pPr>
            <w:r w:rsidRPr="002117AE">
              <w:rPr>
                <w:i/>
              </w:rPr>
              <w:t>For active immunization of children and adolescents 3 years of age and above for the prevention of disease caused by influenza A subtype viruses and type B viruses contained in the vaccine</w:t>
            </w:r>
          </w:p>
        </w:tc>
      </w:tr>
      <w:tr w:rsidR="00E91BBF" w14:paraId="43AD713B" w14:textId="77777777" w:rsidTr="00BD46F5">
        <w:tc>
          <w:tcPr>
            <w:tcW w:w="2180" w:type="dxa"/>
          </w:tcPr>
          <w:p w14:paraId="44EDA452" w14:textId="77777777" w:rsidR="00E91BBF" w:rsidRDefault="00E91BBF" w:rsidP="00BD46F5">
            <w:pPr>
              <w:ind w:left="0"/>
            </w:pPr>
            <w:r>
              <w:t>USA</w:t>
            </w:r>
          </w:p>
        </w:tc>
        <w:tc>
          <w:tcPr>
            <w:tcW w:w="2180" w:type="dxa"/>
          </w:tcPr>
          <w:p w14:paraId="6BC5B47B" w14:textId="77777777" w:rsidR="00E91BBF" w:rsidRDefault="00E91BBF" w:rsidP="00BD46F5">
            <w:pPr>
              <w:ind w:left="0"/>
            </w:pPr>
            <w:r>
              <w:t>20 November 2014</w:t>
            </w:r>
          </w:p>
        </w:tc>
        <w:tc>
          <w:tcPr>
            <w:tcW w:w="2180" w:type="dxa"/>
          </w:tcPr>
          <w:p w14:paraId="1AA9B298" w14:textId="07AEE902" w:rsidR="00E91BBF" w:rsidRDefault="00E91BBF" w:rsidP="00BD46F5">
            <w:pPr>
              <w:ind w:left="0"/>
            </w:pPr>
            <w:r>
              <w:t>Approved on 23</w:t>
            </w:r>
            <w:r w:rsidR="00EF477F">
              <w:t> </w:t>
            </w:r>
            <w:r>
              <w:t>May 2016</w:t>
            </w:r>
          </w:p>
        </w:tc>
        <w:tc>
          <w:tcPr>
            <w:tcW w:w="2180" w:type="dxa"/>
          </w:tcPr>
          <w:p w14:paraId="7B3537DF" w14:textId="77777777" w:rsidR="00E91BBF" w:rsidRPr="002117AE" w:rsidRDefault="00E91BBF" w:rsidP="00BD46F5">
            <w:pPr>
              <w:ind w:left="0"/>
              <w:rPr>
                <w:i/>
              </w:rPr>
            </w:pPr>
            <w:r w:rsidRPr="002117AE">
              <w:rPr>
                <w:i/>
              </w:rPr>
              <w:t>For the prevention of influenza disease caused by influenza virus subtypes A and type B contained in the vaccine for persons 4 years of age and older.</w:t>
            </w:r>
          </w:p>
        </w:tc>
      </w:tr>
    </w:tbl>
    <w:p w14:paraId="37F819A5" w14:textId="22F6C52E" w:rsidR="008E7846" w:rsidRDefault="008E7846" w:rsidP="00940A89">
      <w:pPr>
        <w:pStyle w:val="Heading3"/>
      </w:pPr>
      <w:bookmarkStart w:id="22" w:name="_Toc59112166"/>
      <w:r>
        <w:t>Product Information</w:t>
      </w:r>
      <w:bookmarkEnd w:id="20"/>
      <w:bookmarkEnd w:id="21"/>
      <w:bookmarkEnd w:id="22"/>
    </w:p>
    <w:p w14:paraId="43FC8E1B" w14:textId="0886AECD" w:rsidR="00940A89" w:rsidRDefault="006136D7" w:rsidP="00940A89">
      <w:bookmarkStart w:id="23" w:name="_Toc247691506"/>
      <w:bookmarkStart w:id="24" w:name="_Toc314842487"/>
      <w:r w:rsidRPr="00940A89">
        <w:t xml:space="preserve">The </w:t>
      </w:r>
      <w:r w:rsidR="00570D44">
        <w:t>PI</w:t>
      </w:r>
      <w:r w:rsidRPr="00940A89">
        <w:t xml:space="preserve">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4AE4805E" w14:textId="77777777" w:rsidR="00500337" w:rsidRDefault="00500337" w:rsidP="00500337">
      <w:pPr>
        <w:pStyle w:val="Heading2"/>
      </w:pPr>
      <w:bookmarkStart w:id="25" w:name="_Toc504480011"/>
      <w:bookmarkStart w:id="26" w:name="_Toc59112167"/>
      <w:r>
        <w:t>II. Registration timeline</w:t>
      </w:r>
      <w:bookmarkEnd w:id="25"/>
      <w:bookmarkEnd w:id="26"/>
    </w:p>
    <w:p w14:paraId="3B1D78D4" w14:textId="77777777" w:rsidR="00500337" w:rsidRDefault="00500337" w:rsidP="00500337">
      <w:r>
        <w:t>The following table captures the key steps and dates for this application and which are detailed and discussed in this AusPAR.</w:t>
      </w:r>
    </w:p>
    <w:p w14:paraId="74B13F52" w14:textId="0A4EED26" w:rsidR="00500337" w:rsidRPr="00377BD4" w:rsidRDefault="00736063" w:rsidP="00736063">
      <w:pPr>
        <w:pStyle w:val="TableTitle"/>
      </w:pPr>
      <w:r w:rsidRPr="00736063">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2</w:t>
      </w:r>
      <w:r w:rsidR="0012347D">
        <w:rPr>
          <w:noProof/>
        </w:rPr>
        <w:fldChar w:fldCharType="end"/>
      </w:r>
      <w:r w:rsidR="00006FAB">
        <w:t>:</w:t>
      </w:r>
      <w:r w:rsidR="006A58A8" w:rsidRPr="006A58A8">
        <w:t xml:space="preserve"> Timeline f</w:t>
      </w:r>
      <w:r>
        <w:t>or Submission PM-2019-02591-1-2</w:t>
      </w:r>
    </w:p>
    <w:tbl>
      <w:tblPr>
        <w:tblStyle w:val="TableTGAblue"/>
        <w:tblW w:w="0" w:type="auto"/>
        <w:tblLook w:val="04A0" w:firstRow="1" w:lastRow="0" w:firstColumn="1" w:lastColumn="0" w:noHBand="0" w:noVBand="1"/>
      </w:tblPr>
      <w:tblGrid>
        <w:gridCol w:w="4254"/>
        <w:gridCol w:w="4240"/>
      </w:tblGrid>
      <w:tr w:rsidR="00500337" w14:paraId="7FB1ACA8"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4ED7129E"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2BF20B8B" w14:textId="77777777" w:rsidR="00500337" w:rsidRDefault="00500337" w:rsidP="00500337">
            <w:pPr>
              <w:ind w:left="0" w:right="0"/>
            </w:pPr>
            <w:r>
              <w:t>Date</w:t>
            </w:r>
          </w:p>
        </w:tc>
      </w:tr>
      <w:tr w:rsidR="00500337" w14:paraId="6C46DC53" w14:textId="77777777" w:rsidTr="00CF5DAD">
        <w:tc>
          <w:tcPr>
            <w:tcW w:w="4360" w:type="dxa"/>
            <w:tcBorders>
              <w:top w:val="single" w:sz="4" w:space="0" w:color="auto"/>
            </w:tcBorders>
          </w:tcPr>
          <w:p w14:paraId="5E39AF14"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65FE6A74" w14:textId="77777777" w:rsidR="00500337" w:rsidRDefault="002E35A3" w:rsidP="00500337">
            <w:pPr>
              <w:ind w:left="0" w:right="0"/>
            </w:pPr>
            <w:r>
              <w:t>31 July 2019</w:t>
            </w:r>
          </w:p>
        </w:tc>
      </w:tr>
      <w:tr w:rsidR="00500337" w14:paraId="4999CB91" w14:textId="77777777" w:rsidTr="00500337">
        <w:tc>
          <w:tcPr>
            <w:tcW w:w="4360" w:type="dxa"/>
          </w:tcPr>
          <w:p w14:paraId="757F437A" w14:textId="77777777" w:rsidR="00500337" w:rsidRDefault="00500337" w:rsidP="00500337">
            <w:pPr>
              <w:ind w:left="0" w:right="0"/>
            </w:pPr>
            <w:r>
              <w:t>First round evaluation completed</w:t>
            </w:r>
          </w:p>
        </w:tc>
        <w:tc>
          <w:tcPr>
            <w:tcW w:w="4360" w:type="dxa"/>
          </w:tcPr>
          <w:p w14:paraId="2E4C8BBE" w14:textId="77777777" w:rsidR="00500337" w:rsidRDefault="002E35A3" w:rsidP="00500337">
            <w:pPr>
              <w:ind w:left="0" w:right="0"/>
            </w:pPr>
            <w:r>
              <w:t>14 January 2020</w:t>
            </w:r>
          </w:p>
        </w:tc>
      </w:tr>
      <w:tr w:rsidR="00500337" w14:paraId="323FABE3" w14:textId="77777777" w:rsidTr="00500337">
        <w:tc>
          <w:tcPr>
            <w:tcW w:w="4360" w:type="dxa"/>
          </w:tcPr>
          <w:p w14:paraId="2C2367D2" w14:textId="77777777" w:rsidR="00500337" w:rsidRDefault="00500337" w:rsidP="00500337">
            <w:pPr>
              <w:ind w:left="0" w:right="0"/>
            </w:pPr>
            <w:r>
              <w:t>Sponsor provides responses on questions raised in first round evaluation</w:t>
            </w:r>
          </w:p>
        </w:tc>
        <w:tc>
          <w:tcPr>
            <w:tcW w:w="4360" w:type="dxa"/>
          </w:tcPr>
          <w:p w14:paraId="6552BD93" w14:textId="77777777" w:rsidR="00500337" w:rsidRDefault="002E35A3" w:rsidP="00500337">
            <w:pPr>
              <w:ind w:left="0" w:right="0"/>
            </w:pPr>
            <w:r>
              <w:t>6 March 2020</w:t>
            </w:r>
          </w:p>
        </w:tc>
      </w:tr>
      <w:tr w:rsidR="00500337" w14:paraId="175E09DB" w14:textId="77777777" w:rsidTr="00500337">
        <w:tc>
          <w:tcPr>
            <w:tcW w:w="4360" w:type="dxa"/>
          </w:tcPr>
          <w:p w14:paraId="4FB1E421" w14:textId="77777777" w:rsidR="00500337" w:rsidRDefault="00500337" w:rsidP="00500337">
            <w:pPr>
              <w:ind w:left="0" w:right="0"/>
            </w:pPr>
            <w:r>
              <w:t>Second round evaluation completed</w:t>
            </w:r>
          </w:p>
        </w:tc>
        <w:tc>
          <w:tcPr>
            <w:tcW w:w="4360" w:type="dxa"/>
          </w:tcPr>
          <w:p w14:paraId="76899675" w14:textId="77777777" w:rsidR="00500337" w:rsidRDefault="00736063" w:rsidP="00500337">
            <w:pPr>
              <w:ind w:left="0" w:right="0"/>
            </w:pPr>
            <w:r>
              <w:t>6 May 2020</w:t>
            </w:r>
          </w:p>
        </w:tc>
      </w:tr>
      <w:tr w:rsidR="00500337" w14:paraId="3C3B578B" w14:textId="77777777" w:rsidTr="00500337">
        <w:tc>
          <w:tcPr>
            <w:tcW w:w="4360" w:type="dxa"/>
          </w:tcPr>
          <w:p w14:paraId="0DACDA13" w14:textId="77777777" w:rsidR="00500337" w:rsidRDefault="00500337" w:rsidP="00500337">
            <w:pPr>
              <w:ind w:left="0" w:right="0"/>
            </w:pPr>
            <w:r>
              <w:t>Delegate’s Overall benefit-risk assessment and request for Advisory Committee advice</w:t>
            </w:r>
          </w:p>
        </w:tc>
        <w:tc>
          <w:tcPr>
            <w:tcW w:w="4360" w:type="dxa"/>
          </w:tcPr>
          <w:p w14:paraId="3B36B144" w14:textId="77777777" w:rsidR="00500337" w:rsidRDefault="002E35A3" w:rsidP="00500337">
            <w:pPr>
              <w:ind w:left="0" w:right="0"/>
            </w:pPr>
            <w:r>
              <w:t>5 May 2020</w:t>
            </w:r>
          </w:p>
        </w:tc>
      </w:tr>
      <w:tr w:rsidR="00500337" w14:paraId="0B4B8952" w14:textId="77777777" w:rsidTr="00500337">
        <w:tc>
          <w:tcPr>
            <w:tcW w:w="4360" w:type="dxa"/>
          </w:tcPr>
          <w:p w14:paraId="4B9A412B" w14:textId="77777777" w:rsidR="00500337" w:rsidRDefault="00500337" w:rsidP="00500337">
            <w:pPr>
              <w:ind w:left="0" w:right="0"/>
            </w:pPr>
            <w:r>
              <w:t>Sponsor’s pre-Advisory Committee response</w:t>
            </w:r>
          </w:p>
        </w:tc>
        <w:tc>
          <w:tcPr>
            <w:tcW w:w="4360" w:type="dxa"/>
          </w:tcPr>
          <w:p w14:paraId="77C2E802" w14:textId="77777777" w:rsidR="00500337" w:rsidRDefault="002E35A3" w:rsidP="00500337">
            <w:pPr>
              <w:ind w:left="0" w:right="0"/>
            </w:pPr>
            <w:r>
              <w:t>14 May 2020</w:t>
            </w:r>
          </w:p>
        </w:tc>
      </w:tr>
      <w:tr w:rsidR="00500337" w14:paraId="03F684F9" w14:textId="77777777" w:rsidTr="00500337">
        <w:tc>
          <w:tcPr>
            <w:tcW w:w="4360" w:type="dxa"/>
          </w:tcPr>
          <w:p w14:paraId="6BDFB42D" w14:textId="77777777" w:rsidR="00500337" w:rsidRDefault="00500337" w:rsidP="00500337">
            <w:pPr>
              <w:ind w:left="0" w:right="0"/>
            </w:pPr>
            <w:r>
              <w:t>Advisory Committee meeting</w:t>
            </w:r>
          </w:p>
        </w:tc>
        <w:tc>
          <w:tcPr>
            <w:tcW w:w="4360" w:type="dxa"/>
          </w:tcPr>
          <w:p w14:paraId="001014B1" w14:textId="77777777" w:rsidR="00500337" w:rsidRDefault="002E35A3" w:rsidP="00500337">
            <w:pPr>
              <w:ind w:left="0" w:right="0"/>
            </w:pPr>
            <w:r>
              <w:t>3 June 2020</w:t>
            </w:r>
          </w:p>
        </w:tc>
      </w:tr>
      <w:tr w:rsidR="00500337" w14:paraId="39F01C5D" w14:textId="77777777" w:rsidTr="00500337">
        <w:tc>
          <w:tcPr>
            <w:tcW w:w="4360" w:type="dxa"/>
          </w:tcPr>
          <w:p w14:paraId="2358008E" w14:textId="77777777" w:rsidR="00500337" w:rsidRDefault="00500337" w:rsidP="00500337">
            <w:pPr>
              <w:ind w:left="0" w:right="0"/>
            </w:pPr>
            <w:r>
              <w:t>Registration decision (Outcome)</w:t>
            </w:r>
          </w:p>
        </w:tc>
        <w:tc>
          <w:tcPr>
            <w:tcW w:w="4360" w:type="dxa"/>
          </w:tcPr>
          <w:p w14:paraId="0219FC49" w14:textId="77777777" w:rsidR="00500337" w:rsidRDefault="00736063" w:rsidP="00500337">
            <w:pPr>
              <w:ind w:left="0" w:right="0"/>
            </w:pPr>
            <w:r>
              <w:t>14 August 2020</w:t>
            </w:r>
          </w:p>
        </w:tc>
      </w:tr>
      <w:tr w:rsidR="00500337" w14:paraId="43E2C6C1" w14:textId="77777777" w:rsidTr="00500337">
        <w:tc>
          <w:tcPr>
            <w:tcW w:w="4360" w:type="dxa"/>
          </w:tcPr>
          <w:p w14:paraId="4B7CFD32"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150A36BE" w14:textId="77777777" w:rsidR="00500337" w:rsidRDefault="00736063" w:rsidP="00500337">
            <w:pPr>
              <w:ind w:left="0" w:right="0"/>
            </w:pPr>
            <w:r>
              <w:t>1 September 2020</w:t>
            </w:r>
          </w:p>
        </w:tc>
      </w:tr>
      <w:tr w:rsidR="00500337" w14:paraId="1A67860A" w14:textId="77777777" w:rsidTr="00500337">
        <w:tc>
          <w:tcPr>
            <w:tcW w:w="4360" w:type="dxa"/>
          </w:tcPr>
          <w:p w14:paraId="6DEFA8A3" w14:textId="77777777" w:rsidR="00500337" w:rsidRDefault="00500337" w:rsidP="00500337">
            <w:pPr>
              <w:ind w:left="0" w:right="0"/>
            </w:pPr>
            <w:r>
              <w:t>Number of working days from submission dossier acceptance to registration decision*</w:t>
            </w:r>
          </w:p>
        </w:tc>
        <w:tc>
          <w:tcPr>
            <w:tcW w:w="4360" w:type="dxa"/>
          </w:tcPr>
          <w:p w14:paraId="1E255CD8" w14:textId="77777777" w:rsidR="00500337" w:rsidRDefault="00736063" w:rsidP="00500337">
            <w:pPr>
              <w:ind w:left="0" w:right="0"/>
            </w:pPr>
            <w:r>
              <w:t>198</w:t>
            </w:r>
          </w:p>
        </w:tc>
      </w:tr>
    </w:tbl>
    <w:p w14:paraId="108DF09F"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054C613" w14:textId="77777777" w:rsidR="008E7846" w:rsidRPr="00792A32" w:rsidRDefault="00456765" w:rsidP="008E7846">
      <w:pPr>
        <w:pStyle w:val="Heading2"/>
      </w:pPr>
      <w:bookmarkStart w:id="27" w:name="_Toc196046504"/>
      <w:bookmarkStart w:id="28" w:name="_Toc247691527"/>
      <w:bookmarkStart w:id="29" w:name="_Toc314842510"/>
      <w:bookmarkStart w:id="30" w:name="_Toc59112168"/>
      <w:bookmarkStart w:id="31" w:name="_Toc163441390"/>
      <w:bookmarkEnd w:id="23"/>
      <w:bookmarkEnd w:id="24"/>
      <w:bookmarkEnd w:id="2"/>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3F3F973A" w14:textId="77777777" w:rsidR="00006FAB" w:rsidRDefault="00006FAB" w:rsidP="00006FAB">
      <w:bookmarkStart w:id="32" w:name="_Toc247691528"/>
      <w:r>
        <w:t>The submission was summarised in the following Delegate’s overview and recommendations.</w:t>
      </w:r>
    </w:p>
    <w:p w14:paraId="05995B20" w14:textId="77777777" w:rsidR="008E7846" w:rsidRDefault="008E7846" w:rsidP="008E7846">
      <w:pPr>
        <w:pStyle w:val="Heading3"/>
      </w:pPr>
      <w:bookmarkStart w:id="33" w:name="_Toc314842511"/>
      <w:bookmarkStart w:id="34" w:name="_Toc59112169"/>
      <w:r>
        <w:t>Quality</w:t>
      </w:r>
      <w:bookmarkEnd w:id="32"/>
      <w:bookmarkEnd w:id="33"/>
      <w:bookmarkEnd w:id="34"/>
    </w:p>
    <w:p w14:paraId="67497FF0" w14:textId="611313AE" w:rsidR="00736063" w:rsidRDefault="00736063" w:rsidP="00736063">
      <w:r>
        <w:t>There are no issues identified from the quality evaluation of the data, and information submitted in support of the registration of Flucelvax Quad (inactivated q</w:t>
      </w:r>
      <w:r w:rsidR="009F1F6D">
        <w:t>uadrivalent influenza vaccine surface antigen</w:t>
      </w:r>
      <w:r>
        <w:t>) that would indicate the product should not be registered on the basis of quality, or safety-related issues arising from the quality of the product.</w:t>
      </w:r>
    </w:p>
    <w:p w14:paraId="09BE0590" w14:textId="3F5175F6" w:rsidR="00736063" w:rsidRDefault="001340B7" w:rsidP="00736063">
      <w:r>
        <w:t>All outstanding issues with regards to labels and PI are resolved prior to approval of Flucelvax Quad.</w:t>
      </w:r>
    </w:p>
    <w:p w14:paraId="43805E30" w14:textId="264BDC2A" w:rsidR="006933EF" w:rsidRPr="009428C6" w:rsidRDefault="006933EF" w:rsidP="006933EF">
      <w:pPr>
        <w:spacing w:after="60" w:line="280" w:lineRule="atLeast"/>
        <w:rPr>
          <w:rFonts w:ascii="Calibri" w:eastAsiaTheme="minorHAnsi" w:hAnsi="Calibri"/>
        </w:rPr>
      </w:pPr>
      <w:r>
        <w:t xml:space="preserve">There </w:t>
      </w:r>
      <w:r w:rsidR="00DB0243">
        <w:t>are</w:t>
      </w:r>
      <w:r w:rsidR="00A81346">
        <w:t xml:space="preserve"> </w:t>
      </w:r>
      <w:r>
        <w:t>identified during the evaluation of the responses to the first round evaluation that the sponsor will need to address before the submission of the first annual strain update as a Category 3 submission.</w:t>
      </w:r>
      <w:r w:rsidR="00DB0243">
        <w:rPr>
          <w:rStyle w:val="FootnoteReference"/>
        </w:rPr>
        <w:footnoteReference w:id="6"/>
      </w:r>
      <w:r>
        <w:t xml:space="preserve"> The quality evaluator recommended a number of conditions of registration.</w:t>
      </w:r>
    </w:p>
    <w:p w14:paraId="2EAA3CBE" w14:textId="05537BB3" w:rsidR="006933EF" w:rsidRPr="00DB0243" w:rsidRDefault="006933EF" w:rsidP="00DB0243">
      <w:pPr>
        <w:pStyle w:val="Heading4"/>
      </w:pPr>
      <w:r>
        <w:t>Proposed conditions of registration</w:t>
      </w:r>
    </w:p>
    <w:p w14:paraId="7D834F2C" w14:textId="70A216EE" w:rsidR="00E5497C" w:rsidRDefault="006933EF" w:rsidP="007B06E1">
      <w:pPr>
        <w:pStyle w:val="ListBullet"/>
      </w:pPr>
      <w:r>
        <w:t>At least 45 working days before the submission of the first request under s.9D(3) of the Therapeutic Goods Act 1989 for a change to the strain composition of the vaccine, and not later than 31 October 2020, the additional requested quality data should be provided.</w:t>
      </w:r>
      <w:r w:rsidR="00E5497C">
        <w:t xml:space="preserve"> </w:t>
      </w:r>
      <w:r w:rsidR="00E5497C" w:rsidRPr="006C7101">
        <w:t xml:space="preserve">The </w:t>
      </w:r>
      <w:r w:rsidR="00E5497C">
        <w:t>additional requested quality</w:t>
      </w:r>
      <w:r w:rsidR="00E5497C" w:rsidRPr="006C7101">
        <w:t xml:space="preserve"> data should be provided prior </w:t>
      </w:r>
      <w:r w:rsidR="00331F5E">
        <w:t>to the lodgement of the a</w:t>
      </w:r>
      <w:r w:rsidR="00E5497C" w:rsidRPr="006C7101">
        <w:t>nnual</w:t>
      </w:r>
      <w:r w:rsidR="00E5497C" w:rsidRPr="00E5497C">
        <w:rPr>
          <w:bCs/>
        </w:rPr>
        <w:t xml:space="preserve"> </w:t>
      </w:r>
      <w:r w:rsidR="00331F5E">
        <w:t>strain u</w:t>
      </w:r>
      <w:r w:rsidR="00E5497C" w:rsidRPr="006C7101">
        <w:t>pdate for the SH</w:t>
      </w:r>
      <w:r w:rsidR="00331F5E">
        <w:t xml:space="preserve"> 2021 i</w:t>
      </w:r>
      <w:r w:rsidR="00E5497C" w:rsidRPr="006C7101">
        <w:t>nfluenza season</w:t>
      </w:r>
      <w:r w:rsidR="00E5497C">
        <w:t>.</w:t>
      </w:r>
    </w:p>
    <w:p w14:paraId="5004CC53" w14:textId="0ABC7938" w:rsidR="006933EF" w:rsidRPr="00E63392" w:rsidRDefault="006933EF" w:rsidP="007B06E1">
      <w:pPr>
        <w:pStyle w:val="ListBullet"/>
      </w:pPr>
      <w:r w:rsidRPr="006933EF">
        <w:t>Batch release testing</w:t>
      </w:r>
      <w:r>
        <w:rPr>
          <w:b/>
        </w:rPr>
        <w:t xml:space="preserve">. </w:t>
      </w:r>
      <w:r w:rsidRPr="00E63392">
        <w:t xml:space="preserve">It is a condition of registration that all independent batches of </w:t>
      </w:r>
      <w:r w:rsidR="00A60375">
        <w:t xml:space="preserve">Flucelvax </w:t>
      </w:r>
      <w:r w:rsidRPr="00E63392">
        <w:t>Quad</w:t>
      </w:r>
      <w:r w:rsidRPr="006933EF">
        <w:rPr>
          <w:bCs/>
        </w:rPr>
        <w:t xml:space="preserve"> </w:t>
      </w:r>
      <w:r w:rsidRPr="00E63392">
        <w:t>imported into Australia are not released for sale until samples and the manufacturer’s</w:t>
      </w:r>
      <w:r w:rsidRPr="006933EF">
        <w:rPr>
          <w:bCs/>
        </w:rPr>
        <w:t xml:space="preserve"> </w:t>
      </w:r>
      <w:r w:rsidRPr="00E63392">
        <w:t xml:space="preserve">release data have been assessed and </w:t>
      </w:r>
      <w:r>
        <w:t>the sponsor has</w:t>
      </w:r>
      <w:r w:rsidRPr="00E63392">
        <w:t xml:space="preserve"> received notification acknowledging</w:t>
      </w:r>
      <w:r w:rsidRPr="006933EF">
        <w:rPr>
          <w:bCs/>
        </w:rPr>
        <w:t xml:space="preserve"> </w:t>
      </w:r>
      <w:r w:rsidRPr="00E63392">
        <w:t>release from the Laboratories Branch, TGA.</w:t>
      </w:r>
      <w:r w:rsidR="00E5497C">
        <w:t xml:space="preserve"> </w:t>
      </w:r>
      <w:r w:rsidRPr="00E63392">
        <w:t xml:space="preserve">For each independent batch of the product imported into Australia, the </w:t>
      </w:r>
      <w:r>
        <w:t>s</w:t>
      </w:r>
      <w:r w:rsidRPr="00E63392">
        <w:t>ponsor must</w:t>
      </w:r>
      <w:r w:rsidRPr="00E5497C">
        <w:rPr>
          <w:bCs/>
        </w:rPr>
        <w:t xml:space="preserve"> </w:t>
      </w:r>
      <w:r w:rsidRPr="00E63392">
        <w:t>supply the following:</w:t>
      </w:r>
    </w:p>
    <w:p w14:paraId="631F7D38" w14:textId="30C265D8" w:rsidR="006933EF" w:rsidRPr="00E5497C" w:rsidRDefault="00331F5E" w:rsidP="007B06E1">
      <w:pPr>
        <w:pStyle w:val="ListBullet2"/>
      </w:pPr>
      <w:r>
        <w:t>A completed request for release f</w:t>
      </w:r>
      <w:r w:rsidR="006933EF" w:rsidRPr="00E5497C">
        <w:t>orm, available from vaccines@health.gov.au.</w:t>
      </w:r>
    </w:p>
    <w:p w14:paraId="4A13AADB" w14:textId="0F5F979F" w:rsidR="006933EF" w:rsidRPr="00E5497C" w:rsidRDefault="006933EF" w:rsidP="007B06E1">
      <w:pPr>
        <w:pStyle w:val="ListBullet2"/>
      </w:pPr>
      <w:r w:rsidRPr="00E5497C">
        <w:t xml:space="preserve">Complete summary protocols for manufacture and </w:t>
      </w:r>
      <w:r w:rsidR="004407EA">
        <w:t>q</w:t>
      </w:r>
      <w:r w:rsidR="004407EA" w:rsidRPr="004407EA">
        <w:t>uality control (</w:t>
      </w:r>
      <w:r w:rsidRPr="00E5497C">
        <w:t>QC</w:t>
      </w:r>
      <w:r w:rsidR="004407EA">
        <w:t>)</w:t>
      </w:r>
      <w:r w:rsidRPr="00E5497C">
        <w:t>, including all steps in production.</w:t>
      </w:r>
    </w:p>
    <w:p w14:paraId="6F8E6168" w14:textId="27A5BE4C" w:rsidR="006933EF" w:rsidRPr="00E5497C" w:rsidRDefault="006933EF" w:rsidP="007B06E1">
      <w:pPr>
        <w:pStyle w:val="ListBullet2"/>
      </w:pPr>
      <w:r w:rsidRPr="00E5497C">
        <w:t xml:space="preserve">At least 20 (twenty) doses of the first consignment of each batch of </w:t>
      </w:r>
      <w:r w:rsidR="00257CBE">
        <w:t xml:space="preserve">Flucelvax Quad </w:t>
      </w:r>
      <w:r w:rsidRPr="00E5497C">
        <w:t>with the Australian approved labels, PI and packaging</w:t>
      </w:r>
      <w:r w:rsidR="00331F5E">
        <w:t>.</w:t>
      </w:r>
    </w:p>
    <w:p w14:paraId="443BC86B" w14:textId="054EB7DA" w:rsidR="006933EF" w:rsidRPr="00E5497C" w:rsidRDefault="006933EF" w:rsidP="007B06E1">
      <w:pPr>
        <w:pStyle w:val="ListBullet2"/>
      </w:pPr>
      <w:r w:rsidRPr="00E5497C">
        <w:t xml:space="preserve">At least 10 (ten) doses of any further consignment of each batch of </w:t>
      </w:r>
      <w:r w:rsidR="00257CBE">
        <w:t xml:space="preserve">Flucelvax Quad </w:t>
      </w:r>
      <w:r w:rsidRPr="00E5497C">
        <w:t>with the Australian approved labels, PI and packaging</w:t>
      </w:r>
      <w:r w:rsidR="00331F5E">
        <w:t>.</w:t>
      </w:r>
    </w:p>
    <w:p w14:paraId="4484919B" w14:textId="2B9A790C" w:rsidR="006933EF" w:rsidRPr="00E5497C" w:rsidRDefault="006933EF" w:rsidP="007B06E1">
      <w:pPr>
        <w:pStyle w:val="ListBullet2"/>
      </w:pPr>
      <w:r w:rsidRPr="00E5497C">
        <w:t xml:space="preserve">Certificate of Release from regulatory agency acting for the country of origin such as an </w:t>
      </w:r>
      <w:r w:rsidR="004407EA" w:rsidRPr="004407EA">
        <w:t>official medicines control laborator</w:t>
      </w:r>
      <w:r w:rsidR="004407EA">
        <w:t>y (</w:t>
      </w:r>
      <w:r w:rsidRPr="00E5497C">
        <w:t>OMCL</w:t>
      </w:r>
      <w:r w:rsidR="004407EA">
        <w:t>)</w:t>
      </w:r>
      <w:r w:rsidRPr="00E5497C">
        <w:t xml:space="preserve"> (if available).</w:t>
      </w:r>
    </w:p>
    <w:p w14:paraId="2CD2ADE4" w14:textId="77777777" w:rsidR="006933EF" w:rsidRPr="00E5497C" w:rsidRDefault="006933EF" w:rsidP="007B06E1">
      <w:pPr>
        <w:pStyle w:val="ListBullet2"/>
      </w:pPr>
      <w:r w:rsidRPr="00E5497C">
        <w:t>Any reagents, reference material and standards required to undertake testing, as requested by Laboratories Branch, TGA.</w:t>
      </w:r>
    </w:p>
    <w:p w14:paraId="2965E1B7" w14:textId="77777777" w:rsidR="006933EF" w:rsidRDefault="006933EF" w:rsidP="007B06E1">
      <w:pPr>
        <w:pStyle w:val="ListBullet"/>
        <w:numPr>
          <w:ilvl w:val="0"/>
          <w:numId w:val="0"/>
        </w:numPr>
        <w:ind w:left="426"/>
      </w:pPr>
      <w:r w:rsidRPr="006C7101">
        <w:t>Distribution of each shipment of each batch of vaccine is conditional upon fulfilment of these conditions and receipt of a letter from the Laboratories Branch acknowledging release.</w:t>
      </w:r>
    </w:p>
    <w:p w14:paraId="5271B346" w14:textId="10EC73B8" w:rsidR="00E5497C" w:rsidRDefault="006933EF" w:rsidP="007B06E1">
      <w:pPr>
        <w:pStyle w:val="ListBullet"/>
      </w:pPr>
      <w:r w:rsidRPr="004407EA">
        <w:t>Certified Product Details</w:t>
      </w:r>
      <w:r w:rsidR="004407EA">
        <w:t xml:space="preserve">: </w:t>
      </w:r>
      <w:r w:rsidRPr="00E63392">
        <w:t>An electronic copy of the Certified Product Details (CPD) as described in Guidance 7:</w:t>
      </w:r>
      <w:r>
        <w:t xml:space="preserve"> </w:t>
      </w:r>
      <w:r w:rsidRPr="00E63392">
        <w:t>Certified Product Details of the Australian Regulatory Guidelines for Prescription</w:t>
      </w:r>
      <w:r>
        <w:t xml:space="preserve"> </w:t>
      </w:r>
      <w:r w:rsidRPr="00E63392">
        <w:t xml:space="preserve">Medicines (ARGPM) </w:t>
      </w:r>
      <w:hyperlink r:id="rId14" w:history="1">
        <w:r w:rsidRPr="00136F92">
          <w:rPr>
            <w:rStyle w:val="Hyperlink"/>
          </w:rPr>
          <w:t>https://www.tga.gov.au/guidance-7-certified-product-details</w:t>
        </w:r>
      </w:hyperlink>
      <w:r>
        <w:t xml:space="preserve"> </w:t>
      </w:r>
      <w:r w:rsidRPr="00E63392">
        <w:t>should be provided upon registration of the therapeutic good.</w:t>
      </w:r>
      <w:r w:rsidR="00B12907">
        <w:t xml:space="preserve"> </w:t>
      </w:r>
      <w:r w:rsidRPr="00E63392">
        <w:t>In addition, an updated</w:t>
      </w:r>
      <w:r>
        <w:t xml:space="preserve"> </w:t>
      </w:r>
      <w:r w:rsidRPr="00E63392">
        <w:t>CPD, for the above products incorporating the approved changes is to be provided</w:t>
      </w:r>
      <w:r>
        <w:t xml:space="preserve"> </w:t>
      </w:r>
      <w:r w:rsidRPr="00E63392">
        <w:t xml:space="preserve">within one month </w:t>
      </w:r>
      <w:r w:rsidR="00E5497C">
        <w:t>of the date of approval letter.</w:t>
      </w:r>
    </w:p>
    <w:p w14:paraId="33272D58" w14:textId="744BEE9F" w:rsidR="006933EF" w:rsidRPr="00E5497C" w:rsidRDefault="006933EF" w:rsidP="007B06E1">
      <w:pPr>
        <w:pStyle w:val="ListBullet"/>
      </w:pPr>
      <w:r w:rsidRPr="0009522C">
        <w:t xml:space="preserve">The sponsor must conduct an enhanced safety surveillance study in Australia, if requested by </w:t>
      </w:r>
      <w:r w:rsidR="00B12907">
        <w:t xml:space="preserve">the </w:t>
      </w:r>
      <w:r w:rsidRPr="0009522C">
        <w:t>TGA. A protocol for the proposed study will be required to be submitted with the annual strain update variation, if there is inadequate post-market safety data to demonstrate that the reactogenicity of that season’s vaccine has been adequately characterised and the vaccine is not supplied on the National Immunisation Program in that season.</w:t>
      </w:r>
    </w:p>
    <w:p w14:paraId="670EC72F" w14:textId="77777777" w:rsidR="008E7846" w:rsidRDefault="008E7846" w:rsidP="008E7846">
      <w:pPr>
        <w:pStyle w:val="Heading3"/>
      </w:pPr>
      <w:bookmarkStart w:id="35" w:name="_Toc314842512"/>
      <w:bookmarkStart w:id="36" w:name="_Toc59112170"/>
      <w:r>
        <w:t>Nonclinical</w:t>
      </w:r>
      <w:bookmarkEnd w:id="35"/>
      <w:bookmarkEnd w:id="36"/>
    </w:p>
    <w:p w14:paraId="3CFC35C2" w14:textId="42285060" w:rsidR="00736063" w:rsidRDefault="00736063" w:rsidP="00736063">
      <w:r>
        <w:t xml:space="preserve">No nonclinical studies were conducted with the </w:t>
      </w:r>
      <w:r w:rsidR="002A4557" w:rsidRPr="002A4557">
        <w:t>ce</w:t>
      </w:r>
      <w:r w:rsidR="002A4557">
        <w:t xml:space="preserve">ll culture derived quadrivalent influenza </w:t>
      </w:r>
      <w:r w:rsidR="002A4557" w:rsidRPr="002A4557">
        <w:t xml:space="preserve">vaccine </w:t>
      </w:r>
      <w:r w:rsidR="009F1F6D">
        <w:t>(</w:t>
      </w:r>
      <w:r>
        <w:t>QIVc</w:t>
      </w:r>
      <w:r w:rsidR="009F1F6D">
        <w:t>)</w:t>
      </w:r>
      <w:r>
        <w:t>; previous studies with the cell</w:t>
      </w:r>
      <w:r w:rsidR="002A4557">
        <w:t xml:space="preserve"> culture derived</w:t>
      </w:r>
      <w:r>
        <w:t xml:space="preserve"> tr</w:t>
      </w:r>
      <w:r w:rsidR="00F44182">
        <w:t>ivalent vaccine (TIVc) Optaflu</w:t>
      </w:r>
      <w:r>
        <w:t xml:space="preserve"> and some publications were submitted in </w:t>
      </w:r>
      <w:r w:rsidR="00F44182">
        <w:t>nonclinical module</w:t>
      </w:r>
      <w:r>
        <w:t xml:space="preserve">. The trivalent vaccine was approved in Australia in 2015. </w:t>
      </w:r>
      <w:r w:rsidR="00C3306A">
        <w:t>N</w:t>
      </w:r>
      <w:r>
        <w:t>ew non</w:t>
      </w:r>
      <w:r w:rsidR="00F44182">
        <w:t>clinical studies with Flucelvax</w:t>
      </w:r>
      <w:r>
        <w:t xml:space="preserve"> Q</w:t>
      </w:r>
      <w:r w:rsidR="00F44182">
        <w:t>uad</w:t>
      </w:r>
      <w:r w:rsidR="00C3306A">
        <w:t xml:space="preserve"> are not warranted</w:t>
      </w:r>
      <w:r w:rsidR="008E357B">
        <w:t>,</w:t>
      </w:r>
      <w:r w:rsidR="00C3306A">
        <w:t xml:space="preserve"> </w:t>
      </w:r>
      <w:r>
        <w:t xml:space="preserve">consistent with the </w:t>
      </w:r>
      <w:r w:rsidR="002A4557" w:rsidRPr="002A4557">
        <w:t xml:space="preserve">European Medicines Agency </w:t>
      </w:r>
      <w:r w:rsidR="002A4557">
        <w:t>(</w:t>
      </w:r>
      <w:r>
        <w:t>EMA</w:t>
      </w:r>
      <w:r w:rsidR="002A4557">
        <w:t>)</w:t>
      </w:r>
      <w:r>
        <w:t xml:space="preserve"> guidance for a new influenza vaccine based on an existing manufacturing process provided comparative immunogenicity and efficacy is supported by clinical studies.</w:t>
      </w:r>
      <w:r w:rsidR="00B12907">
        <w:rPr>
          <w:rStyle w:val="FootnoteReference"/>
        </w:rPr>
        <w:footnoteReference w:id="7"/>
      </w:r>
    </w:p>
    <w:p w14:paraId="32A72B98" w14:textId="544CBC06" w:rsidR="00736063" w:rsidRDefault="00736063" w:rsidP="00736063">
      <w:r>
        <w:t>The safety and immunogenicity of the QIVc were assessed mainly based on the previous evaluation of the al</w:t>
      </w:r>
      <w:r w:rsidR="00F44182">
        <w:t>ready registered TIVc, Optaflu</w:t>
      </w:r>
      <w:r w:rsidR="00357298">
        <w:t>.</w:t>
      </w:r>
    </w:p>
    <w:p w14:paraId="52403112" w14:textId="77777777" w:rsidR="00736063" w:rsidRDefault="00736063" w:rsidP="00736063">
      <w:r>
        <w:t>Immunogenicity was demonstrated for the TIVc in previously evaluated nonclinical studies. An immunogenicity study in mice with the TIVc compared the immunogenicity of in-process (monovalent bulk) egg-derived and cell culture-derived antigens, and showed no significant difference between the antigens produced by the two systems. Two published studies described various aspects of the administration of inactivated trivalent influenza vaccines in mice and are of limited relevance to this submission.</w:t>
      </w:r>
    </w:p>
    <w:p w14:paraId="03A76AFE" w14:textId="45171D04" w:rsidR="00736063" w:rsidRDefault="00736063" w:rsidP="00736063">
      <w:r>
        <w:t>In previously evaluated toxicity studies with the TIVc, local injection site reactions were observed in repeat dose toxicity study in rabbits which are common in influenza vaccines administered intramuscularly. A repeat dose toxicity study and a reproductive toxicity study (investigating fertility, embryofetal development and postnatal development) in rabbits with the TIVc showed no evidence of significant local or systemic toxicity. There are no safety concerns over the QIVc base</w:t>
      </w:r>
      <w:r w:rsidR="002A4557">
        <w:t>d on the studies with the TIVc.</w:t>
      </w:r>
    </w:p>
    <w:p w14:paraId="48C03185" w14:textId="77777777" w:rsidR="00736063" w:rsidRDefault="00736063" w:rsidP="00736063">
      <w:r>
        <w:t>There are no studies in juvenile animals for the paediatric indication. The efficacy and safety in children are best addressed by clinical studies.</w:t>
      </w:r>
    </w:p>
    <w:p w14:paraId="36A3F46B" w14:textId="16211217" w:rsidR="00EC5CDC" w:rsidRDefault="00EC5CDC" w:rsidP="00EC5CDC">
      <w:r>
        <w:t xml:space="preserve">The nonclinical evaluator </w:t>
      </w:r>
      <w:r w:rsidR="002A4557">
        <w:t>recommend</w:t>
      </w:r>
      <w:r w:rsidR="00357298">
        <w:t>ed</w:t>
      </w:r>
      <w:r w:rsidR="002A4557">
        <w:t xml:space="preserve"> PI changes in the n</w:t>
      </w:r>
      <w:r>
        <w:t>oncli</w:t>
      </w:r>
      <w:r w:rsidR="002A4557">
        <w:t>nical evaluation r</w:t>
      </w:r>
      <w:r>
        <w:t xml:space="preserve">eport </w:t>
      </w:r>
      <w:r w:rsidR="00B12907">
        <w:t>[inclusion is beyond the scope of the AusPAR document]</w:t>
      </w:r>
      <w:r>
        <w:t>.</w:t>
      </w:r>
    </w:p>
    <w:p w14:paraId="4AE48C1B" w14:textId="0A231E49" w:rsidR="00EC5CDC" w:rsidRDefault="002A4557" w:rsidP="00EC5CDC">
      <w:r>
        <w:t>The nonclinical safety s</w:t>
      </w:r>
      <w:r w:rsidR="00EC5CDC">
        <w:t xml:space="preserve">pecifications based on nonclinical studies with the trivalent vaccine detailed in the sponsor’s draft </w:t>
      </w:r>
      <w:r>
        <w:t>risk management p</w:t>
      </w:r>
      <w:r w:rsidR="00EC5CDC">
        <w:t>lan</w:t>
      </w:r>
      <w:r>
        <w:t xml:space="preserve"> (RMP)</w:t>
      </w:r>
      <w:r w:rsidR="00EC5CDC">
        <w:t xml:space="preserve"> are in general</w:t>
      </w:r>
      <w:r>
        <w:t xml:space="preserve"> concordance with those of the nonclinical e</w:t>
      </w:r>
      <w:r w:rsidR="00EC5CDC">
        <w:t>valuator.</w:t>
      </w:r>
    </w:p>
    <w:p w14:paraId="10388B58" w14:textId="77777777" w:rsidR="00736063" w:rsidRDefault="00736063" w:rsidP="00736063">
      <w:r>
        <w:t xml:space="preserve">There are no nonclinical objections to registration of </w:t>
      </w:r>
      <w:r w:rsidR="00F44182">
        <w:t xml:space="preserve">Flucelvax Quad </w:t>
      </w:r>
      <w:r>
        <w:t>vaccine based on previously evaluated nonclinical stud</w:t>
      </w:r>
      <w:r w:rsidR="00F44182">
        <w:t>ies with the trivalent vaccine,</w:t>
      </w:r>
      <w:r w:rsidR="00F44182" w:rsidRPr="00F44182">
        <w:t xml:space="preserve"> </w:t>
      </w:r>
      <w:r w:rsidR="00F44182">
        <w:t>Optaflu. H</w:t>
      </w:r>
      <w:r>
        <w:t>owever, evaluation of efficacy and safety of the QIVc in adults and children will</w:t>
      </w:r>
      <w:r w:rsidR="00F44182">
        <w:t xml:space="preserve"> largely rely on clinical data.</w:t>
      </w:r>
    </w:p>
    <w:p w14:paraId="7BBA5AD1" w14:textId="0DE775A6" w:rsidR="008E7846" w:rsidRDefault="008E7846" w:rsidP="008E7846">
      <w:pPr>
        <w:pStyle w:val="Heading3"/>
      </w:pPr>
      <w:bookmarkStart w:id="37" w:name="_Toc247691530"/>
      <w:bookmarkStart w:id="38" w:name="_Toc314842513"/>
      <w:bookmarkStart w:id="39" w:name="_Toc59112171"/>
      <w:r>
        <w:t>Clinical</w:t>
      </w:r>
      <w:bookmarkEnd w:id="37"/>
      <w:bookmarkEnd w:id="38"/>
      <w:bookmarkEnd w:id="39"/>
    </w:p>
    <w:p w14:paraId="1FDE5380" w14:textId="7677983A" w:rsidR="00331F5E" w:rsidRDefault="00331F5E" w:rsidP="00331F5E">
      <w:r>
        <w:t>The clinical dossier consist</w:t>
      </w:r>
      <w:r w:rsidR="0095441F">
        <w:t>ed</w:t>
      </w:r>
      <w:r>
        <w:t xml:space="preserve"> of:</w:t>
      </w:r>
    </w:p>
    <w:p w14:paraId="71F029B9" w14:textId="1CEAA04E" w:rsidR="0028228E" w:rsidRDefault="00B308B8" w:rsidP="007B06E1">
      <w:pPr>
        <w:pStyle w:val="ListBullet"/>
      </w:pPr>
      <w:r>
        <w:t>10</w:t>
      </w:r>
      <w:r w:rsidR="0028228E">
        <w:t xml:space="preserve"> Phase III clinical studies</w:t>
      </w:r>
      <w:r w:rsidR="0095441F">
        <w:t>;</w:t>
      </w:r>
    </w:p>
    <w:p w14:paraId="118E7176" w14:textId="4CD931E4" w:rsidR="0028228E" w:rsidRDefault="00B308B8" w:rsidP="007B06E1">
      <w:pPr>
        <w:pStyle w:val="ListBullet"/>
      </w:pPr>
      <w:r>
        <w:t>6 Phase II clinical studies</w:t>
      </w:r>
      <w:r w:rsidR="0095441F">
        <w:t>;</w:t>
      </w:r>
    </w:p>
    <w:p w14:paraId="0DA4FFD6" w14:textId="52586C02" w:rsidR="00B308B8" w:rsidRDefault="00B308B8" w:rsidP="007B06E1">
      <w:pPr>
        <w:pStyle w:val="ListBullet"/>
      </w:pPr>
      <w:r>
        <w:t>2 Phase I clinical studies</w:t>
      </w:r>
      <w:r w:rsidR="0095441F">
        <w:t>; and</w:t>
      </w:r>
    </w:p>
    <w:p w14:paraId="0D0375AD" w14:textId="6A7BA911" w:rsidR="00331F5E" w:rsidRPr="00331F5E" w:rsidRDefault="00A11E37" w:rsidP="007B06E1">
      <w:pPr>
        <w:pStyle w:val="ListBullet"/>
      </w:pPr>
      <w:r>
        <w:t>1 o</w:t>
      </w:r>
      <w:r w:rsidR="00B308B8">
        <w:t>bservational study</w:t>
      </w:r>
      <w:r w:rsidR="0095441F">
        <w:t>.</w:t>
      </w:r>
    </w:p>
    <w:p w14:paraId="373AF717" w14:textId="77777777" w:rsidR="002278A1" w:rsidRDefault="002278A1" w:rsidP="002278A1">
      <w:pPr>
        <w:pStyle w:val="Heading4"/>
      </w:pPr>
      <w:bookmarkStart w:id="40" w:name="_Toc314842514"/>
      <w:r>
        <w:t>Pharmacology</w:t>
      </w:r>
    </w:p>
    <w:p w14:paraId="6C260E3C" w14:textId="77777777" w:rsidR="002278A1" w:rsidRDefault="002278A1" w:rsidP="002278A1">
      <w:r>
        <w:t>Pharmacokinetic studies are usually not required for vaccines.</w:t>
      </w:r>
      <w:r>
        <w:rPr>
          <w:rStyle w:val="FootnoteReference"/>
        </w:rPr>
        <w:footnoteReference w:id="8"/>
      </w:r>
    </w:p>
    <w:p w14:paraId="0AFD0EAF" w14:textId="77777777" w:rsidR="002278A1" w:rsidRPr="008E5AE8" w:rsidRDefault="002278A1" w:rsidP="002278A1">
      <w:pPr>
        <w:pStyle w:val="Heading4"/>
        <w:numPr>
          <w:ilvl w:val="2"/>
          <w:numId w:val="0"/>
        </w:numPr>
        <w:tabs>
          <w:tab w:val="num" w:pos="964"/>
          <w:tab w:val="num" w:pos="1078"/>
        </w:tabs>
        <w:adjustRightInd w:val="0"/>
        <w:snapToGrid w:val="0"/>
        <w:spacing w:before="0" w:after="160"/>
        <w:ind w:left="964" w:hanging="964"/>
      </w:pPr>
      <w:r w:rsidRPr="00AA53F4">
        <w:t>Efficacy</w:t>
      </w:r>
    </w:p>
    <w:p w14:paraId="2928FEDB" w14:textId="77777777" w:rsidR="002278A1" w:rsidRPr="005B6B13" w:rsidRDefault="002278A1" w:rsidP="002278A1">
      <w:pPr>
        <w:pStyle w:val="Heading5"/>
      </w:pPr>
      <w:r w:rsidRPr="005B6B13">
        <w:t>Efficacy study overview</w:t>
      </w:r>
    </w:p>
    <w:p w14:paraId="24C5E2A4" w14:textId="77777777" w:rsidR="002278A1" w:rsidRDefault="002278A1" w:rsidP="002278A1">
      <w:pPr>
        <w:rPr>
          <w:lang w:eastAsia="ja-JP"/>
        </w:rPr>
      </w:pPr>
      <w:r w:rsidRPr="00572439">
        <w:rPr>
          <w:lang w:eastAsia="ja-JP"/>
        </w:rPr>
        <w:t>Two efficacy (immunogenicity</w:t>
      </w:r>
      <w:r>
        <w:rPr>
          <w:lang w:eastAsia="ja-JP"/>
        </w:rPr>
        <w:t xml:space="preserve"> endpoint</w:t>
      </w:r>
      <w:r w:rsidRPr="00572439">
        <w:rPr>
          <w:lang w:eastAsia="ja-JP"/>
        </w:rPr>
        <w:t xml:space="preserve">) studies </w:t>
      </w:r>
      <w:r>
        <w:rPr>
          <w:lang w:eastAsia="ja-JP"/>
        </w:rPr>
        <w:t>that investigated</w:t>
      </w:r>
      <w:r w:rsidRPr="00572439">
        <w:rPr>
          <w:lang w:eastAsia="ja-JP"/>
        </w:rPr>
        <w:t xml:space="preserve"> the quadrivalent</w:t>
      </w:r>
      <w:r>
        <w:rPr>
          <w:lang w:eastAsia="ja-JP"/>
        </w:rPr>
        <w:t xml:space="preserve"> vaccine (Flucelvax Quad) </w:t>
      </w:r>
      <w:r w:rsidRPr="00572439">
        <w:rPr>
          <w:lang w:eastAsia="ja-JP"/>
        </w:rPr>
        <w:t>were included</w:t>
      </w:r>
      <w:r>
        <w:rPr>
          <w:lang w:eastAsia="ja-JP"/>
        </w:rPr>
        <w:t>:</w:t>
      </w:r>
    </w:p>
    <w:p w14:paraId="56946134" w14:textId="4D08BE69" w:rsidR="002278A1" w:rsidRPr="002278A1" w:rsidRDefault="002278A1" w:rsidP="007B06E1">
      <w:pPr>
        <w:pStyle w:val="ListBullet"/>
      </w:pPr>
      <w:r w:rsidRPr="002278A1">
        <w:t>Study V130_01</w:t>
      </w:r>
      <w:r>
        <w:t xml:space="preserve">: </w:t>
      </w:r>
      <w:r w:rsidR="0095441F">
        <w:t xml:space="preserve">A </w:t>
      </w:r>
      <w:r>
        <w:t>Phase III, stratified, randomised, double-b</w:t>
      </w:r>
      <w:r w:rsidRPr="0011130A">
        <w:t xml:space="preserve">lind, </w:t>
      </w:r>
      <w:r>
        <w:t>m</w:t>
      </w:r>
      <w:r w:rsidRPr="0011130A">
        <w:t>ulticentre</w:t>
      </w:r>
      <w:r>
        <w:t>, non</w:t>
      </w:r>
      <w:r w:rsidR="0095441F">
        <w:noBreakHyphen/>
      </w:r>
      <w:r>
        <w:t>inferiority study to evaluate the safety and immunogenicity of</w:t>
      </w:r>
      <w:r w:rsidRPr="0011130A">
        <w:t xml:space="preserve"> </w:t>
      </w:r>
      <w:r>
        <w:t>Flucelvax Quad compared to TIV1c/TIV2c</w:t>
      </w:r>
      <w:r w:rsidRPr="00B74422">
        <w:t xml:space="preserve"> </w:t>
      </w:r>
      <w:r>
        <w:t xml:space="preserve">in 2680 </w:t>
      </w:r>
      <w:r w:rsidRPr="002278A1">
        <w:t>adults aged ≥</w:t>
      </w:r>
      <w:r>
        <w:t xml:space="preserve"> </w:t>
      </w:r>
      <w:r w:rsidRPr="002278A1">
        <w:t>18</w:t>
      </w:r>
      <w:r>
        <w:t xml:space="preserve"> </w:t>
      </w:r>
      <w:r w:rsidRPr="002278A1">
        <w:t>y</w:t>
      </w:r>
      <w:r>
        <w:t>ears</w:t>
      </w:r>
      <w:r w:rsidR="00247FD9">
        <w:t xml:space="preserve"> old</w:t>
      </w:r>
      <w:r w:rsidR="0095441F">
        <w:t>.</w:t>
      </w:r>
    </w:p>
    <w:p w14:paraId="1561E781" w14:textId="29DC7479" w:rsidR="002278A1" w:rsidRPr="002278A1" w:rsidRDefault="002278A1" w:rsidP="007B06E1">
      <w:pPr>
        <w:pStyle w:val="ListBullet"/>
      </w:pPr>
      <w:r w:rsidRPr="002278A1">
        <w:t xml:space="preserve">Study V130_03: </w:t>
      </w:r>
      <w:r w:rsidR="0095441F">
        <w:t xml:space="preserve">A </w:t>
      </w:r>
      <w:r w:rsidRPr="002278A1">
        <w:t>Phase III, stratified, randomised, double-blind, multicentre, non</w:t>
      </w:r>
      <w:r w:rsidR="0095441F">
        <w:noBreakHyphen/>
      </w:r>
      <w:r w:rsidRPr="002278A1">
        <w:t>inferiority study to evaluate the safety and immunogenicity of Flucelvax Quad compared to TIV1c/TIV2c in 2333 children (previous</w:t>
      </w:r>
      <w:r w:rsidR="00357298">
        <w:t>ly</w:t>
      </w:r>
      <w:r w:rsidRPr="002278A1">
        <w:t xml:space="preserve"> vaccinated or not previously vaccinated) aged 4 to &lt;</w:t>
      </w:r>
      <w:r>
        <w:t xml:space="preserve"> </w:t>
      </w:r>
      <w:r w:rsidRPr="002278A1">
        <w:t>18</w:t>
      </w:r>
      <w:r>
        <w:t xml:space="preserve"> </w:t>
      </w:r>
      <w:r w:rsidRPr="002278A1">
        <w:t>y</w:t>
      </w:r>
      <w:r>
        <w:t>ears</w:t>
      </w:r>
      <w:r w:rsidR="00247FD9">
        <w:t xml:space="preserve"> old</w:t>
      </w:r>
      <w:r w:rsidR="0095441F">
        <w:t>.</w:t>
      </w:r>
    </w:p>
    <w:p w14:paraId="67FAEAA5" w14:textId="3C6580CC" w:rsidR="002278A1" w:rsidRDefault="002278A1" w:rsidP="002278A1">
      <w:pPr>
        <w:rPr>
          <w:lang w:eastAsia="ja-JP"/>
        </w:rPr>
      </w:pPr>
      <w:r>
        <w:t xml:space="preserve">One main efficacy (true vaccine efficacy endpoint) study </w:t>
      </w:r>
      <w:r w:rsidR="002A4557">
        <w:rPr>
          <w:lang w:eastAsia="ja-JP"/>
        </w:rPr>
        <w:t xml:space="preserve">investigated the cell </w:t>
      </w:r>
      <w:r>
        <w:rPr>
          <w:lang w:eastAsia="ja-JP"/>
        </w:rPr>
        <w:t>based tri</w:t>
      </w:r>
      <w:r w:rsidRPr="00572439">
        <w:rPr>
          <w:lang w:eastAsia="ja-JP"/>
        </w:rPr>
        <w:t>valent</w:t>
      </w:r>
      <w:r>
        <w:rPr>
          <w:lang w:eastAsia="ja-JP"/>
        </w:rPr>
        <w:t xml:space="preserve"> vaccine, and has been evaluated previously in submission </w:t>
      </w:r>
      <w:r w:rsidR="00E212AB">
        <w:rPr>
          <w:lang w:eastAsia="ja-JP"/>
        </w:rPr>
        <w:t>of Optaflu</w:t>
      </w:r>
      <w:r>
        <w:rPr>
          <w:lang w:eastAsia="ja-JP"/>
        </w:rPr>
        <w:t>. It forms the efficacy basis for the two</w:t>
      </w:r>
      <w:r w:rsidRPr="00BC309C">
        <w:rPr>
          <w:lang w:eastAsia="ja-JP"/>
        </w:rPr>
        <w:t xml:space="preserve"> </w:t>
      </w:r>
      <w:r w:rsidRPr="00572439">
        <w:rPr>
          <w:lang w:eastAsia="ja-JP"/>
        </w:rPr>
        <w:t>immunogenicity</w:t>
      </w:r>
      <w:r>
        <w:rPr>
          <w:lang w:eastAsia="ja-JP"/>
        </w:rPr>
        <w:t xml:space="preserve"> endpoint</w:t>
      </w:r>
      <w:r w:rsidRPr="00572439">
        <w:rPr>
          <w:lang w:eastAsia="ja-JP"/>
        </w:rPr>
        <w:t xml:space="preserve"> studies</w:t>
      </w:r>
      <w:r>
        <w:rPr>
          <w:lang w:eastAsia="ja-JP"/>
        </w:rPr>
        <w:t xml:space="preserve"> shown above:</w:t>
      </w:r>
    </w:p>
    <w:p w14:paraId="2008B148" w14:textId="4F860BCA" w:rsidR="002278A1" w:rsidRDefault="002278A1" w:rsidP="007B06E1">
      <w:pPr>
        <w:pStyle w:val="ListBullet"/>
      </w:pPr>
      <w:r w:rsidRPr="002278A1">
        <w:t>Study V58P13:</w:t>
      </w:r>
      <w:r>
        <w:t xml:space="preserve"> </w:t>
      </w:r>
      <w:r w:rsidR="0095441F">
        <w:t xml:space="preserve">A </w:t>
      </w:r>
      <w:r>
        <w:t>Phase III, randomised, observer-blind, multicentre efficacy and immunogenicity study to compare TIVc (</w:t>
      </w:r>
      <w:r w:rsidR="002A4557">
        <w:t>Optaflu</w:t>
      </w:r>
      <w:r>
        <w:t xml:space="preserve">) or </w:t>
      </w:r>
      <w:r w:rsidR="002A4557" w:rsidRPr="002A4557">
        <w:t xml:space="preserve">egg </w:t>
      </w:r>
      <w:r w:rsidR="002A4557">
        <w:t>derived</w:t>
      </w:r>
      <w:r w:rsidR="002A4557" w:rsidRPr="002A4557">
        <w:t xml:space="preserve"> trivalent vaccine </w:t>
      </w:r>
      <w:r w:rsidR="002A4557">
        <w:t>(</w:t>
      </w:r>
      <w:r>
        <w:t>TIVeA</w:t>
      </w:r>
      <w:r w:rsidR="002A4557">
        <w:t>)</w:t>
      </w:r>
      <w:r>
        <w:t xml:space="preserve"> to placebo in </w:t>
      </w:r>
      <w:r w:rsidRPr="00247FD9">
        <w:t>11</w:t>
      </w:r>
      <w:r w:rsidR="0095441F">
        <w:t>,</w:t>
      </w:r>
      <w:r w:rsidRPr="00247FD9">
        <w:t xml:space="preserve">404 </w:t>
      </w:r>
      <w:r w:rsidR="00247FD9">
        <w:t>adults</w:t>
      </w:r>
      <w:r w:rsidR="0095441F">
        <w:t xml:space="preserve"> aged</w:t>
      </w:r>
      <w:r w:rsidR="00247FD9">
        <w:t xml:space="preserve"> 18 to 49 years old</w:t>
      </w:r>
      <w:r w:rsidR="0095441F">
        <w:t>.</w:t>
      </w:r>
    </w:p>
    <w:p w14:paraId="0885DBDF" w14:textId="6A95A9C5" w:rsidR="002278A1" w:rsidRDefault="002278A1" w:rsidP="00247FD9">
      <w:pPr>
        <w:rPr>
          <w:lang w:eastAsia="ja-JP"/>
        </w:rPr>
      </w:pPr>
      <w:r>
        <w:rPr>
          <w:lang w:eastAsia="ja-JP"/>
        </w:rPr>
        <w:t xml:space="preserve">The remaining </w:t>
      </w:r>
      <w:r w:rsidRPr="00572439">
        <w:rPr>
          <w:lang w:eastAsia="ja-JP"/>
        </w:rPr>
        <w:t>efficacy</w:t>
      </w:r>
      <w:r>
        <w:rPr>
          <w:lang w:eastAsia="ja-JP"/>
        </w:rPr>
        <w:t>/</w:t>
      </w:r>
      <w:r w:rsidRPr="00572439">
        <w:rPr>
          <w:lang w:eastAsia="ja-JP"/>
        </w:rPr>
        <w:t>immunogenicity</w:t>
      </w:r>
      <w:r>
        <w:rPr>
          <w:lang w:eastAsia="ja-JP"/>
        </w:rPr>
        <w:t xml:space="preserve"> studies investigated the t</w:t>
      </w:r>
      <w:r w:rsidRPr="00572439">
        <w:rPr>
          <w:lang w:eastAsia="ja-JP"/>
        </w:rPr>
        <w:t>rivalent</w:t>
      </w:r>
      <w:r>
        <w:rPr>
          <w:lang w:eastAsia="ja-JP"/>
        </w:rPr>
        <w:t xml:space="preserve"> vaccine (Optaflu). Those studies are supportive to the current application, and most of those have been evaluated previously in submission </w:t>
      </w:r>
      <w:r w:rsidR="00E212AB">
        <w:rPr>
          <w:lang w:eastAsia="ja-JP"/>
        </w:rPr>
        <w:t>of Optaflu</w:t>
      </w:r>
      <w:r>
        <w:rPr>
          <w:lang w:eastAsia="ja-JP"/>
        </w:rPr>
        <w:t xml:space="preserve">, namely </w:t>
      </w:r>
      <w:r w:rsidR="0095441F">
        <w:rPr>
          <w:lang w:eastAsia="ja-JP"/>
        </w:rPr>
        <w:t xml:space="preserve">Studies </w:t>
      </w:r>
      <w:r w:rsidRPr="00AB7DAC">
        <w:rPr>
          <w:lang w:eastAsia="ja-JP"/>
        </w:rPr>
        <w:t>V58P1</w:t>
      </w:r>
      <w:r>
        <w:rPr>
          <w:lang w:eastAsia="ja-JP"/>
        </w:rPr>
        <w:t>, V58P2,</w:t>
      </w:r>
      <w:r w:rsidRPr="0011130A">
        <w:rPr>
          <w:lang w:eastAsia="ja-JP"/>
        </w:rPr>
        <w:t xml:space="preserve"> </w:t>
      </w:r>
      <w:r>
        <w:rPr>
          <w:lang w:eastAsia="ja-JP"/>
        </w:rPr>
        <w:t>V58P4,</w:t>
      </w:r>
      <w:r w:rsidRPr="0011130A">
        <w:rPr>
          <w:lang w:eastAsia="ja-JP"/>
        </w:rPr>
        <w:t xml:space="preserve"> </w:t>
      </w:r>
      <w:r>
        <w:rPr>
          <w:lang w:eastAsia="ja-JP"/>
        </w:rPr>
        <w:t>V58P4E1,</w:t>
      </w:r>
      <w:r w:rsidRPr="0011130A">
        <w:rPr>
          <w:lang w:eastAsia="ja-JP"/>
        </w:rPr>
        <w:t xml:space="preserve"> </w:t>
      </w:r>
      <w:r>
        <w:rPr>
          <w:lang w:eastAsia="ja-JP"/>
        </w:rPr>
        <w:t xml:space="preserve">V58P4E2, </w:t>
      </w:r>
      <w:r w:rsidRPr="0011130A">
        <w:rPr>
          <w:lang w:eastAsia="ja-JP"/>
        </w:rPr>
        <w:t>V58P5</w:t>
      </w:r>
      <w:r>
        <w:rPr>
          <w:lang w:eastAsia="ja-JP"/>
        </w:rPr>
        <w:t xml:space="preserve">, </w:t>
      </w:r>
      <w:r w:rsidRPr="0011130A">
        <w:rPr>
          <w:lang w:eastAsia="ja-JP"/>
        </w:rPr>
        <w:t>V58P9</w:t>
      </w:r>
      <w:r>
        <w:rPr>
          <w:lang w:eastAsia="ja-JP"/>
        </w:rPr>
        <w:t xml:space="preserve">, </w:t>
      </w:r>
      <w:r w:rsidRPr="0011130A">
        <w:rPr>
          <w:lang w:eastAsia="ja-JP"/>
        </w:rPr>
        <w:t>V58_23</w:t>
      </w:r>
      <w:r>
        <w:rPr>
          <w:lang w:eastAsia="ja-JP"/>
        </w:rPr>
        <w:t xml:space="preserve">, </w:t>
      </w:r>
      <w:r w:rsidRPr="0011130A">
        <w:rPr>
          <w:lang w:eastAsia="ja-JP"/>
        </w:rPr>
        <w:t>V58P12</w:t>
      </w:r>
      <w:r>
        <w:rPr>
          <w:lang w:eastAsia="ja-JP"/>
        </w:rPr>
        <w:t xml:space="preserve">, </w:t>
      </w:r>
      <w:r w:rsidRPr="0011130A">
        <w:rPr>
          <w:lang w:eastAsia="ja-JP"/>
        </w:rPr>
        <w:t>V58_31</w:t>
      </w:r>
      <w:r>
        <w:rPr>
          <w:lang w:eastAsia="ja-JP"/>
        </w:rPr>
        <w:t xml:space="preserve">, and </w:t>
      </w:r>
      <w:r w:rsidRPr="0011130A">
        <w:rPr>
          <w:lang w:eastAsia="ja-JP"/>
        </w:rPr>
        <w:t>V58P16</w:t>
      </w:r>
      <w:r>
        <w:rPr>
          <w:lang w:eastAsia="ja-JP"/>
        </w:rPr>
        <w:t>.</w:t>
      </w:r>
    </w:p>
    <w:p w14:paraId="12509CC8" w14:textId="77777777" w:rsidR="002278A1" w:rsidRDefault="002278A1" w:rsidP="002278A1">
      <w:pPr>
        <w:rPr>
          <w:lang w:eastAsia="ja-JP"/>
        </w:rPr>
      </w:pPr>
      <w:r w:rsidRPr="00247FD9">
        <w:t>Study V130_01 and Study V130_03 are considered the pivotal trials with nearly identical study design (including the same strains</w:t>
      </w:r>
      <w:r w:rsidR="00247FD9">
        <w:rPr>
          <w:lang w:eastAsia="ja-JP"/>
        </w:rPr>
        <w:t xml:space="preserve"> used in in the 2013 to 20</w:t>
      </w:r>
      <w:r w:rsidRPr="00765C82">
        <w:rPr>
          <w:lang w:eastAsia="ja-JP"/>
        </w:rPr>
        <w:t>14 season, and the same comparator vaccines)</w:t>
      </w:r>
      <w:r>
        <w:rPr>
          <w:lang w:eastAsia="ja-JP"/>
        </w:rPr>
        <w:t xml:space="preserve"> with the major differences relating to the age group investigated.</w:t>
      </w:r>
    </w:p>
    <w:p w14:paraId="399B62EC" w14:textId="6C50F726" w:rsidR="002278A1" w:rsidRDefault="002278A1" w:rsidP="002278A1">
      <w:pPr>
        <w:rPr>
          <w:lang w:eastAsia="ja-JP"/>
        </w:rPr>
      </w:pPr>
      <w:r w:rsidRPr="008E5AE8">
        <w:rPr>
          <w:lang w:eastAsia="ja-JP"/>
        </w:rPr>
        <w:t>In the pivotal clinical trials, a total of 2493 subjects were exposed</w:t>
      </w:r>
      <w:r w:rsidRPr="008E5AE8">
        <w:t xml:space="preserve"> to Flucelvax Quad.</w:t>
      </w:r>
      <w:r w:rsidRPr="008E5AE8">
        <w:rPr>
          <w:lang w:eastAsia="ja-JP"/>
        </w:rPr>
        <w:t xml:space="preserve"> 1334</w:t>
      </w:r>
      <w:r w:rsidR="0095441F">
        <w:rPr>
          <w:lang w:eastAsia="ja-JP"/>
        </w:rPr>
        <w:t> </w:t>
      </w:r>
      <w:r w:rsidRPr="008E5AE8">
        <w:rPr>
          <w:lang w:eastAsia="ja-JP"/>
        </w:rPr>
        <w:t>adults (≥</w:t>
      </w:r>
      <w:r w:rsidR="00247FD9">
        <w:rPr>
          <w:lang w:eastAsia="ja-JP"/>
        </w:rPr>
        <w:t xml:space="preserve"> 18 years</w:t>
      </w:r>
      <w:r w:rsidRPr="008E5AE8">
        <w:rPr>
          <w:lang w:eastAsia="ja-JP"/>
        </w:rPr>
        <w:t>) were exposed in Study V130_01, and 1159 paediatric subjects (</w:t>
      </w:r>
      <w:r w:rsidR="0095441F">
        <w:rPr>
          <w:lang w:eastAsia="ja-JP"/>
        </w:rPr>
        <w:t xml:space="preserve">aged </w:t>
      </w:r>
      <w:r w:rsidRPr="008E5AE8">
        <w:rPr>
          <w:lang w:eastAsia="ja-JP"/>
        </w:rPr>
        <w:t>4</w:t>
      </w:r>
      <w:r w:rsidR="0095441F">
        <w:rPr>
          <w:lang w:eastAsia="ja-JP"/>
        </w:rPr>
        <w:t> </w:t>
      </w:r>
      <w:r w:rsidRPr="008E5AE8">
        <w:rPr>
          <w:lang w:eastAsia="ja-JP"/>
        </w:rPr>
        <w:t>to &lt;</w:t>
      </w:r>
      <w:r w:rsidR="00247FD9">
        <w:rPr>
          <w:lang w:eastAsia="ja-JP"/>
        </w:rPr>
        <w:t xml:space="preserve"> 18 years</w:t>
      </w:r>
      <w:r w:rsidRPr="008E5AE8">
        <w:rPr>
          <w:lang w:eastAsia="ja-JP"/>
        </w:rPr>
        <w:t>) were exposed in Study V130_03.</w:t>
      </w:r>
    </w:p>
    <w:p w14:paraId="192ECF67" w14:textId="4E6C7395" w:rsidR="002278A1" w:rsidRDefault="002278A1" w:rsidP="002278A1">
      <w:pPr>
        <w:rPr>
          <w:lang w:eastAsia="ja-JP"/>
        </w:rPr>
      </w:pPr>
      <w:r>
        <w:rPr>
          <w:lang w:eastAsia="ja-JP"/>
        </w:rPr>
        <w:t xml:space="preserve">An overview of </w:t>
      </w:r>
      <w:r w:rsidRPr="00B35696">
        <w:rPr>
          <w:lang w:eastAsia="ja-JP"/>
        </w:rPr>
        <w:t>vaccines used in the clinical studies (main studies only)</w:t>
      </w:r>
      <w:r w:rsidR="00247FD9">
        <w:rPr>
          <w:lang w:eastAsia="ja-JP"/>
        </w:rPr>
        <w:t xml:space="preserve"> is </w:t>
      </w:r>
      <w:r w:rsidR="0095441F">
        <w:rPr>
          <w:lang w:eastAsia="ja-JP"/>
        </w:rPr>
        <w:t xml:space="preserve">shown </w:t>
      </w:r>
      <w:r w:rsidR="00247FD9">
        <w:rPr>
          <w:lang w:eastAsia="ja-JP"/>
        </w:rPr>
        <w:t>in</w:t>
      </w:r>
      <w:r>
        <w:rPr>
          <w:lang w:eastAsia="ja-JP"/>
        </w:rPr>
        <w:t xml:space="preserve"> </w:t>
      </w:r>
      <w:r w:rsidR="00247FD9">
        <w:rPr>
          <w:lang w:eastAsia="ja-JP"/>
        </w:rPr>
        <w:fldChar w:fldCharType="begin"/>
      </w:r>
      <w:r w:rsidR="00247FD9">
        <w:rPr>
          <w:lang w:eastAsia="ja-JP"/>
        </w:rPr>
        <w:instrText xml:space="preserve"> REF _Ref56781921 \h </w:instrText>
      </w:r>
      <w:r w:rsidR="00247FD9">
        <w:rPr>
          <w:lang w:eastAsia="ja-JP"/>
        </w:rPr>
      </w:r>
      <w:r w:rsidR="00247FD9">
        <w:rPr>
          <w:lang w:eastAsia="ja-JP"/>
        </w:rPr>
        <w:fldChar w:fldCharType="separate"/>
      </w:r>
      <w:r w:rsidR="007B06E1">
        <w:t>Table </w:t>
      </w:r>
      <w:r w:rsidR="0064386B">
        <w:rPr>
          <w:noProof/>
        </w:rPr>
        <w:t>3</w:t>
      </w:r>
      <w:r w:rsidR="00247FD9">
        <w:rPr>
          <w:lang w:eastAsia="ja-JP"/>
        </w:rPr>
        <w:fldChar w:fldCharType="end"/>
      </w:r>
      <w:r w:rsidR="00247FD9">
        <w:rPr>
          <w:lang w:eastAsia="ja-JP"/>
        </w:rPr>
        <w:t>.</w:t>
      </w:r>
    </w:p>
    <w:p w14:paraId="33D769D3" w14:textId="1E9FC074" w:rsidR="00247FD9" w:rsidRDefault="00247FD9" w:rsidP="00247FD9">
      <w:pPr>
        <w:pStyle w:val="TableTitle"/>
        <w:rPr>
          <w:lang w:eastAsia="ja-JP"/>
        </w:rPr>
      </w:pPr>
      <w:bookmarkStart w:id="41" w:name="_Ref56781921"/>
      <w:r w:rsidRPr="00247FD9">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3</w:t>
      </w:r>
      <w:r w:rsidR="0012347D">
        <w:rPr>
          <w:noProof/>
        </w:rPr>
        <w:fldChar w:fldCharType="end"/>
      </w:r>
      <w:bookmarkEnd w:id="41"/>
      <w:r>
        <w:t xml:space="preserve">: </w:t>
      </w:r>
      <w:r w:rsidRPr="00247FD9">
        <w:t>Overview of vaccines used in the clini</w:t>
      </w:r>
      <w:r>
        <w:t>cal studies (main studies only)</w:t>
      </w:r>
    </w:p>
    <w:tbl>
      <w:tblPr>
        <w:tblStyle w:val="TableTGAblue"/>
        <w:tblW w:w="0" w:type="auto"/>
        <w:tblLook w:val="04A0" w:firstRow="1" w:lastRow="0" w:firstColumn="1" w:lastColumn="0" w:noHBand="0" w:noVBand="1"/>
      </w:tblPr>
      <w:tblGrid>
        <w:gridCol w:w="2407"/>
        <w:gridCol w:w="6087"/>
      </w:tblGrid>
      <w:tr w:rsidR="00247FD9" w:rsidRPr="00186664" w14:paraId="09872703" w14:textId="77777777" w:rsidTr="00247FD9">
        <w:trPr>
          <w:cnfStyle w:val="100000000000" w:firstRow="1" w:lastRow="0" w:firstColumn="0" w:lastColumn="0" w:oddVBand="0" w:evenVBand="0" w:oddHBand="0" w:evenHBand="0" w:firstRowFirstColumn="0" w:firstRowLastColumn="0" w:lastRowFirstColumn="0" w:lastRowLastColumn="0"/>
        </w:trPr>
        <w:tc>
          <w:tcPr>
            <w:tcW w:w="2416" w:type="dxa"/>
            <w:tcBorders>
              <w:top w:val="single" w:sz="4" w:space="0" w:color="auto"/>
              <w:left w:val="single" w:sz="4" w:space="0" w:color="auto"/>
              <w:bottom w:val="single" w:sz="4" w:space="0" w:color="auto"/>
              <w:right w:val="single" w:sz="4" w:space="0" w:color="auto"/>
            </w:tcBorders>
          </w:tcPr>
          <w:p w14:paraId="6A03A176" w14:textId="77777777" w:rsidR="00247FD9" w:rsidRPr="0064386B" w:rsidRDefault="00247FD9" w:rsidP="0064386B">
            <w:pPr>
              <w:ind w:left="0"/>
            </w:pPr>
            <w:r w:rsidRPr="0095441F">
              <w:t>Vaccine</w:t>
            </w:r>
          </w:p>
        </w:tc>
        <w:tc>
          <w:tcPr>
            <w:tcW w:w="6304" w:type="dxa"/>
            <w:tcBorders>
              <w:top w:val="single" w:sz="4" w:space="0" w:color="auto"/>
              <w:left w:val="single" w:sz="4" w:space="0" w:color="auto"/>
              <w:bottom w:val="single" w:sz="4" w:space="0" w:color="auto"/>
              <w:right w:val="single" w:sz="4" w:space="0" w:color="auto"/>
            </w:tcBorders>
          </w:tcPr>
          <w:p w14:paraId="28561598" w14:textId="77777777" w:rsidR="00247FD9" w:rsidRPr="0064386B" w:rsidRDefault="00247FD9" w:rsidP="00E212AB">
            <w:r w:rsidRPr="0095441F">
              <w:t>Significance</w:t>
            </w:r>
          </w:p>
        </w:tc>
      </w:tr>
      <w:tr w:rsidR="00247FD9" w14:paraId="2114C7AB" w14:textId="77777777" w:rsidTr="00247FD9">
        <w:tc>
          <w:tcPr>
            <w:tcW w:w="2416" w:type="dxa"/>
            <w:tcBorders>
              <w:top w:val="single" w:sz="4" w:space="0" w:color="auto"/>
            </w:tcBorders>
          </w:tcPr>
          <w:p w14:paraId="20F059CF" w14:textId="77777777" w:rsidR="00247FD9" w:rsidRDefault="00247FD9" w:rsidP="001340B7">
            <w:pPr>
              <w:ind w:left="0"/>
            </w:pPr>
            <w:r>
              <w:t>QIVc</w:t>
            </w:r>
          </w:p>
          <w:p w14:paraId="3FB22B1F" w14:textId="77777777" w:rsidR="00247FD9" w:rsidRDefault="00247FD9" w:rsidP="001340B7">
            <w:pPr>
              <w:ind w:left="0"/>
            </w:pPr>
            <w:r>
              <w:t>(Flucelvax Quad</w:t>
            </w:r>
            <w:r w:rsidRPr="00B24DA5">
              <w:t>)</w:t>
            </w:r>
          </w:p>
        </w:tc>
        <w:tc>
          <w:tcPr>
            <w:tcW w:w="6304" w:type="dxa"/>
            <w:tcBorders>
              <w:top w:val="single" w:sz="4" w:space="0" w:color="auto"/>
            </w:tcBorders>
          </w:tcPr>
          <w:p w14:paraId="312D24B2" w14:textId="77777777" w:rsidR="00247FD9" w:rsidRDefault="00247FD9" w:rsidP="00E212AB">
            <w:r>
              <w:t xml:space="preserve">Used in Studies </w:t>
            </w:r>
            <w:r w:rsidRPr="00267F65">
              <w:t>V130_01</w:t>
            </w:r>
            <w:r>
              <w:t xml:space="preserve"> and V130_03:</w:t>
            </w:r>
          </w:p>
          <w:p w14:paraId="2BE591BD" w14:textId="78B05FC9" w:rsidR="00247FD9" w:rsidRDefault="00247FD9" w:rsidP="002A4557">
            <w:r>
              <w:t>Quadrivalent cell-</w:t>
            </w:r>
            <w:r w:rsidR="002A4557">
              <w:t>culture derived</w:t>
            </w:r>
            <w:r>
              <w:t xml:space="preserve"> influenza vaccine under evaluation in this submission</w:t>
            </w:r>
          </w:p>
        </w:tc>
      </w:tr>
      <w:tr w:rsidR="00247FD9" w14:paraId="465954A3" w14:textId="77777777" w:rsidTr="00247FD9">
        <w:tc>
          <w:tcPr>
            <w:tcW w:w="2416" w:type="dxa"/>
          </w:tcPr>
          <w:p w14:paraId="353CB3F4" w14:textId="77777777" w:rsidR="00247FD9" w:rsidRDefault="00247FD9" w:rsidP="001340B7">
            <w:pPr>
              <w:ind w:left="0"/>
            </w:pPr>
            <w:r>
              <w:t>TIVc</w:t>
            </w:r>
          </w:p>
          <w:p w14:paraId="74D06065" w14:textId="77777777" w:rsidR="00247FD9" w:rsidRDefault="00247FD9" w:rsidP="001340B7">
            <w:pPr>
              <w:ind w:left="0"/>
            </w:pPr>
            <w:r w:rsidRPr="00B24DA5">
              <w:t>(Flucelvax/Optaflu)</w:t>
            </w:r>
          </w:p>
        </w:tc>
        <w:tc>
          <w:tcPr>
            <w:tcW w:w="6304" w:type="dxa"/>
          </w:tcPr>
          <w:p w14:paraId="790EEAD7" w14:textId="77777777" w:rsidR="00247FD9" w:rsidRDefault="00247FD9" w:rsidP="00E212AB">
            <w:r>
              <w:t>Used in Study V58P13:</w:t>
            </w:r>
          </w:p>
          <w:p w14:paraId="4C542687" w14:textId="4E203EB7" w:rsidR="00247FD9" w:rsidRDefault="00247FD9" w:rsidP="00E212AB">
            <w:r>
              <w:t xml:space="preserve">Trivalent </w:t>
            </w:r>
            <w:r w:rsidR="002A4557">
              <w:t>cell-culture derived</w:t>
            </w:r>
            <w:r>
              <w:t xml:space="preserve"> influenza vaccine under evaluation in the Optaflu submission; provides supportive data for this submission</w:t>
            </w:r>
          </w:p>
          <w:p w14:paraId="5356DC96" w14:textId="77777777" w:rsidR="00247FD9" w:rsidRDefault="00247FD9" w:rsidP="00E212AB">
            <w:r>
              <w:t>In parts of the dossier referred to as CCI (cell culture-derived influenza virus vaccine; not to be confused with culture-confirmed illness)</w:t>
            </w:r>
          </w:p>
        </w:tc>
      </w:tr>
      <w:tr w:rsidR="00247FD9" w14:paraId="01F58A26" w14:textId="77777777" w:rsidTr="00247FD9">
        <w:tc>
          <w:tcPr>
            <w:tcW w:w="2416" w:type="dxa"/>
          </w:tcPr>
          <w:p w14:paraId="6C10CB80" w14:textId="77777777" w:rsidR="00247FD9" w:rsidRDefault="00247FD9" w:rsidP="001340B7">
            <w:pPr>
              <w:ind w:left="0"/>
            </w:pPr>
            <w:r w:rsidRPr="00267F65">
              <w:t>TIVeA</w:t>
            </w:r>
          </w:p>
          <w:p w14:paraId="5B5BE8FB" w14:textId="77777777" w:rsidR="00247FD9" w:rsidRDefault="00247FD9" w:rsidP="001340B7">
            <w:pPr>
              <w:ind w:left="0"/>
            </w:pPr>
            <w:r>
              <w:t>(Agrippal)</w:t>
            </w:r>
          </w:p>
        </w:tc>
        <w:tc>
          <w:tcPr>
            <w:tcW w:w="6304" w:type="dxa"/>
          </w:tcPr>
          <w:p w14:paraId="7005CC35" w14:textId="77777777" w:rsidR="00247FD9" w:rsidRDefault="00247FD9" w:rsidP="00E212AB">
            <w:r>
              <w:t>Used in Study V58P13:</w:t>
            </w:r>
          </w:p>
          <w:p w14:paraId="29780418" w14:textId="6FF05FC4" w:rsidR="00247FD9" w:rsidRDefault="00247FD9" w:rsidP="00E212AB">
            <w:r>
              <w:t xml:space="preserve">Comparator trivalent </w:t>
            </w:r>
            <w:r w:rsidR="002F3FE1">
              <w:t>egg-derived influenza virus v</w:t>
            </w:r>
            <w:r w:rsidR="002F3FE1" w:rsidRPr="00C20782">
              <w:t>accine</w:t>
            </w:r>
            <w:r w:rsidR="002F3FE1">
              <w:t xml:space="preserve"> (</w:t>
            </w:r>
            <w:r>
              <w:t>IVV</w:t>
            </w:r>
            <w:r w:rsidR="002F3FE1">
              <w:t>)</w:t>
            </w:r>
            <w:r>
              <w:t xml:space="preserve"> vaccine; provides supportive data for this submission</w:t>
            </w:r>
          </w:p>
          <w:p w14:paraId="7C41C37D" w14:textId="365B308E" w:rsidR="00247FD9" w:rsidRDefault="00247FD9" w:rsidP="002F3FE1">
            <w:r>
              <w:t xml:space="preserve">In parts of the dossier referred to as IVV </w:t>
            </w:r>
          </w:p>
        </w:tc>
      </w:tr>
      <w:tr w:rsidR="00247FD9" w14:paraId="7EFA33E0" w14:textId="77777777" w:rsidTr="00247FD9">
        <w:tc>
          <w:tcPr>
            <w:tcW w:w="2416" w:type="dxa"/>
          </w:tcPr>
          <w:p w14:paraId="43C19179" w14:textId="77777777" w:rsidR="00247FD9" w:rsidRDefault="00247FD9" w:rsidP="001340B7">
            <w:pPr>
              <w:ind w:left="0"/>
            </w:pPr>
            <w:r>
              <w:t xml:space="preserve">TIV1c </w:t>
            </w:r>
          </w:p>
        </w:tc>
        <w:tc>
          <w:tcPr>
            <w:tcW w:w="6304" w:type="dxa"/>
          </w:tcPr>
          <w:p w14:paraId="73F6953D" w14:textId="77777777" w:rsidR="00247FD9" w:rsidRDefault="00247FD9" w:rsidP="00E212AB">
            <w:r>
              <w:t xml:space="preserve">Used in Studies </w:t>
            </w:r>
            <w:r w:rsidRPr="00267F65">
              <w:t>V130_01</w:t>
            </w:r>
            <w:r>
              <w:t xml:space="preserve"> and V130_03:</w:t>
            </w:r>
          </w:p>
          <w:p w14:paraId="55C8448A" w14:textId="77777777" w:rsidR="00247FD9" w:rsidRDefault="00247FD9" w:rsidP="00E212AB">
            <w:r w:rsidRPr="00CC220A">
              <w:t>TIVc formulation containing all 3 WHO recommended strains for trivalent influenza virus vaccine composition (including B/Massachusetts)</w:t>
            </w:r>
          </w:p>
        </w:tc>
      </w:tr>
      <w:tr w:rsidR="00247FD9" w14:paraId="5D126BE9" w14:textId="77777777" w:rsidTr="00247FD9">
        <w:tc>
          <w:tcPr>
            <w:tcW w:w="2416" w:type="dxa"/>
          </w:tcPr>
          <w:p w14:paraId="5FA51F18" w14:textId="77777777" w:rsidR="00247FD9" w:rsidRDefault="00247FD9" w:rsidP="001340B7">
            <w:pPr>
              <w:ind w:left="0"/>
            </w:pPr>
            <w:r>
              <w:t xml:space="preserve">TIV2c </w:t>
            </w:r>
          </w:p>
        </w:tc>
        <w:tc>
          <w:tcPr>
            <w:tcW w:w="6304" w:type="dxa"/>
          </w:tcPr>
          <w:p w14:paraId="5CA6CC56" w14:textId="77777777" w:rsidR="00247FD9" w:rsidRDefault="00247FD9" w:rsidP="00E212AB">
            <w:r w:rsidRPr="00267F65">
              <w:t>Used in Studies V130_01 and V130_03</w:t>
            </w:r>
            <w:r>
              <w:t>:</w:t>
            </w:r>
          </w:p>
          <w:p w14:paraId="05F9D94F" w14:textId="77777777" w:rsidR="00247FD9" w:rsidRDefault="00247FD9" w:rsidP="00E212AB">
            <w:r w:rsidRPr="00CC220A">
              <w:t>TIVc formulation containing both WHO recommended A strains for trivalent influenza virus vaccine composition and the influenza B/Brisbane strain from the alternate Victoria lineage</w:t>
            </w:r>
          </w:p>
        </w:tc>
      </w:tr>
    </w:tbl>
    <w:p w14:paraId="26C2BD09" w14:textId="77777777" w:rsidR="00247FD9" w:rsidRDefault="00247FD9" w:rsidP="00247FD9">
      <w:pPr>
        <w:pStyle w:val="Heading5"/>
      </w:pPr>
      <w:r w:rsidRPr="00501195">
        <w:t>Study V130_01</w:t>
      </w:r>
    </w:p>
    <w:p w14:paraId="17DAD19F" w14:textId="693657EC" w:rsidR="00247FD9" w:rsidRDefault="0095441F" w:rsidP="00247FD9">
      <w:r>
        <w:t xml:space="preserve">This was a </w:t>
      </w:r>
      <w:r w:rsidR="00247FD9">
        <w:t>Phase III, stratified, randomised, double</w:t>
      </w:r>
      <w:r w:rsidR="002F3FE1">
        <w:t xml:space="preserve"> </w:t>
      </w:r>
      <w:r w:rsidR="00247FD9">
        <w:t xml:space="preserve">blind, multicentre (40 centres in </w:t>
      </w:r>
      <w:r>
        <w:t xml:space="preserve">the </w:t>
      </w:r>
      <w:r w:rsidR="00247FD9">
        <w:t xml:space="preserve">USA), non-inferiority study to evaluate the safety and immunogenicity of Flucelvax Quad compared to TIV1c/TIV2c in 2680 adults aged ≥ </w:t>
      </w:r>
      <w:r w:rsidR="00375E45">
        <w:t>18 years of age</w:t>
      </w:r>
      <w:r w:rsidR="00247FD9">
        <w:t xml:space="preserve"> between November 2013 and July 2014.</w:t>
      </w:r>
    </w:p>
    <w:p w14:paraId="40A881F3" w14:textId="77777777" w:rsidR="00247FD9" w:rsidRDefault="00247FD9" w:rsidP="00247FD9">
      <w:r>
        <w:t>The population was randomised 2:1:1 to receive QIVc, TIV1c, or TIV2c, and further analysed by age cohort (≥ 18 years to &lt; 65 years, and ≥ 65 years).</w:t>
      </w:r>
    </w:p>
    <w:p w14:paraId="1B8E222B" w14:textId="1C4C3AB5" w:rsidR="00247FD9" w:rsidRDefault="00247FD9" w:rsidP="00247FD9">
      <w:r>
        <w:t xml:space="preserve">The primary non-inferiority objective was assessed by the ratio of </w:t>
      </w:r>
      <w:r w:rsidR="002F3FE1">
        <w:t>geometric mean titre (</w:t>
      </w:r>
      <w:r>
        <w:t>GMTs</w:t>
      </w:r>
      <w:r w:rsidR="002F3FE1">
        <w:t>)</w:t>
      </w:r>
      <w:r>
        <w:t xml:space="preserve"> and difference in seroconversion rates at Day 1 and 22, for each strain. Secondary objectives included superiority assessment using the same variables. Safety follow-up occurred until Day 181.</w:t>
      </w:r>
    </w:p>
    <w:p w14:paraId="36C18BC3" w14:textId="7A4977C8" w:rsidR="00247FD9" w:rsidRDefault="00247FD9" w:rsidP="00247FD9">
      <w:r>
        <w:t xml:space="preserve">For the non-inferiority and superiority analyses, the criteria used are specified in </w:t>
      </w:r>
      <w:r>
        <w:fldChar w:fldCharType="begin"/>
      </w:r>
      <w:r>
        <w:instrText xml:space="preserve"> REF _Ref56782114 \h </w:instrText>
      </w:r>
      <w:r>
        <w:fldChar w:fldCharType="separate"/>
      </w:r>
      <w:r w:rsidR="0064386B">
        <w:t xml:space="preserve">Table </w:t>
      </w:r>
      <w:r w:rsidR="0064386B">
        <w:rPr>
          <w:noProof/>
        </w:rPr>
        <w:t>4</w:t>
      </w:r>
      <w:r>
        <w:fldChar w:fldCharType="end"/>
      </w:r>
      <w:r w:rsidR="00A11E37">
        <w:t>.</w:t>
      </w:r>
    </w:p>
    <w:p w14:paraId="3A1B7DE6" w14:textId="36C4D1AE" w:rsidR="002278A1" w:rsidRDefault="00247FD9" w:rsidP="001340B7">
      <w:pPr>
        <w:pStyle w:val="TableTitle"/>
      </w:pPr>
      <w:bookmarkStart w:id="42" w:name="_Ref56782114"/>
      <w:r>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4</w:t>
      </w:r>
      <w:r w:rsidR="0012347D">
        <w:rPr>
          <w:noProof/>
        </w:rPr>
        <w:fldChar w:fldCharType="end"/>
      </w:r>
      <w:bookmarkEnd w:id="42"/>
      <w:r>
        <w:t xml:space="preserve">: </w:t>
      </w:r>
      <w:r w:rsidR="00485BA7" w:rsidRPr="00485BA7">
        <w:t>Study V130_01</w:t>
      </w:r>
      <w:r w:rsidR="00485BA7">
        <w:t xml:space="preserve"> </w:t>
      </w:r>
      <w:r w:rsidR="0095441F">
        <w:t>T</w:t>
      </w:r>
      <w:r w:rsidRPr="001340B7">
        <w:t>reatment</w:t>
      </w:r>
      <w:r w:rsidR="002F3FE1">
        <w:t>s</w:t>
      </w:r>
      <w:r w:rsidRPr="001340B7">
        <w:t xml:space="preserve"> </w:t>
      </w:r>
      <w:r w:rsidR="001340B7">
        <w:t xml:space="preserve">and conditions </w:t>
      </w:r>
      <w:r w:rsidR="006E6AC3">
        <w:t>(15 µ</w:t>
      </w:r>
      <w:r w:rsidR="00C11C9F">
        <w:t xml:space="preserve">g of </w:t>
      </w:r>
      <w:r w:rsidR="00C11C9F">
        <w:rPr>
          <w:rFonts w:asciiTheme="minorHAnsi" w:eastAsia="Times New Roman" w:hAnsiTheme="minorHAnsi" w:cs="Calibri"/>
          <w:color w:val="000000"/>
        </w:rPr>
        <w:t>h</w:t>
      </w:r>
      <w:r w:rsidR="00C11C9F" w:rsidRPr="009253CF">
        <w:rPr>
          <w:rFonts w:asciiTheme="minorHAnsi" w:eastAsia="Times New Roman" w:hAnsiTheme="minorHAnsi" w:cs="Calibri"/>
          <w:color w:val="000000"/>
        </w:rPr>
        <w:t>aemagglutinin</w:t>
      </w:r>
      <w:r w:rsidR="001340B7" w:rsidRPr="001340B7">
        <w:t xml:space="preserve"> for each strain)</w:t>
      </w:r>
    </w:p>
    <w:tbl>
      <w:tblPr>
        <w:tblStyle w:val="TableTGAblue"/>
        <w:tblW w:w="0" w:type="auto"/>
        <w:tblLook w:val="04A0" w:firstRow="1" w:lastRow="0" w:firstColumn="1" w:lastColumn="0" w:noHBand="0" w:noVBand="1"/>
      </w:tblPr>
      <w:tblGrid>
        <w:gridCol w:w="2888"/>
        <w:gridCol w:w="2889"/>
        <w:gridCol w:w="2717"/>
      </w:tblGrid>
      <w:tr w:rsidR="00247FD9" w:rsidRPr="00F75299" w14:paraId="2F552657" w14:textId="77777777" w:rsidTr="00E212AB">
        <w:trPr>
          <w:cnfStyle w:val="100000000000" w:firstRow="1" w:lastRow="0" w:firstColumn="0" w:lastColumn="0" w:oddVBand="0" w:evenVBand="0" w:oddHBand="0" w:evenHBand="0" w:firstRowFirstColumn="0" w:firstRowLastColumn="0" w:lastRowFirstColumn="0" w:lastRowLastColumn="0"/>
        </w:trPr>
        <w:tc>
          <w:tcPr>
            <w:tcW w:w="2936" w:type="dxa"/>
            <w:tcBorders>
              <w:top w:val="single" w:sz="4" w:space="0" w:color="auto"/>
              <w:left w:val="single" w:sz="4" w:space="0" w:color="auto"/>
              <w:bottom w:val="single" w:sz="4" w:space="0" w:color="auto"/>
              <w:right w:val="single" w:sz="4" w:space="0" w:color="auto"/>
            </w:tcBorders>
          </w:tcPr>
          <w:p w14:paraId="4BB9B406" w14:textId="07B14345" w:rsidR="00247FD9" w:rsidRPr="006F1346" w:rsidRDefault="00247FD9" w:rsidP="0095441F">
            <w:r w:rsidRPr="0095441F">
              <w:t>QIVc (Flucelvax Quad) (n</w:t>
            </w:r>
            <w:r w:rsidR="006E6AC3" w:rsidRPr="006F1346">
              <w:t xml:space="preserve"> = </w:t>
            </w:r>
            <w:r w:rsidRPr="006F1346">
              <w:t>1335)</w:t>
            </w:r>
          </w:p>
        </w:tc>
        <w:tc>
          <w:tcPr>
            <w:tcW w:w="2937" w:type="dxa"/>
            <w:tcBorders>
              <w:top w:val="single" w:sz="4" w:space="0" w:color="auto"/>
              <w:left w:val="single" w:sz="4" w:space="0" w:color="auto"/>
              <w:bottom w:val="single" w:sz="4" w:space="0" w:color="auto"/>
              <w:right w:val="single" w:sz="4" w:space="0" w:color="auto"/>
            </w:tcBorders>
          </w:tcPr>
          <w:p w14:paraId="2E3C315B" w14:textId="1A6518A8" w:rsidR="00247FD9" w:rsidRPr="0095441F" w:rsidRDefault="00247FD9" w:rsidP="0064386B">
            <w:r w:rsidRPr="006F1346">
              <w:t>TIV1c (Flucelvax) (n</w:t>
            </w:r>
            <w:r w:rsidR="0095441F">
              <w:t> </w:t>
            </w:r>
            <w:r w:rsidR="006E6AC3" w:rsidRPr="0095441F">
              <w:t>=</w:t>
            </w:r>
            <w:r w:rsidR="0095441F">
              <w:t> </w:t>
            </w:r>
            <w:r w:rsidRPr="0095441F">
              <w:t>676)</w:t>
            </w:r>
          </w:p>
        </w:tc>
        <w:tc>
          <w:tcPr>
            <w:tcW w:w="2847" w:type="dxa"/>
            <w:tcBorders>
              <w:top w:val="single" w:sz="4" w:space="0" w:color="auto"/>
              <w:left w:val="single" w:sz="4" w:space="0" w:color="auto"/>
              <w:bottom w:val="single" w:sz="4" w:space="0" w:color="auto"/>
              <w:right w:val="single" w:sz="4" w:space="0" w:color="auto"/>
            </w:tcBorders>
          </w:tcPr>
          <w:p w14:paraId="563E4E78" w14:textId="0EA109E3" w:rsidR="00247FD9" w:rsidRPr="0095441F" w:rsidRDefault="00247FD9" w:rsidP="0064386B">
            <w:r w:rsidRPr="0095441F">
              <w:t>TIV2c</w:t>
            </w:r>
            <w:r w:rsidR="0095441F">
              <w:br/>
            </w:r>
            <w:r w:rsidRPr="0095441F">
              <w:t>(n</w:t>
            </w:r>
            <w:r w:rsidR="0095441F">
              <w:t> </w:t>
            </w:r>
            <w:r w:rsidR="006E6AC3" w:rsidRPr="0095441F">
              <w:t>=</w:t>
            </w:r>
            <w:r w:rsidR="0095441F">
              <w:t> </w:t>
            </w:r>
            <w:r w:rsidRPr="0095441F">
              <w:t>669)</w:t>
            </w:r>
          </w:p>
        </w:tc>
      </w:tr>
      <w:tr w:rsidR="00247FD9" w:rsidRPr="00F75299" w14:paraId="538FBEF7" w14:textId="77777777" w:rsidTr="00E212AB">
        <w:tc>
          <w:tcPr>
            <w:tcW w:w="2936" w:type="dxa"/>
            <w:tcBorders>
              <w:top w:val="single" w:sz="4" w:space="0" w:color="auto"/>
            </w:tcBorders>
          </w:tcPr>
          <w:p w14:paraId="70AC9BCA" w14:textId="0D0100E1" w:rsidR="00247FD9" w:rsidRPr="0064386B" w:rsidRDefault="001340B7" w:rsidP="00E212AB">
            <w:pPr>
              <w:rPr>
                <w:sz w:val="20"/>
                <w:szCs w:val="18"/>
                <w:lang w:eastAsia="ja-JP"/>
              </w:rPr>
            </w:pPr>
            <w:r w:rsidRPr="0064386B">
              <w:rPr>
                <w:sz w:val="20"/>
                <w:szCs w:val="18"/>
                <w:lang w:eastAsia="ja-JP"/>
              </w:rPr>
              <w:t>A/Brisbane/10/2010 (H1N1)</w:t>
            </w:r>
          </w:p>
          <w:p w14:paraId="28E17976" w14:textId="6A76070C" w:rsidR="00247FD9" w:rsidRPr="0064386B" w:rsidRDefault="00247FD9" w:rsidP="00E212AB">
            <w:pPr>
              <w:rPr>
                <w:sz w:val="20"/>
                <w:szCs w:val="18"/>
                <w:lang w:eastAsia="ja-JP"/>
              </w:rPr>
            </w:pPr>
            <w:r w:rsidRPr="0064386B">
              <w:rPr>
                <w:sz w:val="20"/>
                <w:szCs w:val="18"/>
                <w:lang w:eastAsia="ja-JP"/>
              </w:rPr>
              <w:t>A/T</w:t>
            </w:r>
            <w:r w:rsidR="001340B7" w:rsidRPr="0064386B">
              <w:rPr>
                <w:sz w:val="20"/>
                <w:szCs w:val="18"/>
                <w:lang w:eastAsia="ja-JP"/>
              </w:rPr>
              <w:t>exas/50/2012 NYMC X-223A (H3N2)</w:t>
            </w:r>
          </w:p>
          <w:p w14:paraId="6CFD7F0D" w14:textId="77777777" w:rsidR="00247FD9" w:rsidRPr="0064386B" w:rsidRDefault="00247FD9" w:rsidP="00E212AB">
            <w:pPr>
              <w:rPr>
                <w:sz w:val="20"/>
                <w:szCs w:val="18"/>
                <w:lang w:eastAsia="ja-JP"/>
              </w:rPr>
            </w:pPr>
            <w:r w:rsidRPr="0064386B">
              <w:rPr>
                <w:sz w:val="20"/>
                <w:szCs w:val="18"/>
                <w:lang w:eastAsia="ja-JP"/>
              </w:rPr>
              <w:t>B/Massachusetts/2/2012 (B1)</w:t>
            </w:r>
          </w:p>
          <w:p w14:paraId="54001819" w14:textId="77777777" w:rsidR="00247FD9" w:rsidRPr="0064386B" w:rsidRDefault="00247FD9" w:rsidP="00E212AB">
            <w:pPr>
              <w:rPr>
                <w:rFonts w:asciiTheme="minorHAnsi" w:hAnsiTheme="minorHAnsi" w:cs="TimesNewRoman"/>
                <w:sz w:val="20"/>
                <w:szCs w:val="18"/>
              </w:rPr>
            </w:pPr>
            <w:r w:rsidRPr="0064386B">
              <w:rPr>
                <w:sz w:val="20"/>
                <w:szCs w:val="18"/>
                <w:lang w:eastAsia="ja-JP"/>
              </w:rPr>
              <w:t>B/Brisbane/60/2008 (B2)</w:t>
            </w:r>
          </w:p>
        </w:tc>
        <w:tc>
          <w:tcPr>
            <w:tcW w:w="2937" w:type="dxa"/>
            <w:tcBorders>
              <w:top w:val="single" w:sz="4" w:space="0" w:color="auto"/>
            </w:tcBorders>
          </w:tcPr>
          <w:p w14:paraId="22A95305" w14:textId="4967C3B0" w:rsidR="00247FD9" w:rsidRPr="0064386B" w:rsidRDefault="001340B7" w:rsidP="00E212AB">
            <w:pPr>
              <w:rPr>
                <w:sz w:val="20"/>
                <w:szCs w:val="18"/>
                <w:lang w:eastAsia="ja-JP"/>
              </w:rPr>
            </w:pPr>
            <w:r w:rsidRPr="0064386B">
              <w:rPr>
                <w:sz w:val="20"/>
                <w:szCs w:val="18"/>
                <w:lang w:eastAsia="ja-JP"/>
              </w:rPr>
              <w:t>A/Brisbane/10/2010 (H1N1)</w:t>
            </w:r>
          </w:p>
          <w:p w14:paraId="54E2BBC9" w14:textId="2DC5E608" w:rsidR="00247FD9" w:rsidRPr="0064386B" w:rsidRDefault="00247FD9" w:rsidP="00E212AB">
            <w:pPr>
              <w:rPr>
                <w:sz w:val="20"/>
                <w:szCs w:val="18"/>
                <w:lang w:eastAsia="ja-JP"/>
              </w:rPr>
            </w:pPr>
            <w:r w:rsidRPr="0064386B">
              <w:rPr>
                <w:sz w:val="20"/>
                <w:szCs w:val="18"/>
                <w:lang w:eastAsia="ja-JP"/>
              </w:rPr>
              <w:t>A/T</w:t>
            </w:r>
            <w:r w:rsidR="001340B7" w:rsidRPr="0064386B">
              <w:rPr>
                <w:sz w:val="20"/>
                <w:szCs w:val="18"/>
                <w:lang w:eastAsia="ja-JP"/>
              </w:rPr>
              <w:t>exas/50/2012 NYMC X-223A (H3N2)</w:t>
            </w:r>
          </w:p>
          <w:p w14:paraId="6990F5E2" w14:textId="5014BE0C" w:rsidR="00247FD9" w:rsidRPr="0064386B" w:rsidRDefault="00247FD9" w:rsidP="001340B7">
            <w:pPr>
              <w:rPr>
                <w:sz w:val="20"/>
                <w:szCs w:val="18"/>
                <w:lang w:eastAsia="ja-JP"/>
              </w:rPr>
            </w:pPr>
            <w:r w:rsidRPr="0064386B">
              <w:rPr>
                <w:sz w:val="20"/>
                <w:szCs w:val="18"/>
                <w:lang w:eastAsia="ja-JP"/>
              </w:rPr>
              <w:t>B/Massachusetts/2/2012 (B1)</w:t>
            </w:r>
          </w:p>
        </w:tc>
        <w:tc>
          <w:tcPr>
            <w:tcW w:w="2847" w:type="dxa"/>
            <w:tcBorders>
              <w:top w:val="single" w:sz="4" w:space="0" w:color="auto"/>
            </w:tcBorders>
          </w:tcPr>
          <w:p w14:paraId="7935E1B3" w14:textId="69BAE9AC" w:rsidR="00247FD9" w:rsidRPr="0064386B" w:rsidRDefault="001340B7" w:rsidP="00E212AB">
            <w:pPr>
              <w:rPr>
                <w:sz w:val="20"/>
                <w:szCs w:val="18"/>
                <w:lang w:eastAsia="ja-JP"/>
              </w:rPr>
            </w:pPr>
            <w:r w:rsidRPr="0064386B">
              <w:rPr>
                <w:sz w:val="20"/>
                <w:szCs w:val="18"/>
                <w:lang w:eastAsia="ja-JP"/>
              </w:rPr>
              <w:t>A/Brisbane/10/2010 (H1N1)</w:t>
            </w:r>
          </w:p>
          <w:p w14:paraId="30FCB3C5" w14:textId="1925CAA7" w:rsidR="00247FD9" w:rsidRPr="0064386B" w:rsidRDefault="00247FD9" w:rsidP="001340B7">
            <w:pPr>
              <w:rPr>
                <w:sz w:val="20"/>
                <w:szCs w:val="18"/>
                <w:lang w:eastAsia="ja-JP"/>
              </w:rPr>
            </w:pPr>
            <w:r w:rsidRPr="0064386B">
              <w:rPr>
                <w:sz w:val="20"/>
                <w:szCs w:val="18"/>
                <w:lang w:eastAsia="ja-JP"/>
              </w:rPr>
              <w:t>A/Texas/50/2012 NYMC</w:t>
            </w:r>
            <w:r w:rsidR="001340B7" w:rsidRPr="0064386B">
              <w:rPr>
                <w:sz w:val="20"/>
                <w:szCs w:val="18"/>
                <w:lang w:eastAsia="ja-JP"/>
              </w:rPr>
              <w:t xml:space="preserve"> X-223A (H3N2)</w:t>
            </w:r>
          </w:p>
          <w:p w14:paraId="69894E5A" w14:textId="49F64E2E" w:rsidR="00247FD9" w:rsidRPr="0064386B" w:rsidRDefault="00247FD9" w:rsidP="006F1346">
            <w:pPr>
              <w:rPr>
                <w:rFonts w:asciiTheme="minorHAnsi" w:hAnsiTheme="minorHAnsi" w:cs="TimesNewRoman"/>
                <w:sz w:val="20"/>
              </w:rPr>
            </w:pPr>
            <w:r w:rsidRPr="0064386B">
              <w:rPr>
                <w:sz w:val="20"/>
                <w:lang w:eastAsia="ja-JP"/>
              </w:rPr>
              <w:t>B/Brisbane/60/2008 (B2)</w:t>
            </w:r>
          </w:p>
        </w:tc>
      </w:tr>
    </w:tbl>
    <w:p w14:paraId="49B13F81" w14:textId="77777777" w:rsidR="00E212AB" w:rsidRDefault="00E212AB" w:rsidP="00485BA7">
      <w:pPr>
        <w:pStyle w:val="Heading6"/>
      </w:pPr>
      <w:r>
        <w:t>Magnitude of the treatment effect and its clinical significance</w:t>
      </w:r>
    </w:p>
    <w:p w14:paraId="2FDE16CC" w14:textId="2CDFE204" w:rsidR="00E212AB" w:rsidRDefault="00E212AB" w:rsidP="00E212AB">
      <w:r>
        <w:t>Demographic and other baseline characteristics were well balanced among the groups. Acros</w:t>
      </w:r>
      <w:r w:rsidR="002F3FE1">
        <w:t xml:space="preserve">s all groups, the mean age was about </w:t>
      </w:r>
      <w:r>
        <w:t>57 years. The majority were Caucasian (75.6% to 78.5% across groups), and female (54.8% to 58.6%). The total number of subj</w:t>
      </w:r>
      <w:r w:rsidR="002F3FE1">
        <w:t>ects &gt;</w:t>
      </w:r>
      <w:r w:rsidR="006F1346">
        <w:t> </w:t>
      </w:r>
      <w:r w:rsidR="002F3FE1">
        <w:t>75</w:t>
      </w:r>
      <w:r w:rsidR="006F1346">
        <w:t> </w:t>
      </w:r>
      <w:r w:rsidR="002F3FE1">
        <w:t>years of age in the per protocol</w:t>
      </w:r>
      <w:r>
        <w:t xml:space="preserve"> population was 315, of which 150, 83 and 82 were enrolled to receive QIVc, TIV1c and TIV2c, respectively.</w:t>
      </w:r>
    </w:p>
    <w:p w14:paraId="4C9DF5A0" w14:textId="7C8BAAEE" w:rsidR="00247FD9" w:rsidRDefault="00E212AB" w:rsidP="00E212AB">
      <w:r w:rsidRPr="0064386B">
        <w:rPr>
          <w:i/>
        </w:rPr>
        <w:t>Primary analysis</w:t>
      </w:r>
      <w:r>
        <w:t xml:space="preserve">: At Day 22, pre-specified non-inferiority criteria (as assessed by the ratio of GMTs and differences in seroconversion rates) were achieved for all 4 strains, indicating non-inferiority of QIVc vaccine over the TIV1c for the 3 influenza strains (A/H1N1, A/H3N2 and B1) and TIV2c </w:t>
      </w:r>
      <w:r w:rsidR="002F3FE1">
        <w:t>vaccine for</w:t>
      </w:r>
      <w:r w:rsidR="006F1346">
        <w:t xml:space="preserve"> the</w:t>
      </w:r>
      <w:r w:rsidR="002F3FE1">
        <w:t xml:space="preserve"> B2 influenza strain (</w:t>
      </w:r>
      <w:r w:rsidR="002F3FE1">
        <w:fldChar w:fldCharType="begin"/>
      </w:r>
      <w:r w:rsidR="002F3FE1">
        <w:instrText xml:space="preserve"> REF _Ref57208141 \h </w:instrText>
      </w:r>
      <w:r w:rsidR="002F3FE1">
        <w:fldChar w:fldCharType="separate"/>
      </w:r>
      <w:r w:rsidR="0064386B" w:rsidRPr="001340B7">
        <w:t xml:space="preserve">Table </w:t>
      </w:r>
      <w:r w:rsidR="0064386B">
        <w:rPr>
          <w:noProof/>
        </w:rPr>
        <w:t>5</w:t>
      </w:r>
      <w:r w:rsidR="002F3FE1">
        <w:fldChar w:fldCharType="end"/>
      </w:r>
      <w:r w:rsidR="002F3FE1">
        <w:t>)</w:t>
      </w:r>
      <w:r w:rsidR="00C04FAC">
        <w:t>.</w:t>
      </w:r>
    </w:p>
    <w:p w14:paraId="7303D809" w14:textId="645751AE" w:rsidR="001340B7" w:rsidRDefault="001340B7" w:rsidP="001340B7">
      <w:pPr>
        <w:pStyle w:val="TableTitle"/>
      </w:pPr>
      <w:bookmarkStart w:id="43" w:name="_Ref57208141"/>
      <w:r w:rsidRPr="001340B7">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5</w:t>
      </w:r>
      <w:r w:rsidR="0012347D">
        <w:rPr>
          <w:noProof/>
        </w:rPr>
        <w:fldChar w:fldCharType="end"/>
      </w:r>
      <w:bookmarkEnd w:id="43"/>
      <w:r>
        <w:t>: Study V130_01 Primary analysis: non-inferiority of QIVc to TIVc in subjects ≥ 18 years of age using hemagglutination inhibition assay (geometric mean titre and seroconversion as per prot</w:t>
      </w:r>
      <w:r w:rsidR="00B25DB2">
        <w:t>ocol set)</w:t>
      </w:r>
    </w:p>
    <w:p w14:paraId="666FC309" w14:textId="5EAA0420" w:rsidR="001340B7" w:rsidRDefault="001340B7" w:rsidP="000B4705">
      <w:pPr>
        <w:pStyle w:val="Caption"/>
      </w:pPr>
      <w:r w:rsidRPr="00011611">
        <w:rPr>
          <w:noProof/>
          <w:lang w:eastAsia="en-AU"/>
        </w:rPr>
        <w:drawing>
          <wp:inline distT="0" distB="0" distL="0" distR="0" wp14:anchorId="494F5019" wp14:editId="3D8F705A">
            <wp:extent cx="5399331" cy="3061504"/>
            <wp:effectExtent l="0" t="0" r="0" b="5715"/>
            <wp:docPr id="3" name="Picture 3" descr="Study V130_01 Primary analysis: non-inferiority of QIVc to TIVc in subjects ≥ 18 years of age using hemagglutination inhibition assay (geometric mean titre and seroconversion a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2749"/>
                    <a:stretch/>
                  </pic:blipFill>
                  <pic:spPr bwMode="auto">
                    <a:xfrm>
                      <a:off x="0" y="0"/>
                      <a:ext cx="5400040" cy="3061906"/>
                    </a:xfrm>
                    <a:prstGeom prst="rect">
                      <a:avLst/>
                    </a:prstGeom>
                    <a:noFill/>
                    <a:ln>
                      <a:noFill/>
                    </a:ln>
                    <a:extLst>
                      <a:ext uri="{53640926-AAD7-44D8-BBD7-CCE9431645EC}">
                        <a14:shadowObscured xmlns:a14="http://schemas.microsoft.com/office/drawing/2010/main"/>
                      </a:ext>
                    </a:extLst>
                  </pic:spPr>
                </pic:pic>
              </a:graphicData>
            </a:graphic>
          </wp:inline>
        </w:drawing>
      </w:r>
    </w:p>
    <w:p w14:paraId="191AC217" w14:textId="61BD3DD0" w:rsidR="000B4705" w:rsidRDefault="000B4705" w:rsidP="000B4705">
      <w:pPr>
        <w:pStyle w:val="TableDescription"/>
      </w:pPr>
      <w:r w:rsidRPr="000B4705">
        <w:rPr>
          <w:vertAlign w:val="superscript"/>
        </w:rPr>
        <w:t>a</w:t>
      </w:r>
      <w:r>
        <w:t xml:space="preserve"> The comparator vaccine for non inferiority comparisons for A/H1N1, A/H3N2 and B1 is TIV1c, and for B2 is TIV2c.</w:t>
      </w:r>
    </w:p>
    <w:p w14:paraId="788B5ED1" w14:textId="51ED5ADF" w:rsidR="000B4705" w:rsidRDefault="000B4705" w:rsidP="000B4705">
      <w:pPr>
        <w:pStyle w:val="TableDescription"/>
        <w:rPr>
          <w:vertAlign w:val="subscript"/>
        </w:rPr>
      </w:pPr>
      <w:r w:rsidRPr="000B4705">
        <w:rPr>
          <w:vertAlign w:val="superscript"/>
        </w:rPr>
        <w:t>b</w:t>
      </w:r>
      <w:r>
        <w:t xml:space="preserve"> GMT</w:t>
      </w:r>
      <w:r w:rsidRPr="000B4705">
        <w:rPr>
          <w:vertAlign w:val="subscript"/>
        </w:rPr>
        <w:t>TIV1c/TIV2c</w:t>
      </w:r>
      <w:r>
        <w:t>/GMT</w:t>
      </w:r>
      <w:r w:rsidRPr="000B4705">
        <w:rPr>
          <w:vertAlign w:val="subscript"/>
        </w:rPr>
        <w:t>QIVc</w:t>
      </w:r>
    </w:p>
    <w:p w14:paraId="19C40C0F" w14:textId="19BDC677" w:rsidR="000B4705" w:rsidRDefault="000B4705" w:rsidP="000B4705">
      <w:pPr>
        <w:pStyle w:val="TableDescription"/>
      </w:pPr>
      <w:r w:rsidRPr="000B4705">
        <w:rPr>
          <w:vertAlign w:val="superscript"/>
        </w:rPr>
        <w:t>c</w:t>
      </w:r>
      <w:r>
        <w:t xml:space="preserve"> Seroconversion rate TIV1c/TIV2c – seroconversion rate QIVc</w:t>
      </w:r>
    </w:p>
    <w:p w14:paraId="62877A15" w14:textId="5FB808E2" w:rsidR="000B4705" w:rsidRDefault="000B4705" w:rsidP="000B4705">
      <w:pPr>
        <w:pStyle w:val="TableDescription"/>
      </w:pPr>
      <w:r w:rsidRPr="000B4705">
        <w:rPr>
          <w:vertAlign w:val="superscript"/>
        </w:rPr>
        <w:t>d</w:t>
      </w:r>
      <w:r>
        <w:t xml:space="preserve"> Seroconversion rate = percentage of subject with either a pre-vaccination HI titre &lt; 1:10 and post vaccination HI titre ≥ 1:40 or with a pre-vaccination HI titre ≥ 1:10 and a minimum 4-fold increase in post vaccination H1 antibody titre.</w:t>
      </w:r>
    </w:p>
    <w:p w14:paraId="3109AB11" w14:textId="73B0D9F8" w:rsidR="000B4705" w:rsidRDefault="000B4705" w:rsidP="000B4705">
      <w:pPr>
        <w:pStyle w:val="TableDescription"/>
      </w:pPr>
      <w:r>
        <w:t>Bold = Non inferiority criterion met.</w:t>
      </w:r>
    </w:p>
    <w:p w14:paraId="62A6F328" w14:textId="44ADF42D" w:rsidR="00A60E7F" w:rsidRDefault="00A60E7F" w:rsidP="000B4705">
      <w:pPr>
        <w:pStyle w:val="TableDescription"/>
      </w:pPr>
      <w:r>
        <w:t>Abbreviations: NA = not applicable; GMT = geometric mean titre; CI = confidence interval</w:t>
      </w:r>
    </w:p>
    <w:p w14:paraId="3D28AE8C" w14:textId="7329E4C8" w:rsidR="000B4705" w:rsidRDefault="000B4705" w:rsidP="000B4705">
      <w:r w:rsidRPr="000B4705">
        <w:t>A</w:t>
      </w:r>
      <w:r>
        <w:t xml:space="preserve">ge stratification: In subjects ≥ 18 to &lt; </w:t>
      </w:r>
      <w:r w:rsidRPr="000B4705">
        <w:t>65 years of age, at Day 22, the QIVc and the TIV1c/TIV2c groups met both CBER immunogenicity criteria f</w:t>
      </w:r>
      <w:r>
        <w:t xml:space="preserve">or seroconversion and HI titre ≥ </w:t>
      </w:r>
      <w:r w:rsidRPr="000B4705">
        <w:t xml:space="preserve">1:40 against all 4 </w:t>
      </w:r>
      <w:r>
        <w:t xml:space="preserve">influenza strains. In subjects ≥ </w:t>
      </w:r>
      <w:r w:rsidRPr="000B4705">
        <w:t>65 years of age, the HI titre criterion was met for all strains, but the seroconversion criterion was only met for H1N1, but not the others (for bot</w:t>
      </w:r>
      <w:r w:rsidR="00B25DB2">
        <w:t>h QIVC, and TIV1c/TIV2c (</w:t>
      </w:r>
      <w:r w:rsidR="006F1346">
        <w:t xml:space="preserve">see </w:t>
      </w:r>
      <w:r w:rsidR="00B25DB2">
        <w:fldChar w:fldCharType="begin"/>
      </w:r>
      <w:r w:rsidR="00B25DB2">
        <w:instrText xml:space="preserve"> REF _Ref57186086 \h </w:instrText>
      </w:r>
      <w:r w:rsidR="00B25DB2">
        <w:fldChar w:fldCharType="separate"/>
      </w:r>
      <w:r w:rsidR="0064386B" w:rsidRPr="00B25DB2">
        <w:t xml:space="preserve">Table </w:t>
      </w:r>
      <w:r w:rsidR="0064386B">
        <w:rPr>
          <w:noProof/>
        </w:rPr>
        <w:t>6</w:t>
      </w:r>
      <w:r w:rsidR="00B25DB2">
        <w:fldChar w:fldCharType="end"/>
      </w:r>
      <w:r w:rsidRPr="000B4705">
        <w:t>)</w:t>
      </w:r>
      <w:r w:rsidR="002F3FE1">
        <w:t>)</w:t>
      </w:r>
      <w:r w:rsidRPr="000B4705">
        <w:t>.</w:t>
      </w:r>
    </w:p>
    <w:p w14:paraId="21B7391F" w14:textId="6F99EFEA" w:rsidR="00B25DB2" w:rsidRPr="008F48B2" w:rsidRDefault="00B25DB2" w:rsidP="00B25DB2">
      <w:pPr>
        <w:pStyle w:val="TableTitle"/>
      </w:pPr>
      <w:bookmarkStart w:id="44" w:name="_Ref57186086"/>
      <w:r w:rsidRPr="00B25DB2">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6</w:t>
      </w:r>
      <w:r w:rsidR="0012347D">
        <w:rPr>
          <w:noProof/>
        </w:rPr>
        <w:fldChar w:fldCharType="end"/>
      </w:r>
      <w:bookmarkEnd w:id="44"/>
      <w:r w:rsidRPr="00B25DB2">
        <w:t>:</w:t>
      </w:r>
      <w:r>
        <w:t xml:space="preserve"> </w:t>
      </w:r>
      <w:r w:rsidRPr="00201484">
        <w:t>Study V130_01 Immunog</w:t>
      </w:r>
      <w:r>
        <w:t>enicity analysis by age stratum using</w:t>
      </w:r>
      <w:r w:rsidRPr="00201484">
        <w:t xml:space="preserve"> </w:t>
      </w:r>
      <w:r>
        <w:t>hemagglutination inhibition a</w:t>
      </w:r>
      <w:r w:rsidRPr="00201484">
        <w:t>ssay</w:t>
      </w:r>
      <w:r w:rsidR="00BE2374">
        <w:t xml:space="preserve"> </w:t>
      </w:r>
      <w:r>
        <w:t>(geometric mean titre and seroconversion for full analysis set)</w:t>
      </w:r>
    </w:p>
    <w:p w14:paraId="0E52ECFF" w14:textId="04A5BA9D" w:rsidR="00B25DB2" w:rsidRDefault="00B25DB2" w:rsidP="00B25DB2">
      <w:pPr>
        <w:pStyle w:val="Caption"/>
      </w:pPr>
      <w:r w:rsidRPr="009927B1">
        <w:rPr>
          <w:rFonts w:cs="TimesNewRoman"/>
          <w:b/>
          <w:noProof/>
          <w:color w:val="000000" w:themeColor="text1"/>
          <w:sz w:val="20"/>
          <w:szCs w:val="20"/>
          <w:lang w:eastAsia="en-AU"/>
        </w:rPr>
        <w:drawing>
          <wp:inline distT="0" distB="0" distL="0" distR="0" wp14:anchorId="3DE18A84" wp14:editId="70588204">
            <wp:extent cx="5388015" cy="3264061"/>
            <wp:effectExtent l="0" t="0" r="3175" b="0"/>
            <wp:docPr id="1" name="Picture 1" descr="Study V130_01. Immunogenicity analysis by age stratum using hemagglutination inhibition assay(geometric mean titre and seroconversion for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13" b="40333"/>
                    <a:stretch/>
                  </pic:blipFill>
                  <pic:spPr bwMode="auto">
                    <a:xfrm>
                      <a:off x="0" y="0"/>
                      <a:ext cx="5388536" cy="3264377"/>
                    </a:xfrm>
                    <a:prstGeom prst="rect">
                      <a:avLst/>
                    </a:prstGeom>
                    <a:noFill/>
                    <a:ln>
                      <a:noFill/>
                    </a:ln>
                    <a:extLst>
                      <a:ext uri="{53640926-AAD7-44D8-BBD7-CCE9431645EC}">
                        <a14:shadowObscured xmlns:a14="http://schemas.microsoft.com/office/drawing/2010/main"/>
                      </a:ext>
                    </a:extLst>
                  </pic:spPr>
                </pic:pic>
              </a:graphicData>
            </a:graphic>
          </wp:inline>
        </w:drawing>
      </w:r>
    </w:p>
    <w:p w14:paraId="102D6890" w14:textId="3D02CE0C" w:rsidR="00B25DB2" w:rsidRDefault="00B25DB2" w:rsidP="00B25DB2">
      <w:r w:rsidRPr="009927B1">
        <w:rPr>
          <w:rFonts w:cs="TimesNewRoman"/>
          <w:b/>
          <w:noProof/>
          <w:color w:val="000000" w:themeColor="text1"/>
          <w:sz w:val="20"/>
          <w:szCs w:val="20"/>
          <w:lang w:eastAsia="en-AU"/>
        </w:rPr>
        <w:drawing>
          <wp:inline distT="0" distB="0" distL="0" distR="0" wp14:anchorId="61054831" wp14:editId="25296426">
            <wp:extent cx="5400040" cy="2067568"/>
            <wp:effectExtent l="0" t="0" r="0" b="8890"/>
            <wp:docPr id="2" name="Picture 2" descr="Continued: Study V130_01. Immunogenicity analysis by age stratum using hemagglutination inhibition assay(geometric mean titre and seroconversion for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6">
                      <a:extLst>
                        <a:ext uri="{28A0092B-C50C-407E-A947-70E740481C1C}">
                          <a14:useLocalDpi xmlns:a14="http://schemas.microsoft.com/office/drawing/2010/main" val="0"/>
                        </a:ext>
                      </a:extLst>
                    </a:blip>
                    <a:srcRect t="62205"/>
                    <a:stretch/>
                  </pic:blipFill>
                  <pic:spPr bwMode="auto">
                    <a:xfrm>
                      <a:off x="0" y="0"/>
                      <a:ext cx="5400040" cy="2067568"/>
                    </a:xfrm>
                    <a:prstGeom prst="rect">
                      <a:avLst/>
                    </a:prstGeom>
                    <a:noFill/>
                    <a:ln>
                      <a:noFill/>
                    </a:ln>
                    <a:extLst>
                      <a:ext uri="{53640926-AAD7-44D8-BBD7-CCE9431645EC}">
                        <a14:shadowObscured xmlns:a14="http://schemas.microsoft.com/office/drawing/2010/main"/>
                      </a:ext>
                    </a:extLst>
                  </pic:spPr>
                </pic:pic>
              </a:graphicData>
            </a:graphic>
          </wp:inline>
        </w:drawing>
      </w:r>
    </w:p>
    <w:p w14:paraId="09DE6579" w14:textId="7008A08E" w:rsidR="00B25DB2" w:rsidRDefault="00B25DB2" w:rsidP="00B25DB2">
      <w:r w:rsidRPr="0064386B">
        <w:rPr>
          <w:i/>
        </w:rPr>
        <w:t xml:space="preserve">Results using </w:t>
      </w:r>
      <w:r w:rsidR="003E1F59" w:rsidRPr="0064386B">
        <w:rPr>
          <w:i/>
        </w:rPr>
        <w:t>Committee for Medicinal Products for Human Use (</w:t>
      </w:r>
      <w:r w:rsidRPr="0064386B">
        <w:rPr>
          <w:i/>
        </w:rPr>
        <w:t>CHMP</w:t>
      </w:r>
      <w:r w:rsidR="003E1F59" w:rsidRPr="0064386B">
        <w:rPr>
          <w:i/>
        </w:rPr>
        <w:t>)</w:t>
      </w:r>
      <w:r w:rsidRPr="0064386B">
        <w:rPr>
          <w:i/>
        </w:rPr>
        <w:t xml:space="preserve"> criteria</w:t>
      </w:r>
      <w:r>
        <w:t xml:space="preserve">: These were generally similar to the results using </w:t>
      </w:r>
      <w:r w:rsidR="006F1346">
        <w:t xml:space="preserve">the FDA’s </w:t>
      </w:r>
      <w:r w:rsidR="002F3FE1">
        <w:t>C</w:t>
      </w:r>
      <w:r w:rsidR="002F3FE1" w:rsidRPr="002F3FE1">
        <w:t>ente</w:t>
      </w:r>
      <w:r w:rsidR="006F1346">
        <w:t>r</w:t>
      </w:r>
      <w:r w:rsidR="002F3FE1" w:rsidRPr="002F3FE1">
        <w:t xml:space="preserve"> f</w:t>
      </w:r>
      <w:r w:rsidR="006F1346">
        <w:t>or</w:t>
      </w:r>
      <w:r w:rsidR="002F3FE1" w:rsidRPr="002F3FE1">
        <w:t xml:space="preserve"> Biologics Evaluation and Research </w:t>
      </w:r>
      <w:r w:rsidR="002F3FE1">
        <w:t>(</w:t>
      </w:r>
      <w:r>
        <w:t>CBER</w:t>
      </w:r>
      <w:r w:rsidR="002F3FE1">
        <w:t>)</w:t>
      </w:r>
      <w:r>
        <w:t xml:space="preserve"> criteria.</w:t>
      </w:r>
    </w:p>
    <w:p w14:paraId="33E7933F" w14:textId="2C31B6B0" w:rsidR="00B25DB2" w:rsidRDefault="00B25DB2" w:rsidP="00B25DB2">
      <w:r w:rsidRPr="0064386B">
        <w:rPr>
          <w:i/>
        </w:rPr>
        <w:t>Superiority analysis</w:t>
      </w:r>
      <w:r>
        <w:t>: Superiority was demonstrated for both influenza B strains in QIVc as compared to unmatched influenza B strain in TIV1c and TIV2c vaccines as assessed by the ratio of GMTs and diffe</w:t>
      </w:r>
      <w:r w:rsidR="00485BA7">
        <w:t>rences in seroconversion rates.</w:t>
      </w:r>
    </w:p>
    <w:p w14:paraId="5608ABE1" w14:textId="2E811D4E" w:rsidR="00B25DB2" w:rsidRDefault="00B25DB2" w:rsidP="00B25DB2">
      <w:r w:rsidRPr="0064386B">
        <w:rPr>
          <w:i/>
        </w:rPr>
        <w:t>Subgroup analysis</w:t>
      </w:r>
      <w:r>
        <w:t>: The majority of subjects were Caucasian (QIVc: 76.1%, TIV1c: 77.3%, TIV2c: 79.2%), followed by Black (QIVc: 13.0%, TIV1c: 11.5%, TIV2c: 11.4%) and Hispanic (QIVc: 9.0%, TIV1c: 8.5%, TIV2c: 7.8%). The results were similar between ethnic subgroups, but for all 4 strains in all vaccine groups. GMTs and seroconversion rates were generally lower in the Caucasian population when compared to Black and Hispanic subjects. However, there were large differences in sample size for Black (QIVc: 163, TIV1c and TIV2c: 73) and Hispanic subjects (QIVc: 113, TIV1c: 54, TIV2c: 50) when compared to Caucasian subjects (QIVc: 951, TIV1c: 491, TIV2c: 506), as well as differences in distribution within the different age subgroups (18 to &lt; 65 and ≥ 65 years of age).</w:t>
      </w:r>
    </w:p>
    <w:p w14:paraId="004D3D61" w14:textId="4CD69195" w:rsidR="00485BA7" w:rsidRDefault="00B25DB2" w:rsidP="00485BA7">
      <w:r w:rsidRPr="0064386B">
        <w:rPr>
          <w:i/>
        </w:rPr>
        <w:t xml:space="preserve">Post hoc analysis of subjects &gt; 75 years </w:t>
      </w:r>
      <w:r w:rsidR="003E1F59" w:rsidRPr="0064386B">
        <w:rPr>
          <w:i/>
        </w:rPr>
        <w:t xml:space="preserve">of age </w:t>
      </w:r>
      <w:r w:rsidRPr="0064386B">
        <w:rPr>
          <w:i/>
        </w:rPr>
        <w:t>(requested by EMA</w:t>
      </w:r>
      <w:r>
        <w:t>): The immune responses were less robust compared to the overall elderly group ≥ 65 years of age, but similar when compared to the TIVc</w:t>
      </w:r>
      <w:r w:rsidR="00485BA7">
        <w:t xml:space="preserve"> results in the same age group.</w:t>
      </w:r>
    </w:p>
    <w:p w14:paraId="29849804" w14:textId="3FDFDA1E" w:rsidR="00B25DB2" w:rsidRDefault="00485BA7" w:rsidP="00485BA7">
      <w:pPr>
        <w:pStyle w:val="Heading5"/>
      </w:pPr>
      <w:r w:rsidRPr="00485BA7">
        <w:t>Study V130_03</w:t>
      </w:r>
    </w:p>
    <w:p w14:paraId="2A0433AF" w14:textId="774C4CE5" w:rsidR="00485BA7" w:rsidRPr="008031C7" w:rsidRDefault="006F1346" w:rsidP="00485BA7">
      <w:r>
        <w:t xml:space="preserve">This was a </w:t>
      </w:r>
      <w:r w:rsidR="00485BA7" w:rsidRPr="00950978">
        <w:t xml:space="preserve">Phase III, stratified, randomised, double-blind, multicentre (90 centres in </w:t>
      </w:r>
      <w:r>
        <w:t xml:space="preserve">the </w:t>
      </w:r>
      <w:r w:rsidR="00485BA7" w:rsidRPr="00950978">
        <w:t>US</w:t>
      </w:r>
      <w:r>
        <w:t>A</w:t>
      </w:r>
      <w:r w:rsidR="00485BA7" w:rsidRPr="00950978">
        <w:t>), non-inferiority study to evaluate the safety and immunogenicity of Flucelvax Quad compared to TIV1c/TIV2c in 2333 children (previous</w:t>
      </w:r>
      <w:r w:rsidR="00357298">
        <w:t>ly</w:t>
      </w:r>
      <w:r w:rsidR="00485BA7" w:rsidRPr="00950978">
        <w:t xml:space="preserve"> vaccinated or not previously vaccinated) aged 4 to &lt;</w:t>
      </w:r>
      <w:r w:rsidR="00BE2374">
        <w:t xml:space="preserve"> </w:t>
      </w:r>
      <w:r w:rsidR="00485BA7" w:rsidRPr="00950978">
        <w:t>18</w:t>
      </w:r>
      <w:r w:rsidR="00BE2374">
        <w:t xml:space="preserve"> </w:t>
      </w:r>
      <w:r w:rsidR="00485BA7" w:rsidRPr="00950978">
        <w:t>y</w:t>
      </w:r>
      <w:r w:rsidR="00BE2374">
        <w:t>ears</w:t>
      </w:r>
      <w:r w:rsidR="00485BA7" w:rsidRPr="00950978">
        <w:t xml:space="preserve"> between </w:t>
      </w:r>
      <w:r w:rsidR="003E1F59">
        <w:t>November</w:t>
      </w:r>
      <w:r w:rsidR="00485BA7" w:rsidRPr="00950978">
        <w:t xml:space="preserve"> 2013 and August 2014.</w:t>
      </w:r>
    </w:p>
    <w:p w14:paraId="7E3F9158" w14:textId="49E00A12" w:rsidR="00485BA7" w:rsidRDefault="00485BA7" w:rsidP="00485BA7">
      <w:pPr>
        <w:rPr>
          <w:rFonts w:cs="TimesNewRoman"/>
        </w:rPr>
      </w:pPr>
      <w:r w:rsidRPr="00BE2374">
        <w:rPr>
          <w:rFonts w:cs="TimesNewRoman"/>
        </w:rPr>
        <w:t>The population was randomised 2:1</w:t>
      </w:r>
      <w:r w:rsidRPr="00950978">
        <w:rPr>
          <w:rFonts w:cs="TimesNewRoman"/>
        </w:rPr>
        <w:t>:1 to receive QIVc, TIV1c, or TIV2c, and further analysed by vaccination status.</w:t>
      </w:r>
      <w:r>
        <w:rPr>
          <w:rFonts w:cs="TimesNewRoman"/>
        </w:rPr>
        <w:t xml:space="preserve"> </w:t>
      </w:r>
      <w:r w:rsidRPr="00D53043">
        <w:rPr>
          <w:rFonts w:cs="TimesNewRoman"/>
        </w:rPr>
        <w:t>Enrolled subjects were first split into age cohorts based on age at time of enrolment (≥</w:t>
      </w:r>
      <w:r w:rsidR="00BE2374">
        <w:rPr>
          <w:rFonts w:cs="TimesNewRoman"/>
        </w:rPr>
        <w:t xml:space="preserve"> </w:t>
      </w:r>
      <w:r w:rsidRPr="00D53043">
        <w:rPr>
          <w:rFonts w:cs="TimesNewRoman"/>
        </w:rPr>
        <w:t>4 to &lt;</w:t>
      </w:r>
      <w:r w:rsidR="00BE2374">
        <w:rPr>
          <w:rFonts w:cs="TimesNewRoman"/>
        </w:rPr>
        <w:t xml:space="preserve"> </w:t>
      </w:r>
      <w:r w:rsidRPr="00D53043">
        <w:rPr>
          <w:rFonts w:cs="TimesNewRoman"/>
        </w:rPr>
        <w:t>9 years of age and ≥9 to &lt;</w:t>
      </w:r>
      <w:r w:rsidR="00BE2374">
        <w:rPr>
          <w:rFonts w:cs="TimesNewRoman"/>
        </w:rPr>
        <w:t xml:space="preserve"> </w:t>
      </w:r>
      <w:r w:rsidRPr="00D53043">
        <w:rPr>
          <w:rFonts w:cs="TimesNewRoman"/>
        </w:rPr>
        <w:t xml:space="preserve">18 years of age). </w:t>
      </w:r>
      <w:r>
        <w:rPr>
          <w:rFonts w:cs="TimesNewRoman"/>
        </w:rPr>
        <w:t>S</w:t>
      </w:r>
      <w:r w:rsidRPr="00D53043">
        <w:rPr>
          <w:rFonts w:cs="TimesNewRoman"/>
        </w:rPr>
        <w:t>ubjects (≥</w:t>
      </w:r>
      <w:r w:rsidR="006F1346">
        <w:rPr>
          <w:rFonts w:cs="TimesNewRoman"/>
        </w:rPr>
        <w:t> </w:t>
      </w:r>
      <w:r w:rsidRPr="00D53043">
        <w:rPr>
          <w:rFonts w:cs="TimesNewRoman"/>
        </w:rPr>
        <w:t>4</w:t>
      </w:r>
      <w:r w:rsidR="006F1346">
        <w:rPr>
          <w:rFonts w:cs="TimesNewRoman"/>
        </w:rPr>
        <w:t> </w:t>
      </w:r>
      <w:r w:rsidRPr="00D53043">
        <w:rPr>
          <w:rFonts w:cs="TimesNewRoman"/>
        </w:rPr>
        <w:t>to &lt;</w:t>
      </w:r>
      <w:r w:rsidR="00BE2374">
        <w:rPr>
          <w:rFonts w:cs="TimesNewRoman"/>
        </w:rPr>
        <w:t xml:space="preserve"> </w:t>
      </w:r>
      <w:r w:rsidRPr="00D53043">
        <w:rPr>
          <w:rFonts w:cs="TimesNewRoman"/>
        </w:rPr>
        <w:t>9 years of age</w:t>
      </w:r>
      <w:r>
        <w:rPr>
          <w:rFonts w:cs="TimesNewRoman"/>
        </w:rPr>
        <w:t>)</w:t>
      </w:r>
      <w:r w:rsidRPr="00D53043">
        <w:rPr>
          <w:rFonts w:cs="TimesNewRoman"/>
        </w:rPr>
        <w:t xml:space="preserve"> were further stratified as </w:t>
      </w:r>
      <w:r w:rsidR="006F1346">
        <w:rPr>
          <w:rFonts w:cs="TimesNewRoman"/>
        </w:rPr>
        <w:t>‘</w:t>
      </w:r>
      <w:r w:rsidRPr="00D53043">
        <w:rPr>
          <w:rFonts w:cs="TimesNewRoman"/>
        </w:rPr>
        <w:t>previously vaccinated</w:t>
      </w:r>
      <w:r w:rsidR="006F1346">
        <w:rPr>
          <w:rFonts w:cs="TimesNewRoman"/>
        </w:rPr>
        <w:t>’</w:t>
      </w:r>
      <w:r w:rsidRPr="00D53043">
        <w:rPr>
          <w:rFonts w:cs="TimesNewRoman"/>
        </w:rPr>
        <w:t xml:space="preserve"> </w:t>
      </w:r>
      <w:r>
        <w:rPr>
          <w:rFonts w:cs="TimesNewRoman"/>
        </w:rPr>
        <w:t xml:space="preserve">(would receive 1 </w:t>
      </w:r>
      <w:r w:rsidRPr="00C354E1">
        <w:rPr>
          <w:rFonts w:cs="TimesNewRoman"/>
        </w:rPr>
        <w:t>vaccination</w:t>
      </w:r>
      <w:r>
        <w:rPr>
          <w:rFonts w:cs="TimesNewRoman"/>
        </w:rPr>
        <w:t>)</w:t>
      </w:r>
      <w:r w:rsidRPr="00D53043">
        <w:rPr>
          <w:rFonts w:cs="TimesNewRoman"/>
        </w:rPr>
        <w:t xml:space="preserve"> and “not prev</w:t>
      </w:r>
      <w:r>
        <w:rPr>
          <w:rFonts w:cs="TimesNewRoman"/>
        </w:rPr>
        <w:t xml:space="preserve">iously vaccinated” (would receive 2 </w:t>
      </w:r>
      <w:r w:rsidRPr="00C354E1">
        <w:rPr>
          <w:rFonts w:cs="TimesNewRoman"/>
        </w:rPr>
        <w:t>vaccinations approximately 4 weeks</w:t>
      </w:r>
      <w:r>
        <w:rPr>
          <w:rFonts w:cs="TimesNewRoman"/>
        </w:rPr>
        <w:t xml:space="preserve"> apart).</w:t>
      </w:r>
    </w:p>
    <w:p w14:paraId="67B7D5D3" w14:textId="5E8FD931" w:rsidR="00485BA7" w:rsidRPr="008B52FF" w:rsidRDefault="00485BA7" w:rsidP="00485BA7">
      <w:pPr>
        <w:rPr>
          <w:rFonts w:cs="TimesNewRoman"/>
        </w:rPr>
      </w:pPr>
      <w:r w:rsidRPr="00950978">
        <w:rPr>
          <w:rFonts w:cs="TimesNewRoman"/>
        </w:rPr>
        <w:t>The primary non-inferiority objective was assessed by the ratio of GMTs and difference in se</w:t>
      </w:r>
      <w:r>
        <w:rPr>
          <w:rFonts w:cs="TimesNewRoman"/>
        </w:rPr>
        <w:t>roconversion rates at Day</w:t>
      </w:r>
      <w:r w:rsidR="006F1346">
        <w:rPr>
          <w:rFonts w:cs="TimesNewRoman"/>
        </w:rPr>
        <w:t>s</w:t>
      </w:r>
      <w:r>
        <w:rPr>
          <w:rFonts w:cs="TimesNewRoman"/>
        </w:rPr>
        <w:t xml:space="preserve"> 1 and </w:t>
      </w:r>
      <w:r w:rsidRPr="00950978">
        <w:rPr>
          <w:rFonts w:cs="TimesNewRoman"/>
        </w:rPr>
        <w:t>22</w:t>
      </w:r>
      <w:r>
        <w:rPr>
          <w:rFonts w:cs="TimesNewRoman"/>
        </w:rPr>
        <w:t xml:space="preserve"> (for previously vaccinated subjects) or Day 1 and 50 (for not previously vaccinated subjects)</w:t>
      </w:r>
      <w:r w:rsidRPr="00950978">
        <w:rPr>
          <w:rFonts w:cs="TimesNewRoman"/>
        </w:rPr>
        <w:t>, for each strain. Secondary objectives included superiority assessment using the same variables</w:t>
      </w:r>
      <w:r>
        <w:rPr>
          <w:rFonts w:cs="TimesNewRoman"/>
        </w:rPr>
        <w:t xml:space="preserve"> (B strains only)</w:t>
      </w:r>
      <w:r w:rsidRPr="00950978">
        <w:rPr>
          <w:rFonts w:cs="TimesNewRoman"/>
        </w:rPr>
        <w:t>. Safety follow-up occurred until Day 181</w:t>
      </w:r>
      <w:r>
        <w:rPr>
          <w:rFonts w:cs="TimesNewRoman"/>
        </w:rPr>
        <w:t xml:space="preserve"> (for previously vaccinated subjects) or Day 210 (for not previously vaccinated subjects)</w:t>
      </w:r>
      <w:r w:rsidRPr="00950978">
        <w:rPr>
          <w:rFonts w:cs="TimesNewRoman"/>
        </w:rPr>
        <w:t>.</w:t>
      </w:r>
    </w:p>
    <w:p w14:paraId="09BF7898" w14:textId="5965B454" w:rsidR="00485BA7" w:rsidRDefault="00485BA7" w:rsidP="00485BA7">
      <w:pPr>
        <w:rPr>
          <w:rFonts w:cs="TimesNewRoman"/>
        </w:rPr>
      </w:pPr>
      <w:r w:rsidRPr="003C2AE6">
        <w:rPr>
          <w:rFonts w:cs="TimesNewRoman"/>
        </w:rPr>
        <w:t>For the non-inferiority and superiority analyses, the criteria used are specified in</w:t>
      </w:r>
      <w:r>
        <w:rPr>
          <w:rFonts w:cs="TimesNewRoman"/>
        </w:rPr>
        <w:t xml:space="preserve"> </w:t>
      </w:r>
      <w:r>
        <w:rPr>
          <w:rFonts w:cs="TimesNewRoman"/>
        </w:rPr>
        <w:fldChar w:fldCharType="begin"/>
      </w:r>
      <w:r>
        <w:rPr>
          <w:rFonts w:cs="TimesNewRoman"/>
        </w:rPr>
        <w:instrText xml:space="preserve"> REF _Ref57187647 \h </w:instrText>
      </w:r>
      <w:r>
        <w:rPr>
          <w:rFonts w:cs="TimesNewRoman"/>
        </w:rPr>
      </w:r>
      <w:r>
        <w:rPr>
          <w:rFonts w:cs="TimesNewRoman"/>
        </w:rPr>
        <w:fldChar w:fldCharType="separate"/>
      </w:r>
      <w:r w:rsidR="0064386B">
        <w:t xml:space="preserve">Table </w:t>
      </w:r>
      <w:r w:rsidR="0064386B">
        <w:rPr>
          <w:noProof/>
        </w:rPr>
        <w:t>7</w:t>
      </w:r>
      <w:r>
        <w:rPr>
          <w:rFonts w:cs="TimesNewRoman"/>
        </w:rPr>
        <w:fldChar w:fldCharType="end"/>
      </w:r>
      <w:r w:rsidR="008031C7">
        <w:rPr>
          <w:rFonts w:cs="TimesNewRoman"/>
        </w:rPr>
        <w:t>.</w:t>
      </w:r>
    </w:p>
    <w:p w14:paraId="35639920" w14:textId="19701464" w:rsidR="00485BA7" w:rsidRPr="00485BA7" w:rsidRDefault="00485BA7" w:rsidP="006F1346">
      <w:pPr>
        <w:pStyle w:val="TableTitle"/>
        <w:rPr>
          <w:lang w:eastAsia="ja-JP"/>
        </w:rPr>
      </w:pPr>
      <w:bookmarkStart w:id="45" w:name="_Ref57187647"/>
      <w:r>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7</w:t>
      </w:r>
      <w:r w:rsidR="0012347D">
        <w:rPr>
          <w:noProof/>
        </w:rPr>
        <w:fldChar w:fldCharType="end"/>
      </w:r>
      <w:bookmarkEnd w:id="45"/>
      <w:r>
        <w:t xml:space="preserve">. </w:t>
      </w:r>
      <w:r w:rsidR="00375E45">
        <w:rPr>
          <w:lang w:eastAsia="ja-JP"/>
        </w:rPr>
        <w:t xml:space="preserve">Study V130_03 </w:t>
      </w:r>
      <w:r w:rsidR="006F1346">
        <w:rPr>
          <w:lang w:eastAsia="ja-JP"/>
        </w:rPr>
        <w:t>A</w:t>
      </w:r>
      <w:r w:rsidR="00BE2374">
        <w:rPr>
          <w:lang w:eastAsia="ja-JP"/>
        </w:rPr>
        <w:t>ssessment criteria</w:t>
      </w:r>
    </w:p>
    <w:p w14:paraId="18D57C86" w14:textId="46556578" w:rsidR="00485BA7" w:rsidRDefault="00485BA7" w:rsidP="0052167C">
      <w:pPr>
        <w:rPr>
          <w:rFonts w:cs="TimesNewRoman"/>
        </w:rPr>
      </w:pPr>
      <w:r w:rsidRPr="003C2AE6">
        <w:rPr>
          <w:noProof/>
          <w:lang w:eastAsia="en-AU"/>
        </w:rPr>
        <w:drawing>
          <wp:inline distT="0" distB="0" distL="0" distR="0" wp14:anchorId="55229737" wp14:editId="37DAF5C1">
            <wp:extent cx="5400040" cy="1175014"/>
            <wp:effectExtent l="0" t="0" r="0" b="6350"/>
            <wp:docPr id="10" name="Picture 10" descr="Study V130_03 Assess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175014"/>
                    </a:xfrm>
                    <a:prstGeom prst="rect">
                      <a:avLst/>
                    </a:prstGeom>
                    <a:noFill/>
                    <a:ln>
                      <a:noFill/>
                    </a:ln>
                  </pic:spPr>
                </pic:pic>
              </a:graphicData>
            </a:graphic>
          </wp:inline>
        </w:drawing>
      </w:r>
    </w:p>
    <w:p w14:paraId="3EEE37D7" w14:textId="0DFCD043" w:rsidR="00485BA7" w:rsidRDefault="00485BA7" w:rsidP="0052167C">
      <w:r w:rsidRPr="003C2AE6">
        <w:rPr>
          <w:noProof/>
          <w:lang w:eastAsia="en-AU"/>
        </w:rPr>
        <w:drawing>
          <wp:inline distT="0" distB="0" distL="0" distR="0" wp14:anchorId="4B06C1DC" wp14:editId="0EFBFA6B">
            <wp:extent cx="5400040" cy="2851982"/>
            <wp:effectExtent l="0" t="0" r="0" b="5715"/>
            <wp:docPr id="11" name="Picture 11" descr="Study V130_03 Assess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400040" cy="2851982"/>
                    </a:xfrm>
                    <a:prstGeom prst="rect">
                      <a:avLst/>
                    </a:prstGeom>
                    <a:noFill/>
                    <a:ln>
                      <a:noFill/>
                    </a:ln>
                  </pic:spPr>
                </pic:pic>
              </a:graphicData>
            </a:graphic>
          </wp:inline>
        </w:drawing>
      </w:r>
    </w:p>
    <w:p w14:paraId="36CE58AE" w14:textId="7FFBF143" w:rsidR="00485BA7" w:rsidRDefault="00485BA7" w:rsidP="00485BA7">
      <w:pPr>
        <w:pStyle w:val="TableTitle"/>
      </w:pPr>
      <w:r>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8</w:t>
      </w:r>
      <w:r w:rsidR="0012347D">
        <w:rPr>
          <w:noProof/>
        </w:rPr>
        <w:fldChar w:fldCharType="end"/>
      </w:r>
      <w:r>
        <w:t xml:space="preserve">: </w:t>
      </w:r>
      <w:r w:rsidRPr="00485BA7">
        <w:t>Study V130_03</w:t>
      </w:r>
      <w:r>
        <w:t xml:space="preserve"> </w:t>
      </w:r>
      <w:r w:rsidR="006863DF">
        <w:t>T</w:t>
      </w:r>
      <w:r>
        <w:t xml:space="preserve">reatment and conditions (15 </w:t>
      </w:r>
      <w:r w:rsidR="006E6AC3">
        <w:t>µg</w:t>
      </w:r>
      <w:r w:rsidR="00C11C9F">
        <w:t xml:space="preserve"> of </w:t>
      </w:r>
      <w:r w:rsidR="00C11C9F">
        <w:rPr>
          <w:rFonts w:asciiTheme="minorHAnsi" w:eastAsia="Times New Roman" w:hAnsiTheme="minorHAnsi" w:cs="Calibri"/>
          <w:color w:val="000000"/>
        </w:rPr>
        <w:t>h</w:t>
      </w:r>
      <w:r w:rsidR="00C11C9F" w:rsidRPr="009253CF">
        <w:rPr>
          <w:rFonts w:asciiTheme="minorHAnsi" w:eastAsia="Times New Roman" w:hAnsiTheme="minorHAnsi" w:cs="Calibri"/>
          <w:color w:val="000000"/>
        </w:rPr>
        <w:t>aemagglutinin</w:t>
      </w:r>
      <w:r>
        <w:t xml:space="preserve"> per strain)</w:t>
      </w:r>
    </w:p>
    <w:tbl>
      <w:tblPr>
        <w:tblStyle w:val="TableTGAblue"/>
        <w:tblW w:w="0" w:type="auto"/>
        <w:tblLook w:val="04A0" w:firstRow="1" w:lastRow="0" w:firstColumn="1" w:lastColumn="0" w:noHBand="0" w:noVBand="1"/>
      </w:tblPr>
      <w:tblGrid>
        <w:gridCol w:w="2888"/>
        <w:gridCol w:w="2889"/>
        <w:gridCol w:w="2717"/>
      </w:tblGrid>
      <w:tr w:rsidR="00485BA7" w:rsidRPr="00406A73" w14:paraId="527E7702" w14:textId="77777777" w:rsidTr="006D47CA">
        <w:trPr>
          <w:cnfStyle w:val="100000000000" w:firstRow="1" w:lastRow="0" w:firstColumn="0" w:lastColumn="0" w:oddVBand="0" w:evenVBand="0" w:oddHBand="0" w:evenHBand="0" w:firstRowFirstColumn="0" w:firstRowLastColumn="0" w:lastRowFirstColumn="0" w:lastRowLastColumn="0"/>
        </w:trPr>
        <w:tc>
          <w:tcPr>
            <w:tcW w:w="2936" w:type="dxa"/>
            <w:tcBorders>
              <w:top w:val="single" w:sz="4" w:space="0" w:color="auto"/>
              <w:left w:val="single" w:sz="4" w:space="0" w:color="auto"/>
              <w:bottom w:val="single" w:sz="4" w:space="0" w:color="auto"/>
              <w:right w:val="single" w:sz="4" w:space="0" w:color="auto"/>
            </w:tcBorders>
          </w:tcPr>
          <w:p w14:paraId="23B89EFA" w14:textId="30CD3AD8" w:rsidR="00485BA7" w:rsidRPr="0064386B" w:rsidRDefault="00485BA7" w:rsidP="006863DF">
            <w:r w:rsidRPr="006863DF">
              <w:t>QIVc (Flucelvax Quad) (n</w:t>
            </w:r>
            <w:r w:rsidR="006E6AC3" w:rsidRPr="006863DF">
              <w:t xml:space="preserve"> = </w:t>
            </w:r>
            <w:r w:rsidRPr="006863DF">
              <w:t>1159)</w:t>
            </w:r>
          </w:p>
        </w:tc>
        <w:tc>
          <w:tcPr>
            <w:tcW w:w="2937" w:type="dxa"/>
            <w:tcBorders>
              <w:top w:val="single" w:sz="4" w:space="0" w:color="auto"/>
              <w:left w:val="single" w:sz="4" w:space="0" w:color="auto"/>
              <w:bottom w:val="single" w:sz="4" w:space="0" w:color="auto"/>
              <w:right w:val="single" w:sz="4" w:space="0" w:color="auto"/>
            </w:tcBorders>
          </w:tcPr>
          <w:p w14:paraId="7CB79430" w14:textId="163E39FB" w:rsidR="00485BA7" w:rsidRPr="0064386B" w:rsidRDefault="00485BA7" w:rsidP="006863DF">
            <w:r w:rsidRPr="006863DF">
              <w:t>TIV1c (Flucelvax) (n</w:t>
            </w:r>
            <w:r w:rsidR="006863DF">
              <w:t> </w:t>
            </w:r>
            <w:r w:rsidR="006E6AC3" w:rsidRPr="006863DF">
              <w:t>=</w:t>
            </w:r>
            <w:r w:rsidR="006863DF">
              <w:t> </w:t>
            </w:r>
            <w:r w:rsidRPr="006863DF">
              <w:t>593)</w:t>
            </w:r>
          </w:p>
        </w:tc>
        <w:tc>
          <w:tcPr>
            <w:tcW w:w="2847" w:type="dxa"/>
            <w:tcBorders>
              <w:top w:val="single" w:sz="4" w:space="0" w:color="auto"/>
              <w:left w:val="single" w:sz="4" w:space="0" w:color="auto"/>
              <w:bottom w:val="single" w:sz="4" w:space="0" w:color="auto"/>
              <w:right w:val="single" w:sz="4" w:space="0" w:color="auto"/>
            </w:tcBorders>
          </w:tcPr>
          <w:p w14:paraId="29BCFE8F" w14:textId="04E2EC40" w:rsidR="00485BA7" w:rsidRPr="0064386B" w:rsidRDefault="00485BA7" w:rsidP="006863DF">
            <w:r w:rsidRPr="006863DF">
              <w:t>TIV2c</w:t>
            </w:r>
            <w:r w:rsidR="006863DF">
              <w:br/>
            </w:r>
            <w:r w:rsidRPr="006863DF">
              <w:t>(n</w:t>
            </w:r>
            <w:r w:rsidR="006E6AC3" w:rsidRPr="006863DF">
              <w:t xml:space="preserve"> = </w:t>
            </w:r>
            <w:r w:rsidRPr="006863DF">
              <w:t>581)</w:t>
            </w:r>
          </w:p>
        </w:tc>
      </w:tr>
      <w:tr w:rsidR="00485BA7" w:rsidRPr="00B02B4C" w14:paraId="16A7BD82" w14:textId="77777777" w:rsidTr="006D47CA">
        <w:tc>
          <w:tcPr>
            <w:tcW w:w="2936" w:type="dxa"/>
            <w:tcBorders>
              <w:top w:val="single" w:sz="4" w:space="0" w:color="auto"/>
            </w:tcBorders>
          </w:tcPr>
          <w:p w14:paraId="58A8775E" w14:textId="064DF333" w:rsidR="00485BA7" w:rsidRPr="0064386B" w:rsidRDefault="006D47CA" w:rsidP="00706A7E">
            <w:pPr>
              <w:rPr>
                <w:sz w:val="20"/>
                <w:szCs w:val="18"/>
                <w:lang w:eastAsia="ja-JP"/>
              </w:rPr>
            </w:pPr>
            <w:r w:rsidRPr="0064386B">
              <w:rPr>
                <w:sz w:val="20"/>
                <w:szCs w:val="18"/>
                <w:lang w:eastAsia="ja-JP"/>
              </w:rPr>
              <w:t>A/Brisbane/10/2010 (H1N1)</w:t>
            </w:r>
          </w:p>
          <w:p w14:paraId="51F843B7" w14:textId="1418D398" w:rsidR="00485BA7" w:rsidRPr="0064386B" w:rsidRDefault="00485BA7" w:rsidP="00706A7E">
            <w:pPr>
              <w:rPr>
                <w:sz w:val="20"/>
                <w:szCs w:val="18"/>
                <w:lang w:eastAsia="ja-JP"/>
              </w:rPr>
            </w:pPr>
            <w:r w:rsidRPr="0064386B">
              <w:rPr>
                <w:sz w:val="20"/>
                <w:szCs w:val="18"/>
                <w:lang w:eastAsia="ja-JP"/>
              </w:rPr>
              <w:t>A/T</w:t>
            </w:r>
            <w:r w:rsidR="006D47CA" w:rsidRPr="0064386B">
              <w:rPr>
                <w:sz w:val="20"/>
                <w:szCs w:val="18"/>
                <w:lang w:eastAsia="ja-JP"/>
              </w:rPr>
              <w:t>exas/50/2012 NYMC X-223A (H3N2)</w:t>
            </w:r>
          </w:p>
          <w:p w14:paraId="3C4A92E8" w14:textId="77777777" w:rsidR="00485BA7" w:rsidRPr="0064386B" w:rsidRDefault="00485BA7" w:rsidP="00706A7E">
            <w:pPr>
              <w:rPr>
                <w:sz w:val="20"/>
                <w:szCs w:val="18"/>
                <w:lang w:eastAsia="ja-JP"/>
              </w:rPr>
            </w:pPr>
            <w:r w:rsidRPr="0064386B">
              <w:rPr>
                <w:sz w:val="20"/>
                <w:szCs w:val="18"/>
                <w:lang w:eastAsia="ja-JP"/>
              </w:rPr>
              <w:t>B/Massachusetts/2/2012 (B1)</w:t>
            </w:r>
          </w:p>
          <w:p w14:paraId="13F29671" w14:textId="77777777" w:rsidR="00485BA7" w:rsidRPr="0064386B" w:rsidRDefault="00485BA7" w:rsidP="00706A7E">
            <w:pPr>
              <w:rPr>
                <w:rFonts w:asciiTheme="minorHAnsi" w:hAnsiTheme="minorHAnsi" w:cs="TimesNewRoman"/>
                <w:sz w:val="20"/>
                <w:szCs w:val="18"/>
              </w:rPr>
            </w:pPr>
            <w:r w:rsidRPr="0064386B">
              <w:rPr>
                <w:sz w:val="20"/>
                <w:szCs w:val="18"/>
                <w:lang w:eastAsia="ja-JP"/>
              </w:rPr>
              <w:t>B/Brisbane/60/2008 (B2)</w:t>
            </w:r>
          </w:p>
        </w:tc>
        <w:tc>
          <w:tcPr>
            <w:tcW w:w="2937" w:type="dxa"/>
            <w:tcBorders>
              <w:top w:val="single" w:sz="4" w:space="0" w:color="auto"/>
            </w:tcBorders>
          </w:tcPr>
          <w:p w14:paraId="5C821D74" w14:textId="339EA4AC" w:rsidR="00485BA7" w:rsidRPr="0064386B" w:rsidRDefault="006D47CA" w:rsidP="00706A7E">
            <w:pPr>
              <w:rPr>
                <w:sz w:val="20"/>
                <w:szCs w:val="18"/>
                <w:lang w:eastAsia="ja-JP"/>
              </w:rPr>
            </w:pPr>
            <w:r w:rsidRPr="0064386B">
              <w:rPr>
                <w:sz w:val="20"/>
                <w:szCs w:val="18"/>
                <w:lang w:eastAsia="ja-JP"/>
              </w:rPr>
              <w:t>A/Brisbane/10/2010 (H1N1)</w:t>
            </w:r>
          </w:p>
          <w:p w14:paraId="06B0D205" w14:textId="230D7789" w:rsidR="00485BA7" w:rsidRPr="0064386B" w:rsidRDefault="00485BA7" w:rsidP="00706A7E">
            <w:pPr>
              <w:rPr>
                <w:sz w:val="20"/>
                <w:szCs w:val="18"/>
                <w:lang w:eastAsia="ja-JP"/>
              </w:rPr>
            </w:pPr>
            <w:r w:rsidRPr="0064386B">
              <w:rPr>
                <w:sz w:val="20"/>
                <w:szCs w:val="18"/>
                <w:lang w:eastAsia="ja-JP"/>
              </w:rPr>
              <w:t>A/T</w:t>
            </w:r>
            <w:r w:rsidR="006D47CA" w:rsidRPr="0064386B">
              <w:rPr>
                <w:sz w:val="20"/>
                <w:szCs w:val="18"/>
                <w:lang w:eastAsia="ja-JP"/>
              </w:rPr>
              <w:t>exas/50/2012 NYMC X-223A (H3N2)</w:t>
            </w:r>
          </w:p>
          <w:p w14:paraId="6A2D7DEC" w14:textId="1A509479" w:rsidR="00485BA7" w:rsidRPr="0064386B" w:rsidRDefault="00485BA7" w:rsidP="00485BA7">
            <w:pPr>
              <w:rPr>
                <w:sz w:val="20"/>
                <w:szCs w:val="18"/>
                <w:lang w:eastAsia="ja-JP"/>
              </w:rPr>
            </w:pPr>
            <w:r w:rsidRPr="0064386B">
              <w:rPr>
                <w:sz w:val="20"/>
                <w:szCs w:val="18"/>
                <w:lang w:eastAsia="ja-JP"/>
              </w:rPr>
              <w:t>B/Massachusetts/2/2012 (B1)</w:t>
            </w:r>
          </w:p>
        </w:tc>
        <w:tc>
          <w:tcPr>
            <w:tcW w:w="2847" w:type="dxa"/>
            <w:tcBorders>
              <w:top w:val="single" w:sz="4" w:space="0" w:color="auto"/>
            </w:tcBorders>
          </w:tcPr>
          <w:p w14:paraId="6E44AFC8" w14:textId="4741467D" w:rsidR="00485BA7" w:rsidRPr="0064386B" w:rsidRDefault="006D47CA" w:rsidP="00706A7E">
            <w:pPr>
              <w:rPr>
                <w:sz w:val="20"/>
                <w:szCs w:val="18"/>
                <w:lang w:eastAsia="ja-JP"/>
              </w:rPr>
            </w:pPr>
            <w:r w:rsidRPr="0064386B">
              <w:rPr>
                <w:sz w:val="20"/>
                <w:szCs w:val="18"/>
                <w:lang w:eastAsia="ja-JP"/>
              </w:rPr>
              <w:t>A/Brisbane/10/2010 (H1N1)</w:t>
            </w:r>
          </w:p>
          <w:p w14:paraId="5C187ED2" w14:textId="23D0C0B4" w:rsidR="00485BA7" w:rsidRPr="0064386B" w:rsidRDefault="00485BA7" w:rsidP="00706A7E">
            <w:pPr>
              <w:rPr>
                <w:sz w:val="20"/>
                <w:szCs w:val="18"/>
                <w:lang w:eastAsia="ja-JP"/>
              </w:rPr>
            </w:pPr>
            <w:r w:rsidRPr="0064386B">
              <w:rPr>
                <w:sz w:val="20"/>
                <w:szCs w:val="18"/>
                <w:lang w:eastAsia="ja-JP"/>
              </w:rPr>
              <w:t>A/T</w:t>
            </w:r>
            <w:r w:rsidR="006D47CA" w:rsidRPr="0064386B">
              <w:rPr>
                <w:sz w:val="20"/>
                <w:szCs w:val="18"/>
                <w:lang w:eastAsia="ja-JP"/>
              </w:rPr>
              <w:t>exas/50/2012 NYMC X-223A (H3N2)</w:t>
            </w:r>
          </w:p>
          <w:p w14:paraId="32C61F2C" w14:textId="50D4A816" w:rsidR="00485BA7" w:rsidRPr="0064386B" w:rsidRDefault="00485BA7" w:rsidP="00485BA7">
            <w:pPr>
              <w:ind w:left="0"/>
              <w:rPr>
                <w:sz w:val="20"/>
                <w:szCs w:val="18"/>
                <w:lang w:eastAsia="ja-JP"/>
              </w:rPr>
            </w:pPr>
          </w:p>
          <w:p w14:paraId="75A6AF80" w14:textId="77777777" w:rsidR="00485BA7" w:rsidRPr="0064386B" w:rsidRDefault="00485BA7" w:rsidP="00706A7E">
            <w:pPr>
              <w:rPr>
                <w:rFonts w:asciiTheme="minorHAnsi" w:hAnsiTheme="minorHAnsi" w:cs="TimesNewRoman"/>
                <w:sz w:val="20"/>
                <w:szCs w:val="18"/>
              </w:rPr>
            </w:pPr>
            <w:r w:rsidRPr="0064386B">
              <w:rPr>
                <w:sz w:val="20"/>
                <w:szCs w:val="18"/>
                <w:lang w:eastAsia="ja-JP"/>
              </w:rPr>
              <w:t>B/Brisbane/60/2008 (B2)</w:t>
            </w:r>
          </w:p>
        </w:tc>
      </w:tr>
    </w:tbl>
    <w:p w14:paraId="6D85667F" w14:textId="77777777" w:rsidR="006D47CA" w:rsidRDefault="006D47CA" w:rsidP="006D47CA">
      <w:pPr>
        <w:pStyle w:val="Heading6"/>
      </w:pPr>
      <w:r>
        <w:t>Magnitude of the treatment effect and its clinical significance</w:t>
      </w:r>
    </w:p>
    <w:p w14:paraId="4BA45198" w14:textId="52F95FF4" w:rsidR="006D47CA" w:rsidRDefault="006D47CA" w:rsidP="006D47CA">
      <w:r>
        <w:t>A total of 2333 subjects were enrolled. Of these, 1159 subjects were enrolled in QIVc group, 593 subjects in TIV1c group and 581 subjects in TIV2c group. Demographic and other baseline characteristics were well balanced. Across all groups, the mean age of subjects w</w:t>
      </w:r>
      <w:r w:rsidR="00375E45">
        <w:t>as about 9.5 years; weight was about</w:t>
      </w:r>
      <w:r w:rsidR="00C74621">
        <w:t xml:space="preserve"> </w:t>
      </w:r>
      <w:r w:rsidR="00375E45">
        <w:t>40 to 41 kg and height was about</w:t>
      </w:r>
      <w:r w:rsidR="00C74621">
        <w:t xml:space="preserve"> </w:t>
      </w:r>
      <w:r>
        <w:t>139 cm. The majority of the enrolled subjects across the 3 groups were Caucasian 53% to 54% followed by Black 20% to 23% and Hispanic 19% to 21%. The proportion of male and female subjects were similar across the 3 groups.</w:t>
      </w:r>
    </w:p>
    <w:p w14:paraId="35F93D0D" w14:textId="693D3001" w:rsidR="006D47CA" w:rsidRDefault="006D47CA" w:rsidP="006D47CA">
      <w:r w:rsidRPr="0064386B">
        <w:rPr>
          <w:i/>
        </w:rPr>
        <w:t>Primary analysis</w:t>
      </w:r>
      <w:r w:rsidR="006863DF">
        <w:t xml:space="preserve">: </w:t>
      </w:r>
      <w:r>
        <w:t>At Day 22 or Day 50, pre-specified non-inferiority criteria (as assessed by the ratio of GMTs and differences in seroconversion rates) were achieved for all 4 strains, indicating non-inferiority of QIVc vaccine over the TIV1c for the 3 influenza strains (A/H1N1, A/H3N2 and B1) and TIV2c vaccine for B2 influenza strain (</w:t>
      </w:r>
      <w:r>
        <w:fldChar w:fldCharType="begin"/>
      </w:r>
      <w:r>
        <w:instrText xml:space="preserve"> REF _Ref57188113 \h </w:instrText>
      </w:r>
      <w:r>
        <w:fldChar w:fldCharType="separate"/>
      </w:r>
      <w:r w:rsidR="0064386B">
        <w:t xml:space="preserve">Table </w:t>
      </w:r>
      <w:r w:rsidR="0064386B">
        <w:rPr>
          <w:noProof/>
        </w:rPr>
        <w:t>9</w:t>
      </w:r>
      <w:r>
        <w:fldChar w:fldCharType="end"/>
      </w:r>
      <w:r>
        <w:t>).</w:t>
      </w:r>
    </w:p>
    <w:p w14:paraId="1AA70D31" w14:textId="7DDEF2B4" w:rsidR="006D47CA" w:rsidRDefault="006D47CA" w:rsidP="006D47CA">
      <w:pPr>
        <w:pStyle w:val="TableTitle"/>
      </w:pPr>
      <w:bookmarkStart w:id="46" w:name="_Ref57188113"/>
      <w:r>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9</w:t>
      </w:r>
      <w:r w:rsidR="0012347D">
        <w:rPr>
          <w:noProof/>
        </w:rPr>
        <w:fldChar w:fldCharType="end"/>
      </w:r>
      <w:bookmarkEnd w:id="46"/>
      <w:r>
        <w:t>. Study V130_03 Non-inferiority of QIVc to TIVc in subjects 4 to &lt; 18 years of age using hemagglutination inhibition assay (geometric mean titre and seroconversion as per protocol set)</w:t>
      </w:r>
    </w:p>
    <w:p w14:paraId="4F983ED2" w14:textId="361A2D0F" w:rsidR="00A60E7F" w:rsidRDefault="006D47CA" w:rsidP="00A60E7F">
      <w:pPr>
        <w:pStyle w:val="TableDescription"/>
      </w:pPr>
      <w:r w:rsidRPr="000D4804">
        <w:rPr>
          <w:noProof/>
          <w:lang w:eastAsia="en-AU"/>
        </w:rPr>
        <w:drawing>
          <wp:inline distT="0" distB="0" distL="0" distR="0" wp14:anchorId="7274F426" wp14:editId="2FDFD733">
            <wp:extent cx="5515337" cy="3680750"/>
            <wp:effectExtent l="0" t="0" r="0" b="0"/>
            <wp:docPr id="5" name="Picture 5" descr="Study V130_03 Non-inferiority of QIVc to TIVc in subjects 4 to &lt; 18 years of age using hemagglutination inhibition assay (geometric mean titre and seroconversion a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2139" b="39651"/>
                    <a:stretch/>
                  </pic:blipFill>
                  <pic:spPr bwMode="auto">
                    <a:xfrm>
                      <a:off x="0" y="0"/>
                      <a:ext cx="5515559" cy="3680898"/>
                    </a:xfrm>
                    <a:prstGeom prst="rect">
                      <a:avLst/>
                    </a:prstGeom>
                    <a:noFill/>
                    <a:ln>
                      <a:noFill/>
                    </a:ln>
                    <a:extLst>
                      <a:ext uri="{53640926-AAD7-44D8-BBD7-CCE9431645EC}">
                        <a14:shadowObscured xmlns:a14="http://schemas.microsoft.com/office/drawing/2010/main"/>
                      </a:ext>
                    </a:extLst>
                  </pic:spPr>
                </pic:pic>
              </a:graphicData>
            </a:graphic>
          </wp:inline>
        </w:drawing>
      </w:r>
      <w:r w:rsidR="00A60E7F" w:rsidRPr="000D4804">
        <w:rPr>
          <w:noProof/>
          <w:lang w:eastAsia="en-AU"/>
        </w:rPr>
        <w:drawing>
          <wp:inline distT="0" distB="0" distL="0" distR="0" wp14:anchorId="065CA2ED" wp14:editId="57CFAFA6">
            <wp:extent cx="5400040" cy="1891778"/>
            <wp:effectExtent l="0" t="0" r="0" b="0"/>
            <wp:docPr id="4" name="Picture 4" descr="Study V130_03 Non-inferiority of QIVc to TIVc in subjects 4 to &lt; 18 years of age using hemagglutination inhibition assay (geometric mean titre and seroconversion as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68983"/>
                    <a:stretch/>
                  </pic:blipFill>
                  <pic:spPr bwMode="auto">
                    <a:xfrm>
                      <a:off x="0" y="0"/>
                      <a:ext cx="5400040" cy="1891778"/>
                    </a:xfrm>
                    <a:prstGeom prst="rect">
                      <a:avLst/>
                    </a:prstGeom>
                    <a:noFill/>
                    <a:ln>
                      <a:noFill/>
                    </a:ln>
                    <a:extLst>
                      <a:ext uri="{53640926-AAD7-44D8-BBD7-CCE9431645EC}">
                        <a14:shadowObscured xmlns:a14="http://schemas.microsoft.com/office/drawing/2010/main"/>
                      </a:ext>
                    </a:extLst>
                  </pic:spPr>
                </pic:pic>
              </a:graphicData>
            </a:graphic>
          </wp:inline>
        </w:drawing>
      </w:r>
      <w:r w:rsidR="00A60E7F">
        <w:t>Abbreviations: NA = not applicable; GMT = geometric mean titre; CI = confidence interval</w:t>
      </w:r>
    </w:p>
    <w:p w14:paraId="3D147222" w14:textId="7D18B5F9" w:rsidR="00A60E7F" w:rsidRPr="00FB1C3F" w:rsidRDefault="00A60E7F" w:rsidP="00A60E7F">
      <w:r w:rsidRPr="0064386B">
        <w:rPr>
          <w:i/>
        </w:rPr>
        <w:t>Additional results using CBER or CHMP criteria</w:t>
      </w:r>
      <w:r w:rsidRPr="005616F8">
        <w:t xml:space="preserve">: </w:t>
      </w:r>
      <w:r>
        <w:t xml:space="preserve">At Day 22 or Day 50, both CBER immunogenicity criteria and </w:t>
      </w:r>
      <w:r w:rsidRPr="0039096B">
        <w:rPr>
          <w:rFonts w:cs="TimesNewRoman"/>
        </w:rPr>
        <w:t xml:space="preserve">all 3 CHMP immunogenicity criteria </w:t>
      </w:r>
      <w:r>
        <w:t>for seroconversion and HI titre ≥</w:t>
      </w:r>
      <w:r w:rsidR="00C940B6">
        <w:t xml:space="preserve"> </w:t>
      </w:r>
      <w:r>
        <w:t>1:40 were met for A/H1N1, A/H3N2, B1 and B2 influenza strains by the QIVc and the TIV1c/TIV2c vaccines.</w:t>
      </w:r>
    </w:p>
    <w:p w14:paraId="253F761D" w14:textId="401D9242" w:rsidR="00A60E7F" w:rsidRDefault="00A60E7F" w:rsidP="00A60E7F">
      <w:pPr>
        <w:rPr>
          <w:rFonts w:cs="TimesNewRoman"/>
        </w:rPr>
      </w:pPr>
      <w:r w:rsidRPr="0064386B">
        <w:rPr>
          <w:rFonts w:cs="TimesNewRoman"/>
          <w:i/>
        </w:rPr>
        <w:t>Superiority analysis</w:t>
      </w:r>
      <w:r w:rsidRPr="00A60E7F">
        <w:rPr>
          <w:rFonts w:cs="TimesNewRoman"/>
        </w:rPr>
        <w:t>:</w:t>
      </w:r>
      <w:r w:rsidRPr="00FB1C3F">
        <w:rPr>
          <w:rFonts w:cs="TimesNewRoman"/>
        </w:rPr>
        <w:t xml:space="preserve"> Superiority was demonstrated for both influenza B strains in QIVc as compared to unmatched influenza B strain in TIV1c and TIV2c vaccines as assessed by the ratio of GMTs and diffe</w:t>
      </w:r>
      <w:r>
        <w:rPr>
          <w:rFonts w:cs="TimesNewRoman"/>
        </w:rPr>
        <w:t>rences in seroconversion rates</w:t>
      </w:r>
      <w:r w:rsidRPr="00FB1C3F">
        <w:rPr>
          <w:rFonts w:cs="TimesNewRoman"/>
        </w:rPr>
        <w:t>.</w:t>
      </w:r>
    </w:p>
    <w:p w14:paraId="1C6D2F93" w14:textId="77777777" w:rsidR="00A60E7F" w:rsidRPr="0064386B" w:rsidRDefault="00A60E7F" w:rsidP="00A60E7F">
      <w:pPr>
        <w:rPr>
          <w:rFonts w:cs="TimesNewRoman"/>
          <w:i/>
        </w:rPr>
      </w:pPr>
      <w:r w:rsidRPr="0064386B">
        <w:rPr>
          <w:rFonts w:cs="TimesNewRoman"/>
          <w:i/>
        </w:rPr>
        <w:t>Subgroup analyses:</w:t>
      </w:r>
    </w:p>
    <w:p w14:paraId="23C6CA6F" w14:textId="382E1F3A" w:rsidR="00A60E7F" w:rsidRDefault="00C04FAC" w:rsidP="007B06E1">
      <w:pPr>
        <w:pStyle w:val="ListBullet"/>
      </w:pPr>
      <w:r>
        <w:t>s</w:t>
      </w:r>
      <w:r w:rsidR="00A60E7F" w:rsidRPr="00A60E7F">
        <w:t xml:space="preserve">ubjects with Baseline HI titre </w:t>
      </w:r>
      <w:r w:rsidR="00375E45">
        <w:t xml:space="preserve">&lt; </w:t>
      </w:r>
      <w:r w:rsidR="00A60E7F" w:rsidRPr="00A60E7F">
        <w:t>1:10 vs. titre ≥</w:t>
      </w:r>
      <w:r w:rsidR="00C940B6">
        <w:t xml:space="preserve"> </w:t>
      </w:r>
      <w:r w:rsidR="00A60E7F" w:rsidRPr="00A60E7F">
        <w:t>1:10:</w:t>
      </w:r>
      <w:r w:rsidR="00A60E7F">
        <w:t xml:space="preserve"> At Day 22 or Day 50, the proportion of subjects achieving seroconversion and HI titre ≥</w:t>
      </w:r>
      <w:r w:rsidR="00C940B6">
        <w:t xml:space="preserve"> </w:t>
      </w:r>
      <w:r w:rsidR="00A60E7F">
        <w:t>1:40 were comparable</w:t>
      </w:r>
      <w:r>
        <w:t xml:space="preserve"> between groups for all strains</w:t>
      </w:r>
      <w:r w:rsidR="006863DF">
        <w:t>.</w:t>
      </w:r>
    </w:p>
    <w:p w14:paraId="4980B3E2" w14:textId="43E2E52A" w:rsidR="00A60E7F" w:rsidRDefault="00C04FAC" w:rsidP="007B06E1">
      <w:pPr>
        <w:pStyle w:val="ListBullet"/>
      </w:pPr>
      <w:r>
        <w:t>p</w:t>
      </w:r>
      <w:r w:rsidR="00C940B6">
        <w:t>reviously vaccinated and not previously vaccinated s</w:t>
      </w:r>
      <w:r w:rsidR="00A60E7F" w:rsidRPr="00A60E7F">
        <w:t>ubjects: In</w:t>
      </w:r>
      <w:r w:rsidR="00A60E7F">
        <w:t xml:space="preserve"> </w:t>
      </w:r>
      <w:r w:rsidR="00A60E7F" w:rsidRPr="00C940B6">
        <w:t>previously vaccinated</w:t>
      </w:r>
      <w:r w:rsidR="00A60E7F">
        <w:t xml:space="preserve"> subjects, at Day 22, in both age strata, the proportion of subjects achieving seroconversion and HI titre ≥</w:t>
      </w:r>
      <w:r w:rsidR="00C940B6">
        <w:t xml:space="preserve"> </w:t>
      </w:r>
      <w:r w:rsidR="00A60E7F">
        <w:t>1:40 was comparable between groups, except: in subjects ≥</w:t>
      </w:r>
      <w:r w:rsidR="00C940B6">
        <w:t xml:space="preserve"> </w:t>
      </w:r>
      <w:r w:rsidR="00A60E7F">
        <w:t>9 to &lt;</w:t>
      </w:r>
      <w:r w:rsidR="00C940B6">
        <w:t xml:space="preserve"> </w:t>
      </w:r>
      <w:r w:rsidR="00A60E7F">
        <w:t xml:space="preserve">18 years of age, for A/H3N2, the proportion of subjects achieving seroconversion was lower for QIVc vs. TIV1c/TIV2c. In </w:t>
      </w:r>
      <w:r w:rsidR="00A60E7F" w:rsidRPr="00C940B6">
        <w:t>not previously vaccinated</w:t>
      </w:r>
      <w:r w:rsidR="00A60E7F">
        <w:t xml:space="preserve"> subjects aged 4 to &lt;</w:t>
      </w:r>
      <w:r w:rsidR="00C940B6">
        <w:t xml:space="preserve"> </w:t>
      </w:r>
      <w:r w:rsidR="00A60E7F">
        <w:t>9 years, at Day 50, the proportion of subjects achieving seroconversion and HI titre ≥</w:t>
      </w:r>
      <w:r w:rsidR="00C940B6">
        <w:t xml:space="preserve"> </w:t>
      </w:r>
      <w:r w:rsidR="00A60E7F">
        <w:t>1:40 were comparable</w:t>
      </w:r>
      <w:r>
        <w:t xml:space="preserve"> between groups for all strains</w:t>
      </w:r>
      <w:r w:rsidR="00C74621">
        <w:t>.</w:t>
      </w:r>
    </w:p>
    <w:p w14:paraId="0D89090B" w14:textId="356A72F5" w:rsidR="00A60E7F" w:rsidRDefault="00A60E7F" w:rsidP="00A60E7F">
      <w:pPr>
        <w:pStyle w:val="Heading5"/>
      </w:pPr>
      <w:r w:rsidRPr="00A60E7F">
        <w:t>Study V58P13</w:t>
      </w:r>
    </w:p>
    <w:p w14:paraId="47B9ACC8" w14:textId="56ACA54F" w:rsidR="00A60E7F" w:rsidRPr="00613D7E" w:rsidRDefault="006863DF" w:rsidP="00A60E7F">
      <w:pPr>
        <w:rPr>
          <w:rFonts w:cs="TimesNewRoman"/>
        </w:rPr>
      </w:pPr>
      <w:r>
        <w:t xml:space="preserve">This was a </w:t>
      </w:r>
      <w:r w:rsidR="00A60E7F" w:rsidRPr="00376BE2">
        <w:t xml:space="preserve">Phase III, randomised, observer-blind, multicentre (17 centres in US, 15 centres in Finland, and 24 centres in Poland) efficacy and immunogenicity (in a subset) study conducted </w:t>
      </w:r>
      <w:r w:rsidR="00A60E7F">
        <w:t xml:space="preserve">in </w:t>
      </w:r>
      <w:r w:rsidR="00C940B6">
        <w:rPr>
          <w:rFonts w:eastAsia="TimesNewRomanPSMT" w:cs="TimesNewRomanPSMT"/>
        </w:rPr>
        <w:t>11404</w:t>
      </w:r>
      <w:r w:rsidR="00A60E7F">
        <w:t xml:space="preserve"> healthy adults 18 to 49 years of age </w:t>
      </w:r>
      <w:r w:rsidR="00A60E7F" w:rsidRPr="00376BE2">
        <w:t>in</w:t>
      </w:r>
      <w:r w:rsidR="00C940B6">
        <w:t xml:space="preserve"> the 2007 to 2008 influenza s</w:t>
      </w:r>
      <w:r w:rsidR="00A60E7F">
        <w:t xml:space="preserve">eason (study dates: 9 </w:t>
      </w:r>
      <w:r w:rsidR="00C940B6">
        <w:t>October</w:t>
      </w:r>
      <w:r w:rsidR="00A60E7F">
        <w:t xml:space="preserve"> 2007 to </w:t>
      </w:r>
      <w:r w:rsidR="00A60E7F" w:rsidRPr="00E77145">
        <w:t>8 Jul</w:t>
      </w:r>
      <w:r w:rsidR="00C940B6">
        <w:t>y</w:t>
      </w:r>
      <w:r w:rsidR="00A60E7F" w:rsidRPr="00E77145">
        <w:t xml:space="preserve"> 2008</w:t>
      </w:r>
      <w:r w:rsidR="00A60E7F">
        <w:t>).</w:t>
      </w:r>
      <w:r w:rsidR="00A60E7F" w:rsidRPr="00613D7E">
        <w:rPr>
          <w:rFonts w:cs="TimesNewRoman"/>
        </w:rPr>
        <w:t xml:space="preserve"> The population was randomised 1:1:1 to receive TIVc, TIVeA, or placebo.</w:t>
      </w:r>
    </w:p>
    <w:p w14:paraId="39264B46" w14:textId="768DFCAC" w:rsidR="00A60E7F" w:rsidRPr="00BA04F1" w:rsidRDefault="00A60E7F" w:rsidP="00A60E7F">
      <w:r>
        <w:t xml:space="preserve">A total of 3818 subjects in </w:t>
      </w:r>
      <w:r w:rsidRPr="00CA1B2B">
        <w:t>the TIVc group, 3668 subjects in the TIVeA group and 389</w:t>
      </w:r>
      <w:r>
        <w:t xml:space="preserve">6 subjects in the placebo group </w:t>
      </w:r>
      <w:r w:rsidRPr="00CA1B2B">
        <w:t>were vaccinated. A subset of 978 subjects were</w:t>
      </w:r>
      <w:r>
        <w:t xml:space="preserve"> included in the immunogenicity </w:t>
      </w:r>
      <w:r w:rsidR="00C940B6">
        <w:t xml:space="preserve">per </w:t>
      </w:r>
      <w:r w:rsidRPr="00CA1B2B">
        <w:t>protocol subset, 228 in the TIVc group, 695 in the TI</w:t>
      </w:r>
      <w:r>
        <w:t xml:space="preserve">VeA group and 55 in the placebo </w:t>
      </w:r>
      <w:r w:rsidRPr="00CA1B2B">
        <w:t>group.</w:t>
      </w:r>
    </w:p>
    <w:p w14:paraId="0D22955F" w14:textId="1DC8710F" w:rsidR="00A60E7F" w:rsidRPr="00613D7E" w:rsidRDefault="00A60E7F" w:rsidP="00A60E7F">
      <w:pPr>
        <w:pStyle w:val="TableTitle"/>
      </w:pPr>
      <w:r w:rsidRPr="00A60E7F">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10</w:t>
      </w:r>
      <w:r w:rsidR="0012347D">
        <w:rPr>
          <w:noProof/>
        </w:rPr>
        <w:fldChar w:fldCharType="end"/>
      </w:r>
      <w:r>
        <w:t>: Study V58P13</w:t>
      </w:r>
      <w:r w:rsidRPr="00613D7E">
        <w:t xml:space="preserve"> </w:t>
      </w:r>
      <w:r w:rsidR="006863DF">
        <w:t>T</w:t>
      </w:r>
      <w:r w:rsidRPr="00613D7E">
        <w:t>rea</w:t>
      </w:r>
      <w:r w:rsidR="00622D6D">
        <w:t>tment and conditions</w:t>
      </w:r>
      <w:r>
        <w:t xml:space="preserve"> (15 </w:t>
      </w:r>
      <w:r w:rsidR="006E6AC3">
        <w:t>µg</w:t>
      </w:r>
      <w:r w:rsidR="00C11C9F">
        <w:t xml:space="preserve"> of </w:t>
      </w:r>
      <w:r w:rsidR="00C11C9F">
        <w:rPr>
          <w:rFonts w:asciiTheme="minorHAnsi" w:eastAsia="Times New Roman" w:hAnsiTheme="minorHAnsi" w:cs="Calibri"/>
          <w:color w:val="000000"/>
        </w:rPr>
        <w:t>h</w:t>
      </w:r>
      <w:r w:rsidR="00C11C9F" w:rsidRPr="009253CF">
        <w:rPr>
          <w:rFonts w:asciiTheme="minorHAnsi" w:eastAsia="Times New Roman" w:hAnsiTheme="minorHAnsi" w:cs="Calibri"/>
          <w:color w:val="000000"/>
        </w:rPr>
        <w:t>aemagglutinin</w:t>
      </w:r>
      <w:r>
        <w:t xml:space="preserve"> for each strain)</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65"/>
        <w:gridCol w:w="2189"/>
      </w:tblGrid>
      <w:tr w:rsidR="00622D6D" w:rsidRPr="00613D7E" w14:paraId="37B453EC" w14:textId="77777777" w:rsidTr="00622D6D">
        <w:trPr>
          <w:cnfStyle w:val="100000000000" w:firstRow="1" w:lastRow="0" w:firstColumn="0" w:lastColumn="0" w:oddVBand="0" w:evenVBand="0" w:oddHBand="0" w:evenHBand="0" w:firstRowFirstColumn="0" w:firstRowLastColumn="0" w:lastRowFirstColumn="0" w:lastRowLastColumn="0"/>
        </w:trPr>
        <w:tc>
          <w:tcPr>
            <w:tcW w:w="3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9233F4" w14:textId="77777777" w:rsidR="00622D6D" w:rsidRPr="0064386B" w:rsidRDefault="00622D6D" w:rsidP="006863DF">
            <w:r w:rsidRPr="006863DF">
              <w:t>TIVc (Flucelvax/Optaflu)</w:t>
            </w:r>
          </w:p>
        </w:tc>
        <w:tc>
          <w:tcPr>
            <w:tcW w:w="323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DFC558" w14:textId="77777777" w:rsidR="00622D6D" w:rsidRPr="0064386B" w:rsidRDefault="00622D6D" w:rsidP="006863DF">
            <w:r w:rsidRPr="006863DF">
              <w:t>TIVeA (IIV) (Agrippal)</w:t>
            </w:r>
          </w:p>
        </w:tc>
        <w:tc>
          <w:tcPr>
            <w:tcW w:w="22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2B988" w14:textId="77777777" w:rsidR="00622D6D" w:rsidRPr="0064386B" w:rsidRDefault="00622D6D" w:rsidP="006863DF">
            <w:r w:rsidRPr="006863DF">
              <w:t>Placebo</w:t>
            </w:r>
          </w:p>
        </w:tc>
      </w:tr>
      <w:tr w:rsidR="00622D6D" w:rsidRPr="00613D7E" w14:paraId="6B8EC486" w14:textId="77777777" w:rsidTr="00622D6D">
        <w:tc>
          <w:tcPr>
            <w:tcW w:w="3205" w:type="dxa"/>
          </w:tcPr>
          <w:p w14:paraId="1C046373" w14:textId="77777777" w:rsidR="00622D6D" w:rsidRPr="0064386B" w:rsidRDefault="00622D6D" w:rsidP="00706A7E">
            <w:pPr>
              <w:rPr>
                <w:sz w:val="20"/>
                <w:szCs w:val="18"/>
                <w:lang w:eastAsia="ja-JP"/>
              </w:rPr>
            </w:pPr>
            <w:r w:rsidRPr="0064386B">
              <w:rPr>
                <w:sz w:val="20"/>
                <w:szCs w:val="18"/>
                <w:lang w:eastAsia="ja-JP"/>
              </w:rPr>
              <w:t>A/Solomon Islands/3/2006 (H1N1)-like</w:t>
            </w:r>
          </w:p>
          <w:p w14:paraId="6F67EDAB" w14:textId="77777777" w:rsidR="00622D6D" w:rsidRPr="0064386B" w:rsidRDefault="00622D6D" w:rsidP="00706A7E">
            <w:pPr>
              <w:rPr>
                <w:sz w:val="20"/>
                <w:szCs w:val="18"/>
                <w:lang w:eastAsia="ja-JP"/>
              </w:rPr>
            </w:pPr>
            <w:r w:rsidRPr="0064386B">
              <w:rPr>
                <w:sz w:val="20"/>
                <w:szCs w:val="18"/>
                <w:lang w:eastAsia="ja-JP"/>
              </w:rPr>
              <w:t xml:space="preserve">A/Wisconsin/67/2005 (H3N2)-like </w:t>
            </w:r>
          </w:p>
          <w:p w14:paraId="0115B07C" w14:textId="77777777" w:rsidR="00622D6D" w:rsidRPr="0064386B" w:rsidRDefault="00622D6D" w:rsidP="00706A7E">
            <w:pPr>
              <w:rPr>
                <w:rFonts w:asciiTheme="minorHAnsi" w:hAnsiTheme="minorHAnsi" w:cs="TimesNewRoman"/>
                <w:sz w:val="20"/>
                <w:szCs w:val="18"/>
              </w:rPr>
            </w:pPr>
            <w:r w:rsidRPr="0064386B">
              <w:rPr>
                <w:sz w:val="20"/>
                <w:szCs w:val="18"/>
                <w:lang w:eastAsia="ja-JP"/>
              </w:rPr>
              <w:t>B/Malaysia/2506/2004-like</w:t>
            </w:r>
          </w:p>
        </w:tc>
        <w:tc>
          <w:tcPr>
            <w:tcW w:w="3233" w:type="dxa"/>
          </w:tcPr>
          <w:p w14:paraId="38204629" w14:textId="77777777" w:rsidR="00622D6D" w:rsidRPr="0064386B" w:rsidRDefault="00622D6D" w:rsidP="00706A7E">
            <w:pPr>
              <w:rPr>
                <w:sz w:val="20"/>
                <w:szCs w:val="18"/>
                <w:lang w:eastAsia="ja-JP"/>
              </w:rPr>
            </w:pPr>
            <w:r w:rsidRPr="0064386B">
              <w:rPr>
                <w:sz w:val="20"/>
                <w:szCs w:val="18"/>
                <w:lang w:eastAsia="ja-JP"/>
              </w:rPr>
              <w:t>A/Solomon Islands/3/2006 (H1N1)-like</w:t>
            </w:r>
          </w:p>
          <w:p w14:paraId="493066D1" w14:textId="77777777" w:rsidR="00622D6D" w:rsidRPr="0064386B" w:rsidRDefault="00622D6D" w:rsidP="00706A7E">
            <w:pPr>
              <w:rPr>
                <w:sz w:val="20"/>
                <w:szCs w:val="18"/>
                <w:lang w:eastAsia="ja-JP"/>
              </w:rPr>
            </w:pPr>
            <w:r w:rsidRPr="0064386B">
              <w:rPr>
                <w:sz w:val="20"/>
                <w:szCs w:val="18"/>
                <w:lang w:eastAsia="ja-JP"/>
              </w:rPr>
              <w:t xml:space="preserve">A/Wisconsin/67/2005 (H3N2)-like </w:t>
            </w:r>
          </w:p>
          <w:p w14:paraId="60E52FA6" w14:textId="77777777" w:rsidR="00622D6D" w:rsidRPr="0064386B" w:rsidRDefault="00622D6D" w:rsidP="00706A7E">
            <w:pPr>
              <w:autoSpaceDE w:val="0"/>
              <w:autoSpaceDN w:val="0"/>
              <w:adjustRightInd w:val="0"/>
              <w:spacing w:after="0" w:line="240" w:lineRule="auto"/>
              <w:rPr>
                <w:rFonts w:asciiTheme="minorHAnsi" w:hAnsiTheme="minorHAnsi" w:cs="TimesNewRoman"/>
                <w:sz w:val="20"/>
              </w:rPr>
            </w:pPr>
            <w:r w:rsidRPr="0064386B">
              <w:rPr>
                <w:sz w:val="20"/>
                <w:szCs w:val="18"/>
                <w:lang w:eastAsia="ja-JP"/>
              </w:rPr>
              <w:t>B/Malaysia/2506/2004-like</w:t>
            </w:r>
          </w:p>
        </w:tc>
        <w:tc>
          <w:tcPr>
            <w:tcW w:w="2282" w:type="dxa"/>
          </w:tcPr>
          <w:p w14:paraId="5361D755" w14:textId="77777777" w:rsidR="00622D6D" w:rsidRPr="0064386B" w:rsidRDefault="00622D6D" w:rsidP="00706A7E">
            <w:pPr>
              <w:rPr>
                <w:rFonts w:asciiTheme="minorHAnsi" w:hAnsiTheme="minorHAnsi" w:cs="TimesNewRoman"/>
                <w:sz w:val="20"/>
                <w:szCs w:val="18"/>
              </w:rPr>
            </w:pPr>
            <w:r w:rsidRPr="0064386B">
              <w:rPr>
                <w:sz w:val="20"/>
                <w:szCs w:val="18"/>
                <w:lang w:eastAsia="ja-JP"/>
              </w:rPr>
              <w:t>No active component</w:t>
            </w:r>
          </w:p>
        </w:tc>
      </w:tr>
    </w:tbl>
    <w:p w14:paraId="2AA316BE" w14:textId="77777777" w:rsidR="00622D6D" w:rsidRDefault="00622D6D" w:rsidP="00622D6D">
      <w:pPr>
        <w:pStyle w:val="Heading6"/>
      </w:pPr>
      <w:r>
        <w:t>Magnitude of the treatment effect and its clinical significance</w:t>
      </w:r>
    </w:p>
    <w:p w14:paraId="61713BF6" w14:textId="4A5DAC2B" w:rsidR="00622D6D" w:rsidRDefault="00622D6D" w:rsidP="00622D6D">
      <w:r w:rsidRPr="0064386B">
        <w:rPr>
          <w:i/>
        </w:rPr>
        <w:t>Primary efficacy objectives</w:t>
      </w:r>
      <w:r w:rsidR="006863DF" w:rsidRPr="0064386B">
        <w:rPr>
          <w:i/>
        </w:rPr>
        <w:t>, p</w:t>
      </w:r>
      <w:r w:rsidRPr="0064386B">
        <w:rPr>
          <w:i/>
        </w:rPr>
        <w:t xml:space="preserve">rimary analysis: </w:t>
      </w:r>
      <w:r>
        <w:t>Both TIVc and TIVeA met the pre-specified criteria for estimating absolute vaccine efficacy (VE) against placebo (TIVc: over</w:t>
      </w:r>
      <w:r w:rsidR="00C940B6">
        <w:t>all VE of 83.8% with 97.5% CI lower limit (LL)</w:t>
      </w:r>
      <w:r>
        <w:t xml:space="preserve"> of 61%; TIVeA: overall VE of 78.4% with 97.5% CI LL of 52.1%) (</w:t>
      </w:r>
      <w:r>
        <w:fldChar w:fldCharType="begin"/>
      </w:r>
      <w:r>
        <w:instrText xml:space="preserve"> REF _Ref57189079 \h </w:instrText>
      </w:r>
      <w:r>
        <w:fldChar w:fldCharType="separate"/>
      </w:r>
      <w:r w:rsidR="0064386B" w:rsidRPr="00622D6D">
        <w:t xml:space="preserve">Table </w:t>
      </w:r>
      <w:r w:rsidR="0064386B">
        <w:rPr>
          <w:noProof/>
        </w:rPr>
        <w:t>11</w:t>
      </w:r>
      <w:r>
        <w:fldChar w:fldCharType="end"/>
      </w:r>
      <w:r>
        <w:t>). The H1N1 strain was matched for that season.</w:t>
      </w:r>
    </w:p>
    <w:p w14:paraId="50164620" w14:textId="77777777" w:rsidR="00622D6D" w:rsidRDefault="00622D6D" w:rsidP="00622D6D">
      <w:r>
        <w:t>For the B strain, the VE was 100%, as no influenza cases were reported in the TIVc vaccine group, while one case was reported in the placebo group. For the A/H3N2 strain, the VE of the TIVc vaccine vs. placebo was considered not evaluable since no influenza case was observed in the placebo group.</w:t>
      </w:r>
    </w:p>
    <w:p w14:paraId="1D24E2E9" w14:textId="36EEA5BD" w:rsidR="00622D6D" w:rsidRDefault="00622D6D" w:rsidP="00622D6D">
      <w:r w:rsidRPr="0064386B">
        <w:rPr>
          <w:i/>
        </w:rPr>
        <w:t xml:space="preserve">Secondary </w:t>
      </w:r>
      <w:r w:rsidR="006863DF" w:rsidRPr="0064386B">
        <w:rPr>
          <w:i/>
        </w:rPr>
        <w:t>e</w:t>
      </w:r>
      <w:r w:rsidRPr="0064386B">
        <w:rPr>
          <w:i/>
        </w:rPr>
        <w:t xml:space="preserve">fficacy </w:t>
      </w:r>
      <w:r w:rsidR="006863DF" w:rsidRPr="0064386B">
        <w:rPr>
          <w:i/>
        </w:rPr>
        <w:t>o</w:t>
      </w:r>
      <w:r w:rsidRPr="0064386B">
        <w:rPr>
          <w:i/>
        </w:rPr>
        <w:t>bjectives</w:t>
      </w:r>
      <w:r w:rsidR="006863DF" w:rsidRPr="0064386B">
        <w:rPr>
          <w:i/>
        </w:rPr>
        <w:t xml:space="preserve">, </w:t>
      </w:r>
      <w:r w:rsidRPr="0064386B">
        <w:rPr>
          <w:i/>
        </w:rPr>
        <w:t xml:space="preserve">VE against </w:t>
      </w:r>
      <w:r w:rsidR="006863DF" w:rsidRPr="0064386B">
        <w:rPr>
          <w:i/>
        </w:rPr>
        <w:t>n</w:t>
      </w:r>
      <w:r w:rsidRPr="0064386B">
        <w:rPr>
          <w:i/>
        </w:rPr>
        <w:t>on-vaccine-like strains</w:t>
      </w:r>
      <w:r>
        <w:t xml:space="preserve">: Neither TIVc and TIVeA met the pre-specified CBER criteria for estimating </w:t>
      </w:r>
      <w:r w:rsidR="00C940B6">
        <w:t>VE</w:t>
      </w:r>
      <w:r>
        <w:t xml:space="preserve"> against placebo for preventing virus-confirmed symptomatic influenza A or B illness caused by non-vaccine-like strains (TIVc: overall VE of 58.7% with 97.5% CI LL of 33.5%; TIVeA: overall VE of 58.6% with 97.5% CI LL of 32.9%).</w:t>
      </w:r>
    </w:p>
    <w:p w14:paraId="2B21D904" w14:textId="2DDA0A29" w:rsidR="00622D6D" w:rsidRDefault="006863DF" w:rsidP="00622D6D">
      <w:r w:rsidRPr="0064386B">
        <w:rPr>
          <w:i/>
        </w:rPr>
        <w:t xml:space="preserve">Secondary efficacy objectives, </w:t>
      </w:r>
      <w:r w:rsidR="00622D6D" w:rsidRPr="0064386B">
        <w:rPr>
          <w:i/>
        </w:rPr>
        <w:t>VE against circulating strains:</w:t>
      </w:r>
      <w:r w:rsidR="00622D6D">
        <w:t xml:space="preserve"> Both TIVc and TIVeA met the pre-specified CBER criteria for estimating vaccine efficacy (VE) against placebo for preventing virus-confirmed symptomatic influenza A or B illness caused by circulating (vaccine-matched, non-vaccine-matched and not further specified) strains (TIVc: overall VE of 69.5% with 97.5% CI LL of 55.0%; TIVeA: overall VE of 63.0% with 97.5% CI LL of 46.7%).</w:t>
      </w:r>
    </w:p>
    <w:p w14:paraId="4FC9033C" w14:textId="15CF5904" w:rsidR="00A60E7F" w:rsidRDefault="00622D6D" w:rsidP="00622D6D">
      <w:r>
        <w:t xml:space="preserve">Among </w:t>
      </w:r>
      <w:r w:rsidR="00C940B6">
        <w:t>the subset of subjects in the per protocol (PP)</w:t>
      </w:r>
      <w:r>
        <w:t xml:space="preserve"> efficacy population who had culture confirmed influenza and non-missing </w:t>
      </w:r>
      <w:r w:rsidR="00C940B6" w:rsidRPr="00C940B6">
        <w:t xml:space="preserve">influenza-like illness </w:t>
      </w:r>
      <w:r w:rsidR="00C940B6">
        <w:t>(</w:t>
      </w:r>
      <w:r>
        <w:t>ILI</w:t>
      </w:r>
      <w:r w:rsidR="00C940B6">
        <w:t>)</w:t>
      </w:r>
      <w:r>
        <w:t xml:space="preserve"> follow-up data, there was no significant difference between the influenza vaccine groups and placebo in the mean number of days in bed, mean number of inpatient/outpatient visits due to influenza, or the mean number of days of usual activity lost due to influenza. However, when considering the whole PP efficacy population, there was a statistically significant difference between TIVc and placebo in the mean number of days in bed due to culture-confirmed influenza (TIVc: mean</w:t>
      </w:r>
      <w:r w:rsidR="00C940B6">
        <w:t xml:space="preserve"> </w:t>
      </w:r>
      <w:r>
        <w:t>=</w:t>
      </w:r>
      <w:r w:rsidR="00C940B6">
        <w:t xml:space="preserve"> </w:t>
      </w:r>
      <w:r>
        <w:t>0.04 days (n</w:t>
      </w:r>
      <w:r w:rsidR="00C940B6">
        <w:t xml:space="preserve"> </w:t>
      </w:r>
      <w:r>
        <w:t>=</w:t>
      </w:r>
      <w:r w:rsidR="00C940B6">
        <w:t xml:space="preserve"> </w:t>
      </w:r>
      <w:r>
        <w:t>3775); placebo: mean</w:t>
      </w:r>
      <w:r w:rsidR="00C940B6">
        <w:t xml:space="preserve"> </w:t>
      </w:r>
      <w:r>
        <w:t>=</w:t>
      </w:r>
      <w:r w:rsidR="00C940B6">
        <w:t xml:space="preserve"> </w:t>
      </w:r>
      <w:r>
        <w:t>0.12 days (n</w:t>
      </w:r>
      <w:r w:rsidR="00C940B6">
        <w:t xml:space="preserve"> </w:t>
      </w:r>
      <w:r>
        <w:t>=</w:t>
      </w:r>
      <w:r w:rsidR="00C940B6">
        <w:t xml:space="preserve"> </w:t>
      </w:r>
      <w:r>
        <w:t>3837); p</w:t>
      </w:r>
      <w:r w:rsidR="00375E45">
        <w:t xml:space="preserve">&lt; </w:t>
      </w:r>
      <w:r>
        <w:t>0.0001) and TIVeA and placebo (TIVeA mean</w:t>
      </w:r>
      <w:r w:rsidR="00C940B6">
        <w:t xml:space="preserve"> </w:t>
      </w:r>
      <w:r>
        <w:t>=</w:t>
      </w:r>
      <w:r w:rsidR="00C940B6">
        <w:t xml:space="preserve"> </w:t>
      </w:r>
      <w:r>
        <w:t>0.04 days (n</w:t>
      </w:r>
      <w:r w:rsidR="00C940B6">
        <w:t xml:space="preserve"> </w:t>
      </w:r>
      <w:r>
        <w:t>=</w:t>
      </w:r>
      <w:r w:rsidR="00C940B6">
        <w:t xml:space="preserve"> </w:t>
      </w:r>
      <w:r>
        <w:t>3668); placebo mean</w:t>
      </w:r>
      <w:r w:rsidR="00C940B6">
        <w:t xml:space="preserve"> </w:t>
      </w:r>
      <w:r>
        <w:t>=</w:t>
      </w:r>
      <w:r w:rsidR="00C940B6">
        <w:t xml:space="preserve"> </w:t>
      </w:r>
      <w:r>
        <w:t>0.12 days (n</w:t>
      </w:r>
      <w:r w:rsidR="006863DF">
        <w:t> </w:t>
      </w:r>
      <w:r>
        <w:t>=</w:t>
      </w:r>
      <w:r w:rsidR="00C940B6">
        <w:t> </w:t>
      </w:r>
      <w:r>
        <w:t>3837); p</w:t>
      </w:r>
      <w:r w:rsidR="00375E45">
        <w:t xml:space="preserve">&lt; </w:t>
      </w:r>
      <w:r>
        <w:t>0.0001).</w:t>
      </w:r>
    </w:p>
    <w:p w14:paraId="142CEF9E" w14:textId="64CA29BC" w:rsidR="00622D6D" w:rsidRDefault="00622D6D" w:rsidP="00622D6D">
      <w:pPr>
        <w:pStyle w:val="TableTitle"/>
      </w:pPr>
      <w:bookmarkStart w:id="47" w:name="_Ref57189079"/>
      <w:r w:rsidRPr="00622D6D">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11</w:t>
      </w:r>
      <w:r w:rsidR="0012347D">
        <w:rPr>
          <w:noProof/>
        </w:rPr>
        <w:fldChar w:fldCharType="end"/>
      </w:r>
      <w:bookmarkEnd w:id="47"/>
      <w:r>
        <w:t xml:space="preserve">: Study V58P13 Vaccine efficacy against culture-confirmed influenza caused by vaccine-like strains, subjects 18 to &lt; 50 </w:t>
      </w:r>
      <w:r w:rsidR="008031C7">
        <w:t>years of age (per protocol set)</w:t>
      </w:r>
    </w:p>
    <w:p w14:paraId="30171495" w14:textId="5400C48C" w:rsidR="00622D6D" w:rsidRDefault="00622D6D" w:rsidP="00622D6D">
      <w:pPr>
        <w:pStyle w:val="Caption"/>
      </w:pPr>
      <w:r w:rsidRPr="00891745">
        <w:rPr>
          <w:noProof/>
          <w:lang w:eastAsia="en-AU"/>
        </w:rPr>
        <w:drawing>
          <wp:inline distT="0" distB="0" distL="0" distR="0" wp14:anchorId="2A8182D7" wp14:editId="7E0B6069">
            <wp:extent cx="5400040" cy="2274425"/>
            <wp:effectExtent l="0" t="0" r="0" b="0"/>
            <wp:docPr id="13" name="Picture 13" descr="Study V58P13. Vaccine efficacy against culture-confirmed influenza caused by vaccine-like strains, subjects 18 to &lt; 50 years of age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13" b="40244"/>
                    <a:stretch/>
                  </pic:blipFill>
                  <pic:spPr bwMode="auto">
                    <a:xfrm>
                      <a:off x="0" y="0"/>
                      <a:ext cx="5400762" cy="2274729"/>
                    </a:xfrm>
                    <a:prstGeom prst="rect">
                      <a:avLst/>
                    </a:prstGeom>
                    <a:noFill/>
                    <a:ln>
                      <a:noFill/>
                    </a:ln>
                    <a:extLst>
                      <a:ext uri="{53640926-AAD7-44D8-BBD7-CCE9431645EC}">
                        <a14:shadowObscured xmlns:a14="http://schemas.microsoft.com/office/drawing/2010/main"/>
                      </a:ext>
                    </a:extLst>
                  </pic:spPr>
                </pic:pic>
              </a:graphicData>
            </a:graphic>
          </wp:inline>
        </w:drawing>
      </w:r>
    </w:p>
    <w:p w14:paraId="3C810FD1" w14:textId="1ED937CE" w:rsidR="00622D6D" w:rsidRDefault="00622D6D" w:rsidP="00622D6D">
      <w:r w:rsidRPr="00891745">
        <w:rPr>
          <w:noProof/>
          <w:lang w:eastAsia="en-AU"/>
        </w:rPr>
        <w:drawing>
          <wp:inline distT="0" distB="0" distL="0" distR="0" wp14:anchorId="5E7C2334" wp14:editId="08C6BF9B">
            <wp:extent cx="5399318" cy="1398656"/>
            <wp:effectExtent l="0" t="0" r="0" b="0"/>
            <wp:docPr id="6" name="Picture 6" descr="Study V58P13. Vaccine efficacy against culture-confirmed influenza caused by vaccine-like strains, subjects 18 to &lt; 50 years of age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63253"/>
                    <a:stretch/>
                  </pic:blipFill>
                  <pic:spPr bwMode="auto">
                    <a:xfrm>
                      <a:off x="0" y="0"/>
                      <a:ext cx="5400040" cy="1398843"/>
                    </a:xfrm>
                    <a:prstGeom prst="rect">
                      <a:avLst/>
                    </a:prstGeom>
                    <a:noFill/>
                    <a:ln>
                      <a:noFill/>
                    </a:ln>
                    <a:extLst>
                      <a:ext uri="{53640926-AAD7-44D8-BBD7-CCE9431645EC}">
                        <a14:shadowObscured xmlns:a14="http://schemas.microsoft.com/office/drawing/2010/main"/>
                      </a:ext>
                    </a:extLst>
                  </pic:spPr>
                </pic:pic>
              </a:graphicData>
            </a:graphic>
          </wp:inline>
        </w:drawing>
      </w:r>
    </w:p>
    <w:p w14:paraId="5B224157" w14:textId="1AFA8AA7" w:rsidR="00622D6D" w:rsidRDefault="00622D6D" w:rsidP="00622D6D">
      <w:r w:rsidRPr="0064386B">
        <w:rPr>
          <w:i/>
        </w:rPr>
        <w:t>Immunogenicity</w:t>
      </w:r>
      <w:r w:rsidRPr="00622D6D">
        <w:t>: Both the CBER criteria for seroconversion and for HI titre ≥ 40 were met for all 3 strains in both the TIVc and TIVeA groups at Day 22. Conversely, none of the criteria were met by the placebo group.</w:t>
      </w:r>
    </w:p>
    <w:p w14:paraId="18A5DEEB" w14:textId="70B8A24D" w:rsidR="00622D6D" w:rsidRDefault="00622D6D" w:rsidP="00622D6D">
      <w:pPr>
        <w:pStyle w:val="Heading5"/>
      </w:pPr>
      <w:r w:rsidRPr="00622D6D">
        <w:t>Other efficacy studies</w:t>
      </w:r>
    </w:p>
    <w:p w14:paraId="7405E763" w14:textId="77777777" w:rsidR="00622D6D" w:rsidRDefault="00622D6D" w:rsidP="00622D6D">
      <w:r>
        <w:t>Additional studies with an efficacy component (to evaluate TIVc, and mostly previously evaluated) were provided in the dossier: Studies V58P13, V58P1, V58P2, V58P4, V58P4E1, V58P4E2, V58P5, V58P9, V58_23, V58P12, and V58P16.</w:t>
      </w:r>
    </w:p>
    <w:p w14:paraId="218AA60C" w14:textId="77777777" w:rsidR="00622D6D" w:rsidRDefault="00622D6D" w:rsidP="00622D6D">
      <w:r>
        <w:t>Overall, those studies with TIVc were generally supportive of the pivotal trials for QIVc. Additional evaluator comments are summarised below.</w:t>
      </w:r>
    </w:p>
    <w:p w14:paraId="5F10CF2F" w14:textId="743DA5D5" w:rsidR="00622D6D" w:rsidRDefault="00622D6D" w:rsidP="00622D6D">
      <w:r w:rsidRPr="0064386B">
        <w:rPr>
          <w:i/>
        </w:rPr>
        <w:t>Adults and elderly</w:t>
      </w:r>
      <w:r>
        <w:t xml:space="preserve">: Overall, outcomes as evaluated by post-vaccination GMTs, </w:t>
      </w:r>
      <w:r w:rsidR="00865763" w:rsidRPr="00865763">
        <w:t>geometric mean ratio</w:t>
      </w:r>
      <w:r w:rsidR="00865763">
        <w:t>s</w:t>
      </w:r>
      <w:r>
        <w:t xml:space="preserve"> and seroconversion rates across all the studies in adults 18 to </w:t>
      </w:r>
      <w:r w:rsidR="00375E45">
        <w:t xml:space="preserve">&lt; </w:t>
      </w:r>
      <w:r>
        <w:t>65 years of age, elderly ≥</w:t>
      </w:r>
      <w:r w:rsidR="00865763">
        <w:t xml:space="preserve"> </w:t>
      </w:r>
      <w:r>
        <w:t xml:space="preserve">65 years of age and elderly </w:t>
      </w:r>
      <w:r w:rsidR="00375E45">
        <w:t xml:space="preserve">&gt; </w:t>
      </w:r>
      <w:r>
        <w:t>75 years of age, indicate robust and consistent immune responses to a given antigen, whether it is contained in a cell-based TIV, an egg-based TIV, or a quadrivalent cell-based vaccine formulation (QIVc).</w:t>
      </w:r>
    </w:p>
    <w:p w14:paraId="763757CF" w14:textId="6F532CCC" w:rsidR="00622D6D" w:rsidRDefault="00622D6D" w:rsidP="00EC2CA5">
      <w:r w:rsidRPr="0064386B">
        <w:rPr>
          <w:i/>
        </w:rPr>
        <w:t>Paediatric subjects</w:t>
      </w:r>
      <w:r>
        <w:t>: Results obtained with the QIVc vaccine were consistent with results obtained with the TIVc vaccines in this age group.</w:t>
      </w:r>
    </w:p>
    <w:p w14:paraId="370566ED" w14:textId="2748BCDF" w:rsidR="00622D6D" w:rsidRDefault="00622D6D" w:rsidP="00622D6D">
      <w:pPr>
        <w:pStyle w:val="Heading4"/>
      </w:pPr>
      <w:r>
        <w:t>Safety</w:t>
      </w:r>
    </w:p>
    <w:p w14:paraId="05D65EB6" w14:textId="77777777" w:rsidR="00622D6D" w:rsidRDefault="00622D6D" w:rsidP="00622D6D">
      <w:pPr>
        <w:pStyle w:val="Heading5"/>
      </w:pPr>
      <w:r>
        <w:t>Exposure</w:t>
      </w:r>
    </w:p>
    <w:p w14:paraId="0BFC1C99" w14:textId="400BDA0E" w:rsidR="00622D6D" w:rsidRDefault="00622D6D" w:rsidP="00622D6D">
      <w:r>
        <w:t>The only studies that administered Flucelvax Quad (QIVc) were the pivotal studies</w:t>
      </w:r>
      <w:r w:rsidR="00060B6D">
        <w:t>,</w:t>
      </w:r>
      <w:r>
        <w:t xml:space="preserve"> </w:t>
      </w:r>
      <w:r w:rsidR="00060B6D">
        <w:t>Studies </w:t>
      </w:r>
      <w:r>
        <w:t>V130_01 and V130_03 (</w:t>
      </w:r>
      <w:r w:rsidR="00C04FAC">
        <w:t xml:space="preserve">monitoring periods </w:t>
      </w:r>
      <w:r w:rsidR="00060B6D">
        <w:t xml:space="preserve">are shown </w:t>
      </w:r>
      <w:r w:rsidR="00C04FAC">
        <w:t>in Table 12).</w:t>
      </w:r>
    </w:p>
    <w:p w14:paraId="61E1E110" w14:textId="20A12FCE" w:rsidR="00622D6D" w:rsidRDefault="00622D6D" w:rsidP="007B06E1">
      <w:pPr>
        <w:pStyle w:val="ListBullet"/>
      </w:pPr>
      <w:r>
        <w:t>Adult (≥</w:t>
      </w:r>
      <w:r w:rsidR="00865763">
        <w:t xml:space="preserve"> </w:t>
      </w:r>
      <w:r w:rsidR="00375E45">
        <w:t>18 years of age</w:t>
      </w:r>
      <w:r>
        <w:t>) exposure: 2680 subjects were exposed in Study V130_01, 1334 of those received QIVc (</w:t>
      </w:r>
      <w:r w:rsidR="00060B6D">
        <w:t xml:space="preserve">see </w:t>
      </w:r>
      <w:r>
        <w:t>Table 13).</w:t>
      </w:r>
    </w:p>
    <w:p w14:paraId="31840798" w14:textId="12018C80" w:rsidR="00622D6D" w:rsidRDefault="00622D6D" w:rsidP="007B06E1">
      <w:pPr>
        <w:pStyle w:val="ListBullet"/>
      </w:pPr>
      <w:r>
        <w:t xml:space="preserve">Paediatric (4 to </w:t>
      </w:r>
      <w:r w:rsidR="00375E45">
        <w:t>&lt; 18 years of age</w:t>
      </w:r>
      <w:r>
        <w:t>) exposure: 233</w:t>
      </w:r>
      <w:r w:rsidR="00062421">
        <w:t>2</w:t>
      </w:r>
      <w:r w:rsidR="006E6AC3">
        <w:t xml:space="preserve"> subjects were exposed in Study </w:t>
      </w:r>
      <w:r>
        <w:t>V130_03, 1159 of those received QIVc (</w:t>
      </w:r>
      <w:r w:rsidR="00060B6D">
        <w:t xml:space="preserve">see </w:t>
      </w:r>
      <w:r>
        <w:t>Table 14).</w:t>
      </w:r>
    </w:p>
    <w:p w14:paraId="31241176" w14:textId="77777777" w:rsidR="00622D6D" w:rsidRDefault="00622D6D" w:rsidP="00622D6D">
      <w:pPr>
        <w:pStyle w:val="Heading5"/>
      </w:pPr>
      <w:r>
        <w:t>Solicited adverse event overview</w:t>
      </w:r>
    </w:p>
    <w:p w14:paraId="4FBE9B08" w14:textId="44B804E4" w:rsidR="00622D6D" w:rsidRDefault="00622D6D" w:rsidP="00C04FAC">
      <w:pPr>
        <w:pStyle w:val="Heading6"/>
      </w:pPr>
      <w:r>
        <w:t xml:space="preserve">Adults (≥ </w:t>
      </w:r>
      <w:r w:rsidR="00375E45">
        <w:t>18 years of age</w:t>
      </w:r>
      <w:r>
        <w:t>) (Study V130_01)</w:t>
      </w:r>
    </w:p>
    <w:p w14:paraId="5E4E6077" w14:textId="3D9DFC36" w:rsidR="00622D6D" w:rsidRDefault="00622D6D" w:rsidP="00622D6D">
      <w:r>
        <w:t xml:space="preserve">The percentage of subjects with solicited local </w:t>
      </w:r>
      <w:r w:rsidR="00865763" w:rsidRPr="00865763">
        <w:t xml:space="preserve">adverse events </w:t>
      </w:r>
      <w:r w:rsidR="00865763">
        <w:t>(AE)</w:t>
      </w:r>
      <w:r>
        <w:t xml:space="preserve"> was higher in the QIVc group compared to TIV1c and TIV2c (41.8%, 35.8% and 36.5%, respectively). Overall, the most common solicited local AE was injection site pain (33.6%, 27.8%, 29.4%</w:t>
      </w:r>
      <w:r w:rsidR="00020F5B">
        <w:t xml:space="preserve"> respectively</w:t>
      </w:r>
      <w:r>
        <w:t xml:space="preserve">) </w:t>
      </w:r>
    </w:p>
    <w:p w14:paraId="7FD797E8" w14:textId="7FAE51B2" w:rsidR="00622D6D" w:rsidRDefault="00622D6D" w:rsidP="00622D6D">
      <w:r>
        <w:t>Similar proportions of subjects in the QIVc, TIV1c, and TIV2c groups reported solicited systemic AEs (28.5%, 28.7%, 29.3%</w:t>
      </w:r>
      <w:r w:rsidR="00020F5B">
        <w:t xml:space="preserve"> respectively</w:t>
      </w:r>
      <w:r>
        <w:t>). Overall, the most common solicited systemic AEs were headache (14.0%, 13.4%, 13.4%), fatigue (13.5%, 16.3%, 12.2%) and myalgia (11.8%, 11.9%, 11.6%)).</w:t>
      </w:r>
    </w:p>
    <w:p w14:paraId="0CEBA7F4" w14:textId="05386F3D" w:rsidR="00622D6D" w:rsidRDefault="00622D6D" w:rsidP="00622D6D">
      <w:r>
        <w:t>Most subjects had a body temperature within normal range (</w:t>
      </w:r>
      <w:r w:rsidR="00375E45">
        <w:t xml:space="preserve">&lt; </w:t>
      </w:r>
      <w:r>
        <w:t xml:space="preserve">38.0°C) after receiving a study vaccination, and </w:t>
      </w:r>
      <w:r w:rsidR="00375E45">
        <w:t xml:space="preserve">&lt; </w:t>
      </w:r>
      <w:r>
        <w:t>1% of subjects in all groups had a body temperature ≥</w:t>
      </w:r>
      <w:r w:rsidR="00020F5B">
        <w:t xml:space="preserve"> </w:t>
      </w:r>
      <w:r>
        <w:t>38°C. No</w:t>
      </w:r>
      <w:r w:rsidR="005D130B">
        <w:t> </w:t>
      </w:r>
      <w:r>
        <w:t>subject reported a body temperature ≥</w:t>
      </w:r>
      <w:r w:rsidR="00020F5B">
        <w:t xml:space="preserve"> </w:t>
      </w:r>
      <w:r>
        <w:t>40°C. The proportion who reported other solicited reactions (analgesic and antipyretic use) was similar between groups (5.0%, 3.0%, 4.5%).</w:t>
      </w:r>
    </w:p>
    <w:p w14:paraId="4796FB1B" w14:textId="7DE03501" w:rsidR="00622D6D" w:rsidRDefault="00622D6D" w:rsidP="00C04FAC">
      <w:pPr>
        <w:pStyle w:val="Heading6"/>
      </w:pPr>
      <w:r>
        <w:t xml:space="preserve">Children (4 to </w:t>
      </w:r>
      <w:r w:rsidR="00375E45">
        <w:t>&lt; 18 years of age</w:t>
      </w:r>
      <w:r>
        <w:t>) (Study V130_03)</w:t>
      </w:r>
    </w:p>
    <w:p w14:paraId="2C82823E" w14:textId="31FE6129" w:rsidR="00622D6D" w:rsidRDefault="00622D6D" w:rsidP="00622D6D">
      <w:r>
        <w:t>In general, solicited AE reporting rates were similar between groups. Solicited AEs were reported by 72%, 71%, and 67% of subjects in the QIVc, TIV1c, and TIV2c groups, respectively. Most subjects reported local AEs (66%, 65%, 60%), while fewer reported systemic AEs (38%, 39%, 34%).</w:t>
      </w:r>
    </w:p>
    <w:p w14:paraId="06E231D9" w14:textId="58948CE3" w:rsidR="00622D6D" w:rsidRDefault="00622D6D" w:rsidP="00622D6D">
      <w:pPr>
        <w:pStyle w:val="TableTitle"/>
        <w:rPr>
          <w:lang w:eastAsia="ja-JP"/>
        </w:rPr>
      </w:pPr>
      <w:bookmarkStart w:id="48" w:name="_Ref57189444"/>
      <w:r w:rsidRPr="00622D6D">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12</w:t>
      </w:r>
      <w:r w:rsidR="0012347D">
        <w:rPr>
          <w:noProof/>
        </w:rPr>
        <w:fldChar w:fldCharType="end"/>
      </w:r>
      <w:bookmarkEnd w:id="48"/>
      <w:r>
        <w:t xml:space="preserve">: </w:t>
      </w:r>
      <w:r>
        <w:rPr>
          <w:lang w:eastAsia="ja-JP"/>
        </w:rPr>
        <w:t>Study V130_03</w:t>
      </w:r>
      <w:r w:rsidRPr="00614848">
        <w:rPr>
          <w:lang w:eastAsia="ja-JP"/>
        </w:rPr>
        <w:t xml:space="preserve"> Solicited local adverse events reported in subjects </w:t>
      </w:r>
      <w:r>
        <w:rPr>
          <w:lang w:eastAsia="ja-JP"/>
        </w:rPr>
        <w:t>9 to &lt;</w:t>
      </w:r>
      <w:r w:rsidR="005D130B">
        <w:rPr>
          <w:lang w:eastAsia="ja-JP"/>
        </w:rPr>
        <w:t> </w:t>
      </w:r>
      <w:r>
        <w:rPr>
          <w:lang w:eastAsia="ja-JP"/>
        </w:rPr>
        <w:t xml:space="preserve">18 </w:t>
      </w:r>
      <w:r w:rsidR="00375E45">
        <w:rPr>
          <w:lang w:eastAsia="ja-JP"/>
        </w:rPr>
        <w:t xml:space="preserve">years of </w:t>
      </w:r>
      <w:r w:rsidR="008031C7">
        <w:rPr>
          <w:lang w:eastAsia="ja-JP"/>
        </w:rPr>
        <w:t>age</w:t>
      </w:r>
    </w:p>
    <w:p w14:paraId="3EB1F903" w14:textId="2C0D686C" w:rsidR="00622D6D" w:rsidRDefault="00622D6D" w:rsidP="00622D6D">
      <w:r w:rsidRPr="00614848">
        <w:rPr>
          <w:noProof/>
          <w:lang w:eastAsia="en-AU"/>
        </w:rPr>
        <w:drawing>
          <wp:inline distT="0" distB="0" distL="0" distR="0" wp14:anchorId="7A6463AE" wp14:editId="1FCD2586">
            <wp:extent cx="4838065" cy="2291787"/>
            <wp:effectExtent l="0" t="0" r="635" b="0"/>
            <wp:docPr id="22" name="Picture 22" descr="Study V130_03. Solicited local adverse events reported in subjects 9 to &lt; 18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8" b="15556"/>
                    <a:stretch/>
                  </pic:blipFill>
                  <pic:spPr bwMode="auto">
                    <a:xfrm>
                      <a:off x="0" y="0"/>
                      <a:ext cx="4842006" cy="2293654"/>
                    </a:xfrm>
                    <a:prstGeom prst="rect">
                      <a:avLst/>
                    </a:prstGeom>
                    <a:noFill/>
                    <a:ln>
                      <a:noFill/>
                    </a:ln>
                    <a:extLst>
                      <a:ext uri="{53640926-AAD7-44D8-BBD7-CCE9431645EC}">
                        <a14:shadowObscured xmlns:a14="http://schemas.microsoft.com/office/drawing/2010/main"/>
                      </a:ext>
                    </a:extLst>
                  </pic:spPr>
                </pic:pic>
              </a:graphicData>
            </a:graphic>
          </wp:inline>
        </w:drawing>
      </w:r>
    </w:p>
    <w:p w14:paraId="196BD067" w14:textId="240CFFD3" w:rsidR="00622D6D" w:rsidRPr="00622D6D" w:rsidRDefault="00622D6D" w:rsidP="00622D6D">
      <w:r w:rsidRPr="00614848">
        <w:rPr>
          <w:noProof/>
          <w:lang w:eastAsia="en-AU"/>
        </w:rPr>
        <w:drawing>
          <wp:inline distT="0" distB="0" distL="0" distR="0" wp14:anchorId="21BF1114" wp14:editId="66889DE2">
            <wp:extent cx="4837718" cy="260157"/>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0414"/>
                    <a:stretch/>
                  </pic:blipFill>
                  <pic:spPr bwMode="auto">
                    <a:xfrm>
                      <a:off x="0" y="0"/>
                      <a:ext cx="4841659" cy="260369"/>
                    </a:xfrm>
                    <a:prstGeom prst="rect">
                      <a:avLst/>
                    </a:prstGeom>
                    <a:noFill/>
                    <a:ln>
                      <a:noFill/>
                    </a:ln>
                    <a:extLst>
                      <a:ext uri="{53640926-AAD7-44D8-BBD7-CCE9431645EC}">
                        <a14:shadowObscured xmlns:a14="http://schemas.microsoft.com/office/drawing/2010/main"/>
                      </a:ext>
                    </a:extLst>
                  </pic:spPr>
                </pic:pic>
              </a:graphicData>
            </a:graphic>
          </wp:inline>
        </w:drawing>
      </w:r>
    </w:p>
    <w:p w14:paraId="50B8D489" w14:textId="0A306DD7" w:rsidR="00622D6D" w:rsidRDefault="00622D6D" w:rsidP="00622D6D">
      <w:r w:rsidRPr="0064386B">
        <w:rPr>
          <w:i/>
        </w:rPr>
        <w:t>Local AEs</w:t>
      </w:r>
      <w:r>
        <w:t xml:space="preserve">: The most common solicited local AEs were injection site pain (4 to </w:t>
      </w:r>
      <w:r w:rsidR="00375E45">
        <w:t xml:space="preserve">&lt; </w:t>
      </w:r>
      <w:r>
        <w:t>18 years</w:t>
      </w:r>
      <w:r w:rsidR="00020F5B">
        <w:t xml:space="preserve"> of age</w:t>
      </w:r>
      <w:r>
        <w:t>) (59%, 58%, and 57%) or injection site tenderness (4 t</w:t>
      </w:r>
      <w:r w:rsidR="005804CA">
        <w:t xml:space="preserve">o </w:t>
      </w:r>
      <w:r w:rsidR="00375E45">
        <w:t xml:space="preserve">&lt; </w:t>
      </w:r>
      <w:r w:rsidR="005804CA">
        <w:t>6 years</w:t>
      </w:r>
      <w:r w:rsidR="00020F5B">
        <w:t xml:space="preserve"> of age</w:t>
      </w:r>
      <w:r w:rsidR="005804CA">
        <w:t>) (55%, 51%, and 48%).</w:t>
      </w:r>
      <w:r>
        <w:t xml:space="preserve"> Severe injection site pain was reported by 1% in all 3 vaccine groups, while severe injection site tenderness was reported by 2%, 1%, and 2%. Other common solicited local AEs included injection site erythema (21%, 21%, and 19%) and injection site induration (16%, 18%, and 14%). Severe erythema and induration were reported by ≤</w:t>
      </w:r>
      <w:r w:rsidR="00020F5B">
        <w:t xml:space="preserve"> </w:t>
      </w:r>
      <w:r>
        <w:t>1% in any group</w:t>
      </w:r>
      <w:r w:rsidR="005804CA">
        <w:t xml:space="preserve">. </w:t>
      </w:r>
      <w:r>
        <w:t>Most of the solicited local AEs had their onset from 6 hours t</w:t>
      </w:r>
      <w:r w:rsidR="00375E45">
        <w:t>o 2 days after the vaccination.</w:t>
      </w:r>
    </w:p>
    <w:p w14:paraId="5DBE5C51" w14:textId="08196491" w:rsidR="00622D6D" w:rsidRDefault="00622D6D" w:rsidP="00622D6D">
      <w:r>
        <w:t xml:space="preserve">Generally, smaller proportions of subjects 4 to </w:t>
      </w:r>
      <w:r w:rsidR="00375E45">
        <w:t xml:space="preserve">&lt; </w:t>
      </w:r>
      <w:r>
        <w:t>6 years of age reported individual solicited local AEs with the second vaccination (except for: injection site tenderness in the QIVc group). Among the subjects who received a second vaccination, the most commonly reported solicited local AEs was injection site tenderness (50%, 38%, 32%) followed by erythema (17%, 8%, 15%), induration (11%, 5%, 9%) and ecchymosis (6%, 8%, 4%).</w:t>
      </w:r>
    </w:p>
    <w:p w14:paraId="6AE87361" w14:textId="6268734B" w:rsidR="00622D6D" w:rsidRDefault="00622D6D" w:rsidP="00622D6D">
      <w:r>
        <w:t xml:space="preserve">Generally, a smaller proportion of subjects 6 to </w:t>
      </w:r>
      <w:r w:rsidR="00375E45">
        <w:t xml:space="preserve">&lt; </w:t>
      </w:r>
      <w:r>
        <w:t xml:space="preserve">9 years of age reported individual solicited local AEs with the second vaccination and the proportions </w:t>
      </w:r>
      <w:r w:rsidR="00020F5B">
        <w:t>were similar between groups (for example</w:t>
      </w:r>
      <w:r>
        <w:t>. injection site pain (46%, 54%, 53%)</w:t>
      </w:r>
      <w:r w:rsidR="005804CA">
        <w:t>)</w:t>
      </w:r>
      <w:r>
        <w:t>.</w:t>
      </w:r>
    </w:p>
    <w:p w14:paraId="27E27ECD" w14:textId="384B2B79" w:rsidR="005804CA" w:rsidRDefault="005804CA" w:rsidP="005804CA">
      <w:pPr>
        <w:pStyle w:val="TableTitle"/>
        <w:rPr>
          <w:lang w:eastAsia="ja-JP"/>
        </w:rPr>
      </w:pPr>
      <w:bookmarkStart w:id="49" w:name="_Ref57189851"/>
      <w:r w:rsidRPr="005804CA">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13</w:t>
      </w:r>
      <w:r w:rsidR="0012347D">
        <w:rPr>
          <w:noProof/>
        </w:rPr>
        <w:fldChar w:fldCharType="end"/>
      </w:r>
      <w:bookmarkEnd w:id="49"/>
      <w:r>
        <w:t xml:space="preserve">: </w:t>
      </w:r>
      <w:r>
        <w:rPr>
          <w:lang w:eastAsia="ja-JP"/>
        </w:rPr>
        <w:t>Study V130_03</w:t>
      </w:r>
      <w:r w:rsidRPr="00614848">
        <w:rPr>
          <w:lang w:eastAsia="ja-JP"/>
        </w:rPr>
        <w:t xml:space="preserve"> Solicited </w:t>
      </w:r>
      <w:r>
        <w:rPr>
          <w:lang w:eastAsia="ja-JP"/>
        </w:rPr>
        <w:t>systemic</w:t>
      </w:r>
      <w:r w:rsidRPr="00614848">
        <w:rPr>
          <w:lang w:eastAsia="ja-JP"/>
        </w:rPr>
        <w:t xml:space="preserve"> adverse events reported in subjects </w:t>
      </w:r>
      <w:r w:rsidR="00062421">
        <w:rPr>
          <w:lang w:eastAsia="ja-JP"/>
        </w:rPr>
        <w:t>4</w:t>
      </w:r>
      <w:r w:rsidR="00375E45">
        <w:rPr>
          <w:lang w:eastAsia="ja-JP"/>
        </w:rPr>
        <w:t xml:space="preserve"> to &lt; 18 years of</w:t>
      </w:r>
      <w:r>
        <w:rPr>
          <w:lang w:eastAsia="ja-JP"/>
        </w:rPr>
        <w:t xml:space="preserve"> age</w:t>
      </w:r>
    </w:p>
    <w:p w14:paraId="11643793" w14:textId="0E326602" w:rsidR="005804CA" w:rsidRPr="005804CA" w:rsidRDefault="005804CA" w:rsidP="0052167C">
      <w:r w:rsidRPr="005804CA">
        <w:rPr>
          <w:noProof/>
          <w:lang w:eastAsia="en-AU"/>
        </w:rPr>
        <w:drawing>
          <wp:inline distT="0" distB="0" distL="0" distR="0" wp14:anchorId="2B41D7C1" wp14:editId="28C709E2">
            <wp:extent cx="5063924" cy="7196105"/>
            <wp:effectExtent l="0" t="0" r="3810" b="5080"/>
            <wp:docPr id="16" name="Picture 16" descr="Study V130_03. Solicited systemic adverse events reported in subjects 9 to &lt;18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0581" cy="7205564"/>
                    </a:xfrm>
                    <a:prstGeom prst="rect">
                      <a:avLst/>
                    </a:prstGeom>
                  </pic:spPr>
                </pic:pic>
              </a:graphicData>
            </a:graphic>
          </wp:inline>
        </w:drawing>
      </w:r>
    </w:p>
    <w:p w14:paraId="729F35EA" w14:textId="5E365335" w:rsidR="00622D6D" w:rsidRDefault="005804CA" w:rsidP="00622D6D">
      <w:r w:rsidRPr="0064386B">
        <w:rPr>
          <w:i/>
        </w:rPr>
        <w:t>Systemic AEs</w:t>
      </w:r>
      <w:r w:rsidR="00622D6D">
        <w:t xml:space="preserve">: In the 4 to </w:t>
      </w:r>
      <w:r w:rsidR="00375E45">
        <w:t xml:space="preserve">&lt; </w:t>
      </w:r>
      <w:r w:rsidR="00622D6D">
        <w:t>18 year</w:t>
      </w:r>
      <w:r w:rsidR="00375E45">
        <w:t>s of age</w:t>
      </w:r>
      <w:r w:rsidR="00622D6D">
        <w:t xml:space="preserve"> group, the most common individual solicited systemic AEs were headache (20%, 20%, 16%), fatigue (17%, 17%</w:t>
      </w:r>
      <w:r>
        <w:t>, 17%), myalgia (16%, 17%, 14%) (</w:t>
      </w:r>
      <w:r>
        <w:fldChar w:fldCharType="begin"/>
      </w:r>
      <w:r>
        <w:instrText xml:space="preserve"> REF _Ref57189851 \h </w:instrText>
      </w:r>
      <w:r>
        <w:fldChar w:fldCharType="separate"/>
      </w:r>
      <w:r w:rsidR="0064386B" w:rsidRPr="005804CA">
        <w:t xml:space="preserve">Table </w:t>
      </w:r>
      <w:r w:rsidR="0064386B">
        <w:rPr>
          <w:noProof/>
        </w:rPr>
        <w:t>13</w:t>
      </w:r>
      <w:r>
        <w:fldChar w:fldCharType="end"/>
      </w:r>
      <w:r>
        <w:t>)</w:t>
      </w:r>
      <w:r w:rsidR="008031C7">
        <w:t>.</w:t>
      </w:r>
    </w:p>
    <w:p w14:paraId="60E43E94" w14:textId="5466C672" w:rsidR="00622D6D" w:rsidRDefault="00622D6D" w:rsidP="00622D6D">
      <w:r>
        <w:t xml:space="preserve">In subjects 4 to </w:t>
      </w:r>
      <w:r w:rsidR="00375E45">
        <w:t xml:space="preserve">&lt; </w:t>
      </w:r>
      <w:r>
        <w:t>6 years of age, the most common individual solicited systemic AEs were sleepiness (21%, 13%, 14%), irritability (19%, 14%, 15%), and change</w:t>
      </w:r>
      <w:r w:rsidR="005804CA">
        <w:t xml:space="preserve"> in eating habits (14%, 8%, 7%) (</w:t>
      </w:r>
      <w:r w:rsidR="005804CA">
        <w:fldChar w:fldCharType="begin"/>
      </w:r>
      <w:r w:rsidR="005804CA">
        <w:instrText xml:space="preserve"> REF _Ref57189851 \h </w:instrText>
      </w:r>
      <w:r w:rsidR="005804CA">
        <w:fldChar w:fldCharType="separate"/>
      </w:r>
      <w:r w:rsidR="0064386B" w:rsidRPr="005804CA">
        <w:t xml:space="preserve">Table </w:t>
      </w:r>
      <w:r w:rsidR="0064386B">
        <w:rPr>
          <w:noProof/>
        </w:rPr>
        <w:t>13</w:t>
      </w:r>
      <w:r w:rsidR="005804CA">
        <w:fldChar w:fldCharType="end"/>
      </w:r>
      <w:r w:rsidR="005804CA">
        <w:t>).</w:t>
      </w:r>
    </w:p>
    <w:p w14:paraId="2F419540" w14:textId="44C96E71" w:rsidR="00622D6D" w:rsidRDefault="00622D6D" w:rsidP="00622D6D">
      <w:r>
        <w:t xml:space="preserve">Individual solicited systemic AEs were mostly similar across the 3 groups, except that more subjects 4 to </w:t>
      </w:r>
      <w:r w:rsidR="00375E45">
        <w:t xml:space="preserve">&lt; </w:t>
      </w:r>
      <w:r>
        <w:t>6 years of age in the QIVc group experienced a change in eating habits, sleepiness, and irritability compared to TIV1c/TIV2c.</w:t>
      </w:r>
    </w:p>
    <w:p w14:paraId="020777CB" w14:textId="6CCE533E" w:rsidR="00622D6D" w:rsidRDefault="00622D6D" w:rsidP="00622D6D">
      <w:r>
        <w:t>Most of the solicited systemic AEs had their onset from 6 hours t</w:t>
      </w:r>
      <w:r w:rsidR="008031C7">
        <w:t>o 2 days after the vaccination.</w:t>
      </w:r>
    </w:p>
    <w:p w14:paraId="30CCB8EA" w14:textId="5F48506A" w:rsidR="00622D6D" w:rsidRDefault="00622D6D" w:rsidP="00622D6D">
      <w:r>
        <w:t xml:space="preserve">Severe, solicited systemic AEs were infrequent. Those experienced by </w:t>
      </w:r>
      <w:r w:rsidR="00375E45">
        <w:t xml:space="preserve">&gt; </w:t>
      </w:r>
      <w:r>
        <w:t>1% were change in eating habits in the TIV1c group (4%), sleepiness in the TIV1c group (3%), and irritability (2% in the QIVc and TIV1c groups). Fever (body temperature ≥ 38.0°C) was reported by similar proportion across groups (3%, 4%, 2%).</w:t>
      </w:r>
    </w:p>
    <w:p w14:paraId="64AC5E01" w14:textId="77777777" w:rsidR="008B0D27" w:rsidRDefault="008B0D27" w:rsidP="008B0D27">
      <w:pPr>
        <w:pStyle w:val="Heading5"/>
      </w:pPr>
      <w:r>
        <w:t>Unsolicited adverse event overview</w:t>
      </w:r>
    </w:p>
    <w:p w14:paraId="439F3D5B" w14:textId="14FE1503" w:rsidR="008B0D27" w:rsidRDefault="008B0D27" w:rsidP="00C04FAC">
      <w:pPr>
        <w:pStyle w:val="Heading6"/>
      </w:pPr>
      <w:r>
        <w:t xml:space="preserve">Adults (≥ </w:t>
      </w:r>
      <w:r w:rsidR="00375E45">
        <w:t>18 years of age</w:t>
      </w:r>
      <w:r>
        <w:t>) (Study V130_01)</w:t>
      </w:r>
    </w:p>
    <w:p w14:paraId="4F01A29A" w14:textId="38D8F8A9" w:rsidR="008B0D27" w:rsidRDefault="008B0D27" w:rsidP="008B0D27">
      <w:r>
        <w:t>Similar proportions of subjects in the QIVc (16.1%), TIV1c (14.7%), and TIV2c (16.5%) groups reported unsolicited AEs from Day 1 through Day 22 after vaccination</w:t>
      </w:r>
      <w:r w:rsidR="00AC2400">
        <w:t xml:space="preserve"> </w:t>
      </w:r>
      <w:r>
        <w:t>(</w:t>
      </w:r>
      <w:r w:rsidR="005D130B">
        <w:t xml:space="preserve">see </w:t>
      </w:r>
      <w:r>
        <w:fldChar w:fldCharType="begin"/>
      </w:r>
      <w:r>
        <w:instrText xml:space="preserve"> REF _Ref57191783 \h </w:instrText>
      </w:r>
      <w:r>
        <w:fldChar w:fldCharType="separate"/>
      </w:r>
      <w:r w:rsidR="0064386B" w:rsidRPr="008B0D27">
        <w:t xml:space="preserve">Table </w:t>
      </w:r>
      <w:r w:rsidR="0064386B">
        <w:rPr>
          <w:noProof/>
        </w:rPr>
        <w:t>14</w:t>
      </w:r>
      <w:r>
        <w:fldChar w:fldCharType="end"/>
      </w:r>
      <w:r>
        <w:t>)</w:t>
      </w:r>
      <w:r w:rsidR="00AC2400">
        <w:t>.</w:t>
      </w:r>
      <w:r>
        <w:t xml:space="preserve"> The proportion of AEs judged by the investigator as possibly/probably related to the study vaccine were also similar across the groups (3.9%, 3.1%, 4.2%). Most unsolicited AEs were mild to moderate in severity. The majority were regarded as resolved or stabilised at the time of study end. There were 2 cases of confirmed influenza.</w:t>
      </w:r>
    </w:p>
    <w:p w14:paraId="2B9568A9" w14:textId="5FD733D7" w:rsidR="008B0D27" w:rsidRDefault="008B0D27" w:rsidP="008B0D27">
      <w:pPr>
        <w:pStyle w:val="TableTitle"/>
        <w:rPr>
          <w:lang w:eastAsia="ja-JP"/>
        </w:rPr>
      </w:pPr>
      <w:bookmarkStart w:id="50" w:name="_Ref57191783"/>
      <w:r w:rsidRPr="008B0D27">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14</w:t>
      </w:r>
      <w:r w:rsidR="0012347D">
        <w:rPr>
          <w:noProof/>
        </w:rPr>
        <w:fldChar w:fldCharType="end"/>
      </w:r>
      <w:bookmarkEnd w:id="50"/>
      <w:r>
        <w:t xml:space="preserve">: </w:t>
      </w:r>
      <w:r>
        <w:rPr>
          <w:lang w:eastAsia="ja-JP"/>
        </w:rPr>
        <w:t>Study V130_01 Uns</w:t>
      </w:r>
      <w:r w:rsidRPr="009E7260">
        <w:rPr>
          <w:lang w:eastAsia="ja-JP"/>
        </w:rPr>
        <w:t>olicited adverse events report</w:t>
      </w:r>
      <w:r>
        <w:rPr>
          <w:lang w:eastAsia="ja-JP"/>
        </w:rPr>
        <w:t xml:space="preserve">ed in subjects ≥ 18 years of age by </w:t>
      </w:r>
      <w:r w:rsidR="00C11C9F">
        <w:rPr>
          <w:lang w:eastAsia="ja-JP"/>
        </w:rPr>
        <w:t xml:space="preserve">medical dictionary for regulatory </w:t>
      </w:r>
      <w:r w:rsidR="00C11C9F" w:rsidRPr="00C11C9F">
        <w:rPr>
          <w:lang w:eastAsia="ja-JP"/>
        </w:rPr>
        <w:t xml:space="preserve">activities </w:t>
      </w:r>
      <w:r w:rsidRPr="00C11C9F">
        <w:rPr>
          <w:lang w:eastAsia="ja-JP"/>
        </w:rPr>
        <w:t>preferred</w:t>
      </w:r>
      <w:r>
        <w:rPr>
          <w:lang w:eastAsia="ja-JP"/>
        </w:rPr>
        <w:t xml:space="preserve"> term (&gt; 1% after any vaccina</w:t>
      </w:r>
      <w:r w:rsidR="008031C7">
        <w:rPr>
          <w:lang w:eastAsia="ja-JP"/>
        </w:rPr>
        <w:t>tion), by age group and overall</w:t>
      </w:r>
    </w:p>
    <w:p w14:paraId="2FC11294" w14:textId="37E08E6F" w:rsidR="008B0D27" w:rsidRDefault="008B0D27" w:rsidP="008B0D27">
      <w:r w:rsidRPr="009E7260">
        <w:rPr>
          <w:noProof/>
          <w:lang w:eastAsia="en-AU"/>
        </w:rPr>
        <w:drawing>
          <wp:inline distT="0" distB="0" distL="0" distR="0" wp14:anchorId="3CC516A9" wp14:editId="21AF06B1">
            <wp:extent cx="5347504" cy="2314936"/>
            <wp:effectExtent l="0" t="0" r="5715" b="9525"/>
            <wp:docPr id="25" name="Picture 25" descr="Study V130_01. Unsolicited adverse events reported in subjects ≥ 18 years of age by MedDRA preferred term (&gt; 1% after any vaccination), by age group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r="2618" b="5063"/>
                    <a:stretch/>
                  </pic:blipFill>
                  <pic:spPr bwMode="auto">
                    <a:xfrm>
                      <a:off x="0" y="0"/>
                      <a:ext cx="5352432" cy="2317069"/>
                    </a:xfrm>
                    <a:prstGeom prst="rect">
                      <a:avLst/>
                    </a:prstGeom>
                    <a:noFill/>
                    <a:ln>
                      <a:noFill/>
                    </a:ln>
                    <a:extLst>
                      <a:ext uri="{53640926-AAD7-44D8-BBD7-CCE9431645EC}">
                        <a14:shadowObscured xmlns:a14="http://schemas.microsoft.com/office/drawing/2010/main"/>
                      </a:ext>
                    </a:extLst>
                  </pic:spPr>
                </pic:pic>
              </a:graphicData>
            </a:graphic>
          </wp:inline>
        </w:drawing>
      </w:r>
    </w:p>
    <w:p w14:paraId="0CC7BFEC" w14:textId="093A8C50" w:rsidR="008B0D27" w:rsidRDefault="008B0D27" w:rsidP="00C04FAC">
      <w:pPr>
        <w:pStyle w:val="Heading6"/>
      </w:pPr>
      <w:r>
        <w:t xml:space="preserve">Children (4 to &lt; </w:t>
      </w:r>
      <w:r w:rsidR="00375E45">
        <w:t>18 years of age</w:t>
      </w:r>
      <w:r>
        <w:t>) (Study V130_03)</w:t>
      </w:r>
    </w:p>
    <w:p w14:paraId="661A6945" w14:textId="5696F478" w:rsidR="008B0D27" w:rsidRDefault="008B0D27" w:rsidP="008B0D27">
      <w:r>
        <w:t xml:space="preserve">From Day 1 through Day 22 (Day 1 to Day 50 for not previously vaccinated subjects), similar percentages of subjects in the QIVc, TIV1c, and TIV2c </w:t>
      </w:r>
      <w:r w:rsidR="009F1F6D">
        <w:t>groups</w:t>
      </w:r>
      <w:r>
        <w:t xml:space="preserve"> reported unsolicited AEs (24.3%, 24.0%, 26.7%) (</w:t>
      </w:r>
      <w:r w:rsidR="005D130B">
        <w:t xml:space="preserve">see </w:t>
      </w:r>
      <w:r>
        <w:fldChar w:fldCharType="begin"/>
      </w:r>
      <w:r>
        <w:instrText xml:space="preserve"> REF _Ref57191847 \h </w:instrText>
      </w:r>
      <w:r>
        <w:fldChar w:fldCharType="separate"/>
      </w:r>
      <w:r w:rsidR="0064386B" w:rsidRPr="008B0D27">
        <w:t xml:space="preserve">Table </w:t>
      </w:r>
      <w:r w:rsidR="0064386B">
        <w:rPr>
          <w:noProof/>
        </w:rPr>
        <w:t>15</w:t>
      </w:r>
      <w:r>
        <w:fldChar w:fldCharType="end"/>
      </w:r>
      <w:r>
        <w:t>). The proportion of AEs judged by the investigator as possibly or probably related to the study vaccine were also similar across the groups (4.9%, 5.9%, 5.4%). Throughout the study, the most commonly reported unsolicited AEs were upper respiratory infection (5.1%, 3.1%, 6.7%), cough (3.9%, 6.0%, 4.2%), influenza-like illness (4.3%, 4.0%, 3.2%), headache (3.6%, 2.1%, 3.2%), and pharyngitis streptococcal (2.6%, 3.1%, 3.5%). There were 13 cases of confirmed influenza.</w:t>
      </w:r>
    </w:p>
    <w:p w14:paraId="151AA23E" w14:textId="2F7FB0B9" w:rsidR="008B0D27" w:rsidRDefault="008B0D27" w:rsidP="0099045B">
      <w:pPr>
        <w:pStyle w:val="TableTitle"/>
        <w:rPr>
          <w:lang w:eastAsia="ja-JP"/>
        </w:rPr>
      </w:pPr>
      <w:bookmarkStart w:id="51" w:name="_Ref57191847"/>
      <w:r w:rsidRPr="008B0D27">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15</w:t>
      </w:r>
      <w:r w:rsidR="0012347D">
        <w:rPr>
          <w:noProof/>
        </w:rPr>
        <w:fldChar w:fldCharType="end"/>
      </w:r>
      <w:bookmarkEnd w:id="51"/>
      <w:r>
        <w:t xml:space="preserve">: </w:t>
      </w:r>
      <w:r>
        <w:rPr>
          <w:lang w:eastAsia="ja-JP"/>
        </w:rPr>
        <w:t>Study V130_03 Uns</w:t>
      </w:r>
      <w:r w:rsidRPr="009E7260">
        <w:rPr>
          <w:lang w:eastAsia="ja-JP"/>
        </w:rPr>
        <w:t>olicited adverse events report</w:t>
      </w:r>
      <w:r>
        <w:rPr>
          <w:lang w:eastAsia="ja-JP"/>
        </w:rPr>
        <w:t xml:space="preserve">ed in subjects 4 to </w:t>
      </w:r>
      <w:r w:rsidR="00375E45">
        <w:rPr>
          <w:lang w:eastAsia="ja-JP"/>
        </w:rPr>
        <w:t xml:space="preserve">&lt; </w:t>
      </w:r>
      <w:r w:rsidRPr="009E7260">
        <w:rPr>
          <w:lang w:eastAsia="ja-JP"/>
        </w:rPr>
        <w:t xml:space="preserve">18 </w:t>
      </w:r>
      <w:r>
        <w:rPr>
          <w:lang w:eastAsia="ja-JP"/>
        </w:rPr>
        <w:t xml:space="preserve">years of age by </w:t>
      </w:r>
      <w:r w:rsidR="00C11C9F">
        <w:rPr>
          <w:lang w:eastAsia="ja-JP"/>
        </w:rPr>
        <w:t>medical dictionary for regulatory a</w:t>
      </w:r>
      <w:r w:rsidR="00C11C9F" w:rsidRPr="00C11C9F">
        <w:rPr>
          <w:lang w:eastAsia="ja-JP"/>
        </w:rPr>
        <w:t xml:space="preserve">ctivities </w:t>
      </w:r>
      <w:r>
        <w:rPr>
          <w:lang w:eastAsia="ja-JP"/>
        </w:rPr>
        <w:t>preferred term (&gt; 1% af</w:t>
      </w:r>
      <w:r w:rsidR="00C11C9F">
        <w:rPr>
          <w:lang w:eastAsia="ja-JP"/>
        </w:rPr>
        <w:t>ter any vaccination)</w:t>
      </w:r>
    </w:p>
    <w:p w14:paraId="2132164F" w14:textId="2877094A" w:rsidR="008B0D27" w:rsidRDefault="008B0D27" w:rsidP="008B0D27">
      <w:r w:rsidRPr="009E7260">
        <w:rPr>
          <w:noProof/>
          <w:lang w:eastAsia="en-AU"/>
        </w:rPr>
        <w:drawing>
          <wp:inline distT="0" distB="0" distL="0" distR="0" wp14:anchorId="79AC2456" wp14:editId="42016C4D">
            <wp:extent cx="4369443" cy="4543063"/>
            <wp:effectExtent l="0" t="0" r="0" b="0"/>
            <wp:docPr id="26" name="Picture 26" descr="Study V130_03. Unsolicited adverse events reported in subjects 4 to &lt;18 years of age by MedDRA preferred term (&gt; 1% after any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1064" b="3370"/>
                    <a:stretch/>
                  </pic:blipFill>
                  <pic:spPr bwMode="auto">
                    <a:xfrm>
                      <a:off x="0" y="0"/>
                      <a:ext cx="4369443" cy="4543063"/>
                    </a:xfrm>
                    <a:prstGeom prst="rect">
                      <a:avLst/>
                    </a:prstGeom>
                    <a:noFill/>
                    <a:ln>
                      <a:noFill/>
                    </a:ln>
                    <a:extLst>
                      <a:ext uri="{53640926-AAD7-44D8-BBD7-CCE9431645EC}">
                        <a14:shadowObscured xmlns:a14="http://schemas.microsoft.com/office/drawing/2010/main"/>
                      </a:ext>
                    </a:extLst>
                  </pic:spPr>
                </pic:pic>
              </a:graphicData>
            </a:graphic>
          </wp:inline>
        </w:drawing>
      </w:r>
    </w:p>
    <w:p w14:paraId="1E45602C" w14:textId="77777777" w:rsidR="008B0D27" w:rsidRDefault="008B0D27" w:rsidP="0064386B">
      <w:pPr>
        <w:pStyle w:val="Heading5"/>
      </w:pPr>
      <w:r>
        <w:t>Deaths</w:t>
      </w:r>
    </w:p>
    <w:p w14:paraId="143E9160" w14:textId="77777777" w:rsidR="005D130B" w:rsidRDefault="008B0D27" w:rsidP="0064386B">
      <w:pPr>
        <w:pStyle w:val="Heading6"/>
      </w:pPr>
      <w:r>
        <w:t xml:space="preserve">Adults (≥ </w:t>
      </w:r>
      <w:r w:rsidR="00375E45">
        <w:t>18 years of age</w:t>
      </w:r>
      <w:r>
        <w:t>)</w:t>
      </w:r>
    </w:p>
    <w:p w14:paraId="6687453C" w14:textId="3AF48184" w:rsidR="008B0D27" w:rsidRDefault="006E6AC3" w:rsidP="008B0D27">
      <w:r>
        <w:t>There were 12 deaths in QIVc S</w:t>
      </w:r>
      <w:r w:rsidR="008B0D27">
        <w:t>tudy V130_01. None of the deaths were deemed to be possibly/probably related to a study vacci</w:t>
      </w:r>
      <w:r w:rsidR="00F60CA6">
        <w:t>ne. 11/12 were in patients ≥ 65 years of age</w:t>
      </w:r>
      <w:r w:rsidR="008B0D27">
        <w:t>. 17 deaths (TIVc 9, TIVe, 7, placebo 1) were reported in the TIVc safety set, all of which were considered unrelated to vaccination.</w:t>
      </w:r>
    </w:p>
    <w:p w14:paraId="2A698D1D" w14:textId="77777777" w:rsidR="005D130B" w:rsidRDefault="008B0D27" w:rsidP="0064386B">
      <w:pPr>
        <w:pStyle w:val="Heading6"/>
      </w:pPr>
      <w:r>
        <w:t xml:space="preserve">Children (4 to </w:t>
      </w:r>
      <w:r w:rsidR="00375E45">
        <w:t>&lt; 18 years of age</w:t>
      </w:r>
      <w:r>
        <w:t>)</w:t>
      </w:r>
    </w:p>
    <w:p w14:paraId="6E77F30C" w14:textId="79B75FF8" w:rsidR="008B0D27" w:rsidRDefault="008B0D27" w:rsidP="008B0D27">
      <w:r>
        <w:t>No deat</w:t>
      </w:r>
      <w:r w:rsidR="006E6AC3">
        <w:t>hs were reported in paediatric S</w:t>
      </w:r>
      <w:r>
        <w:t>tudy V130_03, or in the pooled TIVc paediatric safety set.</w:t>
      </w:r>
    </w:p>
    <w:p w14:paraId="0AB414EA" w14:textId="77777777" w:rsidR="008B0D27" w:rsidRDefault="008B0D27" w:rsidP="008B0D27">
      <w:pPr>
        <w:pStyle w:val="Heading5"/>
      </w:pPr>
      <w:r>
        <w:t>Serious adverse events</w:t>
      </w:r>
    </w:p>
    <w:p w14:paraId="169A3CA1" w14:textId="77777777" w:rsidR="00C04FAC" w:rsidRDefault="008B0D27" w:rsidP="00C04FAC">
      <w:pPr>
        <w:pStyle w:val="Heading6"/>
      </w:pPr>
      <w:r>
        <w:t xml:space="preserve">Adults (≥ </w:t>
      </w:r>
      <w:r w:rsidR="00375E45">
        <w:t>18 years of age</w:t>
      </w:r>
      <w:r w:rsidR="00C04FAC">
        <w:t>)</w:t>
      </w:r>
    </w:p>
    <w:p w14:paraId="39930ABB" w14:textId="26FEC362" w:rsidR="008B0D27" w:rsidRDefault="008B0D27" w:rsidP="008B0D27">
      <w:r>
        <w:t xml:space="preserve">A similar proportion of subjects in the QIVc (3.9%), TIV1c (3.3%), and TIV2c (3.2%) groups reported </w:t>
      </w:r>
      <w:r w:rsidR="00F60CA6">
        <w:t>serious adverse event (SAE)</w:t>
      </w:r>
      <w:r>
        <w:t xml:space="preserve">. No SAE was judged by the investigator as possibly or probably related to a study vaccine. In the TIVc studies, all reported SAEs were judged as unrelated to the vaccinations by the investigators, except for an </w:t>
      </w:r>
      <w:r w:rsidR="006E6AC3">
        <w:t>SAE of spontaneous abortion in S</w:t>
      </w:r>
      <w:r>
        <w:t>tudy V58_23 (occurring on Day 13 in a</w:t>
      </w:r>
      <w:r w:rsidR="0070370A">
        <w:t>n egg derived trivalent influenza vaccine (</w:t>
      </w:r>
      <w:r w:rsidR="0070370A" w:rsidRPr="0070370A">
        <w:t>Fluvirin)</w:t>
      </w:r>
      <w:r w:rsidR="0070370A">
        <w:t>;</w:t>
      </w:r>
      <w:r w:rsidR="0070370A">
        <w:rPr>
          <w:rStyle w:val="FootnoteReference"/>
        </w:rPr>
        <w:footnoteReference w:id="9"/>
      </w:r>
      <w:r w:rsidR="0070370A">
        <w:t xml:space="preserve"> </w:t>
      </w:r>
      <w:r>
        <w:t>recipient) which was considered possibly related.</w:t>
      </w:r>
    </w:p>
    <w:p w14:paraId="5908AA2F" w14:textId="77777777" w:rsidR="00C04FAC" w:rsidRDefault="008B0D27" w:rsidP="00C04FAC">
      <w:pPr>
        <w:pStyle w:val="Heading6"/>
      </w:pPr>
      <w:r>
        <w:t xml:space="preserve">Children (4 to </w:t>
      </w:r>
      <w:r w:rsidR="00375E45">
        <w:t>&lt; 18 years of age</w:t>
      </w:r>
      <w:r w:rsidR="00C04FAC">
        <w:t>)</w:t>
      </w:r>
    </w:p>
    <w:p w14:paraId="590F8AD6" w14:textId="15221EEA" w:rsidR="008B0D27" w:rsidRDefault="008B0D27" w:rsidP="008B0D27">
      <w:r>
        <w:t>In Study V130_03, 0.5%, 1.2% and 0.4% (QIVc, TIV1c and TIV2c, respectively), reported SAEs, none of which were considered as possibly/probably related to the study vaccines. In the TIVc studies, none of t</w:t>
      </w:r>
      <w:r w:rsidR="00F60CA6">
        <w:t xml:space="preserve">he SAEs were considered vaccine </w:t>
      </w:r>
      <w:r>
        <w:t>related.</w:t>
      </w:r>
    </w:p>
    <w:p w14:paraId="444E2AF4" w14:textId="77777777" w:rsidR="008B0D27" w:rsidRDefault="008B0D27" w:rsidP="008B0D27">
      <w:pPr>
        <w:pStyle w:val="Heading5"/>
      </w:pPr>
      <w:r>
        <w:t>Discontinuations</w:t>
      </w:r>
    </w:p>
    <w:p w14:paraId="16A8D170" w14:textId="77777777" w:rsidR="00C04FAC" w:rsidRDefault="008B0D27" w:rsidP="00C04FAC">
      <w:pPr>
        <w:pStyle w:val="Heading6"/>
      </w:pPr>
      <w:r>
        <w:t xml:space="preserve">Adults (≥ </w:t>
      </w:r>
      <w:r w:rsidR="00375E45">
        <w:t>18 years of age</w:t>
      </w:r>
      <w:r w:rsidR="00C04FAC">
        <w:t>)</w:t>
      </w:r>
    </w:p>
    <w:p w14:paraId="05D2AC1C" w14:textId="1A06EC6D" w:rsidR="008B0D27" w:rsidRDefault="008B0D27" w:rsidP="008B0D27">
      <w:r>
        <w:t>Across all the TIVc and QIVc adult and elderly studies, no subject withdrew due to an AE possibly related to vaccination.</w:t>
      </w:r>
    </w:p>
    <w:p w14:paraId="4BA3E336" w14:textId="77777777" w:rsidR="00C04FAC" w:rsidRDefault="008B0D27" w:rsidP="00C04FAC">
      <w:pPr>
        <w:pStyle w:val="Heading6"/>
      </w:pPr>
      <w:r>
        <w:t xml:space="preserve">Children (4 to &lt; </w:t>
      </w:r>
      <w:r w:rsidR="00375E45">
        <w:t>18 years of age</w:t>
      </w:r>
      <w:r w:rsidR="00C04FAC">
        <w:t>)</w:t>
      </w:r>
    </w:p>
    <w:p w14:paraId="7E215D00" w14:textId="1FEFBFF5" w:rsidR="008B0D27" w:rsidRDefault="008B0D27" w:rsidP="008B0D27">
      <w:r>
        <w:t xml:space="preserve">3 paediatric subjects in </w:t>
      </w:r>
      <w:r w:rsidR="006E6AC3">
        <w:t>Study</w:t>
      </w:r>
      <w:r>
        <w:t xml:space="preserve"> V130_03 withdrew from the study or the study vaccine because of AEs probably related to vaccination (prolonged erythema and induration at injection site; pain in extremity; and pruritus). No paediatric subject withdrew due to an AE possibly related to vaccination.</w:t>
      </w:r>
    </w:p>
    <w:p w14:paraId="60F9B6FE" w14:textId="77777777" w:rsidR="008B0D27" w:rsidRDefault="008B0D27" w:rsidP="008B0D27">
      <w:pPr>
        <w:pStyle w:val="Heading5"/>
      </w:pPr>
      <w:r>
        <w:t>Safety in special populations</w:t>
      </w:r>
    </w:p>
    <w:p w14:paraId="005E25B4" w14:textId="77777777" w:rsidR="005D130B" w:rsidRDefault="008B0D27" w:rsidP="0064386B">
      <w:pPr>
        <w:pStyle w:val="Heading6"/>
      </w:pPr>
      <w:r>
        <w:t>Sex</w:t>
      </w:r>
    </w:p>
    <w:p w14:paraId="66EE20FD" w14:textId="0854447E" w:rsidR="008B0D27" w:rsidRDefault="008B0D27" w:rsidP="008B0D27">
      <w:r>
        <w:t>Overall, slightly more female subjects were included in the studies, but evenly spread between treatment groups. Solicited AEs, both local and systemic, were generally more frequently reported in female subjects. Unsolicited AEs were generally more frequently in female subjects in the adult and elderly population, but occurred at similar rates in the paediatric studies.</w:t>
      </w:r>
    </w:p>
    <w:p w14:paraId="591F6EE8" w14:textId="77777777" w:rsidR="005D130B" w:rsidRDefault="008B0D27" w:rsidP="0064386B">
      <w:pPr>
        <w:pStyle w:val="Heading6"/>
      </w:pPr>
      <w:r>
        <w:t>Age</w:t>
      </w:r>
    </w:p>
    <w:p w14:paraId="58746745" w14:textId="17D52E25" w:rsidR="008B0D27" w:rsidRDefault="008B0D27" w:rsidP="008B0D27">
      <w:r>
        <w:t xml:space="preserve">There were no consistent trends in solicited AE reporting across all age groups. Unsolicited AEs were reported in higher percentages in the youngest </w:t>
      </w:r>
      <w:r w:rsidR="0044690F">
        <w:t xml:space="preserve">age group </w:t>
      </w:r>
      <w:r>
        <w:t xml:space="preserve">(4 to </w:t>
      </w:r>
      <w:r w:rsidR="00375E45">
        <w:t>&lt;</w:t>
      </w:r>
      <w:r w:rsidR="005D130B">
        <w:t> </w:t>
      </w:r>
      <w:r>
        <w:t>6</w:t>
      </w:r>
      <w:r w:rsidR="005D130B">
        <w:t> </w:t>
      </w:r>
      <w:r>
        <w:t xml:space="preserve">years, 50.5% to 52.7% subjects in each group; 6 to </w:t>
      </w:r>
      <w:r w:rsidR="00375E45">
        <w:t xml:space="preserve">&lt; </w:t>
      </w:r>
      <w:r>
        <w:t>9 years, 46.1% to 49.2% subjects in each group) and oldest subjects (≥</w:t>
      </w:r>
      <w:r w:rsidR="00F60CA6">
        <w:t xml:space="preserve"> </w:t>
      </w:r>
      <w:r>
        <w:t>65 years</w:t>
      </w:r>
      <w:r w:rsidR="00F60CA6">
        <w:t xml:space="preserve"> of age</w:t>
      </w:r>
      <w:r>
        <w:t>, 42.8% to 45.2% subjects in each group).</w:t>
      </w:r>
    </w:p>
    <w:p w14:paraId="04AAA859" w14:textId="3CF96963" w:rsidR="008B0D27" w:rsidRDefault="008B0D27" w:rsidP="008B0D27">
      <w:r>
        <w:t xml:space="preserve">The highest percentages of subjects with possibly/probably related unsolicited AEs occurred in subjects 4 to </w:t>
      </w:r>
      <w:r w:rsidR="00375E45">
        <w:t xml:space="preserve">&lt; </w:t>
      </w:r>
      <w:r>
        <w:t xml:space="preserve">6 years of age (6.5% to 7.5% subjects in each group) and subjects 6 to </w:t>
      </w:r>
      <w:r w:rsidR="00375E45">
        <w:t xml:space="preserve">&lt; </w:t>
      </w:r>
      <w:r>
        <w:t>9 years of age (6.3% to 9.0% subjects in each group). No possibly/probably related unsolicited AE was reported in &gt;</w:t>
      </w:r>
      <w:r w:rsidR="00F60CA6">
        <w:t xml:space="preserve"> </w:t>
      </w:r>
      <w:r>
        <w:t>1% of subjects in each adult group.</w:t>
      </w:r>
    </w:p>
    <w:p w14:paraId="22090F7D" w14:textId="2E3C3A3D" w:rsidR="008B0D27" w:rsidRDefault="008B0D27" w:rsidP="008B0D27">
      <w:r>
        <w:t>SAEs were most commonly reported in subjects aged ≥</w:t>
      </w:r>
      <w:r w:rsidR="00F60CA6">
        <w:t xml:space="preserve"> </w:t>
      </w:r>
      <w:r>
        <w:t>65 years</w:t>
      </w:r>
      <w:r w:rsidR="00F60CA6">
        <w:t xml:space="preserve"> of age</w:t>
      </w:r>
      <w:r>
        <w:t>. However, in no age group was any SAE judged as possibly/probably related to study vaccine.</w:t>
      </w:r>
    </w:p>
    <w:p w14:paraId="51972E90" w14:textId="77777777" w:rsidR="005D130B" w:rsidRDefault="008B0D27" w:rsidP="0064386B">
      <w:pPr>
        <w:pStyle w:val="Heading6"/>
      </w:pPr>
      <w:r>
        <w:t>Ethnicity</w:t>
      </w:r>
    </w:p>
    <w:p w14:paraId="50A3E7E1" w14:textId="3D218264" w:rsidR="008B0D27" w:rsidRDefault="008B0D27" w:rsidP="008B0D27">
      <w:r>
        <w:t>In general, solicited and unsolicited AEs were more frequently reported in Caucasian than in non-Caucasian subjects. However, there appeared to be similar with regard to AEs that were considered to be possibly/probably related to a study vaccine. However, given the small number of non-Caucasian subjects, meaningful comparisons are difficult.</w:t>
      </w:r>
    </w:p>
    <w:p w14:paraId="2494EA81" w14:textId="5DDCC138" w:rsidR="005D130B" w:rsidRDefault="008B0D27" w:rsidP="0064386B">
      <w:pPr>
        <w:pStyle w:val="Heading6"/>
      </w:pPr>
      <w:r>
        <w:t>Pregnan</w:t>
      </w:r>
      <w:r w:rsidR="005D130B">
        <w:t>cy</w:t>
      </w:r>
    </w:p>
    <w:p w14:paraId="3B0388CB" w14:textId="2658C8D2" w:rsidR="008B0D27" w:rsidRDefault="008B0D27" w:rsidP="008B0D27">
      <w:r>
        <w:t xml:space="preserve">The clinical dossier only contains limited information on pregnancy shown in the summary of clinical safety. Information from the provided </w:t>
      </w:r>
      <w:r w:rsidR="00145CC4">
        <w:t>p</w:t>
      </w:r>
      <w:r w:rsidR="00145CC4" w:rsidRPr="00145CC4">
        <w:t>eriodic safety update reports</w:t>
      </w:r>
      <w:r w:rsidR="00145CC4">
        <w:t xml:space="preserve"> (</w:t>
      </w:r>
      <w:r>
        <w:t>PSUR</w:t>
      </w:r>
      <w:r w:rsidR="00145CC4">
        <w:t>)</w:t>
      </w:r>
      <w:r>
        <w:t xml:space="preserve"> indicate no causal relationship between QIVc and poor pregnancy outcomes. Although the overall experience of the use of QIVc and TIVc in pregnant women in clinical studies is very limited (most studies excluded pregnant women), there appear to be no safety signals.</w:t>
      </w:r>
    </w:p>
    <w:p w14:paraId="11A3965C" w14:textId="41CEC10F" w:rsidR="008B0D27" w:rsidRDefault="008B0D27" w:rsidP="008B0D27">
      <w:r>
        <w:t>A pregnancy registry was initiated in the Northern Hemisphere 2017 season in the US and is designed as a prospective observational safety study. The objective is to evaluate pregnancy outcomes as well as major congenital malformations, preterm birth and low birth weight among women immunised as part of routine care with TIVc or QIVc during pregnancy.</w:t>
      </w:r>
    </w:p>
    <w:p w14:paraId="7FBD8B1B" w14:textId="77777777" w:rsidR="005D130B" w:rsidRDefault="00145CC4" w:rsidP="0064386B">
      <w:pPr>
        <w:pStyle w:val="Heading6"/>
      </w:pPr>
      <w:r>
        <w:t>TIVc studies</w:t>
      </w:r>
    </w:p>
    <w:p w14:paraId="6E255B8A" w14:textId="4B0C1C8B" w:rsidR="008B0D27" w:rsidRDefault="008B0D27" w:rsidP="008B0D27">
      <w:r>
        <w:t>Additionally, the following studies provided supportive safety data in the TIVc: V58P13, V58P1, V58P2, V58P4, V58P4E1, V58P4E2, V58P5, V58P9, V58_23, V58P12, V58P15, V58_31, V58P16, and V58_30OB. The immunogenicity and safety in those who are at risk of complication of influenza was studied in V58P15 using the TIVc, and revealed no safety concerns.</w:t>
      </w:r>
    </w:p>
    <w:p w14:paraId="2A35B0AD" w14:textId="77777777" w:rsidR="008B0D27" w:rsidRDefault="008B0D27" w:rsidP="008B0D27">
      <w:pPr>
        <w:pStyle w:val="Heading5"/>
      </w:pPr>
      <w:r>
        <w:t>Post-market data</w:t>
      </w:r>
    </w:p>
    <w:p w14:paraId="68C793EB" w14:textId="2F286D5C" w:rsidR="008B0D27" w:rsidRDefault="008B0D27" w:rsidP="008B0D27">
      <w:r>
        <w:t>Flucelvax Quad is currently approved in the US</w:t>
      </w:r>
      <w:r w:rsidR="005D130B">
        <w:t>A</w:t>
      </w:r>
      <w:r>
        <w:t xml:space="preserve"> and the EU with post-market data available in </w:t>
      </w:r>
      <w:r w:rsidR="005D130B">
        <w:t>periodic safety update reports (</w:t>
      </w:r>
      <w:r>
        <w:t>PSUR</w:t>
      </w:r>
      <w:r w:rsidR="005D130B">
        <w:t>)</w:t>
      </w:r>
      <w:r>
        <w:t xml:space="preserve"> (US data). The latest PSUR covered a period between 16 March 2018 and 15 March 2019. The total number of doses of QIVc supplied worldwide during the reporting period was 23,480,620. All doses were sold in the US. The post-marketing exposure data were not stratified by sex and age. The safety data of QIVc remained consistent with known information. However, rare adverse events will likely only be revealed from ongoing post-market surveillance.</w:t>
      </w:r>
    </w:p>
    <w:p w14:paraId="4B828B9E" w14:textId="77777777" w:rsidR="008B0D27" w:rsidRDefault="008B0D27" w:rsidP="008B0D27">
      <w:r>
        <w:t>The TIVc vaccine was given to more than 40 million individuals, and summary safety data for 12568 subjects (7978 adults, 997 elderly, and 3593 children) vaccinated with TIVc and 9186 subjects (6205 adults, 1016 elderly, and 1965 children) vaccinated with TIVe indicate that the safety profile of TIVc is comparable to that of a licensed egg-based comparator.</w:t>
      </w:r>
    </w:p>
    <w:p w14:paraId="6A32FFCB" w14:textId="3F7FEF6B" w:rsidR="008B0D27" w:rsidRDefault="008B0D27" w:rsidP="008B0D27">
      <w:r>
        <w:t xml:space="preserve">No new safety events were identified in post-marketing observational safety </w:t>
      </w:r>
      <w:r w:rsidR="006E6AC3">
        <w:t>Study</w:t>
      </w:r>
      <w:r>
        <w:t xml:space="preserve"> V58_30OB with </w:t>
      </w:r>
      <w:r w:rsidR="00375E45">
        <w:t xml:space="preserve">&gt; </w:t>
      </w:r>
      <w:r>
        <w:t xml:space="preserve">4500 persons </w:t>
      </w:r>
      <w:r w:rsidR="00375E45">
        <w:t xml:space="preserve">&gt; </w:t>
      </w:r>
      <w:r>
        <w:t>18 years of age received the seasonal TIVc (Optaflu) between 2012 and 2015 in a general primary care setting in the UK.</w:t>
      </w:r>
    </w:p>
    <w:p w14:paraId="418BEEF4" w14:textId="27422176" w:rsidR="008B0D27" w:rsidRDefault="008B0D27" w:rsidP="008B0D27">
      <w:r>
        <w:t xml:space="preserve">Additional </w:t>
      </w:r>
      <w:r w:rsidR="005D130B">
        <w:t>AEs</w:t>
      </w:r>
      <w:r>
        <w:t xml:space="preserve"> were reported from post-marketing surveillance. The frequency and causal relationship could not be established. They included: allergic or immediate hypersensitivity reactions, including anaphylactic shock; generalised skin reactions including pruritus, urticaria or nonspecific rash; extensive swelling of injected limb and paraesthesia. In addition, syncope and pre-syncope have been observed as a vasovagal reaction to injections, as for other vaccines and not specific to QIVc.</w:t>
      </w:r>
    </w:p>
    <w:p w14:paraId="62E4EA8B" w14:textId="3E45E676" w:rsidR="007B6132" w:rsidRDefault="007B6132" w:rsidP="0064386B">
      <w:pPr>
        <w:pStyle w:val="Heading4"/>
      </w:pPr>
      <w:r w:rsidRPr="007B6132">
        <w:t>Clinical evaluator’s recommendation</w:t>
      </w:r>
    </w:p>
    <w:p w14:paraId="2AA2B681" w14:textId="50E14ECF" w:rsidR="008B0D27" w:rsidRDefault="008B0D27" w:rsidP="008B0D27">
      <w:r>
        <w:t xml:space="preserve">The safety data from 2493 subjects (674 adults, 660 elderly, and 1159 children) vaccinated with QIVc in </w:t>
      </w:r>
      <w:r w:rsidR="005D130B">
        <w:t xml:space="preserve">Studies </w:t>
      </w:r>
      <w:r>
        <w:t>V130_01 and V130_03 indicate that the safety profile for QIVc is comparable to the licensed TIVc vaccine. In these studies, 2519 subjects (666</w:t>
      </w:r>
      <w:r w:rsidR="005D130B">
        <w:t> </w:t>
      </w:r>
      <w:r>
        <w:t>adults, 680 elderly, and 1173 childr</w:t>
      </w:r>
      <w:r w:rsidR="00EB5B4B">
        <w:t>en) were vaccinated with TIVc.</w:t>
      </w:r>
    </w:p>
    <w:p w14:paraId="3F40485B" w14:textId="5C2B6229" w:rsidR="008B0D27" w:rsidRPr="00622D6D" w:rsidRDefault="008B0D27" w:rsidP="008B0D27">
      <w:r>
        <w:t>The evaluator concludes that QIVc appears safe with a comparable safety profile in children, adolescents and adults, including elderly patients to TIVc. There are some min</w:t>
      </w:r>
      <w:r w:rsidR="00C11C9F">
        <w:t>or gender differences,</w:t>
      </w:r>
      <w:r>
        <w:t xml:space="preserve"> more in females, for solicited local and systemic AEs, but these were rarely severe, and were short-lived.</w:t>
      </w:r>
    </w:p>
    <w:p w14:paraId="333A3E52" w14:textId="77777777" w:rsidR="008E7846" w:rsidRDefault="00386150" w:rsidP="007B6132">
      <w:pPr>
        <w:pStyle w:val="Heading3"/>
        <w:rPr>
          <w:lang w:eastAsia="en-AU"/>
        </w:rPr>
      </w:pPr>
      <w:bookmarkStart w:id="52" w:name="_Toc59112172"/>
      <w:r>
        <w:rPr>
          <w:lang w:eastAsia="en-AU"/>
        </w:rPr>
        <w:t>Risk m</w:t>
      </w:r>
      <w:r w:rsidR="008E7846">
        <w:rPr>
          <w:lang w:eastAsia="en-AU"/>
        </w:rPr>
        <w:t xml:space="preserve">anagement </w:t>
      </w:r>
      <w:r>
        <w:rPr>
          <w:lang w:eastAsia="en-AU"/>
        </w:rPr>
        <w:t>p</w:t>
      </w:r>
      <w:r w:rsidR="008E7846">
        <w:rPr>
          <w:lang w:eastAsia="en-AU"/>
        </w:rPr>
        <w:t>lan</w:t>
      </w:r>
      <w:bookmarkEnd w:id="40"/>
      <w:bookmarkEnd w:id="52"/>
    </w:p>
    <w:p w14:paraId="77CFA180" w14:textId="42338532" w:rsidR="005B1247" w:rsidRPr="00644927" w:rsidRDefault="005B1247" w:rsidP="005B1247">
      <w:pPr>
        <w:rPr>
          <w:kern w:val="16"/>
        </w:rPr>
      </w:pPr>
      <w:r w:rsidRPr="00644927">
        <w:rPr>
          <w:rStyle w:val="BulletlistChar"/>
          <w:rFonts w:eastAsia="Cambria"/>
        </w:rPr>
        <w:t>Seqirus</w:t>
      </w:r>
      <w:r w:rsidRPr="00644927">
        <w:t xml:space="preserve"> Pty Limited has submitted EU-RMP version 2.0 (</w:t>
      </w:r>
      <w:r>
        <w:t xml:space="preserve">draft </w:t>
      </w:r>
      <w:r w:rsidRPr="00644927">
        <w:t>dated 25 September 2018</w:t>
      </w:r>
      <w:r>
        <w:t xml:space="preserve"> and approved 20 December 2018; data lock point (DLP)</w:t>
      </w:r>
      <w:r w:rsidRPr="00644927">
        <w:t xml:space="preserve"> 30 May 2017) and A</w:t>
      </w:r>
      <w:r>
        <w:t>ustralia Specific Annex (ASA)</w:t>
      </w:r>
      <w:r w:rsidRPr="00644927">
        <w:t xml:space="preserve"> version 1.0 (dated 11 June 2019) in support of this application.</w:t>
      </w:r>
      <w:r>
        <w:t xml:space="preserve"> An updated ASA was submitted at round 2 evaluation (version 1.1; dated 12 March 2020). An updated ASA was submitted at round 3 evaluation (version 1.1; dated 7 April 2020).</w:t>
      </w:r>
    </w:p>
    <w:p w14:paraId="2627EEA0" w14:textId="43088A01" w:rsidR="007D53B6" w:rsidRDefault="007D53B6" w:rsidP="007D53B6">
      <w:r>
        <w:t>The summary of safety concerns and their associated risk monitoring and mitigation strat</w:t>
      </w:r>
      <w:r w:rsidR="00EB4B53">
        <w:t xml:space="preserve">egies are summarised in </w:t>
      </w:r>
      <w:r w:rsidR="00EB4B53">
        <w:fldChar w:fldCharType="begin"/>
      </w:r>
      <w:r w:rsidR="00EB4B53">
        <w:instrText xml:space="preserve"> REF _Ref57622787 \h </w:instrText>
      </w:r>
      <w:r w:rsidR="00EB4B53">
        <w:fldChar w:fldCharType="separate"/>
      </w:r>
      <w:r w:rsidR="0064386B" w:rsidRPr="00C62FE0">
        <w:t xml:space="preserve">Table </w:t>
      </w:r>
      <w:r w:rsidR="0064386B">
        <w:rPr>
          <w:noProof/>
        </w:rPr>
        <w:t>16</w:t>
      </w:r>
      <w:r w:rsidR="00EB4B53">
        <w:fldChar w:fldCharType="end"/>
      </w:r>
      <w:r>
        <w:t>.</w:t>
      </w:r>
      <w:r>
        <w:rPr>
          <w:rStyle w:val="FootnoteReference"/>
        </w:rPr>
        <w:footnoteReference w:id="10"/>
      </w:r>
    </w:p>
    <w:p w14:paraId="3C3D39DB" w14:textId="02F2F225" w:rsidR="00C62FE0" w:rsidRDefault="00C62FE0" w:rsidP="00C62FE0">
      <w:pPr>
        <w:pStyle w:val="TableTitle"/>
      </w:pPr>
      <w:bookmarkStart w:id="53" w:name="_Ref57622787"/>
      <w:r w:rsidRPr="00C62FE0">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16</w:t>
      </w:r>
      <w:r w:rsidR="0012347D">
        <w:rPr>
          <w:noProof/>
        </w:rPr>
        <w:fldChar w:fldCharType="end"/>
      </w:r>
      <w:bookmarkEnd w:id="53"/>
      <w:r>
        <w:t>:Summary of safety concerns and their associated risk monitoring and mitigation strategies</w:t>
      </w:r>
    </w:p>
    <w:tbl>
      <w:tblPr>
        <w:tblStyle w:val="TableTGAblue"/>
        <w:tblW w:w="5000" w:type="pct"/>
        <w:tblLook w:val="04A0" w:firstRow="1" w:lastRow="0" w:firstColumn="1" w:lastColumn="0" w:noHBand="0" w:noVBand="1"/>
      </w:tblPr>
      <w:tblGrid>
        <w:gridCol w:w="1442"/>
        <w:gridCol w:w="2186"/>
        <w:gridCol w:w="1112"/>
        <w:gridCol w:w="1319"/>
        <w:gridCol w:w="1112"/>
        <w:gridCol w:w="1318"/>
      </w:tblGrid>
      <w:tr w:rsidR="00C62FE0" w:rsidRPr="004F1C07" w14:paraId="1DB25FFE" w14:textId="77777777" w:rsidTr="00C62FE0">
        <w:trPr>
          <w:cnfStyle w:val="100000000000" w:firstRow="1" w:lastRow="0" w:firstColumn="0" w:lastColumn="0" w:oddVBand="0" w:evenVBand="0" w:oddHBand="0" w:evenHBand="0" w:firstRowFirstColumn="0" w:firstRowLastColumn="0" w:lastRowFirstColumn="0" w:lastRowLastColumn="0"/>
          <w:trHeight w:val="131"/>
        </w:trPr>
        <w:tc>
          <w:tcPr>
            <w:tcW w:w="2033" w:type="pct"/>
            <w:gridSpan w:val="2"/>
            <w:vMerge w:val="restart"/>
            <w:tcBorders>
              <w:top w:val="single" w:sz="4" w:space="0" w:color="auto"/>
              <w:left w:val="single" w:sz="4" w:space="0" w:color="auto"/>
              <w:bottom w:val="single" w:sz="4" w:space="0" w:color="auto"/>
              <w:right w:val="single" w:sz="4" w:space="0" w:color="auto"/>
            </w:tcBorders>
          </w:tcPr>
          <w:p w14:paraId="3D4E317B" w14:textId="77777777" w:rsidR="00C62FE0" w:rsidRPr="00C62FE0" w:rsidRDefault="00C62FE0" w:rsidP="00706A7E">
            <w:pPr>
              <w:pStyle w:val="Tabletext"/>
              <w:spacing w:before="60" w:after="60" w:line="240" w:lineRule="auto"/>
            </w:pPr>
            <w:r w:rsidRPr="00C62FE0">
              <w:t>Summary of safety concerns</w:t>
            </w:r>
          </w:p>
        </w:tc>
        <w:tc>
          <w:tcPr>
            <w:tcW w:w="1483" w:type="pct"/>
            <w:gridSpan w:val="2"/>
            <w:tcBorders>
              <w:top w:val="single" w:sz="4" w:space="0" w:color="auto"/>
              <w:left w:val="single" w:sz="4" w:space="0" w:color="auto"/>
              <w:bottom w:val="single" w:sz="4" w:space="0" w:color="auto"/>
              <w:right w:val="single" w:sz="4" w:space="0" w:color="auto"/>
            </w:tcBorders>
          </w:tcPr>
          <w:p w14:paraId="7BCD17B1" w14:textId="77777777" w:rsidR="00C62FE0" w:rsidRPr="00C62FE0" w:rsidRDefault="00C62FE0" w:rsidP="00706A7E">
            <w:pPr>
              <w:pStyle w:val="Tabletext"/>
              <w:spacing w:before="60" w:after="60" w:line="240" w:lineRule="auto"/>
              <w:rPr>
                <w:sz w:val="18"/>
              </w:rPr>
            </w:pPr>
            <w:r w:rsidRPr="00C62FE0">
              <w:rPr>
                <w:sz w:val="18"/>
              </w:rPr>
              <w:t>Pharmacovigilance</w:t>
            </w:r>
          </w:p>
        </w:tc>
        <w:tc>
          <w:tcPr>
            <w:tcW w:w="1483" w:type="pct"/>
            <w:gridSpan w:val="2"/>
            <w:tcBorders>
              <w:left w:val="single" w:sz="4" w:space="0" w:color="auto"/>
            </w:tcBorders>
          </w:tcPr>
          <w:p w14:paraId="0612E39B" w14:textId="77777777" w:rsidR="00C62FE0" w:rsidRPr="00C62FE0" w:rsidRDefault="00C62FE0" w:rsidP="00706A7E">
            <w:pPr>
              <w:pStyle w:val="Tabletext"/>
              <w:spacing w:before="60" w:after="60" w:line="240" w:lineRule="auto"/>
              <w:rPr>
                <w:sz w:val="18"/>
              </w:rPr>
            </w:pPr>
            <w:r w:rsidRPr="00C62FE0">
              <w:rPr>
                <w:sz w:val="18"/>
              </w:rPr>
              <w:t>Risk Minimisation</w:t>
            </w:r>
          </w:p>
        </w:tc>
      </w:tr>
      <w:tr w:rsidR="00C62FE0" w:rsidRPr="004F1C07" w14:paraId="476205DC" w14:textId="77777777" w:rsidTr="00C62FE0">
        <w:trPr>
          <w:trHeight w:val="150"/>
        </w:trPr>
        <w:tc>
          <w:tcPr>
            <w:tcW w:w="2033" w:type="pct"/>
            <w:gridSpan w:val="2"/>
            <w:vMerge/>
            <w:tcBorders>
              <w:top w:val="single" w:sz="4" w:space="0" w:color="auto"/>
              <w:left w:val="single" w:sz="4" w:space="0" w:color="auto"/>
              <w:bottom w:val="single" w:sz="4" w:space="0" w:color="auto"/>
              <w:right w:val="single" w:sz="4" w:space="0" w:color="auto"/>
            </w:tcBorders>
          </w:tcPr>
          <w:p w14:paraId="5F194CF7" w14:textId="77777777" w:rsidR="00C62FE0" w:rsidRPr="00C62FE0" w:rsidRDefault="00C62FE0" w:rsidP="00706A7E">
            <w:pPr>
              <w:pStyle w:val="Tabletext"/>
              <w:spacing w:before="60" w:after="60" w:line="240" w:lineRule="auto"/>
              <w:rPr>
                <w:b/>
                <w:color w:val="FFFFFF" w:themeColor="background1"/>
              </w:rPr>
            </w:pPr>
          </w:p>
        </w:tc>
        <w:tc>
          <w:tcPr>
            <w:tcW w:w="681" w:type="pct"/>
            <w:tcBorders>
              <w:top w:val="single" w:sz="4" w:space="0" w:color="auto"/>
              <w:left w:val="single" w:sz="4" w:space="0" w:color="auto"/>
              <w:bottom w:val="single" w:sz="4" w:space="0" w:color="auto"/>
              <w:right w:val="single" w:sz="4" w:space="0" w:color="auto"/>
            </w:tcBorders>
            <w:shd w:val="clear" w:color="auto" w:fill="006DA7"/>
          </w:tcPr>
          <w:p w14:paraId="68AA9AB0" w14:textId="77777777" w:rsidR="00C62FE0" w:rsidRPr="00C62FE0" w:rsidRDefault="00C62FE0" w:rsidP="0064386B">
            <w:pPr>
              <w:pStyle w:val="Tabletext"/>
              <w:spacing w:before="60" w:after="60" w:line="240" w:lineRule="auto"/>
              <w:ind w:left="0" w:right="0"/>
              <w:rPr>
                <w:b/>
                <w:color w:val="FFFFFF" w:themeColor="background1"/>
                <w:sz w:val="18"/>
              </w:rPr>
            </w:pPr>
            <w:r w:rsidRPr="00C62FE0">
              <w:rPr>
                <w:b/>
                <w:color w:val="FFFFFF" w:themeColor="background1"/>
                <w:sz w:val="18"/>
              </w:rPr>
              <w:t>Routine</w:t>
            </w:r>
          </w:p>
        </w:tc>
        <w:tc>
          <w:tcPr>
            <w:tcW w:w="803" w:type="pct"/>
            <w:tcBorders>
              <w:left w:val="single" w:sz="4" w:space="0" w:color="auto"/>
            </w:tcBorders>
            <w:shd w:val="clear" w:color="auto" w:fill="006DA7"/>
          </w:tcPr>
          <w:p w14:paraId="73FD2E8C" w14:textId="77777777" w:rsidR="00C62FE0" w:rsidRPr="00C62FE0" w:rsidRDefault="00C62FE0" w:rsidP="0064386B">
            <w:pPr>
              <w:pStyle w:val="Tabletext"/>
              <w:spacing w:before="60" w:after="60" w:line="240" w:lineRule="auto"/>
              <w:ind w:left="0" w:right="0"/>
              <w:rPr>
                <w:b/>
                <w:color w:val="FFFFFF" w:themeColor="background1"/>
                <w:sz w:val="18"/>
              </w:rPr>
            </w:pPr>
            <w:r w:rsidRPr="00C62FE0">
              <w:rPr>
                <w:b/>
                <w:color w:val="FFFFFF" w:themeColor="background1"/>
                <w:sz w:val="18"/>
              </w:rPr>
              <w:t>Additional</w:t>
            </w:r>
          </w:p>
        </w:tc>
        <w:tc>
          <w:tcPr>
            <w:tcW w:w="681" w:type="pct"/>
            <w:shd w:val="clear" w:color="auto" w:fill="006DA7"/>
          </w:tcPr>
          <w:p w14:paraId="52EF9E2E" w14:textId="77777777" w:rsidR="00C62FE0" w:rsidRPr="00C62FE0" w:rsidRDefault="00C62FE0" w:rsidP="0064386B">
            <w:pPr>
              <w:pStyle w:val="Tabletext"/>
              <w:spacing w:before="60" w:after="60" w:line="240" w:lineRule="auto"/>
              <w:ind w:left="0" w:right="0"/>
              <w:rPr>
                <w:b/>
                <w:color w:val="FFFFFF" w:themeColor="background1"/>
                <w:sz w:val="18"/>
              </w:rPr>
            </w:pPr>
            <w:r w:rsidRPr="00C62FE0">
              <w:rPr>
                <w:b/>
                <w:color w:val="FFFFFF" w:themeColor="background1"/>
                <w:sz w:val="18"/>
              </w:rPr>
              <w:t>Routine</w:t>
            </w:r>
          </w:p>
        </w:tc>
        <w:tc>
          <w:tcPr>
            <w:tcW w:w="803" w:type="pct"/>
            <w:shd w:val="clear" w:color="auto" w:fill="006DA7"/>
          </w:tcPr>
          <w:p w14:paraId="4D942526" w14:textId="77777777" w:rsidR="00C62FE0" w:rsidRPr="00C62FE0" w:rsidRDefault="00C62FE0" w:rsidP="0064386B">
            <w:pPr>
              <w:pStyle w:val="Tabletext"/>
              <w:spacing w:before="60" w:after="60" w:line="240" w:lineRule="auto"/>
              <w:ind w:left="0" w:right="0"/>
              <w:rPr>
                <w:b/>
                <w:color w:val="FFFFFF" w:themeColor="background1"/>
                <w:sz w:val="18"/>
              </w:rPr>
            </w:pPr>
            <w:r w:rsidRPr="00C62FE0">
              <w:rPr>
                <w:b/>
                <w:color w:val="FFFFFF" w:themeColor="background1"/>
                <w:sz w:val="18"/>
              </w:rPr>
              <w:t>Additional</w:t>
            </w:r>
          </w:p>
        </w:tc>
      </w:tr>
      <w:tr w:rsidR="00C62FE0" w:rsidRPr="004F1C07" w14:paraId="454537AF" w14:textId="77777777" w:rsidTr="00C62FE0">
        <w:trPr>
          <w:trHeight w:val="137"/>
        </w:trPr>
        <w:tc>
          <w:tcPr>
            <w:tcW w:w="808" w:type="pct"/>
            <w:tcBorders>
              <w:top w:val="single" w:sz="4" w:space="0" w:color="auto"/>
            </w:tcBorders>
          </w:tcPr>
          <w:p w14:paraId="1687A7B6" w14:textId="77777777" w:rsidR="00C62FE0" w:rsidRPr="00680101" w:rsidRDefault="00C62FE0" w:rsidP="00C62FE0">
            <w:pPr>
              <w:pStyle w:val="Tabletext"/>
              <w:spacing w:before="60" w:after="60" w:line="240" w:lineRule="auto"/>
              <w:ind w:left="0"/>
              <w:rPr>
                <w:b/>
              </w:rPr>
            </w:pPr>
            <w:r w:rsidRPr="00680101">
              <w:rPr>
                <w:b/>
              </w:rPr>
              <w:t>Important identified risks</w:t>
            </w:r>
          </w:p>
        </w:tc>
        <w:tc>
          <w:tcPr>
            <w:tcW w:w="1225" w:type="pct"/>
            <w:tcBorders>
              <w:top w:val="single" w:sz="4" w:space="0" w:color="auto"/>
            </w:tcBorders>
          </w:tcPr>
          <w:p w14:paraId="6D399BF9" w14:textId="77777777" w:rsidR="00C62FE0" w:rsidRPr="004F1C07" w:rsidRDefault="00C62FE0" w:rsidP="00C62FE0">
            <w:pPr>
              <w:pStyle w:val="Tabletext"/>
              <w:spacing w:before="60" w:after="60" w:line="240" w:lineRule="auto"/>
              <w:ind w:left="0"/>
              <w:jc w:val="both"/>
            </w:pPr>
            <w:r>
              <w:t>Nil</w:t>
            </w:r>
          </w:p>
        </w:tc>
        <w:tc>
          <w:tcPr>
            <w:tcW w:w="681" w:type="pct"/>
            <w:tcBorders>
              <w:top w:val="single" w:sz="4" w:space="0" w:color="auto"/>
            </w:tcBorders>
          </w:tcPr>
          <w:p w14:paraId="56219BC3" w14:textId="77777777" w:rsidR="00C62FE0" w:rsidRPr="006333C9" w:rsidRDefault="00C62FE0" w:rsidP="00706A7E">
            <w:pPr>
              <w:pStyle w:val="Tabletext"/>
              <w:spacing w:before="60" w:after="60" w:line="240" w:lineRule="auto"/>
              <w:jc w:val="center"/>
            </w:pPr>
          </w:p>
        </w:tc>
        <w:tc>
          <w:tcPr>
            <w:tcW w:w="803" w:type="pct"/>
          </w:tcPr>
          <w:p w14:paraId="62616EDD" w14:textId="77777777" w:rsidR="00C62FE0" w:rsidRPr="006333C9" w:rsidRDefault="00C62FE0" w:rsidP="00706A7E">
            <w:pPr>
              <w:pStyle w:val="Tabletext"/>
              <w:spacing w:before="60" w:after="60" w:line="240" w:lineRule="auto"/>
              <w:jc w:val="center"/>
            </w:pPr>
          </w:p>
        </w:tc>
        <w:tc>
          <w:tcPr>
            <w:tcW w:w="681" w:type="pct"/>
          </w:tcPr>
          <w:p w14:paraId="4EE70B1F" w14:textId="77777777" w:rsidR="00C62FE0" w:rsidRPr="00C50FEB" w:rsidRDefault="00C62FE0" w:rsidP="00706A7E">
            <w:pPr>
              <w:pStyle w:val="Tabletext"/>
              <w:spacing w:before="60" w:after="60" w:line="240" w:lineRule="auto"/>
              <w:jc w:val="center"/>
            </w:pPr>
          </w:p>
        </w:tc>
        <w:tc>
          <w:tcPr>
            <w:tcW w:w="803" w:type="pct"/>
          </w:tcPr>
          <w:p w14:paraId="10A28140" w14:textId="77777777" w:rsidR="00C62FE0" w:rsidRPr="00C50FEB" w:rsidRDefault="00C62FE0" w:rsidP="00706A7E">
            <w:pPr>
              <w:pStyle w:val="Tabletext"/>
              <w:spacing w:before="60" w:after="60" w:line="240" w:lineRule="auto"/>
              <w:jc w:val="center"/>
            </w:pPr>
          </w:p>
        </w:tc>
      </w:tr>
      <w:tr w:rsidR="00C62FE0" w:rsidRPr="004F1C07" w14:paraId="7AE9B648" w14:textId="77777777" w:rsidTr="00C62FE0">
        <w:trPr>
          <w:trHeight w:val="159"/>
        </w:trPr>
        <w:tc>
          <w:tcPr>
            <w:tcW w:w="808" w:type="pct"/>
            <w:vMerge w:val="restart"/>
          </w:tcPr>
          <w:p w14:paraId="0B7620B3" w14:textId="77777777" w:rsidR="00C62FE0" w:rsidRPr="00680101" w:rsidRDefault="00C62FE0" w:rsidP="00C62FE0">
            <w:pPr>
              <w:pStyle w:val="Tabletext"/>
              <w:spacing w:before="60" w:after="60" w:line="240" w:lineRule="auto"/>
              <w:ind w:left="0"/>
              <w:rPr>
                <w:b/>
              </w:rPr>
            </w:pPr>
            <w:r w:rsidRPr="00680101">
              <w:rPr>
                <w:b/>
              </w:rPr>
              <w:t>Important potential risks</w:t>
            </w:r>
          </w:p>
        </w:tc>
        <w:tc>
          <w:tcPr>
            <w:tcW w:w="1225" w:type="pct"/>
          </w:tcPr>
          <w:p w14:paraId="4DD12AA0" w14:textId="77777777" w:rsidR="00C62FE0" w:rsidRPr="00FA5278" w:rsidRDefault="00C62FE0" w:rsidP="00C62FE0">
            <w:pPr>
              <w:pStyle w:val="Tabletext"/>
              <w:spacing w:before="60" w:after="60" w:line="240" w:lineRule="auto"/>
              <w:ind w:left="0"/>
              <w:jc w:val="both"/>
            </w:pPr>
            <w:r w:rsidRPr="00FA5278">
              <w:t>Neuritis</w:t>
            </w:r>
          </w:p>
        </w:tc>
        <w:tc>
          <w:tcPr>
            <w:tcW w:w="681" w:type="pct"/>
          </w:tcPr>
          <w:p w14:paraId="6C5D0D6B"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48D8C525" w14:textId="77777777" w:rsidR="00C62FE0" w:rsidRPr="00FA5278" w:rsidRDefault="00C62FE0" w:rsidP="00706A7E">
            <w:pPr>
              <w:pStyle w:val="Tabletext"/>
              <w:spacing w:before="60" w:after="60" w:line="240" w:lineRule="auto"/>
              <w:jc w:val="center"/>
            </w:pPr>
          </w:p>
        </w:tc>
        <w:tc>
          <w:tcPr>
            <w:tcW w:w="681" w:type="pct"/>
          </w:tcPr>
          <w:p w14:paraId="3F0FFF46" w14:textId="77777777" w:rsidR="00C62FE0" w:rsidRPr="00FA5278" w:rsidRDefault="00C62FE0" w:rsidP="00706A7E">
            <w:pPr>
              <w:pStyle w:val="Tabletext"/>
              <w:spacing w:before="60" w:after="60" w:line="240" w:lineRule="auto"/>
              <w:jc w:val="center"/>
            </w:pPr>
            <w:r w:rsidRPr="00FA5278">
              <w:sym w:font="Wingdings" w:char="F0FC"/>
            </w:r>
          </w:p>
        </w:tc>
        <w:tc>
          <w:tcPr>
            <w:tcW w:w="803" w:type="pct"/>
          </w:tcPr>
          <w:p w14:paraId="63C0EA4F" w14:textId="77777777" w:rsidR="00C62FE0" w:rsidRPr="00FA5278" w:rsidRDefault="00C62FE0" w:rsidP="00706A7E">
            <w:pPr>
              <w:pStyle w:val="Tabletext"/>
              <w:spacing w:before="60" w:after="60" w:line="240" w:lineRule="auto"/>
              <w:jc w:val="center"/>
            </w:pPr>
          </w:p>
        </w:tc>
      </w:tr>
      <w:tr w:rsidR="00C62FE0" w:rsidRPr="004F1C07" w14:paraId="1BE50641" w14:textId="77777777" w:rsidTr="00C62FE0">
        <w:trPr>
          <w:trHeight w:val="122"/>
        </w:trPr>
        <w:tc>
          <w:tcPr>
            <w:tcW w:w="808" w:type="pct"/>
            <w:vMerge/>
          </w:tcPr>
          <w:p w14:paraId="7302E356" w14:textId="77777777" w:rsidR="00C62FE0" w:rsidRPr="00680101" w:rsidRDefault="00C62FE0" w:rsidP="00706A7E">
            <w:pPr>
              <w:pStyle w:val="Tabletext"/>
              <w:spacing w:before="60" w:after="60" w:line="240" w:lineRule="auto"/>
              <w:rPr>
                <w:b/>
              </w:rPr>
            </w:pPr>
          </w:p>
        </w:tc>
        <w:tc>
          <w:tcPr>
            <w:tcW w:w="1225" w:type="pct"/>
          </w:tcPr>
          <w:p w14:paraId="50D84BC2" w14:textId="77777777" w:rsidR="00C62FE0" w:rsidRPr="00FA5278" w:rsidRDefault="00C62FE0" w:rsidP="00C62FE0">
            <w:pPr>
              <w:pStyle w:val="Tabletext"/>
              <w:spacing w:before="60" w:after="60" w:line="240" w:lineRule="auto"/>
              <w:ind w:left="0"/>
              <w:jc w:val="both"/>
            </w:pPr>
            <w:r w:rsidRPr="00FA5278">
              <w:t>Convulsion</w:t>
            </w:r>
          </w:p>
        </w:tc>
        <w:tc>
          <w:tcPr>
            <w:tcW w:w="681" w:type="pct"/>
          </w:tcPr>
          <w:p w14:paraId="14DF3283"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51A187AE" w14:textId="77777777" w:rsidR="00C62FE0" w:rsidRPr="00FA5278" w:rsidRDefault="00C62FE0" w:rsidP="00706A7E">
            <w:pPr>
              <w:pStyle w:val="Tabletext"/>
              <w:spacing w:before="60" w:after="60" w:line="240" w:lineRule="auto"/>
              <w:jc w:val="center"/>
            </w:pPr>
          </w:p>
        </w:tc>
        <w:tc>
          <w:tcPr>
            <w:tcW w:w="681" w:type="pct"/>
          </w:tcPr>
          <w:p w14:paraId="3CDF11FA" w14:textId="77777777" w:rsidR="00C62FE0" w:rsidRPr="00FA5278" w:rsidRDefault="00C62FE0" w:rsidP="00706A7E">
            <w:pPr>
              <w:pStyle w:val="Tabletext"/>
              <w:spacing w:before="60" w:after="60" w:line="240" w:lineRule="auto"/>
              <w:jc w:val="center"/>
            </w:pPr>
            <w:r w:rsidRPr="00FA5278">
              <w:sym w:font="Wingdings" w:char="F0FC"/>
            </w:r>
          </w:p>
        </w:tc>
        <w:tc>
          <w:tcPr>
            <w:tcW w:w="803" w:type="pct"/>
          </w:tcPr>
          <w:p w14:paraId="54C16FA6" w14:textId="77777777" w:rsidR="00C62FE0" w:rsidRPr="00FA5278" w:rsidRDefault="00C62FE0" w:rsidP="00706A7E">
            <w:pPr>
              <w:pStyle w:val="Tabletext"/>
              <w:spacing w:before="60" w:after="60" w:line="240" w:lineRule="auto"/>
              <w:jc w:val="center"/>
            </w:pPr>
          </w:p>
        </w:tc>
      </w:tr>
      <w:tr w:rsidR="00C62FE0" w:rsidRPr="004F1C07" w14:paraId="58A68784" w14:textId="77777777" w:rsidTr="00C62FE0">
        <w:trPr>
          <w:trHeight w:val="122"/>
        </w:trPr>
        <w:tc>
          <w:tcPr>
            <w:tcW w:w="808" w:type="pct"/>
            <w:vMerge/>
          </w:tcPr>
          <w:p w14:paraId="3C2DA203" w14:textId="77777777" w:rsidR="00C62FE0" w:rsidRPr="00680101" w:rsidRDefault="00C62FE0" w:rsidP="00706A7E">
            <w:pPr>
              <w:pStyle w:val="Tabletext"/>
              <w:spacing w:before="60" w:after="60" w:line="240" w:lineRule="auto"/>
              <w:rPr>
                <w:b/>
              </w:rPr>
            </w:pPr>
          </w:p>
        </w:tc>
        <w:tc>
          <w:tcPr>
            <w:tcW w:w="1225" w:type="pct"/>
          </w:tcPr>
          <w:p w14:paraId="3DAD21FC" w14:textId="77777777" w:rsidR="00C62FE0" w:rsidRPr="00FA5278" w:rsidRDefault="00C62FE0" w:rsidP="00C62FE0">
            <w:pPr>
              <w:pStyle w:val="Tabletext"/>
              <w:spacing w:before="60" w:after="60" w:line="240" w:lineRule="auto"/>
              <w:ind w:left="0"/>
              <w:jc w:val="both"/>
            </w:pPr>
            <w:r w:rsidRPr="00FA5278">
              <w:t>Encephalitis</w:t>
            </w:r>
          </w:p>
        </w:tc>
        <w:tc>
          <w:tcPr>
            <w:tcW w:w="681" w:type="pct"/>
          </w:tcPr>
          <w:p w14:paraId="35FD92AB"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5BF086F5" w14:textId="77777777" w:rsidR="00C62FE0" w:rsidRPr="00FA5278" w:rsidRDefault="00C62FE0" w:rsidP="00706A7E">
            <w:pPr>
              <w:pStyle w:val="Tabletext"/>
              <w:spacing w:before="60" w:after="60" w:line="240" w:lineRule="auto"/>
              <w:jc w:val="center"/>
            </w:pPr>
          </w:p>
        </w:tc>
        <w:tc>
          <w:tcPr>
            <w:tcW w:w="681" w:type="pct"/>
          </w:tcPr>
          <w:p w14:paraId="357640DE" w14:textId="77777777" w:rsidR="00C62FE0" w:rsidRPr="00FA5278" w:rsidRDefault="00C62FE0" w:rsidP="00706A7E">
            <w:pPr>
              <w:pStyle w:val="Tabletext"/>
              <w:spacing w:before="60" w:after="60" w:line="240" w:lineRule="auto"/>
              <w:jc w:val="center"/>
            </w:pPr>
            <w:r w:rsidRPr="00FA5278">
              <w:sym w:font="Wingdings" w:char="F0FC"/>
            </w:r>
          </w:p>
        </w:tc>
        <w:tc>
          <w:tcPr>
            <w:tcW w:w="803" w:type="pct"/>
          </w:tcPr>
          <w:p w14:paraId="14A352A7" w14:textId="77777777" w:rsidR="00C62FE0" w:rsidRPr="00FA5278" w:rsidRDefault="00C62FE0" w:rsidP="00706A7E">
            <w:pPr>
              <w:pStyle w:val="Tabletext"/>
              <w:spacing w:before="60" w:after="60" w:line="240" w:lineRule="auto"/>
              <w:jc w:val="center"/>
            </w:pPr>
          </w:p>
        </w:tc>
      </w:tr>
      <w:tr w:rsidR="00C62FE0" w:rsidRPr="004F1C07" w14:paraId="33A1D4FB" w14:textId="77777777" w:rsidTr="00C62FE0">
        <w:trPr>
          <w:trHeight w:val="122"/>
        </w:trPr>
        <w:tc>
          <w:tcPr>
            <w:tcW w:w="808" w:type="pct"/>
            <w:vMerge/>
          </w:tcPr>
          <w:p w14:paraId="07A9AB4C" w14:textId="77777777" w:rsidR="00C62FE0" w:rsidRPr="00680101" w:rsidRDefault="00C62FE0" w:rsidP="00706A7E">
            <w:pPr>
              <w:pStyle w:val="Tabletext"/>
              <w:spacing w:before="60" w:after="60" w:line="240" w:lineRule="auto"/>
              <w:rPr>
                <w:b/>
              </w:rPr>
            </w:pPr>
          </w:p>
        </w:tc>
        <w:tc>
          <w:tcPr>
            <w:tcW w:w="1225" w:type="pct"/>
          </w:tcPr>
          <w:p w14:paraId="131D3C02" w14:textId="77777777" w:rsidR="00C62FE0" w:rsidRPr="00FA5278" w:rsidRDefault="00C62FE0" w:rsidP="00C62FE0">
            <w:pPr>
              <w:pStyle w:val="Tabletext"/>
              <w:spacing w:before="60" w:after="60" w:line="240" w:lineRule="auto"/>
              <w:ind w:left="0"/>
              <w:jc w:val="both"/>
            </w:pPr>
            <w:r w:rsidRPr="00FA5278">
              <w:t>Vasculitis</w:t>
            </w:r>
          </w:p>
        </w:tc>
        <w:tc>
          <w:tcPr>
            <w:tcW w:w="681" w:type="pct"/>
          </w:tcPr>
          <w:p w14:paraId="6393D172"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38D6EF83" w14:textId="77777777" w:rsidR="00C62FE0" w:rsidRPr="00FA5278" w:rsidRDefault="00C62FE0" w:rsidP="00706A7E">
            <w:pPr>
              <w:pStyle w:val="Tabletext"/>
              <w:spacing w:before="60" w:after="60" w:line="240" w:lineRule="auto"/>
              <w:jc w:val="center"/>
            </w:pPr>
          </w:p>
        </w:tc>
        <w:tc>
          <w:tcPr>
            <w:tcW w:w="681" w:type="pct"/>
          </w:tcPr>
          <w:p w14:paraId="28AF3A0D" w14:textId="77777777" w:rsidR="00C62FE0" w:rsidRPr="00FA5278" w:rsidRDefault="00C62FE0" w:rsidP="00706A7E">
            <w:pPr>
              <w:pStyle w:val="Tabletext"/>
              <w:spacing w:before="60" w:after="60" w:line="240" w:lineRule="auto"/>
              <w:jc w:val="center"/>
            </w:pPr>
          </w:p>
        </w:tc>
        <w:tc>
          <w:tcPr>
            <w:tcW w:w="803" w:type="pct"/>
          </w:tcPr>
          <w:p w14:paraId="6552C6CF" w14:textId="77777777" w:rsidR="00C62FE0" w:rsidRPr="00FA5278" w:rsidRDefault="00C62FE0" w:rsidP="00706A7E">
            <w:pPr>
              <w:pStyle w:val="Tabletext"/>
              <w:spacing w:before="60" w:after="60" w:line="240" w:lineRule="auto"/>
              <w:jc w:val="center"/>
            </w:pPr>
          </w:p>
        </w:tc>
      </w:tr>
      <w:tr w:rsidR="00C62FE0" w:rsidRPr="004F1C07" w14:paraId="37F9AF13" w14:textId="77777777" w:rsidTr="00C62FE0">
        <w:trPr>
          <w:trHeight w:val="122"/>
        </w:trPr>
        <w:tc>
          <w:tcPr>
            <w:tcW w:w="808" w:type="pct"/>
            <w:vMerge/>
          </w:tcPr>
          <w:p w14:paraId="62747C98" w14:textId="77777777" w:rsidR="00C62FE0" w:rsidRPr="00680101" w:rsidRDefault="00C62FE0" w:rsidP="00706A7E">
            <w:pPr>
              <w:pStyle w:val="Tabletext"/>
              <w:spacing w:before="60" w:after="60" w:line="240" w:lineRule="auto"/>
              <w:rPr>
                <w:b/>
              </w:rPr>
            </w:pPr>
          </w:p>
        </w:tc>
        <w:tc>
          <w:tcPr>
            <w:tcW w:w="1225" w:type="pct"/>
          </w:tcPr>
          <w:p w14:paraId="29DCC423" w14:textId="77777777" w:rsidR="00C62FE0" w:rsidRPr="00FA5278" w:rsidRDefault="00C62FE0" w:rsidP="00C62FE0">
            <w:pPr>
              <w:pStyle w:val="Tabletext"/>
              <w:spacing w:before="60" w:after="60" w:line="240" w:lineRule="auto"/>
              <w:ind w:left="0"/>
              <w:jc w:val="both"/>
            </w:pPr>
            <w:r w:rsidRPr="00FA5278">
              <w:t>Guillain-Barre Syndrome</w:t>
            </w:r>
          </w:p>
        </w:tc>
        <w:tc>
          <w:tcPr>
            <w:tcW w:w="681" w:type="pct"/>
          </w:tcPr>
          <w:p w14:paraId="155D424B"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35C4E6FA" w14:textId="77777777" w:rsidR="00C62FE0" w:rsidRPr="00FA5278" w:rsidRDefault="00C62FE0" w:rsidP="00706A7E">
            <w:pPr>
              <w:pStyle w:val="Tabletext"/>
              <w:spacing w:before="60" w:after="60" w:line="240" w:lineRule="auto"/>
              <w:jc w:val="center"/>
            </w:pPr>
          </w:p>
        </w:tc>
        <w:tc>
          <w:tcPr>
            <w:tcW w:w="681" w:type="pct"/>
          </w:tcPr>
          <w:p w14:paraId="5DDDD358" w14:textId="77777777" w:rsidR="00C62FE0" w:rsidRPr="00FA5278" w:rsidRDefault="00C62FE0" w:rsidP="00706A7E">
            <w:pPr>
              <w:pStyle w:val="Tabletext"/>
              <w:spacing w:before="60" w:after="60" w:line="240" w:lineRule="auto"/>
              <w:jc w:val="center"/>
            </w:pPr>
            <w:r w:rsidRPr="00FA5278">
              <w:sym w:font="Wingdings" w:char="F0FC"/>
            </w:r>
          </w:p>
        </w:tc>
        <w:tc>
          <w:tcPr>
            <w:tcW w:w="803" w:type="pct"/>
          </w:tcPr>
          <w:p w14:paraId="2201BE99" w14:textId="77777777" w:rsidR="00C62FE0" w:rsidRPr="00FA5278" w:rsidRDefault="00C62FE0" w:rsidP="00706A7E">
            <w:pPr>
              <w:pStyle w:val="Tabletext"/>
              <w:spacing w:before="60" w:after="60" w:line="240" w:lineRule="auto"/>
              <w:jc w:val="center"/>
            </w:pPr>
          </w:p>
        </w:tc>
      </w:tr>
      <w:tr w:rsidR="00C62FE0" w:rsidRPr="004F1C07" w14:paraId="4D24AB96" w14:textId="77777777" w:rsidTr="00C62FE0">
        <w:trPr>
          <w:trHeight w:val="122"/>
        </w:trPr>
        <w:tc>
          <w:tcPr>
            <w:tcW w:w="808" w:type="pct"/>
            <w:vMerge/>
          </w:tcPr>
          <w:p w14:paraId="00BE4E4A" w14:textId="77777777" w:rsidR="00C62FE0" w:rsidRPr="00680101" w:rsidRDefault="00C62FE0" w:rsidP="00706A7E">
            <w:pPr>
              <w:pStyle w:val="Tabletext"/>
              <w:spacing w:before="60" w:after="60" w:line="240" w:lineRule="auto"/>
              <w:rPr>
                <w:b/>
              </w:rPr>
            </w:pPr>
          </w:p>
        </w:tc>
        <w:tc>
          <w:tcPr>
            <w:tcW w:w="1225" w:type="pct"/>
          </w:tcPr>
          <w:p w14:paraId="1FCE0CF4" w14:textId="77777777" w:rsidR="00C62FE0" w:rsidRPr="00FA5278" w:rsidRDefault="00C62FE0" w:rsidP="00C62FE0">
            <w:pPr>
              <w:pStyle w:val="Tabletext"/>
              <w:spacing w:before="60" w:after="60" w:line="240" w:lineRule="auto"/>
              <w:ind w:left="0"/>
              <w:jc w:val="both"/>
            </w:pPr>
            <w:r w:rsidRPr="00FA5278">
              <w:t>Demyelination</w:t>
            </w:r>
          </w:p>
        </w:tc>
        <w:tc>
          <w:tcPr>
            <w:tcW w:w="681" w:type="pct"/>
          </w:tcPr>
          <w:p w14:paraId="3ED3BC97"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5BF6CAED" w14:textId="77777777" w:rsidR="00C62FE0" w:rsidRPr="00FA5278" w:rsidRDefault="00C62FE0" w:rsidP="00706A7E">
            <w:pPr>
              <w:pStyle w:val="Tabletext"/>
              <w:spacing w:before="60" w:after="60" w:line="240" w:lineRule="auto"/>
              <w:jc w:val="center"/>
            </w:pPr>
          </w:p>
        </w:tc>
        <w:tc>
          <w:tcPr>
            <w:tcW w:w="681" w:type="pct"/>
          </w:tcPr>
          <w:p w14:paraId="25D3D4FE" w14:textId="77777777" w:rsidR="00C62FE0" w:rsidRPr="00FA5278" w:rsidRDefault="00C62FE0" w:rsidP="00706A7E">
            <w:pPr>
              <w:pStyle w:val="Tabletext"/>
              <w:spacing w:before="60" w:after="60" w:line="240" w:lineRule="auto"/>
              <w:jc w:val="center"/>
            </w:pPr>
          </w:p>
        </w:tc>
        <w:tc>
          <w:tcPr>
            <w:tcW w:w="803" w:type="pct"/>
          </w:tcPr>
          <w:p w14:paraId="4A9EE785" w14:textId="77777777" w:rsidR="00C62FE0" w:rsidRPr="00FA5278" w:rsidRDefault="00C62FE0" w:rsidP="00706A7E">
            <w:pPr>
              <w:pStyle w:val="Tabletext"/>
              <w:spacing w:before="60" w:after="60" w:line="240" w:lineRule="auto"/>
              <w:jc w:val="center"/>
            </w:pPr>
          </w:p>
        </w:tc>
      </w:tr>
      <w:tr w:rsidR="00C62FE0" w:rsidRPr="004F1C07" w14:paraId="635F0E65" w14:textId="77777777" w:rsidTr="00C62FE0">
        <w:trPr>
          <w:trHeight w:val="122"/>
        </w:trPr>
        <w:tc>
          <w:tcPr>
            <w:tcW w:w="808" w:type="pct"/>
            <w:vMerge/>
          </w:tcPr>
          <w:p w14:paraId="12D78445" w14:textId="77777777" w:rsidR="00C62FE0" w:rsidRPr="00680101" w:rsidRDefault="00C62FE0" w:rsidP="00706A7E">
            <w:pPr>
              <w:pStyle w:val="Tabletext"/>
              <w:spacing w:before="60" w:after="60" w:line="240" w:lineRule="auto"/>
              <w:rPr>
                <w:b/>
              </w:rPr>
            </w:pPr>
          </w:p>
        </w:tc>
        <w:tc>
          <w:tcPr>
            <w:tcW w:w="1225" w:type="pct"/>
          </w:tcPr>
          <w:p w14:paraId="70F9F852" w14:textId="77777777" w:rsidR="00C62FE0" w:rsidRPr="00FA5278" w:rsidRDefault="00C62FE0" w:rsidP="00C62FE0">
            <w:pPr>
              <w:pStyle w:val="Tabletext"/>
              <w:spacing w:before="60" w:after="60" w:line="240" w:lineRule="auto"/>
              <w:ind w:left="0"/>
              <w:jc w:val="both"/>
            </w:pPr>
            <w:r w:rsidRPr="00FA5278">
              <w:t>Bell’s Palsy</w:t>
            </w:r>
          </w:p>
        </w:tc>
        <w:tc>
          <w:tcPr>
            <w:tcW w:w="681" w:type="pct"/>
          </w:tcPr>
          <w:p w14:paraId="40B856E7"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7AEAB228" w14:textId="77777777" w:rsidR="00C62FE0" w:rsidRPr="00FA5278" w:rsidRDefault="00C62FE0" w:rsidP="00706A7E">
            <w:pPr>
              <w:pStyle w:val="Tabletext"/>
              <w:spacing w:before="60" w:after="60" w:line="240" w:lineRule="auto"/>
              <w:jc w:val="center"/>
            </w:pPr>
          </w:p>
        </w:tc>
        <w:tc>
          <w:tcPr>
            <w:tcW w:w="681" w:type="pct"/>
          </w:tcPr>
          <w:p w14:paraId="18C1AB5C" w14:textId="77777777" w:rsidR="00C62FE0" w:rsidRPr="00FA5278" w:rsidRDefault="00C62FE0" w:rsidP="00706A7E">
            <w:pPr>
              <w:pStyle w:val="Tabletext"/>
              <w:spacing w:before="60" w:after="60" w:line="240" w:lineRule="auto"/>
              <w:jc w:val="center"/>
            </w:pPr>
          </w:p>
        </w:tc>
        <w:tc>
          <w:tcPr>
            <w:tcW w:w="803" w:type="pct"/>
          </w:tcPr>
          <w:p w14:paraId="58D7A197" w14:textId="77777777" w:rsidR="00C62FE0" w:rsidRPr="00FA5278" w:rsidRDefault="00C62FE0" w:rsidP="00706A7E">
            <w:pPr>
              <w:pStyle w:val="Tabletext"/>
              <w:spacing w:before="60" w:after="60" w:line="240" w:lineRule="auto"/>
              <w:jc w:val="center"/>
            </w:pPr>
          </w:p>
        </w:tc>
      </w:tr>
      <w:tr w:rsidR="00C62FE0" w:rsidRPr="004F1C07" w14:paraId="01B818B6" w14:textId="77777777" w:rsidTr="00C62FE0">
        <w:trPr>
          <w:trHeight w:val="112"/>
        </w:trPr>
        <w:tc>
          <w:tcPr>
            <w:tcW w:w="808" w:type="pct"/>
            <w:vMerge/>
          </w:tcPr>
          <w:p w14:paraId="50B83226" w14:textId="77777777" w:rsidR="00C62FE0" w:rsidRPr="00680101" w:rsidRDefault="00C62FE0" w:rsidP="00706A7E">
            <w:pPr>
              <w:pStyle w:val="Tabletext"/>
              <w:spacing w:before="60" w:after="60" w:line="240" w:lineRule="auto"/>
              <w:rPr>
                <w:b/>
              </w:rPr>
            </w:pPr>
          </w:p>
        </w:tc>
        <w:tc>
          <w:tcPr>
            <w:tcW w:w="1225" w:type="pct"/>
          </w:tcPr>
          <w:p w14:paraId="4568C681" w14:textId="77777777" w:rsidR="00C62FE0" w:rsidRPr="00FA5278" w:rsidRDefault="00C62FE0" w:rsidP="00C62FE0">
            <w:pPr>
              <w:pStyle w:val="Tabletext"/>
              <w:spacing w:before="60" w:after="60" w:line="240" w:lineRule="auto"/>
              <w:ind w:left="0"/>
              <w:jc w:val="both"/>
            </w:pPr>
            <w:r w:rsidRPr="00FA5278">
              <w:t>Immune Thrombocytopenia</w:t>
            </w:r>
          </w:p>
        </w:tc>
        <w:tc>
          <w:tcPr>
            <w:tcW w:w="681" w:type="pct"/>
          </w:tcPr>
          <w:p w14:paraId="5F940F83" w14:textId="77777777" w:rsidR="00C62FE0" w:rsidRPr="00FA5278" w:rsidRDefault="00C62FE0" w:rsidP="00706A7E">
            <w:pPr>
              <w:pStyle w:val="Tabletext"/>
              <w:spacing w:before="60" w:after="60" w:line="240" w:lineRule="auto"/>
              <w:jc w:val="center"/>
            </w:pPr>
            <w:r w:rsidRPr="00FA5278">
              <w:sym w:font="Wingdings" w:char="F0FC"/>
            </w:r>
            <w:r w:rsidRPr="00FA5278">
              <w:t xml:space="preserve"> </w:t>
            </w:r>
            <w:r w:rsidRPr="00FA5278">
              <w:rPr>
                <w:rFonts w:asciiTheme="majorHAnsi" w:hAnsiTheme="majorHAnsi"/>
                <w:szCs w:val="20"/>
              </w:rPr>
              <w:t>†</w:t>
            </w:r>
          </w:p>
        </w:tc>
        <w:tc>
          <w:tcPr>
            <w:tcW w:w="803" w:type="pct"/>
          </w:tcPr>
          <w:p w14:paraId="4E240DD3" w14:textId="77777777" w:rsidR="00C62FE0" w:rsidRPr="00FA5278" w:rsidRDefault="00C62FE0" w:rsidP="00706A7E">
            <w:pPr>
              <w:pStyle w:val="Tabletext"/>
              <w:spacing w:before="60" w:after="60" w:line="240" w:lineRule="auto"/>
              <w:jc w:val="center"/>
            </w:pPr>
          </w:p>
        </w:tc>
        <w:tc>
          <w:tcPr>
            <w:tcW w:w="681" w:type="pct"/>
          </w:tcPr>
          <w:p w14:paraId="58332D72" w14:textId="77777777" w:rsidR="00C62FE0" w:rsidRPr="00FA5278" w:rsidRDefault="00C62FE0" w:rsidP="00706A7E">
            <w:pPr>
              <w:pStyle w:val="Tabletext"/>
              <w:spacing w:before="60" w:after="60" w:line="240" w:lineRule="auto"/>
              <w:jc w:val="center"/>
            </w:pPr>
          </w:p>
        </w:tc>
        <w:tc>
          <w:tcPr>
            <w:tcW w:w="803" w:type="pct"/>
          </w:tcPr>
          <w:p w14:paraId="3E63476E" w14:textId="77777777" w:rsidR="00C62FE0" w:rsidRPr="00FA5278" w:rsidRDefault="00C62FE0" w:rsidP="00706A7E">
            <w:pPr>
              <w:pStyle w:val="Tabletext"/>
              <w:spacing w:before="60" w:after="60" w:line="240" w:lineRule="auto"/>
              <w:jc w:val="center"/>
            </w:pPr>
          </w:p>
        </w:tc>
      </w:tr>
      <w:tr w:rsidR="00C62FE0" w:rsidRPr="004F1C07" w14:paraId="307C4797" w14:textId="77777777" w:rsidTr="00C62FE0">
        <w:trPr>
          <w:trHeight w:val="178"/>
        </w:trPr>
        <w:tc>
          <w:tcPr>
            <w:tcW w:w="808" w:type="pct"/>
            <w:vMerge w:val="restart"/>
          </w:tcPr>
          <w:p w14:paraId="0E98B81D" w14:textId="77777777" w:rsidR="00C62FE0" w:rsidRPr="00680101" w:rsidRDefault="00C62FE0" w:rsidP="00C62FE0">
            <w:pPr>
              <w:pStyle w:val="Tabletext"/>
              <w:spacing w:before="60" w:after="60" w:line="240" w:lineRule="auto"/>
              <w:ind w:left="0"/>
              <w:rPr>
                <w:b/>
              </w:rPr>
            </w:pPr>
            <w:r w:rsidRPr="00680101">
              <w:rPr>
                <w:b/>
              </w:rPr>
              <w:t>Missing information</w:t>
            </w:r>
          </w:p>
        </w:tc>
        <w:tc>
          <w:tcPr>
            <w:tcW w:w="1225" w:type="pct"/>
          </w:tcPr>
          <w:p w14:paraId="13DBFAA5" w14:textId="77777777" w:rsidR="00C62FE0" w:rsidRPr="004F1C07" w:rsidRDefault="00C62FE0" w:rsidP="00C62FE0">
            <w:pPr>
              <w:pStyle w:val="Tabletext"/>
              <w:spacing w:before="60" w:after="60" w:line="240" w:lineRule="auto"/>
              <w:ind w:left="0"/>
              <w:jc w:val="both"/>
            </w:pPr>
            <w:r>
              <w:t>Safety in immunocompromised patients</w:t>
            </w:r>
          </w:p>
        </w:tc>
        <w:tc>
          <w:tcPr>
            <w:tcW w:w="681" w:type="pct"/>
          </w:tcPr>
          <w:p w14:paraId="792B48B5" w14:textId="77777777" w:rsidR="00C62FE0" w:rsidRPr="006333C9" w:rsidRDefault="00C62FE0" w:rsidP="00706A7E">
            <w:pPr>
              <w:pStyle w:val="Tabletext"/>
              <w:spacing w:before="60" w:after="60" w:line="240" w:lineRule="auto"/>
              <w:jc w:val="center"/>
            </w:pPr>
            <w:r w:rsidRPr="006333C9">
              <w:sym w:font="Wingdings" w:char="F0FC"/>
            </w:r>
          </w:p>
        </w:tc>
        <w:tc>
          <w:tcPr>
            <w:tcW w:w="803" w:type="pct"/>
          </w:tcPr>
          <w:p w14:paraId="0C912D83" w14:textId="77777777" w:rsidR="00C62FE0" w:rsidRPr="006333C9" w:rsidRDefault="00C62FE0" w:rsidP="00706A7E">
            <w:pPr>
              <w:pStyle w:val="Tabletext"/>
              <w:spacing w:before="60" w:after="60" w:line="240" w:lineRule="auto"/>
              <w:jc w:val="center"/>
            </w:pPr>
          </w:p>
        </w:tc>
        <w:tc>
          <w:tcPr>
            <w:tcW w:w="681" w:type="pct"/>
          </w:tcPr>
          <w:p w14:paraId="388BA17A" w14:textId="77777777" w:rsidR="00C62FE0" w:rsidRPr="00C50FEB" w:rsidRDefault="00C62FE0" w:rsidP="00706A7E">
            <w:pPr>
              <w:pStyle w:val="Tabletext"/>
              <w:spacing w:before="60" w:after="60" w:line="240" w:lineRule="auto"/>
              <w:jc w:val="center"/>
            </w:pPr>
            <w:r w:rsidRPr="00C50FEB">
              <w:sym w:font="Wingdings" w:char="F0FC"/>
            </w:r>
          </w:p>
        </w:tc>
        <w:tc>
          <w:tcPr>
            <w:tcW w:w="803" w:type="pct"/>
          </w:tcPr>
          <w:p w14:paraId="5FBEA993" w14:textId="77777777" w:rsidR="00C62FE0" w:rsidRPr="00C50FEB" w:rsidRDefault="00C62FE0" w:rsidP="00706A7E">
            <w:pPr>
              <w:pStyle w:val="Tabletext"/>
              <w:spacing w:before="60" w:after="60" w:line="240" w:lineRule="auto"/>
              <w:jc w:val="center"/>
            </w:pPr>
          </w:p>
        </w:tc>
      </w:tr>
      <w:tr w:rsidR="00C62FE0" w:rsidRPr="004F1C07" w14:paraId="01E93B1D" w14:textId="77777777" w:rsidTr="00C62FE0">
        <w:trPr>
          <w:trHeight w:val="103"/>
        </w:trPr>
        <w:tc>
          <w:tcPr>
            <w:tcW w:w="808" w:type="pct"/>
            <w:vMerge/>
          </w:tcPr>
          <w:p w14:paraId="2AD347DE" w14:textId="77777777" w:rsidR="00C62FE0" w:rsidRPr="004F1C07" w:rsidRDefault="00C62FE0" w:rsidP="00706A7E">
            <w:pPr>
              <w:pStyle w:val="Tabletext"/>
              <w:spacing w:before="60" w:after="60" w:line="240" w:lineRule="auto"/>
            </w:pPr>
          </w:p>
        </w:tc>
        <w:tc>
          <w:tcPr>
            <w:tcW w:w="1225" w:type="pct"/>
          </w:tcPr>
          <w:p w14:paraId="0678EB97" w14:textId="77777777" w:rsidR="00C62FE0" w:rsidRPr="004F1C07" w:rsidRDefault="00C62FE0" w:rsidP="00C62FE0">
            <w:pPr>
              <w:pStyle w:val="Tabletext"/>
              <w:spacing w:before="60" w:after="60" w:line="240" w:lineRule="auto"/>
              <w:ind w:left="0"/>
              <w:jc w:val="both"/>
            </w:pPr>
            <w:r>
              <w:t>Safety in subjects with underlying diseases</w:t>
            </w:r>
          </w:p>
        </w:tc>
        <w:tc>
          <w:tcPr>
            <w:tcW w:w="681" w:type="pct"/>
          </w:tcPr>
          <w:p w14:paraId="67F2AE75" w14:textId="77777777" w:rsidR="00C62FE0" w:rsidRPr="006333C9" w:rsidRDefault="00C62FE0" w:rsidP="00706A7E">
            <w:pPr>
              <w:pStyle w:val="Tabletext"/>
              <w:spacing w:before="60" w:after="60" w:line="240" w:lineRule="auto"/>
              <w:jc w:val="center"/>
            </w:pPr>
            <w:r w:rsidRPr="006333C9">
              <w:sym w:font="Wingdings" w:char="F0FC"/>
            </w:r>
          </w:p>
        </w:tc>
        <w:tc>
          <w:tcPr>
            <w:tcW w:w="803" w:type="pct"/>
          </w:tcPr>
          <w:p w14:paraId="641BBDF4" w14:textId="77777777" w:rsidR="00C62FE0" w:rsidRPr="006333C9" w:rsidRDefault="00C62FE0" w:rsidP="00706A7E">
            <w:pPr>
              <w:pStyle w:val="Tabletext"/>
              <w:spacing w:before="60" w:after="60" w:line="240" w:lineRule="auto"/>
              <w:jc w:val="center"/>
            </w:pPr>
          </w:p>
        </w:tc>
        <w:tc>
          <w:tcPr>
            <w:tcW w:w="681" w:type="pct"/>
          </w:tcPr>
          <w:p w14:paraId="175338B9" w14:textId="77777777" w:rsidR="00C62FE0" w:rsidRPr="00C50FEB" w:rsidRDefault="00C62FE0" w:rsidP="00706A7E">
            <w:pPr>
              <w:pStyle w:val="Tabletext"/>
              <w:spacing w:before="60" w:after="60" w:line="240" w:lineRule="auto"/>
              <w:jc w:val="center"/>
            </w:pPr>
            <w:r w:rsidRPr="00C50FEB">
              <w:sym w:font="Wingdings" w:char="F0FC"/>
            </w:r>
          </w:p>
        </w:tc>
        <w:tc>
          <w:tcPr>
            <w:tcW w:w="803" w:type="pct"/>
          </w:tcPr>
          <w:p w14:paraId="6EB3C714" w14:textId="77777777" w:rsidR="00C62FE0" w:rsidRPr="00C50FEB" w:rsidRDefault="00C62FE0" w:rsidP="00706A7E">
            <w:pPr>
              <w:pStyle w:val="Tabletext"/>
              <w:spacing w:before="60" w:after="60" w:line="240" w:lineRule="auto"/>
              <w:jc w:val="center"/>
            </w:pPr>
          </w:p>
        </w:tc>
      </w:tr>
      <w:tr w:rsidR="00C62FE0" w:rsidRPr="004F1C07" w14:paraId="482D75F9" w14:textId="77777777" w:rsidTr="00C62FE0">
        <w:trPr>
          <w:trHeight w:val="140"/>
        </w:trPr>
        <w:tc>
          <w:tcPr>
            <w:tcW w:w="808" w:type="pct"/>
            <w:vMerge/>
          </w:tcPr>
          <w:p w14:paraId="6B8D69ED" w14:textId="77777777" w:rsidR="00C62FE0" w:rsidRPr="004F1C07" w:rsidRDefault="00C62FE0" w:rsidP="00706A7E">
            <w:pPr>
              <w:pStyle w:val="Tabletext"/>
              <w:spacing w:before="60" w:after="60" w:line="240" w:lineRule="auto"/>
            </w:pPr>
          </w:p>
        </w:tc>
        <w:tc>
          <w:tcPr>
            <w:tcW w:w="1225" w:type="pct"/>
          </w:tcPr>
          <w:p w14:paraId="2B259140" w14:textId="77777777" w:rsidR="00C62FE0" w:rsidRPr="004F1C07" w:rsidRDefault="00C62FE0" w:rsidP="00C62FE0">
            <w:pPr>
              <w:pStyle w:val="Tabletext"/>
              <w:spacing w:before="60" w:after="60" w:line="240" w:lineRule="auto"/>
              <w:ind w:left="0"/>
              <w:jc w:val="both"/>
            </w:pPr>
            <w:r>
              <w:t>Use in pregnant and breastfeeding women</w:t>
            </w:r>
          </w:p>
        </w:tc>
        <w:tc>
          <w:tcPr>
            <w:tcW w:w="681" w:type="pct"/>
          </w:tcPr>
          <w:p w14:paraId="5B42213C" w14:textId="77777777" w:rsidR="00C62FE0" w:rsidRPr="006333C9" w:rsidRDefault="00C62FE0" w:rsidP="00706A7E">
            <w:pPr>
              <w:pStyle w:val="Tabletext"/>
              <w:spacing w:before="60" w:after="60" w:line="240" w:lineRule="auto"/>
              <w:jc w:val="center"/>
            </w:pPr>
            <w:r w:rsidRPr="006333C9">
              <w:sym w:font="Wingdings" w:char="F0FC"/>
            </w:r>
            <w:r w:rsidRPr="006333C9">
              <w:t xml:space="preserve"> </w:t>
            </w:r>
            <w:r w:rsidRPr="006333C9">
              <w:rPr>
                <w:rFonts w:asciiTheme="majorHAnsi" w:hAnsiTheme="majorHAnsi"/>
                <w:szCs w:val="20"/>
              </w:rPr>
              <w:t>†</w:t>
            </w:r>
          </w:p>
        </w:tc>
        <w:tc>
          <w:tcPr>
            <w:tcW w:w="803" w:type="pct"/>
          </w:tcPr>
          <w:p w14:paraId="1301E499" w14:textId="77777777" w:rsidR="00C62FE0" w:rsidRPr="006333C9" w:rsidRDefault="00C62FE0" w:rsidP="00706A7E">
            <w:pPr>
              <w:pStyle w:val="Tabletext"/>
              <w:spacing w:before="60" w:after="60" w:line="240" w:lineRule="auto"/>
              <w:jc w:val="center"/>
            </w:pPr>
            <w:r w:rsidRPr="006333C9">
              <w:sym w:font="Wingdings" w:char="F0FC"/>
            </w:r>
            <w:r w:rsidRPr="006333C9">
              <w:t xml:space="preserve"> *</w:t>
            </w:r>
          </w:p>
        </w:tc>
        <w:tc>
          <w:tcPr>
            <w:tcW w:w="681" w:type="pct"/>
          </w:tcPr>
          <w:p w14:paraId="4AAB8757" w14:textId="77777777" w:rsidR="00C62FE0" w:rsidRPr="00C50FEB" w:rsidRDefault="00C62FE0" w:rsidP="00706A7E">
            <w:pPr>
              <w:pStyle w:val="Tabletext"/>
              <w:spacing w:before="60" w:after="60" w:line="240" w:lineRule="auto"/>
              <w:jc w:val="center"/>
            </w:pPr>
            <w:r w:rsidRPr="00C50FEB">
              <w:sym w:font="Wingdings" w:char="F0FC"/>
            </w:r>
          </w:p>
        </w:tc>
        <w:tc>
          <w:tcPr>
            <w:tcW w:w="803" w:type="pct"/>
          </w:tcPr>
          <w:p w14:paraId="3173F291" w14:textId="77777777" w:rsidR="00C62FE0" w:rsidRPr="00C50FEB" w:rsidRDefault="00C62FE0" w:rsidP="00706A7E">
            <w:pPr>
              <w:pStyle w:val="Tabletext"/>
              <w:spacing w:before="60" w:after="60" w:line="240" w:lineRule="auto"/>
              <w:jc w:val="center"/>
            </w:pPr>
          </w:p>
        </w:tc>
      </w:tr>
    </w:tbl>
    <w:p w14:paraId="0A991E5C" w14:textId="77777777" w:rsidR="00C62FE0" w:rsidRDefault="00C62FE0" w:rsidP="00C62FE0">
      <w:pPr>
        <w:pStyle w:val="TableDescription"/>
      </w:pPr>
      <w:r>
        <w:t>* Pregnancy registry (multinational, including Australian patients)</w:t>
      </w:r>
    </w:p>
    <w:p w14:paraId="482B8C7D" w14:textId="48B56F9D" w:rsidR="00C62FE0" w:rsidRDefault="00C62FE0" w:rsidP="00C62FE0">
      <w:pPr>
        <w:pStyle w:val="TableDescription"/>
      </w:pPr>
      <w:r>
        <w:t>† Specific follow-up forms for adverse events</w:t>
      </w:r>
    </w:p>
    <w:p w14:paraId="701595BD" w14:textId="10F38664" w:rsidR="00C62FE0" w:rsidRPr="008022AE" w:rsidRDefault="00C62FE0" w:rsidP="00C62FE0">
      <w:r>
        <w:t>The</w:t>
      </w:r>
      <w:r w:rsidRPr="008022AE">
        <w:t xml:space="preserve"> summary of safety concerns </w:t>
      </w:r>
      <w:r>
        <w:t>is acceptable. The EU is evaluating EU-RMP version 2.1; when approved it is expected that EU-RMP v</w:t>
      </w:r>
      <w:r w:rsidR="00EB4B53">
        <w:t xml:space="preserve">ersion </w:t>
      </w:r>
      <w:r>
        <w:t>2.1 and companion updated ASA will be submitted to the TGA, in accord with usual regulatory requirements.</w:t>
      </w:r>
    </w:p>
    <w:p w14:paraId="071E54EC" w14:textId="3D56202C" w:rsidR="00C62FE0" w:rsidRPr="008022AE" w:rsidRDefault="00C62FE0" w:rsidP="00C62FE0">
      <w:r w:rsidRPr="008022AE">
        <w:t>Routine and additional pharmacovigilance activities (pregnancy registry) will be undertaken. A</w:t>
      </w:r>
      <w:r>
        <w:t xml:space="preserve"> commitment</w:t>
      </w:r>
      <w:r w:rsidRPr="008022AE">
        <w:t xml:space="preserve"> </w:t>
      </w:r>
      <w:r>
        <w:t>relating to</w:t>
      </w:r>
      <w:r w:rsidRPr="008022AE">
        <w:t xml:space="preserve"> </w:t>
      </w:r>
      <w:r>
        <w:t xml:space="preserve">undertaking </w:t>
      </w:r>
      <w:r w:rsidRPr="008022AE">
        <w:t xml:space="preserve">enhanced passive surveillance </w:t>
      </w:r>
      <w:r>
        <w:t>has been provided</w:t>
      </w:r>
      <w:r w:rsidRPr="008022AE">
        <w:t xml:space="preserve">, if </w:t>
      </w:r>
      <w:r w:rsidR="00EB4B53">
        <w:t>Australia vaccine safety system</w:t>
      </w:r>
      <w:r w:rsidR="0044690F">
        <w:t xml:space="preserve"> </w:t>
      </w:r>
      <w:r w:rsidR="00EB4B53">
        <w:t>(</w:t>
      </w:r>
      <w:r w:rsidRPr="008022AE">
        <w:t>AusVaxSafety</w:t>
      </w:r>
      <w:r w:rsidR="00EB4B53">
        <w:t>)</w:t>
      </w:r>
      <w:r w:rsidRPr="008022AE">
        <w:t xml:space="preserve"> does not provide this service in any particular </w:t>
      </w:r>
      <w:r>
        <w:t xml:space="preserve">influenza </w:t>
      </w:r>
      <w:r w:rsidRPr="008022AE">
        <w:t>season.</w:t>
      </w:r>
      <w:r>
        <w:t xml:space="preserve"> Follow-up questionnaires have been provided for each of the important potential risks and use in pregnancy, as part of enhanced routine pharmacovigilance.</w:t>
      </w:r>
    </w:p>
    <w:p w14:paraId="31AC8C85" w14:textId="77777777" w:rsidR="00C62FE0" w:rsidRDefault="00C62FE0" w:rsidP="00C62FE0">
      <w:r w:rsidRPr="008022AE">
        <w:t>Routine risk minimisation will be undertaken</w:t>
      </w:r>
      <w:r>
        <w:t xml:space="preserve"> and appears to be adequate</w:t>
      </w:r>
      <w:r w:rsidRPr="008022AE">
        <w:t>.</w:t>
      </w:r>
    </w:p>
    <w:p w14:paraId="7387C09C" w14:textId="031714E5" w:rsidR="00C62FE0" w:rsidRDefault="00C62FE0" w:rsidP="00C62FE0">
      <w:r w:rsidRPr="004051C9">
        <w:t>The</w:t>
      </w:r>
      <w:r>
        <w:t>re is no outstanding</w:t>
      </w:r>
      <w:r w:rsidRPr="004051C9">
        <w:t xml:space="preserve"> recommendation</w:t>
      </w:r>
      <w:r>
        <w:t>.</w:t>
      </w:r>
    </w:p>
    <w:p w14:paraId="4CBB30D2" w14:textId="0A181161" w:rsidR="00C62FE0" w:rsidRDefault="003461DF" w:rsidP="00C62FE0">
      <w:pPr>
        <w:pStyle w:val="Heading4"/>
      </w:pPr>
      <w:r>
        <w:t>Recommended condition</w:t>
      </w:r>
      <w:r w:rsidR="00C62FE0">
        <w:t>s of registration</w:t>
      </w:r>
    </w:p>
    <w:p w14:paraId="444CCEB7" w14:textId="77777777" w:rsidR="00C62FE0" w:rsidRDefault="00C62FE0" w:rsidP="00C62FE0">
      <w: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51A327EF" w14:textId="77777777" w:rsidR="00C62FE0" w:rsidRDefault="00C62FE0" w:rsidP="00C62FE0">
      <w:r>
        <w:t>The suggested wording is:</w:t>
      </w:r>
    </w:p>
    <w:p w14:paraId="7B3FD369" w14:textId="60255684" w:rsidR="00C62FE0" w:rsidRPr="00C62FE0" w:rsidRDefault="00C62FE0" w:rsidP="00C62FE0">
      <w:pPr>
        <w:ind w:left="720"/>
      </w:pPr>
      <w:r w:rsidRPr="00C62FE0">
        <w:t>The F</w:t>
      </w:r>
      <w:r>
        <w:t>lucelvax</w:t>
      </w:r>
      <w:r w:rsidRPr="00C62FE0">
        <w:t xml:space="preserve"> Q</w:t>
      </w:r>
      <w:r>
        <w:t>uad</w:t>
      </w:r>
      <w:r w:rsidRPr="00C62FE0">
        <w:t xml:space="preserve"> EU-Risk Management Plan (RMP) (version 2.0, dated 25 September 2018, data lock point 30 May 2017), with Australian Specific Annex (version 1.1, dated 7 April 2020), included with submission PM-2019-02591-1-2, and any subsequent revisions, as agreed with the TGA will be implemented in Australia.</w:t>
      </w:r>
    </w:p>
    <w:p w14:paraId="5A9E704F" w14:textId="77777777" w:rsidR="00C62FE0" w:rsidRDefault="00C62FE0" w:rsidP="00C62FE0">
      <w:r>
        <w:t>The following wording is recommended for the PSUR requirement:</w:t>
      </w:r>
    </w:p>
    <w:p w14:paraId="0B4768A2" w14:textId="77777777" w:rsidR="00C62FE0" w:rsidRPr="00C62FE0" w:rsidRDefault="00C62FE0" w:rsidP="00C62FE0">
      <w:pPr>
        <w:ind w:left="720"/>
      </w:pPr>
      <w:r w:rsidRPr="00C62FE0">
        <w:t>An obligatory component of risk management plans is routine pharmacovigilance. Routine pharmacovigilance includes the submission of periodic safety update reports (PSURs).</w:t>
      </w:r>
    </w:p>
    <w:p w14:paraId="4D85D1D6" w14:textId="77777777" w:rsidR="00C62FE0" w:rsidRPr="00C62FE0" w:rsidRDefault="00C62FE0" w:rsidP="00C62FE0">
      <w:pPr>
        <w:ind w:left="720"/>
      </w:pPr>
      <w:r w:rsidRPr="00C62FE0">
        <w:t>Reports are to be provided in line with the current published list of EU reference dates and frequency of submission of PSURs until the period covered by such reports is not less than three years from the date of this approval letter.</w:t>
      </w:r>
    </w:p>
    <w:p w14:paraId="2789533C" w14:textId="21CFE76B" w:rsidR="00C62FE0" w:rsidRPr="00C62FE0" w:rsidRDefault="00C62FE0" w:rsidP="00C62FE0">
      <w:pPr>
        <w:ind w:left="720"/>
      </w:pPr>
      <w:r w:rsidRPr="00C62FE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51496C6" w14:textId="77777777" w:rsidR="008E7846" w:rsidRDefault="00AA0ED0" w:rsidP="008E7846">
      <w:pPr>
        <w:pStyle w:val="Heading3"/>
      </w:pPr>
      <w:bookmarkStart w:id="54" w:name="_Toc247691531"/>
      <w:bookmarkStart w:id="55" w:name="_Toc314842515"/>
      <w:bookmarkStart w:id="56" w:name="_Toc59112173"/>
      <w:bookmarkStart w:id="57" w:name="_Toc196046505"/>
      <w:bookmarkStart w:id="58" w:name="_Toc196046949"/>
      <w:r>
        <w:t>Risk-benefit a</w:t>
      </w:r>
      <w:r w:rsidR="008E7846">
        <w:t>nalysis</w:t>
      </w:r>
      <w:bookmarkEnd w:id="54"/>
      <w:bookmarkEnd w:id="55"/>
      <w:bookmarkEnd w:id="56"/>
    </w:p>
    <w:p w14:paraId="01E8E7E6" w14:textId="77777777" w:rsidR="00D23139" w:rsidRDefault="007D53B6" w:rsidP="00D23139">
      <w:pPr>
        <w:pStyle w:val="Heading4"/>
      </w:pPr>
      <w:r>
        <w:t>Delegate’s considerations</w:t>
      </w:r>
    </w:p>
    <w:p w14:paraId="2B82E789" w14:textId="0A45F860" w:rsidR="00434DB7" w:rsidRPr="00EB5B4B" w:rsidRDefault="00434DB7" w:rsidP="00434DB7">
      <w:r>
        <w:t>The study design of the two pivotal clinical trials was acceptable overall and generally complied with TGA adopted guidance documents.</w:t>
      </w:r>
      <w:r w:rsidR="00EB5B4B">
        <w:rPr>
          <w:rStyle w:val="FootnoteReference"/>
        </w:rPr>
        <w:footnoteReference w:id="11"/>
      </w:r>
      <w:r w:rsidR="00EB5B4B">
        <w:rPr>
          <w:vertAlign w:val="superscript"/>
        </w:rPr>
        <w:t>,</w:t>
      </w:r>
      <w:r w:rsidR="00384A28">
        <w:rPr>
          <w:vertAlign w:val="superscript"/>
        </w:rPr>
        <w:t>,</w:t>
      </w:r>
      <w:r w:rsidR="00EB5B4B">
        <w:rPr>
          <w:rStyle w:val="FootnoteReference"/>
        </w:rPr>
        <w:footnoteReference w:id="12"/>
      </w:r>
    </w:p>
    <w:p w14:paraId="57F9421E" w14:textId="77777777" w:rsidR="00434DB7" w:rsidRDefault="00434DB7" w:rsidP="00434DB7">
      <w:r>
        <w:t>The results of the two pivotal QIVc immunogenicity trials (Studies 130_01 and 130_03) and the supportive TIVc efficacy trial (Study V58P13) were generally supportive of the proposed indication (except for the age range).</w:t>
      </w:r>
    </w:p>
    <w:p w14:paraId="106A6074" w14:textId="77777777" w:rsidR="00434DB7" w:rsidRDefault="00434DB7" w:rsidP="00434DB7">
      <w:r w:rsidRPr="0064386B">
        <w:rPr>
          <w:i/>
        </w:rPr>
        <w:t>Efficacy and safety:</w:t>
      </w:r>
      <w:r>
        <w:t xml:space="preserve"> Flucelvax Quad appears safe and immunogenic in the population tested (despite no true efficacy endpoint available). QIVc provides evidence of its benefits over those of the TIVC by inducing immune responses to two B lineages simultaneously, and the addition of the second B strain did not appear to negatively impact immune responses to the other 3 strains in the QIVc.</w:t>
      </w:r>
    </w:p>
    <w:p w14:paraId="5C02F6AA" w14:textId="609DD7C9" w:rsidR="00434DB7" w:rsidRDefault="00434DB7" w:rsidP="00434DB7">
      <w:r w:rsidRPr="0064386B">
        <w:rPr>
          <w:i/>
        </w:rPr>
        <w:t>Post-market experience</w:t>
      </w:r>
      <w:r>
        <w:t>: Given the vaccine is registered in large jurisdictions (US and EU), there are a large amount of post-market safety data available (predominantly US data) with only a few reports of vaccine fai</w:t>
      </w:r>
      <w:r w:rsidR="00D43649">
        <w:t xml:space="preserve">lure in the post-market reports 2016 to </w:t>
      </w:r>
      <w:r>
        <w:t>2019.</w:t>
      </w:r>
    </w:p>
    <w:p w14:paraId="78BDBE42" w14:textId="77777777" w:rsidR="00434DB7" w:rsidRDefault="00434DB7" w:rsidP="00434DB7">
      <w:r>
        <w:t>The sponsor has not provided true efficacy studies for the QIVc, but only immunogenicity efficacy studies in the age group from 4 years and above (across two trials) combined with the TIVc true efficacy trial in subjects 18 years and above.</w:t>
      </w:r>
    </w:p>
    <w:p w14:paraId="2238D666" w14:textId="79849B87" w:rsidR="00434DB7" w:rsidRDefault="00434DB7" w:rsidP="00434DB7">
      <w:r>
        <w:t>Generally, this approach is acceptable for a new quadrivalent vaccine, where there are available efficacy data for the corresponding trivalent vaccine. In this case, true efficacy data for the trivalent vaccine is only available for subjects 18 years and above. The relevant TGA-adopted EMA guideline would potentially allow extrapolation of that ef</w:t>
      </w:r>
      <w:r w:rsidR="00D43649">
        <w:t xml:space="preserve">ficacy data to subjects 9 years of age </w:t>
      </w:r>
      <w:r>
        <w:t xml:space="preserve">and above, but not subjects younger than 9 years. Consequently, the approved age range for the QIVc in the EU using </w:t>
      </w:r>
      <w:r w:rsidR="00D43649">
        <w:t xml:space="preserve">the same studies is for 9 years of age </w:t>
      </w:r>
      <w:r>
        <w:t>and above.</w:t>
      </w:r>
    </w:p>
    <w:p w14:paraId="7985DA99" w14:textId="3D340446" w:rsidR="00434DB7" w:rsidRDefault="00434DB7" w:rsidP="00434DB7">
      <w:r>
        <w:t>It is noted that there is a true efficacy trial in subjects aged 2 years and over (Study</w:t>
      </w:r>
      <w:r w:rsidR="00047A60">
        <w:t> </w:t>
      </w:r>
      <w:r>
        <w:t>V130_12: A Phase III/I</w:t>
      </w:r>
      <w:r w:rsidR="00D43649">
        <w:t>V, stratified, randomised, observer blind, multicentr</w:t>
      </w:r>
      <w:r w:rsidR="00047A60">
        <w:t>e</w:t>
      </w:r>
      <w:r w:rsidR="00D43649">
        <w:t xml:space="preserve"> clinical study to evaluate the efficacy, safety and immunogenicity of a cell-based quadrivalent subunit influenza virus vaccine compared to non-influenza comparator vaccine in s</w:t>
      </w:r>
      <w:r>
        <w:t xml:space="preserve">ubjects ≥2 years to </w:t>
      </w:r>
      <w:r w:rsidR="00375E45">
        <w:t xml:space="preserve">&lt; </w:t>
      </w:r>
      <w:r>
        <w:t xml:space="preserve">18 </w:t>
      </w:r>
      <w:r w:rsidR="00D43649">
        <w:t>years of a</w:t>
      </w:r>
      <w:r>
        <w:t xml:space="preserve">ge). This study appeared not to have been completed at the time of submission of this application (and consequently no data was provided), but </w:t>
      </w:r>
      <w:r w:rsidR="00047A60">
        <w:t xml:space="preserve">it </w:t>
      </w:r>
      <w:r>
        <w:t>is complete now.</w:t>
      </w:r>
    </w:p>
    <w:p w14:paraId="1F200DBB" w14:textId="77777777" w:rsidR="00434DB7" w:rsidRDefault="00434DB7" w:rsidP="00434DB7">
      <w:r>
        <w:t>At this stage, with the data available, the indication proposed by the sponsor should be amended. A more appropriate indication may be:</w:t>
      </w:r>
    </w:p>
    <w:p w14:paraId="2BBB7303" w14:textId="77777777" w:rsidR="00434DB7" w:rsidRPr="00434DB7" w:rsidRDefault="00434DB7" w:rsidP="00434DB7">
      <w:pPr>
        <w:ind w:left="720"/>
        <w:rPr>
          <w:i/>
        </w:rPr>
      </w:pPr>
      <w:r w:rsidRPr="00434DB7">
        <w:rPr>
          <w:i/>
        </w:rPr>
        <w:t>For the prevention of influenza caused by Influenza Virus, Types A and B contained in the vaccine. The vaccine is indicated for use in adults and children 9 years of age and older.</w:t>
      </w:r>
    </w:p>
    <w:p w14:paraId="7A02B801" w14:textId="37613679" w:rsidR="00434DB7" w:rsidRDefault="00434DB7" w:rsidP="00434DB7">
      <w:r>
        <w:t>Advice from the A</w:t>
      </w:r>
      <w:r w:rsidR="00047A60">
        <w:t>dvisory Committee on Vaccines (A</w:t>
      </w:r>
      <w:r>
        <w:t>CV</w:t>
      </w:r>
      <w:r w:rsidR="00047A60">
        <w:t>)</w:t>
      </w:r>
      <w:r>
        <w:t xml:space="preserve"> is sought.</w:t>
      </w:r>
    </w:p>
    <w:p w14:paraId="2B465500" w14:textId="44C742B4" w:rsidR="003461DF" w:rsidRDefault="003461DF" w:rsidP="003461DF">
      <w:pPr>
        <w:pStyle w:val="Heading5"/>
      </w:pPr>
      <w:r>
        <w:t>Deficiencies of the data</w:t>
      </w:r>
    </w:p>
    <w:p w14:paraId="4437B78B" w14:textId="58A4E5BB" w:rsidR="003461DF" w:rsidRDefault="003461DF" w:rsidP="003461DF">
      <w:r w:rsidRPr="0064386B">
        <w:rPr>
          <w:i/>
        </w:rPr>
        <w:t>No QIVc efficacy data in children</w:t>
      </w:r>
      <w:r>
        <w:t xml:space="preserve">: As stated above, the sponsor has not conducted true efficacy studies for the QIVc, but only immunogenicity efficacy studies in the age group from 4 years and above (across two trials) combined with the TIVc efficacy endpoint trial (Study V58P13) in subjects 18 years and above. Study V58P13 was not a double-blind, but only single-blind. However, Study V130_12 (not part of </w:t>
      </w:r>
      <w:r w:rsidR="00F55274">
        <w:t>sponsor submitted</w:t>
      </w:r>
      <w:r>
        <w:t xml:space="preserve"> dossier) may address this in future applications.</w:t>
      </w:r>
    </w:p>
    <w:p w14:paraId="28892178" w14:textId="77777777" w:rsidR="003461DF" w:rsidRDefault="003461DF" w:rsidP="003461DF">
      <w:r w:rsidRPr="0064386B">
        <w:rPr>
          <w:i/>
        </w:rPr>
        <w:t>Generalisability</w:t>
      </w:r>
      <w:r>
        <w:t>: The populations studied were relevant for the claimed indication. However, the exclusion criteria were more restrictive compared to other clinical trials of influenza vaccine. Thus, the results are generalisable to the general Australian population with the exception of Asian and Indigenous Australian populations. It is unlikely that there are significant efficacy differences in immunocompetent adults, including the elderly population.</w:t>
      </w:r>
    </w:p>
    <w:p w14:paraId="2FD5C77F" w14:textId="3BD10AB7" w:rsidR="003461DF" w:rsidRDefault="003461DF" w:rsidP="003461DF">
      <w:r w:rsidRPr="0064386B">
        <w:rPr>
          <w:i/>
        </w:rPr>
        <w:t>Relative paucity of QIVc immunogenicity and safety data in the elderly population aged ≥</w:t>
      </w:r>
      <w:r w:rsidR="00F55274" w:rsidRPr="0064386B">
        <w:rPr>
          <w:i/>
        </w:rPr>
        <w:t> </w:t>
      </w:r>
      <w:r w:rsidRPr="0064386B">
        <w:rPr>
          <w:i/>
        </w:rPr>
        <w:t>75</w:t>
      </w:r>
      <w:r>
        <w:t xml:space="preserve">: The total number of subjects </w:t>
      </w:r>
      <w:r w:rsidR="00375E45">
        <w:t xml:space="preserve">&gt; </w:t>
      </w:r>
      <w:r>
        <w:t>75 years of age in the PP population of Study V130_01 was 315. The immune responses were less robust compared to the overall elderly group ≥</w:t>
      </w:r>
      <w:r w:rsidR="00F55274">
        <w:t> </w:t>
      </w:r>
      <w:r>
        <w:t>65</w:t>
      </w:r>
      <w:r w:rsidR="00CF1414">
        <w:t> </w:t>
      </w:r>
      <w:r>
        <w:t>years of age, but similar when compared to the TIVc results in the same age group.</w:t>
      </w:r>
    </w:p>
    <w:p w14:paraId="375310E1" w14:textId="77777777" w:rsidR="003461DF" w:rsidRDefault="003461DF" w:rsidP="003461DF">
      <w:r w:rsidRPr="0064386B">
        <w:rPr>
          <w:i/>
        </w:rPr>
        <w:t>No direct comparison of QIVc to other quadrivalent influenza vaccines</w:t>
      </w:r>
      <w:r>
        <w:t>: Both pivotal studies used a trivalent vaccine comparator.</w:t>
      </w:r>
    </w:p>
    <w:p w14:paraId="08BB54FE" w14:textId="41CDF60E" w:rsidR="003461DF" w:rsidRDefault="003461DF" w:rsidP="003461DF">
      <w:r w:rsidRPr="0064386B">
        <w:rPr>
          <w:i/>
        </w:rPr>
        <w:t>Size of QIVc safety database for children and elderly (</w:t>
      </w:r>
      <w:r w:rsidR="00375E45" w:rsidRPr="0064386B">
        <w:rPr>
          <w:i/>
        </w:rPr>
        <w:t xml:space="preserve">&lt; </w:t>
      </w:r>
      <w:r w:rsidRPr="0064386B">
        <w:rPr>
          <w:i/>
        </w:rPr>
        <w:t>18 years and ≥</w:t>
      </w:r>
      <w:r w:rsidR="00F55274" w:rsidRPr="0064386B">
        <w:rPr>
          <w:i/>
        </w:rPr>
        <w:t xml:space="preserve"> </w:t>
      </w:r>
      <w:r w:rsidRPr="0064386B">
        <w:rPr>
          <w:i/>
        </w:rPr>
        <w:t>75 years):</w:t>
      </w:r>
      <w:r>
        <w:t xml:space="preserve"> </w:t>
      </w:r>
      <w:r w:rsidR="00CF1414">
        <w:t>T</w:t>
      </w:r>
      <w:r>
        <w:t>he clinical trial exposure of QIVc in children could have been expanded. Relevant post-market data reports did not specifically analyse data by age stratum. TIVc data can be extrapolated to some extent to the QIVc. However, the additionally conducted study in children (Study V130_12; not part of s</w:t>
      </w:r>
      <w:r w:rsidR="00F55274">
        <w:t>ponsor submitted</w:t>
      </w:r>
      <w:r>
        <w:t xml:space="preserve"> dossier) should add to the knowledge base of Flucelvax Quad.</w:t>
      </w:r>
    </w:p>
    <w:p w14:paraId="15B8522B" w14:textId="77777777" w:rsidR="003461DF" w:rsidRDefault="003461DF" w:rsidP="003461DF">
      <w:r w:rsidRPr="0064386B">
        <w:rPr>
          <w:i/>
        </w:rPr>
        <w:t xml:space="preserve">No data for immunocompromised individuals: </w:t>
      </w:r>
      <w:r>
        <w:t>The Phase III QIVc studies all specifically excluded immunocompromised (congenital or acquired) subjects, and hence there are no data in any age group.</w:t>
      </w:r>
    </w:p>
    <w:p w14:paraId="5B34F072" w14:textId="77777777" w:rsidR="003461DF" w:rsidRDefault="003461DF" w:rsidP="003461DF">
      <w:r w:rsidRPr="0064386B">
        <w:rPr>
          <w:i/>
        </w:rPr>
        <w:t>Co-administration with other vaccines</w:t>
      </w:r>
      <w:r>
        <w:t>: No actual studies of QIVc co-administered with other vaccines have been performed, but instead the data on co-administered vaccine has been extrapolated from the TIVc vaccines (only a small amount of data for the safety and immunogenicity of TIVc with pneumococcal vaccines in adults).</w:t>
      </w:r>
    </w:p>
    <w:p w14:paraId="18F9216E" w14:textId="77777777" w:rsidR="003461DF" w:rsidRDefault="003461DF" w:rsidP="003461DF">
      <w:r w:rsidRPr="0064386B">
        <w:rPr>
          <w:i/>
        </w:rPr>
        <w:t>Limited or no data in subpopulations relevant to Australia:</w:t>
      </w:r>
      <w:r>
        <w:t xml:space="preserve"> Given that the studies were mainly conducted in the US/Europe, there are limited data for the Asian population, and limited or no data for the Indigenous Australian population.</w:t>
      </w:r>
    </w:p>
    <w:p w14:paraId="28842E89" w14:textId="10D83B08" w:rsidR="003461DF" w:rsidRDefault="003461DF" w:rsidP="003461DF">
      <w:r w:rsidRPr="0064386B">
        <w:rPr>
          <w:i/>
        </w:rPr>
        <w:t>Longitudinal data:</w:t>
      </w:r>
      <w:r>
        <w:t xml:space="preserve"> </w:t>
      </w:r>
      <w:r w:rsidR="00CF1414">
        <w:t>T</w:t>
      </w:r>
      <w:r>
        <w:t>here appears to be no or limited longitudinal safety and immunogenicity data for QIVc over several influenza seasons. However, there are some data from TIVc in adults arising from the Study V58P4 extensions.</w:t>
      </w:r>
    </w:p>
    <w:p w14:paraId="71FA12BC" w14:textId="77777777" w:rsidR="003461DF" w:rsidRDefault="003461DF" w:rsidP="003461DF">
      <w:r w:rsidRPr="0064386B">
        <w:rPr>
          <w:i/>
        </w:rPr>
        <w:t>Pregnancy/breastfeeding safety data:</w:t>
      </w:r>
      <w:r>
        <w:t xml:space="preserve"> There appears to be a paucity of safety data for QIVc in pregnancy or breastfeeding, noting that there appears to be no safety signal of concern for the TIVc.</w:t>
      </w:r>
    </w:p>
    <w:p w14:paraId="21ADB5C1" w14:textId="17665698" w:rsidR="003461DF" w:rsidRDefault="00F55274" w:rsidP="003461DF">
      <w:r>
        <w:t>The RMP e</w:t>
      </w:r>
      <w:r w:rsidR="003461DF">
        <w:t>valuator stated that ‘</w:t>
      </w:r>
      <w:r w:rsidR="003461DF" w:rsidRPr="00F55274">
        <w:rPr>
          <w:i/>
        </w:rPr>
        <w:t>Use in pregnancy</w:t>
      </w:r>
      <w:r w:rsidR="003461DF">
        <w:t>’ appears as missing information in the RMP. This is consistent with there being an ongoing additional pharmacovigilance activity (pregnancy register) assessing safety in pregnant women. It is incongruous for a medicine where use in pregnancy is considered missing information to also be assessed as pregnancy category A.</w:t>
      </w:r>
      <w:bookmarkStart w:id="59" w:name="_Ref57796066"/>
      <w:r w:rsidR="008031C7">
        <w:rPr>
          <w:rStyle w:val="FootnoteReference"/>
        </w:rPr>
        <w:footnoteReference w:id="13"/>
      </w:r>
      <w:bookmarkEnd w:id="59"/>
    </w:p>
    <w:p w14:paraId="20225F8B" w14:textId="74C36646" w:rsidR="003461DF" w:rsidRDefault="003461DF" w:rsidP="003461DF">
      <w:r>
        <w:t>The sponsor provided the</w:t>
      </w:r>
      <w:r w:rsidR="00F55274">
        <w:t xml:space="preserve"> following response to the RMP e</w:t>
      </w:r>
      <w:r>
        <w:t>valuator:</w:t>
      </w:r>
    </w:p>
    <w:p w14:paraId="61B81456" w14:textId="481BD814" w:rsidR="003461DF" w:rsidRDefault="00F55274" w:rsidP="00F55274">
      <w:pPr>
        <w:ind w:left="720"/>
      </w:pPr>
      <w:r>
        <w:t>‘</w:t>
      </w:r>
      <w:r w:rsidR="003461DF">
        <w:t>Influenza vaccination is recommended for pregnant women during any stage of pregnancy. This recommendation in Australia is based on the known adverse consequences of influenza infection during pregnancy and the large body of data showing that large numbers of women have been vaccinated during pregnancy with inactivated influenza vaccines with no increased risk of adverse foetal or maternal outcomes attributable to the vaccine.</w:t>
      </w:r>
    </w:p>
    <w:p w14:paraId="6DF113F6" w14:textId="77777777" w:rsidR="003461DF" w:rsidRDefault="003461DF" w:rsidP="00F55274">
      <w:pPr>
        <w:ind w:left="720"/>
      </w:pPr>
      <w:r>
        <w:t>Whilst the Flucelvax pregnancy registry is still ongoing, it is anticipated that the safety of Flucelvax in pregnant women is similar to that of inactivated influenza vaccines. Maintaining use of Flucelvax in pregnancy – Pregnancy Category A is also consistent with the recommendation made in the Australian Immunisation Handbook September 2019 in relation to vaccinating pregnant women with influenza vaccine.</w:t>
      </w:r>
    </w:p>
    <w:p w14:paraId="058D0CE8" w14:textId="7E606523" w:rsidR="003461DF" w:rsidRDefault="003461DF" w:rsidP="00F55274">
      <w:pPr>
        <w:ind w:left="720"/>
      </w:pPr>
      <w:r>
        <w:t>Many influenza vaccines had their Pregnancy Category reclassified to Category A, but none of those are a cell-based influenza vaccine.</w:t>
      </w:r>
      <w:r w:rsidR="00F55274">
        <w:t>’</w:t>
      </w:r>
    </w:p>
    <w:p w14:paraId="5314F443" w14:textId="7A59BED5" w:rsidR="00CF1414" w:rsidRPr="00CF1414" w:rsidRDefault="00CF1414" w:rsidP="0064386B">
      <w:pPr>
        <w:pStyle w:val="Heading4"/>
      </w:pPr>
      <w:r>
        <w:t>Proposed action</w:t>
      </w:r>
    </w:p>
    <w:p w14:paraId="45DD98C6" w14:textId="7060EB16" w:rsidR="003461DF" w:rsidRDefault="003461DF" w:rsidP="003461DF">
      <w:r>
        <w:t>The Delegate</w:t>
      </w:r>
      <w:r w:rsidRPr="007F38DB">
        <w:t xml:space="preserve"> ha</w:t>
      </w:r>
      <w:r w:rsidR="00CF1414">
        <w:t>d</w:t>
      </w:r>
      <w:r w:rsidRPr="007F38DB">
        <w:t xml:space="preserve"> no reason to say, at th</w:t>
      </w:r>
      <w:r w:rsidR="00CF1414">
        <w:t>e</w:t>
      </w:r>
      <w:r w:rsidRPr="007F38DB">
        <w:t xml:space="preserve"> time, that the application for </w:t>
      </w:r>
      <w:r>
        <w:t xml:space="preserve">Flucelvax Quad </w:t>
      </w:r>
      <w:r w:rsidRPr="007F38DB">
        <w:t>should no</w:t>
      </w:r>
      <w:r>
        <w:t>t be approved for registration for the following indication (in lieu of the sponsor proposed indication):</w:t>
      </w:r>
    </w:p>
    <w:p w14:paraId="306434F1" w14:textId="613AB214" w:rsidR="003461DF" w:rsidRPr="00456765" w:rsidRDefault="003461DF" w:rsidP="003461DF">
      <w:pPr>
        <w:ind w:left="720"/>
      </w:pPr>
      <w:r w:rsidRPr="003F10E7">
        <w:rPr>
          <w:i/>
          <w:lang w:eastAsia="ja-JP"/>
        </w:rPr>
        <w:t xml:space="preserve">For the prevention of influenza caused by Influenza Virus, Types A and B contained in the vaccine. The vaccine is indicated for use in adults and children </w:t>
      </w:r>
      <w:r w:rsidRPr="003461DF">
        <w:rPr>
          <w:i/>
          <w:lang w:eastAsia="ja-JP"/>
        </w:rPr>
        <w:t>9 years of age and older</w:t>
      </w:r>
      <w:r w:rsidRPr="003F10E7">
        <w:rPr>
          <w:i/>
          <w:lang w:eastAsia="ja-JP"/>
        </w:rPr>
        <w:t>.</w:t>
      </w:r>
    </w:p>
    <w:p w14:paraId="24EE2890" w14:textId="77777777" w:rsidR="007D53B6" w:rsidRDefault="007D53B6" w:rsidP="007D53B6">
      <w:pPr>
        <w:pStyle w:val="Heading4"/>
      </w:pPr>
      <w:r>
        <w:t>Questions for sponsor</w:t>
      </w:r>
    </w:p>
    <w:p w14:paraId="55787BA4" w14:textId="1E73E45E" w:rsidR="00F90622" w:rsidRPr="007939AB" w:rsidRDefault="00F90622" w:rsidP="007B06E1">
      <w:pPr>
        <w:pStyle w:val="Numberbullet0"/>
      </w:pPr>
      <w:r w:rsidRPr="007939AB">
        <w:t>The sponsor should provide a current summary of pregnancy data for QIVc</w:t>
      </w:r>
    </w:p>
    <w:p w14:paraId="50E43104" w14:textId="23BDDB4E" w:rsidR="00482B8D" w:rsidRDefault="00482B8D" w:rsidP="00482B8D">
      <w:r>
        <w:t>Seqirus</w:t>
      </w:r>
      <w:r w:rsidR="00CF1414">
        <w:t xml:space="preserve"> Pty Ltd (the sponsor)</w:t>
      </w:r>
      <w:r>
        <w:t xml:space="preserve"> acknowledges that limited data exists for use of QIVc in pregnant women given its first approval for marketing in the US was 2016. However, as mentioned above, inactivated influenza vaccines can be used in all stages of pregnancy. This is in line with the recommendation in the Australian Immunisation Handbook April 2020.</w:t>
      </w:r>
      <w:r>
        <w:rPr>
          <w:rStyle w:val="FootnoteReference"/>
        </w:rPr>
        <w:footnoteReference w:id="14"/>
      </w:r>
    </w:p>
    <w:p w14:paraId="5F0C9BAD" w14:textId="12C3E6FA" w:rsidR="00482B8D" w:rsidRPr="00482B8D" w:rsidRDefault="00482B8D" w:rsidP="00482B8D">
      <w:pPr>
        <w:rPr>
          <w:rFonts w:asciiTheme="minorHAnsi" w:hAnsiTheme="minorHAnsi"/>
        </w:rPr>
      </w:pPr>
      <w:r w:rsidRPr="00482B8D">
        <w:rPr>
          <w:rFonts w:asciiTheme="minorHAnsi" w:hAnsiTheme="minorHAnsi"/>
        </w:rPr>
        <w:t>A summary of the data from the ongoing pregnancy registry is provided below.</w:t>
      </w:r>
    </w:p>
    <w:p w14:paraId="420C1E86" w14:textId="3293EDDF" w:rsidR="00482B8D" w:rsidRPr="00482B8D" w:rsidRDefault="00482B8D" w:rsidP="00482B8D">
      <w:pPr>
        <w:rPr>
          <w:rFonts w:asciiTheme="minorHAnsi" w:eastAsia="TimesNewRoman" w:hAnsiTheme="minorHAnsi" w:cs="TimesNewRoman"/>
        </w:rPr>
      </w:pPr>
      <w:r w:rsidRPr="00482B8D">
        <w:rPr>
          <w:rFonts w:asciiTheme="minorHAnsi" w:eastAsia="TimesNewRoman" w:hAnsiTheme="minorHAnsi" w:cs="TimesNewRoman"/>
        </w:rPr>
        <w:t>The pregnancy registry commenced in the US NH</w:t>
      </w:r>
      <w:r w:rsidR="00CF1414">
        <w:rPr>
          <w:rFonts w:asciiTheme="minorHAnsi" w:eastAsia="TimesNewRoman" w:hAnsiTheme="minorHAnsi" w:cs="TimesNewRoman"/>
        </w:rPr>
        <w:t xml:space="preserve"> 20</w:t>
      </w:r>
      <w:r w:rsidRPr="00482B8D">
        <w:rPr>
          <w:rFonts w:asciiTheme="minorHAnsi" w:eastAsia="TimesNewRoman" w:hAnsiTheme="minorHAnsi" w:cs="TimesNewRoman"/>
        </w:rPr>
        <w:t>17/</w:t>
      </w:r>
      <w:r w:rsidR="00CF1414">
        <w:rPr>
          <w:rFonts w:asciiTheme="minorHAnsi" w:eastAsia="TimesNewRoman" w:hAnsiTheme="minorHAnsi" w:cs="TimesNewRoman"/>
        </w:rPr>
        <w:t>20</w:t>
      </w:r>
      <w:r w:rsidRPr="00482B8D">
        <w:rPr>
          <w:rFonts w:asciiTheme="minorHAnsi" w:eastAsia="TimesNewRoman" w:hAnsiTheme="minorHAnsi" w:cs="TimesNewRoman"/>
        </w:rPr>
        <w:t>18 season; enrolment commenced 01 September 2017 (target enrolment 600). The safety objective of the study was to evaluate pregnancy outcomes as well as events of interest (major congenital malformations (MCM), preterm birth and low birth weight (LBW)) among women immunised as part of routine care with QIVc during pregnancy. The last data collection timepoint is scheduled in September 2020 and the clinical study report (CSR) will be finalised in April 2021.</w:t>
      </w:r>
    </w:p>
    <w:p w14:paraId="38AF915B" w14:textId="1EE1CDD4" w:rsidR="00482B8D" w:rsidRPr="00482B8D" w:rsidRDefault="00482B8D" w:rsidP="00482B8D">
      <w:pPr>
        <w:rPr>
          <w:rFonts w:asciiTheme="minorHAnsi" w:eastAsia="TimesNewRoman" w:hAnsiTheme="minorHAnsi" w:cs="TimesNewRoman"/>
        </w:rPr>
      </w:pPr>
      <w:r w:rsidRPr="00482B8D">
        <w:rPr>
          <w:rFonts w:asciiTheme="minorHAnsi" w:eastAsia="TimesNewRoman" w:hAnsiTheme="minorHAnsi" w:cs="TimesNewRoman"/>
        </w:rPr>
        <w:t xml:space="preserve">Cumulatively up to 1 May 2020, 643 pregnant women have enrolled in the study for QIVc, of which 542 reported pregnancy outcomes. Of these,540 were live births; 1 was elective termination and 1 was spontaneous abortion. Of the 540 cases with the outcome of live birth, 54 were reported </w:t>
      </w:r>
      <w:r w:rsidR="002025F9">
        <w:rPr>
          <w:rFonts w:asciiTheme="minorHAnsi" w:eastAsia="TimesNewRoman" w:hAnsiTheme="minorHAnsi" w:cs="TimesNewRoman"/>
        </w:rPr>
        <w:t xml:space="preserve">as preterm, 39 as 1 </w:t>
      </w:r>
      <w:r w:rsidRPr="00482B8D">
        <w:rPr>
          <w:rFonts w:asciiTheme="minorHAnsi" w:eastAsia="TimesNewRoman" w:hAnsiTheme="minorHAnsi" w:cs="TimesNewRoman"/>
        </w:rPr>
        <w:t xml:space="preserve">LBW, 23 were both preterm </w:t>
      </w:r>
      <w:r w:rsidR="00CF1414">
        <w:rPr>
          <w:rFonts w:asciiTheme="minorHAnsi" w:eastAsia="TimesNewRoman" w:hAnsiTheme="minorHAnsi" w:cs="TimesNewRoman"/>
        </w:rPr>
        <w:t>and</w:t>
      </w:r>
      <w:r w:rsidRPr="00482B8D">
        <w:rPr>
          <w:rFonts w:asciiTheme="minorHAnsi" w:eastAsia="TimesNewRoman" w:hAnsiTheme="minorHAnsi" w:cs="TimesNewRoman"/>
        </w:rPr>
        <w:t xml:space="preserve"> LBW, and 15 as MCM cases. A MCM is defined as any major structural or chromosomal defect or combination of two or more conditional defects in live-born infants, stillbirths, or fetal losses of any gestational age (including outcomes prior to 20 weeks’ gestation or birth weight &lt;</w:t>
      </w:r>
      <w:r>
        <w:rPr>
          <w:rFonts w:asciiTheme="minorHAnsi" w:eastAsia="TimesNewRoman" w:hAnsiTheme="minorHAnsi" w:cs="TimesNewRoman"/>
        </w:rPr>
        <w:t xml:space="preserve"> </w:t>
      </w:r>
      <w:r w:rsidRPr="00482B8D">
        <w:rPr>
          <w:rFonts w:asciiTheme="minorHAnsi" w:eastAsia="TimesNewRoman" w:hAnsiTheme="minorHAnsi" w:cs="TimesNewRoman"/>
        </w:rPr>
        <w:t>500 g). In 13 of the MCM cases, exposure to QIVc was after origin of defect and for 2 the exposure to QIVc was within origin of defect.</w:t>
      </w:r>
      <w:r>
        <w:rPr>
          <w:rFonts w:asciiTheme="minorHAnsi" w:eastAsia="TimesNewRoman" w:hAnsiTheme="minorHAnsi" w:cs="TimesNewRoman"/>
        </w:rPr>
        <w:t xml:space="preserve"> </w:t>
      </w:r>
      <w:r w:rsidRPr="00482B8D">
        <w:rPr>
          <w:rFonts w:asciiTheme="minorHAnsi" w:eastAsia="TimesNewRoman" w:hAnsiTheme="minorHAnsi" w:cs="TimesNewRoman"/>
        </w:rPr>
        <w:t>This is a temporary assessment and not necessary cause of effect.</w:t>
      </w:r>
    </w:p>
    <w:p w14:paraId="7BE11FF7" w14:textId="275FD075" w:rsidR="00482B8D" w:rsidRDefault="00BF2685" w:rsidP="00482B8D">
      <w:pPr>
        <w:rPr>
          <w:rFonts w:asciiTheme="minorHAnsi" w:eastAsia="TimesNewRoman" w:hAnsiTheme="minorHAnsi" w:cs="TimesNewRoman"/>
        </w:rPr>
      </w:pPr>
      <w:r>
        <w:rPr>
          <w:rFonts w:asciiTheme="minorHAnsi" w:eastAsia="TimesNewRoman" w:hAnsiTheme="minorHAnsi" w:cs="TimesNewRoman"/>
        </w:rPr>
        <w:t xml:space="preserve">In accordance with the </w:t>
      </w:r>
      <w:r w:rsidR="00CF1414">
        <w:rPr>
          <w:rFonts w:asciiTheme="minorHAnsi" w:eastAsia="TimesNewRoman" w:hAnsiTheme="minorHAnsi" w:cs="TimesNewRoman"/>
        </w:rPr>
        <w:t xml:space="preserve">US </w:t>
      </w:r>
      <w:r>
        <w:rPr>
          <w:rFonts w:asciiTheme="minorHAnsi" w:eastAsia="TimesNewRoman" w:hAnsiTheme="minorHAnsi" w:cs="TimesNewRoman"/>
        </w:rPr>
        <w:t>FDA post-approval pregnancy safety studies guidance for i</w:t>
      </w:r>
      <w:r w:rsidR="00482B8D" w:rsidRPr="00482B8D">
        <w:rPr>
          <w:rFonts w:asciiTheme="minorHAnsi" w:eastAsia="TimesNewRoman" w:hAnsiTheme="minorHAnsi" w:cs="TimesNewRoman"/>
        </w:rPr>
        <w:t>ndustry,</w:t>
      </w:r>
      <w:r w:rsidR="00482B8D">
        <w:rPr>
          <w:rStyle w:val="FootnoteReference"/>
          <w:rFonts w:asciiTheme="minorHAnsi" w:eastAsia="TimesNewRoman" w:hAnsiTheme="minorHAnsi" w:cs="TimesNewRoman"/>
        </w:rPr>
        <w:footnoteReference w:id="15"/>
      </w:r>
      <w:r w:rsidR="00482B8D" w:rsidRPr="00482B8D">
        <w:rPr>
          <w:rFonts w:asciiTheme="minorHAnsi" w:eastAsia="TimesNewRoman" w:hAnsiTheme="minorHAnsi" w:cs="TimesNewRoman"/>
        </w:rPr>
        <w:t xml:space="preserve"> </w:t>
      </w:r>
      <w:r>
        <w:rPr>
          <w:rFonts w:asciiTheme="minorHAnsi" w:eastAsia="TimesNewRoman" w:hAnsiTheme="minorHAnsi" w:cs="TimesNewRoman"/>
        </w:rPr>
        <w:t>Seqirus established a s</w:t>
      </w:r>
      <w:r w:rsidR="00482B8D" w:rsidRPr="00482B8D">
        <w:rPr>
          <w:rFonts w:asciiTheme="minorHAnsi" w:eastAsia="TimesNewRoman" w:hAnsiTheme="minorHAnsi" w:cs="TimesNewRoman"/>
        </w:rPr>
        <w:t>cientif</w:t>
      </w:r>
      <w:r>
        <w:rPr>
          <w:rFonts w:asciiTheme="minorHAnsi" w:eastAsia="TimesNewRoman" w:hAnsiTheme="minorHAnsi" w:cs="TimesNewRoman"/>
        </w:rPr>
        <w:t>ic advisory c</w:t>
      </w:r>
      <w:r w:rsidR="00482B8D" w:rsidRPr="00482B8D">
        <w:rPr>
          <w:rFonts w:asciiTheme="minorHAnsi" w:eastAsia="TimesNewRoman" w:hAnsiTheme="minorHAnsi" w:cs="TimesNewRoman"/>
        </w:rPr>
        <w:t>ommittee (SAC) to ensure scientific integrity and ongoing safety monitoring for the study. The SAC comprises recognised indepe</w:t>
      </w:r>
      <w:r w:rsidR="00F76554">
        <w:rPr>
          <w:rFonts w:asciiTheme="minorHAnsi" w:eastAsia="TimesNewRoman" w:hAnsiTheme="minorHAnsi" w:cs="TimesNewRoman"/>
        </w:rPr>
        <w:t>n</w:t>
      </w:r>
      <w:r w:rsidR="00482B8D" w:rsidRPr="00482B8D">
        <w:rPr>
          <w:rFonts w:asciiTheme="minorHAnsi" w:eastAsia="TimesNewRoman" w:hAnsiTheme="minorHAnsi" w:cs="TimesNewRoman"/>
        </w:rPr>
        <w:t>dent external experts including but not limited to experts in the fields of obstetrics, teratology, and epidemiology</w:t>
      </w:r>
      <w:r w:rsidR="00482B8D">
        <w:rPr>
          <w:rFonts w:asciiTheme="minorHAnsi" w:eastAsia="TimesNewRoman" w:hAnsiTheme="minorHAnsi" w:cs="TimesNewRoman"/>
        </w:rPr>
        <w:t>.</w:t>
      </w:r>
    </w:p>
    <w:p w14:paraId="15426FCE" w14:textId="6D55DEEB" w:rsidR="00482B8D" w:rsidRDefault="00482B8D" w:rsidP="00482B8D">
      <w:pPr>
        <w:rPr>
          <w:rFonts w:asciiTheme="minorHAnsi" w:eastAsia="TimesNewRoman" w:hAnsiTheme="minorHAnsi" w:cs="TimesNewRoman"/>
        </w:rPr>
      </w:pPr>
      <w:r w:rsidRPr="00482B8D">
        <w:rPr>
          <w:rFonts w:asciiTheme="minorHAnsi" w:eastAsia="TimesNewRoman" w:hAnsiTheme="minorHAnsi" w:cs="TimesNewRoman"/>
        </w:rPr>
        <w:t>The SAC meet regularly to review the accumulated body of data f</w:t>
      </w:r>
      <w:r>
        <w:rPr>
          <w:rFonts w:asciiTheme="minorHAnsi" w:eastAsia="TimesNewRoman" w:hAnsiTheme="minorHAnsi" w:cs="TimesNewRoman"/>
        </w:rPr>
        <w:t xml:space="preserve">rom the study, including review </w:t>
      </w:r>
      <w:r w:rsidRPr="00482B8D">
        <w:rPr>
          <w:rFonts w:asciiTheme="minorHAnsi" w:eastAsia="TimesNewRoman" w:hAnsiTheme="minorHAnsi" w:cs="TimesNewRoman"/>
        </w:rPr>
        <w:t>and classification of reported MCMs and other events of interes</w:t>
      </w:r>
      <w:r>
        <w:rPr>
          <w:rFonts w:asciiTheme="minorHAnsi" w:eastAsia="TimesNewRoman" w:hAnsiTheme="minorHAnsi" w:cs="TimesNewRoman"/>
        </w:rPr>
        <w:t xml:space="preserve">t, and to carry out any actions </w:t>
      </w:r>
      <w:r w:rsidRPr="00482B8D">
        <w:rPr>
          <w:rFonts w:asciiTheme="minorHAnsi" w:eastAsia="TimesNewRoman" w:hAnsiTheme="minorHAnsi" w:cs="TimesNewRoman"/>
        </w:rPr>
        <w:t xml:space="preserve">required, including review and interpretation of interim data </w:t>
      </w:r>
      <w:r>
        <w:rPr>
          <w:rFonts w:asciiTheme="minorHAnsi" w:eastAsia="TimesNewRoman" w:hAnsiTheme="minorHAnsi" w:cs="TimesNewRoman"/>
        </w:rPr>
        <w:t xml:space="preserve">analyses. Interim review of the </w:t>
      </w:r>
      <w:r w:rsidRPr="00482B8D">
        <w:rPr>
          <w:rFonts w:asciiTheme="minorHAnsi" w:eastAsia="TimesNewRoman" w:hAnsiTheme="minorHAnsi" w:cs="TimesNewRoman"/>
        </w:rPr>
        <w:t>registry data by the SAC on 31 Aug</w:t>
      </w:r>
      <w:r w:rsidR="009E44F1">
        <w:rPr>
          <w:rFonts w:asciiTheme="minorHAnsi" w:eastAsia="TimesNewRoman" w:hAnsiTheme="minorHAnsi" w:cs="TimesNewRoman"/>
        </w:rPr>
        <w:t>ust</w:t>
      </w:r>
      <w:r w:rsidRPr="00482B8D">
        <w:rPr>
          <w:rFonts w:asciiTheme="minorHAnsi" w:eastAsia="TimesNewRoman" w:hAnsiTheme="minorHAnsi" w:cs="TimesNewRoman"/>
        </w:rPr>
        <w:t xml:space="preserve"> 2019 concludes that the inci</w:t>
      </w:r>
      <w:r>
        <w:rPr>
          <w:rFonts w:asciiTheme="minorHAnsi" w:eastAsia="TimesNewRoman" w:hAnsiTheme="minorHAnsi" w:cs="TimesNewRoman"/>
        </w:rPr>
        <w:t xml:space="preserve">dence of the outcomes monitored </w:t>
      </w:r>
      <w:r w:rsidRPr="00482B8D">
        <w:rPr>
          <w:rFonts w:asciiTheme="minorHAnsi" w:eastAsia="TimesNewRoman" w:hAnsiTheme="minorHAnsi" w:cs="TimesNewRoman"/>
        </w:rPr>
        <w:t>are in accordance with expected background rates. Importantly, to date, no safety conc</w:t>
      </w:r>
      <w:r>
        <w:rPr>
          <w:rFonts w:asciiTheme="minorHAnsi" w:eastAsia="TimesNewRoman" w:hAnsiTheme="minorHAnsi" w:cs="TimesNewRoman"/>
        </w:rPr>
        <w:t xml:space="preserve">erns have </w:t>
      </w:r>
      <w:r w:rsidRPr="00482B8D">
        <w:rPr>
          <w:rFonts w:asciiTheme="minorHAnsi" w:eastAsia="TimesNewRoman" w:hAnsiTheme="minorHAnsi" w:cs="TimesNewRoman"/>
        </w:rPr>
        <w:t>been raised by the SAC.</w:t>
      </w:r>
    </w:p>
    <w:p w14:paraId="7917EAB5" w14:textId="79FE49D5" w:rsidR="00482B8D" w:rsidRDefault="00482B8D" w:rsidP="00482B8D">
      <w:pPr>
        <w:rPr>
          <w:rFonts w:asciiTheme="minorHAnsi" w:eastAsia="TimesNewRoman" w:hAnsiTheme="minorHAnsi" w:cs="TimesNewRoman"/>
        </w:rPr>
      </w:pPr>
      <w:r w:rsidRPr="00482B8D">
        <w:rPr>
          <w:rFonts w:asciiTheme="minorHAnsi" w:eastAsia="TimesNewRoman" w:hAnsiTheme="minorHAnsi" w:cs="TimesNewRoman"/>
        </w:rPr>
        <w:t xml:space="preserve">An interim analysis of pregnancy registry data (as of May 2020) is presented in </w:t>
      </w:r>
      <w:r>
        <w:rPr>
          <w:rFonts w:asciiTheme="minorHAnsi" w:eastAsia="TimesNewRoman" w:hAnsiTheme="minorHAnsi" w:cs="TimesNewRoman"/>
        </w:rPr>
        <w:fldChar w:fldCharType="begin"/>
      </w:r>
      <w:r>
        <w:rPr>
          <w:rFonts w:asciiTheme="minorHAnsi" w:eastAsia="TimesNewRoman" w:hAnsiTheme="minorHAnsi" w:cs="TimesNewRoman"/>
        </w:rPr>
        <w:instrText xml:space="preserve"> REF _Ref57629608 \h </w:instrText>
      </w:r>
      <w:r>
        <w:rPr>
          <w:rFonts w:asciiTheme="minorHAnsi" w:eastAsia="TimesNewRoman" w:hAnsiTheme="minorHAnsi" w:cs="TimesNewRoman"/>
        </w:rPr>
      </w:r>
      <w:r>
        <w:rPr>
          <w:rFonts w:asciiTheme="minorHAnsi" w:eastAsia="TimesNewRoman" w:hAnsiTheme="minorHAnsi" w:cs="TimesNewRoman"/>
        </w:rPr>
        <w:fldChar w:fldCharType="separate"/>
      </w:r>
      <w:r w:rsidR="0064386B" w:rsidRPr="00482B8D">
        <w:t xml:space="preserve">Table </w:t>
      </w:r>
      <w:r w:rsidR="0064386B">
        <w:rPr>
          <w:noProof/>
        </w:rPr>
        <w:t>17</w:t>
      </w:r>
      <w:r>
        <w:rPr>
          <w:rFonts w:asciiTheme="minorHAnsi" w:eastAsia="TimesNewRoman" w:hAnsiTheme="minorHAnsi" w:cs="TimesNewRoman"/>
        </w:rPr>
        <w:fldChar w:fldCharType="end"/>
      </w:r>
      <w:r>
        <w:rPr>
          <w:rFonts w:asciiTheme="minorHAnsi" w:eastAsia="TimesNewRoman" w:hAnsiTheme="minorHAnsi" w:cs="TimesNewRoman"/>
        </w:rPr>
        <w:t>.</w:t>
      </w:r>
    </w:p>
    <w:p w14:paraId="231E6C79" w14:textId="4137697E" w:rsidR="00482B8D" w:rsidRDefault="00482B8D" w:rsidP="00482B8D">
      <w:pPr>
        <w:pStyle w:val="TableTitle"/>
        <w:rPr>
          <w:rFonts w:asciiTheme="minorHAnsi" w:eastAsia="TimesNewRoman" w:hAnsiTheme="minorHAnsi" w:cs="TimesNewRoman"/>
        </w:rPr>
      </w:pPr>
      <w:bookmarkStart w:id="60" w:name="_Ref57629608"/>
      <w:r w:rsidRPr="00482B8D">
        <w:t xml:space="preserve">Table </w:t>
      </w:r>
      <w:r w:rsidR="0012347D">
        <w:rPr>
          <w:noProof/>
        </w:rPr>
        <w:fldChar w:fldCharType="begin"/>
      </w:r>
      <w:r w:rsidR="0012347D">
        <w:rPr>
          <w:noProof/>
        </w:rPr>
        <w:instrText xml:space="preserve"> SEQ Table \* ARABIC </w:instrText>
      </w:r>
      <w:r w:rsidR="0012347D">
        <w:rPr>
          <w:noProof/>
        </w:rPr>
        <w:fldChar w:fldCharType="separate"/>
      </w:r>
      <w:r w:rsidR="0064386B">
        <w:rPr>
          <w:noProof/>
        </w:rPr>
        <w:t>17</w:t>
      </w:r>
      <w:r w:rsidR="0012347D">
        <w:rPr>
          <w:noProof/>
        </w:rPr>
        <w:fldChar w:fldCharType="end"/>
      </w:r>
      <w:bookmarkEnd w:id="60"/>
      <w:r>
        <w:t>: Interim results overview</w:t>
      </w:r>
      <w:r w:rsidR="008031C7">
        <w:t xml:space="preserve"> of pregnancy registry data (data lock point:</w:t>
      </w:r>
      <w:r>
        <w:t xml:space="preserve"> May</w:t>
      </w:r>
      <w:r w:rsidR="00CF1414">
        <w:t> </w:t>
      </w:r>
      <w:r>
        <w:t>2020)</w:t>
      </w:r>
    </w:p>
    <w:p w14:paraId="0E10613D" w14:textId="27387952" w:rsidR="00482B8D" w:rsidRDefault="00482B8D" w:rsidP="00482B8D">
      <w:pPr>
        <w:rPr>
          <w:rFonts w:asciiTheme="minorHAnsi" w:eastAsia="TimesNewRoman" w:hAnsiTheme="minorHAnsi" w:cs="TimesNewRoman"/>
        </w:rPr>
      </w:pPr>
      <w:r w:rsidRPr="00482B8D">
        <w:rPr>
          <w:rFonts w:asciiTheme="minorHAnsi" w:eastAsia="TimesNewRoman" w:hAnsiTheme="minorHAnsi" w:cs="TimesNewRoman"/>
          <w:noProof/>
          <w:lang w:eastAsia="en-AU"/>
        </w:rPr>
        <w:drawing>
          <wp:inline distT="0" distB="0" distL="0" distR="0" wp14:anchorId="63FD7B22" wp14:editId="1A1B5EFD">
            <wp:extent cx="5151794" cy="1375410"/>
            <wp:effectExtent l="0" t="0" r="0" b="0"/>
            <wp:docPr id="12" name="Picture 12" descr="Table 17: Interim results overview of pregnancy registry data (data lock point: M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18" r="168" b="19798"/>
                    <a:stretch/>
                  </pic:blipFill>
                  <pic:spPr bwMode="auto">
                    <a:xfrm>
                      <a:off x="0" y="0"/>
                      <a:ext cx="5152416" cy="1375576"/>
                    </a:xfrm>
                    <a:prstGeom prst="rect">
                      <a:avLst/>
                    </a:prstGeom>
                    <a:ln>
                      <a:noFill/>
                    </a:ln>
                    <a:extLst>
                      <a:ext uri="{53640926-AAD7-44D8-BBD7-CCE9431645EC}">
                        <a14:shadowObscured xmlns:a14="http://schemas.microsoft.com/office/drawing/2010/main"/>
                      </a:ext>
                    </a:extLst>
                  </pic:spPr>
                </pic:pic>
              </a:graphicData>
            </a:graphic>
          </wp:inline>
        </w:drawing>
      </w:r>
    </w:p>
    <w:p w14:paraId="3C930AEB" w14:textId="0C40C447" w:rsidR="00482B8D" w:rsidRDefault="007939AB" w:rsidP="007939AB">
      <w:pPr>
        <w:pStyle w:val="TableDescription"/>
      </w:pPr>
      <w:r>
        <w:t>* Reference: national vital statistics reports, volume 68, number 13, 2018</w:t>
      </w:r>
    </w:p>
    <w:p w14:paraId="30417D33" w14:textId="7DC8777F" w:rsidR="007939AB" w:rsidRPr="00482B8D" w:rsidRDefault="007939AB" w:rsidP="007939AB">
      <w:pPr>
        <w:pStyle w:val="TableDescription"/>
      </w:pPr>
      <w:r>
        <w:t>** For preterm labor and low birth weight subjects with a multiple gestation pregnancy, a non-livebirth pregnancy outcome or a livebirth with MCM(s) were excluded</w:t>
      </w:r>
    </w:p>
    <w:p w14:paraId="3A602B04" w14:textId="53F492FF" w:rsidR="007D53B6" w:rsidRDefault="007D53B6" w:rsidP="007D53B6">
      <w:pPr>
        <w:pStyle w:val="Heading4"/>
      </w:pPr>
      <w:r>
        <w:t>Request for Advisory Committee on Vaccines advice</w:t>
      </w:r>
    </w:p>
    <w:p w14:paraId="28C1007E" w14:textId="77777777" w:rsidR="00F90622" w:rsidRPr="00DD115D" w:rsidRDefault="00F90622" w:rsidP="00F90622">
      <w:r w:rsidRPr="00DD115D">
        <w:t>The committee is requested to provide advice on the following specific issues:</w:t>
      </w:r>
    </w:p>
    <w:p w14:paraId="4139E832" w14:textId="77777777" w:rsidR="00F90622" w:rsidRPr="00F55274" w:rsidRDefault="00F90622" w:rsidP="007B06E1">
      <w:pPr>
        <w:pStyle w:val="Numberbullet0"/>
        <w:numPr>
          <w:ilvl w:val="0"/>
          <w:numId w:val="39"/>
        </w:numPr>
      </w:pPr>
      <w:r w:rsidRPr="00F55274">
        <w:t>The age group for which Flucelvax Quad should be indicated; and</w:t>
      </w:r>
    </w:p>
    <w:p w14:paraId="50C5CCAB" w14:textId="5B4CA44B" w:rsidR="00F90622" w:rsidRPr="00F55274" w:rsidRDefault="00F90622" w:rsidP="007B06E1">
      <w:pPr>
        <w:pStyle w:val="Numberbullet0"/>
      </w:pPr>
      <w:r w:rsidRPr="00F55274">
        <w:t>The appropriate pregnancy category for Flucelvax Quad.</w:t>
      </w:r>
    </w:p>
    <w:p w14:paraId="2647A5AF" w14:textId="527D0132" w:rsidR="00F90622" w:rsidRPr="00F90622" w:rsidRDefault="00F90622" w:rsidP="007B06E1">
      <w:pPr>
        <w:pStyle w:val="Numberbullet0"/>
        <w:numPr>
          <w:ilvl w:val="0"/>
          <w:numId w:val="0"/>
        </w:numPr>
      </w:pPr>
      <w:r w:rsidRPr="00F90622">
        <w:t>The committee is also requested to provide advice on any other issues that it thinks may be relevant to a decision on whether or not to approve this application.</w:t>
      </w:r>
    </w:p>
    <w:p w14:paraId="01BD6490" w14:textId="3203A460" w:rsidR="008E7846" w:rsidRDefault="008E7846" w:rsidP="007D53B6">
      <w:pPr>
        <w:pStyle w:val="Heading4"/>
      </w:pPr>
      <w:r>
        <w:t xml:space="preserve">Advisory Committee </w:t>
      </w:r>
      <w:r w:rsidR="007D53B6">
        <w:t>c</w:t>
      </w:r>
      <w:r>
        <w:t>onsiderations</w:t>
      </w:r>
      <w:r w:rsidR="00456765">
        <w:rPr>
          <w:rStyle w:val="FootnoteReference"/>
        </w:rPr>
        <w:footnoteReference w:id="16"/>
      </w:r>
    </w:p>
    <w:p w14:paraId="59C7980A" w14:textId="6641FAF6" w:rsidR="008E7846" w:rsidRDefault="00456765" w:rsidP="008E7846">
      <w:pPr>
        <w:rPr>
          <w:bCs/>
        </w:rPr>
      </w:pPr>
      <w:r w:rsidRPr="00456765">
        <w:rPr>
          <w:bCs/>
        </w:rPr>
        <w:t>The Advi</w:t>
      </w:r>
      <w:r w:rsidR="00F90622">
        <w:rPr>
          <w:bCs/>
        </w:rPr>
        <w:t>sory Committee on Vaccines (ACV</w:t>
      </w:r>
      <w:r w:rsidRPr="00456765">
        <w:rPr>
          <w:bCs/>
        </w:rPr>
        <w:t>), having considered the evaluations and the Delegate’s overview, as well as the sponsor’s response to these documents, advised the following:</w:t>
      </w:r>
    </w:p>
    <w:p w14:paraId="3B2438AC" w14:textId="77777777" w:rsidR="00F90622" w:rsidRPr="00F90622" w:rsidRDefault="00F90622" w:rsidP="00F90622">
      <w:r w:rsidRPr="00F90622">
        <w:t>The ACV considered the vaccine to have an overall positive benefit-risk profile for the indication:</w:t>
      </w:r>
    </w:p>
    <w:p w14:paraId="779F0283" w14:textId="77777777" w:rsidR="00F90622" w:rsidRPr="00F90622" w:rsidRDefault="00F90622" w:rsidP="00F90622">
      <w:pPr>
        <w:ind w:left="720"/>
        <w:rPr>
          <w:i/>
        </w:rPr>
      </w:pPr>
      <w:r w:rsidRPr="00F90622">
        <w:rPr>
          <w:i/>
        </w:rPr>
        <w:t>For the prevention of influenza caused by Influenza Virus, Types A and B contained in the vaccine. The vaccine is indicated for use in adults and children 9 years of age and older.</w:t>
      </w:r>
    </w:p>
    <w:p w14:paraId="2A30483D" w14:textId="77777777" w:rsidR="00F90622" w:rsidRPr="00F90622" w:rsidRDefault="00F90622" w:rsidP="00F90622">
      <w:r w:rsidRPr="00F90622">
        <w:t>In providing this advice the ACV:</w:t>
      </w:r>
    </w:p>
    <w:p w14:paraId="19500E53" w14:textId="688AC386" w:rsidR="00F90622" w:rsidRPr="00F90622" w:rsidRDefault="00F90622" w:rsidP="007B06E1">
      <w:pPr>
        <w:pStyle w:val="ListBullet"/>
      </w:pPr>
      <w:r w:rsidRPr="00F90622">
        <w:t>was of the view that vaccine efficacy was acceptable with appropriate immunobridging studies for persons 9 years and over</w:t>
      </w:r>
    </w:p>
    <w:p w14:paraId="2F42488A" w14:textId="46C045DB" w:rsidR="00F90622" w:rsidRPr="00F90622" w:rsidRDefault="00F90622" w:rsidP="007B06E1">
      <w:pPr>
        <w:pStyle w:val="ListBullet"/>
      </w:pPr>
      <w:r w:rsidRPr="00F90622">
        <w:t>considered the safety profile was adequate, although limited.</w:t>
      </w:r>
    </w:p>
    <w:p w14:paraId="1CE5AD6D" w14:textId="77777777" w:rsidR="00F90622" w:rsidRPr="00F90622" w:rsidRDefault="00F90622" w:rsidP="00F90622">
      <w:r w:rsidRPr="00F90622">
        <w:t>The ACV advised the following in response to the Delegate’s specific questions.</w:t>
      </w:r>
    </w:p>
    <w:p w14:paraId="323AF987" w14:textId="739C6072" w:rsidR="00F90622" w:rsidRPr="00F90622" w:rsidRDefault="00F90622" w:rsidP="007B06E1">
      <w:pPr>
        <w:pStyle w:val="Numberbullet0"/>
        <w:numPr>
          <w:ilvl w:val="0"/>
          <w:numId w:val="38"/>
        </w:numPr>
      </w:pPr>
      <w:r w:rsidRPr="00F90622">
        <w:t>Can the ACV comment on the age group in the proposed indication?</w:t>
      </w:r>
    </w:p>
    <w:p w14:paraId="1B837C19" w14:textId="77777777" w:rsidR="00F90622" w:rsidRPr="00F90622" w:rsidRDefault="00F90622" w:rsidP="00F90622">
      <w:r w:rsidRPr="00F90622">
        <w:t>The ACV advised that the vaccine should be indicated for use in adults and children 9 years of age and older. The committee considered:</w:t>
      </w:r>
    </w:p>
    <w:p w14:paraId="1E3C8C92" w14:textId="4313B844" w:rsidR="00F90622" w:rsidRPr="00F90622" w:rsidRDefault="00F90622" w:rsidP="007B06E1">
      <w:pPr>
        <w:pStyle w:val="ListBullet"/>
      </w:pPr>
      <w:r w:rsidRPr="00F90622">
        <w:t>the relevant TGA-adopted EMA guideline allows extrapolation of efficacy data from an adult population to persons 9 years and older, but not the extrapolation to efficacy in children younger than 9 years</w:t>
      </w:r>
      <w:r w:rsidR="00CF1414">
        <w:t>.</w:t>
      </w:r>
    </w:p>
    <w:p w14:paraId="13E98D71" w14:textId="2FEE1CD1" w:rsidR="00F90622" w:rsidRPr="00F90622" w:rsidRDefault="00F90622" w:rsidP="007B06E1">
      <w:pPr>
        <w:pStyle w:val="ListBullet"/>
      </w:pPr>
      <w:r w:rsidRPr="00F90622">
        <w:t>while an efficacy study in children 2 years and over (Study V130_12) has recently concluded, the study has not been evaluated by the TGA and is under evaluation by other regulators.</w:t>
      </w:r>
    </w:p>
    <w:p w14:paraId="01E3D7B6" w14:textId="4E857887" w:rsidR="00F90622" w:rsidRPr="00F90622" w:rsidRDefault="00F90622" w:rsidP="007B06E1">
      <w:pPr>
        <w:pStyle w:val="Numberbullet0"/>
      </w:pPr>
      <w:r w:rsidRPr="00F90622">
        <w:t>Can the ACV comment on the proposed pregnancy category based on the data available?</w:t>
      </w:r>
    </w:p>
    <w:p w14:paraId="1CD70250" w14:textId="227B0383" w:rsidR="00F90622" w:rsidRPr="00F90622" w:rsidRDefault="00F90622" w:rsidP="00F90622">
      <w:r w:rsidRPr="00F90622">
        <w:t>The ACV advised that Pregnancy Category B1</w:t>
      </w:r>
      <w:r w:rsidR="00E64B7F">
        <w:t>;</w:t>
      </w:r>
      <w:bookmarkStart w:id="61" w:name="_Ref57630910"/>
      <w:r w:rsidR="00E64B7F">
        <w:rPr>
          <w:rStyle w:val="FootnoteReference"/>
        </w:rPr>
        <w:footnoteReference w:id="17"/>
      </w:r>
      <w:bookmarkEnd w:id="61"/>
      <w:r w:rsidRPr="00F90622">
        <w:t xml:space="preserve"> is appropriate for the vaccine. The committee advised that Pregnancy Category A</w:t>
      </w:r>
      <w:r w:rsidR="008031C7">
        <w:t>;</w:t>
      </w:r>
      <w:r w:rsidR="008031C7" w:rsidRPr="008031C7">
        <w:rPr>
          <w:vertAlign w:val="superscript"/>
        </w:rPr>
        <w:fldChar w:fldCharType="begin"/>
      </w:r>
      <w:r w:rsidR="008031C7" w:rsidRPr="008031C7">
        <w:rPr>
          <w:vertAlign w:val="superscript"/>
        </w:rPr>
        <w:instrText xml:space="preserve"> NOTEREF _Ref57796066 \h  \* MERGEFORMAT </w:instrText>
      </w:r>
      <w:r w:rsidR="008031C7" w:rsidRPr="008031C7">
        <w:rPr>
          <w:vertAlign w:val="superscript"/>
        </w:rPr>
      </w:r>
      <w:r w:rsidR="008031C7" w:rsidRPr="008031C7">
        <w:rPr>
          <w:vertAlign w:val="superscript"/>
        </w:rPr>
        <w:fldChar w:fldCharType="separate"/>
      </w:r>
      <w:r w:rsidR="0064386B">
        <w:rPr>
          <w:vertAlign w:val="superscript"/>
        </w:rPr>
        <w:t>13</w:t>
      </w:r>
      <w:r w:rsidR="008031C7" w:rsidRPr="008031C7">
        <w:rPr>
          <w:vertAlign w:val="superscript"/>
        </w:rPr>
        <w:fldChar w:fldCharType="end"/>
      </w:r>
      <w:r w:rsidR="008031C7">
        <w:t xml:space="preserve"> </w:t>
      </w:r>
      <w:r w:rsidRPr="008031C7">
        <w:t>is</w:t>
      </w:r>
      <w:r w:rsidRPr="00F90622">
        <w:t xml:space="preserve"> not appropriate, as:</w:t>
      </w:r>
    </w:p>
    <w:p w14:paraId="7F807C72" w14:textId="687CBD31" w:rsidR="00F90622" w:rsidRPr="00F90622" w:rsidRDefault="00F90622" w:rsidP="007B06E1">
      <w:pPr>
        <w:pStyle w:val="ListBullet"/>
      </w:pPr>
      <w:r w:rsidRPr="00F90622">
        <w:t>The formal definition of Pregnancy Category A</w:t>
      </w:r>
      <w:r w:rsidR="008031C7">
        <w:t>;</w:t>
      </w:r>
      <w:r w:rsidR="008031C7" w:rsidRPr="008031C7">
        <w:rPr>
          <w:vertAlign w:val="superscript"/>
        </w:rPr>
        <w:fldChar w:fldCharType="begin"/>
      </w:r>
      <w:r w:rsidR="008031C7" w:rsidRPr="008031C7">
        <w:rPr>
          <w:vertAlign w:val="superscript"/>
        </w:rPr>
        <w:instrText xml:space="preserve"> NOTEREF _Ref57796066 \h </w:instrText>
      </w:r>
      <w:r w:rsidR="008031C7">
        <w:rPr>
          <w:vertAlign w:val="superscript"/>
        </w:rPr>
        <w:instrText xml:space="preserve"> \* MERGEFORMAT </w:instrText>
      </w:r>
      <w:r w:rsidR="008031C7" w:rsidRPr="008031C7">
        <w:rPr>
          <w:vertAlign w:val="superscript"/>
        </w:rPr>
      </w:r>
      <w:r w:rsidR="008031C7" w:rsidRPr="008031C7">
        <w:rPr>
          <w:vertAlign w:val="superscript"/>
        </w:rPr>
        <w:fldChar w:fldCharType="separate"/>
      </w:r>
      <w:r w:rsidR="0064386B">
        <w:rPr>
          <w:vertAlign w:val="superscript"/>
        </w:rPr>
        <w:t>13</w:t>
      </w:r>
      <w:r w:rsidR="008031C7" w:rsidRPr="008031C7">
        <w:rPr>
          <w:vertAlign w:val="superscript"/>
        </w:rPr>
        <w:fldChar w:fldCharType="end"/>
      </w:r>
      <w:r w:rsidR="008031C7">
        <w:t xml:space="preserve"> </w:t>
      </w:r>
      <w:r w:rsidRPr="00F90622">
        <w:t>includes ‘taken by a large number of pregnant women and women of childbearing age’. The extent of use of QIVc by pregnant women is unclear in the absence of detailed post-market data from the US and EU on use during pregnancy.</w:t>
      </w:r>
    </w:p>
    <w:p w14:paraId="7F3319E5" w14:textId="5E1D0FDD" w:rsidR="00F90622" w:rsidRPr="00F90622" w:rsidRDefault="00F90622" w:rsidP="007B06E1">
      <w:pPr>
        <w:pStyle w:val="ListBullet"/>
      </w:pPr>
      <w:r w:rsidRPr="00F90622">
        <w:t>The change from Pregnancy Category B1</w:t>
      </w:r>
      <w:r w:rsidR="00E64B7F">
        <w:t>;</w:t>
      </w:r>
      <w:r w:rsidR="00E64B7F">
        <w:fldChar w:fldCharType="begin"/>
      </w:r>
      <w:r w:rsidR="00E64B7F">
        <w:instrText xml:space="preserve"> NOTEREF _Ref57630910 \f \h </w:instrText>
      </w:r>
      <w:r w:rsidR="00E64B7F">
        <w:fldChar w:fldCharType="separate"/>
      </w:r>
      <w:r w:rsidR="0064386B" w:rsidRPr="0064386B">
        <w:rPr>
          <w:rStyle w:val="FootnoteReference"/>
        </w:rPr>
        <w:t>17</w:t>
      </w:r>
      <w:r w:rsidR="00E64B7F">
        <w:fldChar w:fldCharType="end"/>
      </w:r>
      <w:r w:rsidRPr="00F90622">
        <w:t xml:space="preserve"> to </w:t>
      </w:r>
      <w:r w:rsidR="00E64B7F">
        <w:t xml:space="preserve">Category </w:t>
      </w:r>
      <w:r w:rsidRPr="00F90622">
        <w:t>A</w:t>
      </w:r>
      <w:r w:rsidR="00E64B7F">
        <w:t>;</w:t>
      </w:r>
      <w:r w:rsidR="008031C7">
        <w:fldChar w:fldCharType="begin"/>
      </w:r>
      <w:r w:rsidR="008031C7">
        <w:instrText xml:space="preserve"> NOTEREF _Ref57796066 \f \h </w:instrText>
      </w:r>
      <w:r w:rsidR="008031C7">
        <w:fldChar w:fldCharType="separate"/>
      </w:r>
      <w:r w:rsidR="0064386B" w:rsidRPr="0064386B">
        <w:rPr>
          <w:rStyle w:val="FootnoteReference"/>
        </w:rPr>
        <w:t>13</w:t>
      </w:r>
      <w:r w:rsidR="008031C7">
        <w:fldChar w:fldCharType="end"/>
      </w:r>
      <w:r w:rsidR="008031C7" w:rsidRPr="00F90622">
        <w:t xml:space="preserve"> </w:t>
      </w:r>
      <w:r w:rsidRPr="00F90622">
        <w:t>for egg-grown influenza vaccines reflects real world experience and analysis of the available evidence for each of these vaccines.</w:t>
      </w:r>
    </w:p>
    <w:p w14:paraId="66756964" w14:textId="57F6F69B" w:rsidR="00F90622" w:rsidRPr="00F90622" w:rsidRDefault="00F90622" w:rsidP="007B06E1">
      <w:pPr>
        <w:pStyle w:val="ListBullet"/>
      </w:pPr>
      <w:r w:rsidRPr="00F90622">
        <w:t>The sponsor relies on the same nonclinical data for the TIVc as for the QIVc. The Pregnancy Category for the TIVc was B1</w:t>
      </w:r>
      <w:r w:rsidR="0098268D">
        <w:t>;</w:t>
      </w:r>
      <w:r w:rsidR="0098268D">
        <w:fldChar w:fldCharType="begin"/>
      </w:r>
      <w:r w:rsidR="0098268D">
        <w:instrText xml:space="preserve"> NOTEREF _Ref57630910 \f \h </w:instrText>
      </w:r>
      <w:r w:rsidR="0098268D">
        <w:fldChar w:fldCharType="separate"/>
      </w:r>
      <w:r w:rsidR="0064386B" w:rsidRPr="0064386B">
        <w:rPr>
          <w:rStyle w:val="FootnoteReference"/>
        </w:rPr>
        <w:t>17</w:t>
      </w:r>
      <w:r w:rsidR="0098268D">
        <w:fldChar w:fldCharType="end"/>
      </w:r>
      <w:r w:rsidRPr="00F90622">
        <w:t xml:space="preserve"> reflecting the state of knowledge at that time.</w:t>
      </w:r>
    </w:p>
    <w:p w14:paraId="4158FD44" w14:textId="4904F990" w:rsidR="00F90622" w:rsidRPr="00F90622" w:rsidRDefault="00F90622" w:rsidP="007B06E1">
      <w:pPr>
        <w:pStyle w:val="ListBullet"/>
      </w:pPr>
      <w:r w:rsidRPr="00F90622">
        <w:t>The US pregnancy registry closes in 2020. The Pregnancy category can be reviewed once the pregnancy registry results become available and the ‘</w:t>
      </w:r>
      <w:r w:rsidRPr="0098268D">
        <w:rPr>
          <w:i/>
        </w:rPr>
        <w:t>taken by a large number of pregnant women and women of childbearing age</w:t>
      </w:r>
      <w:r w:rsidRPr="00F90622">
        <w:t>’ criterion is confirmed.</w:t>
      </w:r>
    </w:p>
    <w:p w14:paraId="7D3FB098" w14:textId="77777777" w:rsidR="008E7846" w:rsidRPr="002E238E" w:rsidRDefault="008E7846" w:rsidP="008E7846">
      <w:pPr>
        <w:pStyle w:val="Heading3"/>
      </w:pPr>
      <w:bookmarkStart w:id="62" w:name="_Toc247691532"/>
      <w:bookmarkStart w:id="63" w:name="_Toc314842516"/>
      <w:bookmarkStart w:id="64" w:name="_Toc59112174"/>
      <w:bookmarkEnd w:id="31"/>
      <w:bookmarkEnd w:id="57"/>
      <w:bookmarkEnd w:id="58"/>
      <w:r>
        <w:t>Outcome</w:t>
      </w:r>
      <w:bookmarkEnd w:id="62"/>
      <w:bookmarkEnd w:id="63"/>
      <w:bookmarkEnd w:id="64"/>
    </w:p>
    <w:p w14:paraId="6FAC1D9A" w14:textId="39D02F12" w:rsidR="007D53B6" w:rsidRDefault="007D53B6" w:rsidP="009E0F8A">
      <w:bookmarkStart w:id="65" w:name="_Toc247691533"/>
      <w:bookmarkStart w:id="66" w:name="_Toc314842517"/>
      <w:r>
        <w:t xml:space="preserve">Based on a review of quality, safety and efficacy, </w:t>
      </w:r>
      <w:r w:rsidR="00CF1414">
        <w:t xml:space="preserve">the </w:t>
      </w:r>
      <w:r>
        <w:t xml:space="preserve">TGA approved the registration of </w:t>
      </w:r>
      <w:r w:rsidR="0099045B">
        <w:t>Flucelvax Quad q</w:t>
      </w:r>
      <w:r w:rsidR="00E65EE0">
        <w:t>uadrivalent inf</w:t>
      </w:r>
      <w:r w:rsidR="009E0F8A">
        <w:t xml:space="preserve">luenza vaccine (surface antigen </w:t>
      </w:r>
      <w:r w:rsidR="00E65EE0">
        <w:t>inactiv</w:t>
      </w:r>
      <w:r w:rsidR="009E0F8A">
        <w:t xml:space="preserve">ated), </w:t>
      </w:r>
      <w:r w:rsidR="009E0F8A">
        <w:rPr>
          <w:rFonts w:eastAsia="Calibri"/>
        </w:rPr>
        <w:t xml:space="preserve">60 µg </w:t>
      </w:r>
      <w:r w:rsidR="009E0F8A" w:rsidRPr="007D5239">
        <w:rPr>
          <w:rFonts w:eastAsia="Calibri"/>
        </w:rPr>
        <w:t>haemagglutinin</w:t>
      </w:r>
      <w:r w:rsidR="009E0F8A">
        <w:t xml:space="preserve"> suspension for injection</w:t>
      </w:r>
      <w:r>
        <w:t>, indicated for</w:t>
      </w:r>
      <w:r w:rsidR="009E0F8A">
        <w:t>:</w:t>
      </w:r>
    </w:p>
    <w:p w14:paraId="3F1932AA" w14:textId="5614294D" w:rsidR="009E0F8A" w:rsidRPr="009E0F8A" w:rsidRDefault="009E0F8A" w:rsidP="009E0F8A">
      <w:pPr>
        <w:ind w:left="720"/>
        <w:rPr>
          <w:i/>
        </w:rPr>
      </w:pPr>
      <w:r w:rsidRPr="009E0F8A">
        <w:rPr>
          <w:i/>
        </w:rPr>
        <w:t>For the prevention of influenza caused by Influenza Virus, Types A and B contained in the vaccine. The vaccine is indicated for use in adults and children 9 years of age and older.</w:t>
      </w:r>
    </w:p>
    <w:p w14:paraId="4E61099C" w14:textId="54C75A29" w:rsidR="009E0F8A" w:rsidRPr="009E0F8A" w:rsidRDefault="009E0F8A" w:rsidP="009E0F8A">
      <w:pPr>
        <w:ind w:left="720"/>
        <w:rPr>
          <w:i/>
        </w:rPr>
      </w:pPr>
      <w:r w:rsidRPr="009E0F8A">
        <w:rPr>
          <w:i/>
        </w:rPr>
        <w:t>For full details regarding recommendations for influenza vaccination, please refer to the relevant national immunisation guidelines.</w:t>
      </w:r>
    </w:p>
    <w:p w14:paraId="4AEA6CF2" w14:textId="199398FE" w:rsidR="00D23139" w:rsidRPr="00D23139" w:rsidRDefault="00D23139" w:rsidP="009E0F8A">
      <w:pPr>
        <w:pStyle w:val="Heading4"/>
      </w:pPr>
      <w:r w:rsidRPr="00D23139">
        <w:t>Specific conditions of registration applying to these goods</w:t>
      </w:r>
    </w:p>
    <w:p w14:paraId="714B75B3" w14:textId="01204E95" w:rsidR="00E5497C" w:rsidRDefault="00706A7E" w:rsidP="007B06E1">
      <w:pPr>
        <w:pStyle w:val="ListBullet"/>
      </w:pPr>
      <w:r>
        <w:t xml:space="preserve">At least 45 working days before the submission of the first request under s.9D(3) of the </w:t>
      </w:r>
      <w:r w:rsidRPr="0098268D">
        <w:rPr>
          <w:rFonts w:ascii="Cambria-BoldItalic" w:hAnsi="Cambria-BoldItalic" w:cs="Cambria-BoldItalic"/>
          <w:iCs/>
        </w:rPr>
        <w:t>Therapeutic Goods Act 1989</w:t>
      </w:r>
      <w:r>
        <w:rPr>
          <w:rFonts w:ascii="Cambria-BoldItalic" w:hAnsi="Cambria-BoldItalic" w:cs="Cambria-BoldItalic"/>
          <w:i/>
          <w:iCs/>
        </w:rPr>
        <w:t xml:space="preserve"> </w:t>
      </w:r>
      <w:r>
        <w:t xml:space="preserve">for a change to the strain composition of the vaccine, and not later than 31 October 2020, the following be provided to the TGA for approval under s9D(3) of the </w:t>
      </w:r>
      <w:r w:rsidR="00E5497C">
        <w:t xml:space="preserve">Therapeutic Goods Act 1989 </w:t>
      </w:r>
      <w:r w:rsidR="00E5497C" w:rsidRPr="006C7101">
        <w:t xml:space="preserve">The </w:t>
      </w:r>
      <w:r w:rsidR="00E5497C">
        <w:t>additional requested quality</w:t>
      </w:r>
      <w:r w:rsidR="00E5497C" w:rsidRPr="006C7101">
        <w:t xml:space="preserve"> data should be provided prior to the lodgement of the Annual</w:t>
      </w:r>
      <w:r w:rsidR="00E5497C" w:rsidRPr="00E5497C">
        <w:rPr>
          <w:bCs/>
        </w:rPr>
        <w:t xml:space="preserve"> </w:t>
      </w:r>
      <w:r w:rsidR="00E5497C" w:rsidRPr="006C7101">
        <w:t>strain Update for the SH</w:t>
      </w:r>
      <w:r w:rsidR="0098268D">
        <w:t xml:space="preserve"> 2021 i</w:t>
      </w:r>
      <w:r w:rsidR="00E5497C" w:rsidRPr="006C7101">
        <w:t>nfluenza season</w:t>
      </w:r>
      <w:r w:rsidR="00E5497C">
        <w:t>.</w:t>
      </w:r>
    </w:p>
    <w:p w14:paraId="210D3636" w14:textId="4688D8D5" w:rsidR="00CF2893" w:rsidRDefault="00CF2893" w:rsidP="0052167C">
      <w:pPr>
        <w:pStyle w:val="ListBullet"/>
      </w:pPr>
      <w:r>
        <w:t>Batch Release Testing and Compliance with the Certified Product Details Conditions of Registrati</w:t>
      </w:r>
      <w:r w:rsidR="0099045B">
        <w:t>on for Flucelvax Quad q</w:t>
      </w:r>
      <w:r>
        <w:t>uadrivalent influenza vaccine</w:t>
      </w:r>
    </w:p>
    <w:p w14:paraId="161E6653" w14:textId="79DB4CBC" w:rsidR="00CF2893" w:rsidRDefault="00CF2893" w:rsidP="0052167C">
      <w:pPr>
        <w:ind w:left="426"/>
      </w:pPr>
      <w:r>
        <w:t xml:space="preserve">It is a condition of registration that all independent batches of Flucelvax Quad imported into Australia are not released for sale until samples and the manufacturer’s release data have been assessed and you have received notification acknowledging release from the </w:t>
      </w:r>
      <w:r w:rsidR="000C4658">
        <w:t>laboratories b</w:t>
      </w:r>
      <w:r>
        <w:t>ranch, TGA.</w:t>
      </w:r>
    </w:p>
    <w:p w14:paraId="1B6D7394" w14:textId="1E2A52DB" w:rsidR="00CF2893" w:rsidRDefault="00CF2893" w:rsidP="0052167C">
      <w:pPr>
        <w:ind w:left="426"/>
      </w:pPr>
      <w:r>
        <w:t>For each independent batch of the product imported into Australia, the</w:t>
      </w:r>
      <w:r w:rsidR="000C4658">
        <w:t xml:space="preserve"> s</w:t>
      </w:r>
      <w:r>
        <w:t>ponsor must supply the following:</w:t>
      </w:r>
    </w:p>
    <w:p w14:paraId="50F7C670" w14:textId="08AFD562" w:rsidR="00CF2893" w:rsidRDefault="00CF2893" w:rsidP="0052167C">
      <w:pPr>
        <w:pStyle w:val="ListBullet2"/>
      </w:pPr>
      <w:r>
        <w:t>A completed Request for Release Form, available from vaccines@health.gov.au.</w:t>
      </w:r>
    </w:p>
    <w:p w14:paraId="14981D7E" w14:textId="00635CC7" w:rsidR="00CF2893" w:rsidRDefault="00CF2893" w:rsidP="0052167C">
      <w:pPr>
        <w:pStyle w:val="ListBullet2"/>
      </w:pPr>
      <w:r>
        <w:t>Complete summary protocols for manufacture and QC, including all steps in production.</w:t>
      </w:r>
    </w:p>
    <w:p w14:paraId="4528A505" w14:textId="67F6630B" w:rsidR="00CF2893" w:rsidRDefault="00CF2893" w:rsidP="0052167C">
      <w:pPr>
        <w:pStyle w:val="ListBullet2"/>
      </w:pPr>
      <w:r>
        <w:t>At least 20 (twenty) doses of the first consignment of each batch of Flucelvax Quad with the Australian approved labels, PI and packaging.</w:t>
      </w:r>
    </w:p>
    <w:p w14:paraId="298BA3F1" w14:textId="78975B6D" w:rsidR="00CF2893" w:rsidRDefault="00CF2893" w:rsidP="0052167C">
      <w:pPr>
        <w:pStyle w:val="ListBullet2"/>
      </w:pPr>
      <w:r>
        <w:t>At least 10 (ten) doses of any further consignment of each batch of Flucelvax Quad with the Australian approved labels, PI and packaging and at least 20 (twenty) doses of any further consignment of each batch of Flucelvax Quad with the Australian approved labels, PI and packaging.</w:t>
      </w:r>
    </w:p>
    <w:p w14:paraId="138F43BF" w14:textId="384D7ABA" w:rsidR="00CF2893" w:rsidRDefault="00CF2893" w:rsidP="0052167C">
      <w:pPr>
        <w:pStyle w:val="ListBullet2"/>
      </w:pPr>
      <w:r>
        <w:t xml:space="preserve">Certificate of Release from a regulatory agency acting for the country of origin such as </w:t>
      </w:r>
      <w:r w:rsidR="004407EA">
        <w:t>an OMCL</w:t>
      </w:r>
      <w:r w:rsidR="00007D7D">
        <w:t xml:space="preserve"> </w:t>
      </w:r>
      <w:r>
        <w:t>(if available).</w:t>
      </w:r>
    </w:p>
    <w:p w14:paraId="3701E3F6" w14:textId="55357F98" w:rsidR="00CF2893" w:rsidRDefault="00CF2893" w:rsidP="0052167C">
      <w:pPr>
        <w:pStyle w:val="ListBullet2"/>
      </w:pPr>
      <w:r>
        <w:t xml:space="preserve">Any reagents, reference material and standards required to undertake testing, as </w:t>
      </w:r>
      <w:r w:rsidR="000C4658">
        <w:t>requested by laboratories b</w:t>
      </w:r>
      <w:r>
        <w:t>ranch, TGA.</w:t>
      </w:r>
    </w:p>
    <w:p w14:paraId="4C3B9D23" w14:textId="04F69A54" w:rsidR="00CF2893" w:rsidRDefault="00CF2893" w:rsidP="0052167C">
      <w:pPr>
        <w:pStyle w:val="ListBullet"/>
        <w:numPr>
          <w:ilvl w:val="0"/>
          <w:numId w:val="0"/>
        </w:numPr>
        <w:ind w:left="426"/>
      </w:pPr>
      <w:r>
        <w:t>Distribution of each shipment of each batch of vaccine is conditional upon fulfilment of these conditions an</w:t>
      </w:r>
      <w:r w:rsidR="000C4658">
        <w:t>d receipt of a letter from the laboratories b</w:t>
      </w:r>
      <w:r>
        <w:t>ranch acknowledging release.</w:t>
      </w:r>
    </w:p>
    <w:p w14:paraId="4F734D7F" w14:textId="292FA016" w:rsidR="00CF2893" w:rsidRDefault="00CF2893" w:rsidP="0052167C">
      <w:pPr>
        <w:ind w:left="426"/>
      </w:pPr>
      <w:r>
        <w:t>Samples and d</w:t>
      </w:r>
      <w:r w:rsidR="000C4658">
        <w:t>ata should be forwarded to the b</w:t>
      </w:r>
      <w:r>
        <w:t>iomedicines and</w:t>
      </w:r>
      <w:r w:rsidR="000C4658">
        <w:t xml:space="preserve"> influenza vaccines s</w:t>
      </w:r>
      <w:r>
        <w:t xml:space="preserve">ection, </w:t>
      </w:r>
      <w:r w:rsidR="000C4658">
        <w:t>laboratories b</w:t>
      </w:r>
      <w:r>
        <w:t xml:space="preserve">ranch before release of each batch and with sufficient lead time to allow for </w:t>
      </w:r>
      <w:r w:rsidR="000C4658">
        <w:t>laboratories b</w:t>
      </w:r>
      <w:r>
        <w:t>ranch testing. All shipments (including reagents) must be sent to TGA fr</w:t>
      </w:r>
      <w:r w:rsidR="000C4658">
        <w:t>om the Australian sponsor/a</w:t>
      </w:r>
      <w:r>
        <w:t>gent who will be required to facilitate the import and customs clearance process.</w:t>
      </w:r>
    </w:p>
    <w:p w14:paraId="4A24BF34" w14:textId="2B6BC17B" w:rsidR="00706A7E" w:rsidRPr="003B4978" w:rsidRDefault="00706A7E" w:rsidP="007B06E1">
      <w:pPr>
        <w:pStyle w:val="ListBullet"/>
      </w:pPr>
      <w:r>
        <w:t>Certified Product Details</w:t>
      </w:r>
      <w:r w:rsidR="00CF2893">
        <w:t xml:space="preserve">: </w:t>
      </w:r>
      <w:r w:rsidRPr="00CF2893">
        <w:t>An electronic copy of the CPD as described in Guidance 7: Certified</w:t>
      </w:r>
      <w:r w:rsidR="003B4978" w:rsidRPr="00CF2893">
        <w:t xml:space="preserve"> </w:t>
      </w:r>
      <w:r w:rsidRPr="00CF2893">
        <w:t>Product Details of the Australian Regulatory Guidelines for Prescription Medicines (ARGPM)</w:t>
      </w:r>
      <w:r w:rsidR="003B4978" w:rsidRPr="00CF2893">
        <w:t xml:space="preserve"> </w:t>
      </w:r>
      <w:r w:rsidRPr="00CF2893">
        <w:rPr>
          <w:color w:val="0000FF"/>
        </w:rPr>
        <w:t xml:space="preserve">https://www.tga.gov.au/guidance-7-certified-product-details </w:t>
      </w:r>
      <w:r w:rsidRPr="00CF2893">
        <w:t>should be provided upon</w:t>
      </w:r>
      <w:r w:rsidR="003B4978" w:rsidRPr="00CF2893">
        <w:t xml:space="preserve"> </w:t>
      </w:r>
      <w:r w:rsidRPr="00CF2893">
        <w:t>registration of the therapeutic good. In addition, an updated CPD, for the above products</w:t>
      </w:r>
      <w:r w:rsidR="003B4978" w:rsidRPr="00CF2893">
        <w:t xml:space="preserve"> </w:t>
      </w:r>
      <w:r w:rsidRPr="00CF2893">
        <w:t>incorporating the approved changes is to be provided within one month of the date of</w:t>
      </w:r>
      <w:r w:rsidR="003B4978" w:rsidRPr="00CF2893">
        <w:t xml:space="preserve"> </w:t>
      </w:r>
      <w:r w:rsidRPr="00CF2893">
        <w:t>approval letter. A template for preparation of CPD for biological prescription medicines and</w:t>
      </w:r>
      <w:r w:rsidR="003B4978" w:rsidRPr="00CF2893">
        <w:t xml:space="preserve"> </w:t>
      </w:r>
      <w:r w:rsidRPr="00CF2893">
        <w:t xml:space="preserve">Vaccines can be obtained from the TGA website </w:t>
      </w:r>
      <w:r w:rsidRPr="00CF2893">
        <w:rPr>
          <w:color w:val="0000FF"/>
        </w:rPr>
        <w:t>https://www.tga.gov.au/form/certifiedproduct-details-cpd-biological-prescription-medicines</w:t>
      </w:r>
      <w:r w:rsidRPr="00CF2893">
        <w:t xml:space="preserve">]. The CPD should be sent as a </w:t>
      </w:r>
      <w:r>
        <w:t>single</w:t>
      </w:r>
      <w:r w:rsidR="003B4978">
        <w:t xml:space="preserve"> </w:t>
      </w:r>
      <w:r>
        <w:t xml:space="preserve">bookmarked PDF </w:t>
      </w:r>
      <w:r w:rsidRPr="00CF2893">
        <w:t xml:space="preserve">document to </w:t>
      </w:r>
      <w:r w:rsidRPr="00CF2893">
        <w:rPr>
          <w:color w:val="0000FF"/>
        </w:rPr>
        <w:t xml:space="preserve">vaccines@health.gov.au </w:t>
      </w:r>
      <w:r w:rsidRPr="00CF2893">
        <w:t>as soon as possible after</w:t>
      </w:r>
      <w:r w:rsidR="003B4978" w:rsidRPr="00CF2893">
        <w:t xml:space="preserve"> </w:t>
      </w:r>
      <w:r w:rsidRPr="00CF2893">
        <w:t>regis</w:t>
      </w:r>
      <w:r w:rsidR="003B4978" w:rsidRPr="00CF2893">
        <w:t xml:space="preserve">tration/approval of the product </w:t>
      </w:r>
      <w:r w:rsidRPr="00CF2893">
        <w:t>or any subsequent changes as indicated above.</w:t>
      </w:r>
    </w:p>
    <w:p w14:paraId="181FDF4E" w14:textId="4523B817" w:rsidR="00706A7E" w:rsidRPr="003B4978" w:rsidRDefault="00706A7E" w:rsidP="007B06E1">
      <w:pPr>
        <w:pStyle w:val="ListBullet"/>
      </w:pPr>
      <w:r>
        <w:t xml:space="preserve">The </w:t>
      </w:r>
      <w:r w:rsidR="003B4978">
        <w:t>Flucelvax Quad</w:t>
      </w:r>
      <w:r>
        <w:t xml:space="preserve"> EU-</w:t>
      </w:r>
      <w:r w:rsidR="003B4978">
        <w:t>RMP</w:t>
      </w:r>
      <w:r>
        <w:t xml:space="preserve"> (version 2.0, dated 25</w:t>
      </w:r>
      <w:r w:rsidR="003B4978">
        <w:t xml:space="preserve"> </w:t>
      </w:r>
      <w:r w:rsidRPr="003B4978">
        <w:t xml:space="preserve">September 2018, data lock point 30 May 2017), with </w:t>
      </w:r>
      <w:r w:rsidR="003B4978">
        <w:t>ASA</w:t>
      </w:r>
      <w:r w:rsidRPr="003B4978">
        <w:t xml:space="preserve"> (version</w:t>
      </w:r>
      <w:r w:rsidR="003B4978">
        <w:t xml:space="preserve"> </w:t>
      </w:r>
      <w:r w:rsidRPr="003B4978">
        <w:t>1.1, dated 7 April 2020), included with submission PM-2019-02591-1-2, and any</w:t>
      </w:r>
      <w:r w:rsidR="003B4978">
        <w:t xml:space="preserve"> </w:t>
      </w:r>
      <w:r w:rsidRPr="003B4978">
        <w:t>subsequent revisions, as agreed with the TGA will be implemented in Australia.</w:t>
      </w:r>
    </w:p>
    <w:p w14:paraId="012B55A7" w14:textId="64A034AF" w:rsidR="003B4978" w:rsidRDefault="00706A7E" w:rsidP="007B06E1">
      <w:pPr>
        <w:pStyle w:val="ListBullet"/>
        <w:rPr>
          <w:rFonts w:cs="Cambria"/>
        </w:rPr>
      </w:pPr>
      <w:r>
        <w:t>An obligatory component of risk management plans is routine pharmacovigilance.</w:t>
      </w:r>
      <w:r w:rsidR="003B4978">
        <w:t xml:space="preserve"> </w:t>
      </w:r>
      <w:r w:rsidRPr="003B4978">
        <w:rPr>
          <w:rFonts w:cs="Cambria"/>
        </w:rPr>
        <w:t xml:space="preserve">Routine pharmacovigilance includes the submission of </w:t>
      </w:r>
      <w:r w:rsidR="003B4978">
        <w:rPr>
          <w:rFonts w:cs="Cambria"/>
        </w:rPr>
        <w:t>PSURs</w:t>
      </w:r>
      <w:r>
        <w:rPr>
          <w:rFonts w:cs="Cambria"/>
        </w:rPr>
        <w:t>.</w:t>
      </w:r>
    </w:p>
    <w:p w14:paraId="422C156E" w14:textId="77777777" w:rsidR="003B4978" w:rsidRDefault="00706A7E" w:rsidP="0052167C">
      <w:pPr>
        <w:pStyle w:val="ListBullet"/>
        <w:numPr>
          <w:ilvl w:val="0"/>
          <w:numId w:val="0"/>
        </w:numPr>
        <w:ind w:left="426"/>
      </w:pPr>
      <w:r>
        <w:t>Reports are to be provided in line with the current published list of EU reference</w:t>
      </w:r>
      <w:r w:rsidR="003B4978">
        <w:t xml:space="preserve"> </w:t>
      </w:r>
      <w:r>
        <w:t>dates and frequency of submission of PSURs until the period covered by such reports</w:t>
      </w:r>
      <w:r w:rsidR="003B4978">
        <w:t xml:space="preserve"> </w:t>
      </w:r>
      <w:r>
        <w:t>is not less than three years from the date of this approval letter.</w:t>
      </w:r>
    </w:p>
    <w:p w14:paraId="4D791582" w14:textId="0BDB993C" w:rsidR="00706A7E" w:rsidRPr="003B4978" w:rsidRDefault="00706A7E" w:rsidP="0052167C">
      <w:pPr>
        <w:pStyle w:val="ListBullet"/>
        <w:numPr>
          <w:ilvl w:val="0"/>
          <w:numId w:val="0"/>
        </w:numPr>
        <w:ind w:left="426"/>
      </w:pPr>
      <w:r>
        <w:t>The reports are to at least meet the requirements for PSURs as described in the</w:t>
      </w:r>
      <w:r w:rsidR="003B4978">
        <w:t xml:space="preserve"> </w:t>
      </w:r>
      <w:r>
        <w:t>European Medicines Agency’s Guideline on good pharmacovigilance practices (GVP)</w:t>
      </w:r>
      <w:r w:rsidR="003B4978">
        <w:t xml:space="preserve"> </w:t>
      </w:r>
      <w:r>
        <w:t>Module VII-periodic safety update report (Rev 1), Part VII.B Structures and processes.</w:t>
      </w:r>
      <w:r w:rsidR="003B4978">
        <w:t xml:space="preserve"> </w:t>
      </w:r>
      <w:r>
        <w:t>Note that submission of a PSUR does not constitute an application to vary the registration.</w:t>
      </w:r>
    </w:p>
    <w:p w14:paraId="5E33BE75" w14:textId="77777777" w:rsidR="008E7846" w:rsidRDefault="00A80B5B" w:rsidP="00D23139">
      <w:pPr>
        <w:pStyle w:val="Heading2"/>
      </w:pPr>
      <w:bookmarkStart w:id="67" w:name="_Toc59112175"/>
      <w:r>
        <w:t xml:space="preserve">Attachment 1. </w:t>
      </w:r>
      <w:r w:rsidR="008E7846">
        <w:t xml:space="preserve">Product </w:t>
      </w:r>
      <w:r w:rsidR="00AA0ED0">
        <w:t>I</w:t>
      </w:r>
      <w:r w:rsidR="008E7846">
        <w:t>nformation</w:t>
      </w:r>
      <w:bookmarkEnd w:id="65"/>
      <w:bookmarkEnd w:id="66"/>
      <w:bookmarkEnd w:id="67"/>
    </w:p>
    <w:p w14:paraId="021E784F" w14:textId="203FEEE8" w:rsidR="00C80137" w:rsidRDefault="006136D7" w:rsidP="00C80137">
      <w:pPr>
        <w:rPr>
          <w:color w:val="000000"/>
          <w:lang w:eastAsia="en-AU"/>
        </w:rPr>
      </w:pPr>
      <w:r w:rsidRPr="002B3624">
        <w:t xml:space="preserve">The </w:t>
      </w:r>
      <w:r>
        <w:t>PI</w:t>
      </w:r>
      <w:r w:rsidRPr="002B3624">
        <w:t xml:space="preserve"> for </w:t>
      </w:r>
      <w:r w:rsidR="003B4978">
        <w:t xml:space="preserve">Flucelvax Quad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3B4978">
        <w:t>&gt;.</w:t>
      </w:r>
    </w:p>
    <w:p w14:paraId="27539422" w14:textId="3B9E2427" w:rsidR="00291957" w:rsidRDefault="008E7846" w:rsidP="00696C9D">
      <w:pPr>
        <w:autoSpaceDE w:val="0"/>
        <w:autoSpaceDN w:val="0"/>
        <w:adjustRightInd w:val="0"/>
        <w:spacing w:after="0"/>
        <w:rPr>
          <w:lang w:eastAsia="ja-JP"/>
        </w:rPr>
      </w:pPr>
      <w:r w:rsidRPr="00C80137">
        <w:rPr>
          <w:b/>
        </w:rPr>
        <w:br w:type="page"/>
      </w:r>
    </w:p>
    <w:p w14:paraId="4C66961F"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CD1BD25" w14:textId="77777777" w:rsidTr="00A05FA4">
        <w:trPr>
          <w:trHeight w:hRule="exact" w:val="704"/>
        </w:trPr>
        <w:tc>
          <w:tcPr>
            <w:tcW w:w="9175" w:type="dxa"/>
          </w:tcPr>
          <w:p w14:paraId="1699FED4" w14:textId="77777777" w:rsidR="001C32CD" w:rsidRPr="00487162" w:rsidRDefault="001C32CD" w:rsidP="00A05FA4">
            <w:pPr>
              <w:pStyle w:val="TGASignoff"/>
            </w:pPr>
            <w:r w:rsidRPr="00487162">
              <w:t>Therapeutic Goods Administration</w:t>
            </w:r>
          </w:p>
        </w:tc>
      </w:tr>
      <w:tr w:rsidR="001C32CD" w:rsidRPr="004C239D" w14:paraId="02A660ED" w14:textId="77777777" w:rsidTr="00A05FA4">
        <w:trPr>
          <w:trHeight w:val="1221"/>
        </w:trPr>
        <w:tc>
          <w:tcPr>
            <w:tcW w:w="9175" w:type="dxa"/>
            <w:tcMar>
              <w:top w:w="28" w:type="dxa"/>
            </w:tcMar>
          </w:tcPr>
          <w:p w14:paraId="0551FBC7" w14:textId="77777777" w:rsidR="001C32CD" w:rsidRPr="00487162" w:rsidRDefault="001C32CD" w:rsidP="00A05FA4">
            <w:pPr>
              <w:pStyle w:val="Address"/>
            </w:pPr>
            <w:r w:rsidRPr="00487162">
              <w:t>PO Box 100 Woden ACT 2606 Australia</w:t>
            </w:r>
          </w:p>
          <w:p w14:paraId="3534B1C6" w14:textId="4FBD00CA"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14:paraId="4194C069" w14:textId="20D41C4D" w:rsidR="001C32CD" w:rsidRPr="004C239D" w:rsidRDefault="001F37C8"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43E12356"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9E52C1" w16cid:durableId="23791950"/>
  <w16cid:commentId w16cid:paraId="3B2BA43F" w16cid:durableId="237DC0AB"/>
  <w16cid:commentId w16cid:paraId="6A3C9A70" w16cid:durableId="23791983"/>
  <w16cid:commentId w16cid:paraId="4F0BCB12" w16cid:durableId="237DC0AD"/>
  <w16cid:commentId w16cid:paraId="23A1AF6D" w16cid:durableId="237919D9"/>
  <w16cid:commentId w16cid:paraId="0F24ED15" w16cid:durableId="237DC0AF"/>
  <w16cid:commentId w16cid:paraId="75BD0201" w16cid:durableId="238308E0"/>
  <w16cid:commentId w16cid:paraId="13E1482E" w16cid:durableId="237B07E6"/>
  <w16cid:commentId w16cid:paraId="3CF07D3D" w16cid:durableId="237DC0B1"/>
  <w16cid:commentId w16cid:paraId="1D2000CF" w16cid:durableId="23734C66"/>
  <w16cid:commentId w16cid:paraId="3D527853" w16cid:durableId="237DC0B3"/>
  <w16cid:commentId w16cid:paraId="42B9C9BB" w16cid:durableId="23734BFC"/>
  <w16cid:commentId w16cid:paraId="63CBE147" w16cid:durableId="237DC0B5"/>
  <w16cid:commentId w16cid:paraId="2861F7A0" w16cid:durableId="237349D9"/>
  <w16cid:commentId w16cid:paraId="1E6D5836" w16cid:durableId="237DC0B7"/>
  <w16cid:commentId w16cid:paraId="3CF06EE5" w16cid:durableId="23734A77"/>
  <w16cid:commentId w16cid:paraId="6C382D60" w16cid:durableId="237DC0B9"/>
  <w16cid:commentId w16cid:paraId="02BEBC63" w16cid:durableId="237DC0BA"/>
  <w16cid:commentId w16cid:paraId="59D527F8" w16cid:durableId="237B08AA"/>
  <w16cid:commentId w16cid:paraId="5E24C4BE" w16cid:durableId="237DC0BC"/>
  <w16cid:commentId w16cid:paraId="1511E0DB" w16cid:durableId="23791A37"/>
  <w16cid:commentId w16cid:paraId="2EC527CD" w16cid:durableId="237DC0BE"/>
  <w16cid:commentId w16cid:paraId="35715CF2" w16cid:durableId="23791A18"/>
  <w16cid:commentId w16cid:paraId="3CBFDEA6" w16cid:durableId="237DC0C0"/>
  <w16cid:commentId w16cid:paraId="34C97127" w16cid:durableId="237B0800"/>
  <w16cid:commentId w16cid:paraId="4B1CCD3F" w16cid:durableId="237DC0C2"/>
  <w16cid:commentId w16cid:paraId="0F289942" w16cid:durableId="23791A77"/>
  <w16cid:commentId w16cid:paraId="087DB930" w16cid:durableId="237DC0C4"/>
  <w16cid:commentId w16cid:paraId="64F6EDC2" w16cid:durableId="23791F70"/>
  <w16cid:commentId w16cid:paraId="5F0DD9F1" w16cid:durableId="237DC0C6"/>
  <w16cid:commentId w16cid:paraId="1D8818BA" w16cid:durableId="237DC0C7"/>
  <w16cid:commentId w16cid:paraId="0CF760EE" w16cid:durableId="237DC0C8"/>
  <w16cid:commentId w16cid:paraId="1B78104D" w16cid:durableId="23792018"/>
  <w16cid:commentId w16cid:paraId="6B379A53" w16cid:durableId="237DC0CA"/>
  <w16cid:commentId w16cid:paraId="770FFAD8" w16cid:durableId="2379204A"/>
  <w16cid:commentId w16cid:paraId="308FE9BE" w16cid:durableId="237DC0CC"/>
  <w16cid:commentId w16cid:paraId="04C35601" w16cid:durableId="237DC0CD"/>
  <w16cid:commentId w16cid:paraId="23B5A31D" w16cid:durableId="237DC0CE"/>
  <w16cid:commentId w16cid:paraId="535FB6A5" w16cid:durableId="2379208B"/>
  <w16cid:commentId w16cid:paraId="462EB169" w16cid:durableId="237DC0D0"/>
  <w16cid:commentId w16cid:paraId="6B88F0AD" w16cid:durableId="237920DA"/>
  <w16cid:commentId w16cid:paraId="7D90DD59" w16cid:durableId="237DC0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02250" w14:textId="77777777" w:rsidR="00877636" w:rsidRDefault="00877636" w:rsidP="00C40A36">
      <w:pPr>
        <w:spacing w:after="0"/>
      </w:pPr>
      <w:r>
        <w:separator/>
      </w:r>
    </w:p>
  </w:endnote>
  <w:endnote w:type="continuationSeparator" w:id="0">
    <w:p w14:paraId="114A4147" w14:textId="77777777" w:rsidR="00877636" w:rsidRDefault="0087763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7" w:usb1="09070000" w:usb2="00000010" w:usb3="00000000" w:csb0="000A0003" w:csb1="00000000"/>
  </w:font>
  <w:font w:name="Cambria-BoldItalic">
    <w:altName w:val="Cambria"/>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77636" w:rsidRPr="00487162" w14:paraId="0ADD0F0B" w14:textId="77777777" w:rsidTr="00DB750B">
      <w:trPr>
        <w:trHeight w:val="269"/>
      </w:trPr>
      <w:tc>
        <w:tcPr>
          <w:tcW w:w="7371" w:type="dxa"/>
          <w:tcMar>
            <w:top w:w="142" w:type="dxa"/>
            <w:bottom w:w="0" w:type="dxa"/>
          </w:tcMar>
        </w:tcPr>
        <w:p w14:paraId="5CF1A49A" w14:textId="0441CA75" w:rsidR="00877636" w:rsidRPr="00487162" w:rsidRDefault="00877636" w:rsidP="00FC7E14">
          <w:pPr>
            <w:pStyle w:val="Footer"/>
          </w:pPr>
          <w:r w:rsidRPr="00487162">
            <w:t>AusPA</w:t>
          </w:r>
          <w:r>
            <w:t>R - Flucelvax Quad – quadrivalent influenza vaccine – Seqirus Pty Ltd – PM-2019-02591-1-2</w:t>
          </w:r>
          <w:r>
            <w:br/>
            <w:t>FINAL</w:t>
          </w:r>
          <w:r w:rsidRPr="00487162">
            <w:t xml:space="preserve"> </w:t>
          </w:r>
          <w:r>
            <w:t>17 December 2020</w:t>
          </w:r>
        </w:p>
      </w:tc>
      <w:tc>
        <w:tcPr>
          <w:tcW w:w="1490" w:type="dxa"/>
          <w:tcMar>
            <w:top w:w="142" w:type="dxa"/>
            <w:bottom w:w="0" w:type="dxa"/>
          </w:tcMar>
        </w:tcPr>
        <w:p w14:paraId="3D44938B" w14:textId="6DDF4E2C" w:rsidR="00877636" w:rsidRPr="00487162" w:rsidRDefault="00877636" w:rsidP="00DB750B">
          <w:pPr>
            <w:pStyle w:val="Footer"/>
            <w:jc w:val="right"/>
          </w:pPr>
          <w:r w:rsidRPr="00487162">
            <w:t xml:space="preserve">Page </w:t>
          </w:r>
          <w:r>
            <w:fldChar w:fldCharType="begin"/>
          </w:r>
          <w:r>
            <w:instrText xml:space="preserve"> PAGE  \* Arabic </w:instrText>
          </w:r>
          <w:r>
            <w:fldChar w:fldCharType="separate"/>
          </w:r>
          <w:r w:rsidR="001F37C8">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1F37C8">
            <w:rPr>
              <w:noProof/>
            </w:rPr>
            <w:t>38</w:t>
          </w:r>
          <w:r>
            <w:rPr>
              <w:noProof/>
            </w:rPr>
            <w:fldChar w:fldCharType="end"/>
          </w:r>
        </w:p>
      </w:tc>
    </w:tr>
  </w:tbl>
  <w:p w14:paraId="5D96E0C7" w14:textId="77777777" w:rsidR="00877636" w:rsidRDefault="0087763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77636" w:rsidRPr="00487162" w14:paraId="06A8EC69" w14:textId="77777777" w:rsidTr="00E45619">
      <w:trPr>
        <w:trHeight w:val="269"/>
      </w:trPr>
      <w:tc>
        <w:tcPr>
          <w:tcW w:w="4519" w:type="dxa"/>
          <w:tcBorders>
            <w:top w:val="single" w:sz="4" w:space="0" w:color="auto"/>
          </w:tcBorders>
          <w:tcMar>
            <w:top w:w="142" w:type="dxa"/>
            <w:bottom w:w="0" w:type="dxa"/>
          </w:tcMar>
        </w:tcPr>
        <w:p w14:paraId="4A68A242" w14:textId="77777777" w:rsidR="00877636" w:rsidRPr="00487162" w:rsidRDefault="00877636" w:rsidP="00FE1DEE">
          <w:pPr>
            <w:pStyle w:val="Footer"/>
          </w:pPr>
          <w:r w:rsidRPr="00487162">
            <w:t>Document title, Part #, Section # - Section title</w:t>
          </w:r>
        </w:p>
        <w:p w14:paraId="2B2592B9" w14:textId="77777777" w:rsidR="00877636" w:rsidRPr="00487162" w:rsidRDefault="00877636" w:rsidP="00FE1DEE">
          <w:pPr>
            <w:pStyle w:val="Footer"/>
          </w:pPr>
          <w:r w:rsidRPr="00487162">
            <w:t>V1.0 October 2010</w:t>
          </w:r>
        </w:p>
      </w:tc>
      <w:tc>
        <w:tcPr>
          <w:tcW w:w="4342" w:type="dxa"/>
          <w:tcBorders>
            <w:top w:val="single" w:sz="4" w:space="0" w:color="auto"/>
          </w:tcBorders>
          <w:tcMar>
            <w:top w:w="142" w:type="dxa"/>
            <w:bottom w:w="0" w:type="dxa"/>
          </w:tcMar>
        </w:tcPr>
        <w:p w14:paraId="5B7A8764" w14:textId="59A93970" w:rsidR="00877636" w:rsidRPr="00487162" w:rsidRDefault="00877636" w:rsidP="00E45619">
          <w:pPr>
            <w:pStyle w:val="Footer"/>
            <w:jc w:val="right"/>
          </w:pPr>
          <w:r w:rsidRPr="00487162">
            <w:t xml:space="preserve">Page </w:t>
          </w:r>
          <w:r>
            <w:fldChar w:fldCharType="begin"/>
          </w:r>
          <w:r>
            <w:instrText xml:space="preserve"> PAGE   \* MERGEFORMAT </w:instrText>
          </w:r>
          <w:r>
            <w:fldChar w:fldCharType="separate"/>
          </w:r>
          <w:r>
            <w:rPr>
              <w:noProof/>
            </w:rPr>
            <w:t>i</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37</w:t>
          </w:r>
          <w:r>
            <w:rPr>
              <w:noProof/>
            </w:rPr>
            <w:fldChar w:fldCharType="end"/>
          </w:r>
        </w:p>
      </w:tc>
    </w:tr>
  </w:tbl>
  <w:p w14:paraId="19822CE6" w14:textId="77777777" w:rsidR="00877636" w:rsidRDefault="00877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CA74A" w14:textId="77777777" w:rsidR="00877636" w:rsidRPr="001C32CD" w:rsidRDefault="0087763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77636" w14:paraId="41A2386A" w14:textId="77777777" w:rsidTr="0010601F">
      <w:trPr>
        <w:trHeight w:val="108"/>
      </w:trPr>
      <w:tc>
        <w:tcPr>
          <w:tcW w:w="8875" w:type="dxa"/>
          <w:gridSpan w:val="2"/>
          <w:tcBorders>
            <w:bottom w:val="single" w:sz="4" w:space="0" w:color="auto"/>
          </w:tcBorders>
          <w:tcMar>
            <w:right w:w="284" w:type="dxa"/>
          </w:tcMar>
        </w:tcPr>
        <w:p w14:paraId="5A2251A6" w14:textId="77777777" w:rsidR="00877636" w:rsidRDefault="00877636" w:rsidP="006E08B3">
          <w:pPr>
            <w:pStyle w:val="Heading3"/>
          </w:pPr>
          <w:r>
            <w:t>Copyright</w:t>
          </w:r>
        </w:p>
        <w:p w14:paraId="71A320FF" w14:textId="77777777" w:rsidR="00877636" w:rsidRDefault="00877636" w:rsidP="006E08B3">
          <w:r>
            <w:rPr>
              <w:rFonts w:cs="Arial"/>
            </w:rPr>
            <w:t>©</w:t>
          </w:r>
          <w:r>
            <w:t xml:space="preserve"> Commonwealth of Australia [add year]</w:t>
          </w:r>
        </w:p>
        <w:p w14:paraId="1A35D2B8" w14:textId="77777777" w:rsidR="00877636" w:rsidRDefault="00877636" w:rsidP="006E08B3"/>
        <w:p w14:paraId="1DE1AEE5" w14:textId="77777777" w:rsidR="00877636" w:rsidRDefault="0087763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5FF36B1" w14:textId="77777777" w:rsidR="00877636" w:rsidRDefault="00877636" w:rsidP="006E08B3"/>
        <w:p w14:paraId="5AE22AA5" w14:textId="77777777" w:rsidR="00877636" w:rsidRDefault="00877636" w:rsidP="006E08B3">
          <w:pPr>
            <w:pStyle w:val="Heading3"/>
          </w:pPr>
          <w:r>
            <w:t>Confidentiality</w:t>
          </w:r>
        </w:p>
        <w:p w14:paraId="318AF002" w14:textId="77777777" w:rsidR="00877636" w:rsidRDefault="0087763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A263E11" w14:textId="77777777" w:rsidR="00877636" w:rsidRDefault="00877636" w:rsidP="006E08B3"/>
        <w:p w14:paraId="6827D4A3" w14:textId="77777777" w:rsidR="00877636" w:rsidRDefault="00877636" w:rsidP="006E08B3">
          <w:r>
            <w:t>For submission made by individuals, all personal details, other than your name, will be removed from your submission before it is published on the TGA’s Internet site.</w:t>
          </w:r>
        </w:p>
        <w:p w14:paraId="5B154F79" w14:textId="77777777" w:rsidR="00877636" w:rsidRDefault="00877636" w:rsidP="006E08B3"/>
        <w:p w14:paraId="5B96C220" w14:textId="77777777" w:rsidR="00877636" w:rsidRDefault="00877636" w:rsidP="006E08B3">
          <w:r>
            <w:t>In addition, a list of parties making submissions will be published. If you do not wish to be identified with your submission you must specifically request this in the space provided ib the submission coversheet.</w:t>
          </w:r>
        </w:p>
      </w:tc>
    </w:tr>
    <w:tr w:rsidR="00877636" w14:paraId="61F105B9" w14:textId="77777777" w:rsidTr="0010601F">
      <w:trPr>
        <w:trHeight w:val="417"/>
      </w:trPr>
      <w:tc>
        <w:tcPr>
          <w:tcW w:w="4519" w:type="dxa"/>
          <w:tcBorders>
            <w:top w:val="single" w:sz="4" w:space="0" w:color="auto"/>
          </w:tcBorders>
          <w:tcMar>
            <w:top w:w="142" w:type="dxa"/>
            <w:bottom w:w="0" w:type="dxa"/>
          </w:tcMar>
        </w:tcPr>
        <w:p w14:paraId="075B1ED7" w14:textId="77777777" w:rsidR="00877636" w:rsidRDefault="00877636" w:rsidP="006E08B3">
          <w:r>
            <w:t>Document title, Part #, Section # - Section title</w:t>
          </w:r>
        </w:p>
        <w:p w14:paraId="4DBAD9E6" w14:textId="77777777" w:rsidR="00877636" w:rsidRDefault="00877636" w:rsidP="006E08B3">
          <w:r>
            <w:t>V1.0 October 2010</w:t>
          </w:r>
        </w:p>
      </w:tc>
      <w:tc>
        <w:tcPr>
          <w:tcW w:w="4356" w:type="dxa"/>
          <w:tcBorders>
            <w:top w:val="single" w:sz="4" w:space="0" w:color="auto"/>
          </w:tcBorders>
          <w:tcMar>
            <w:top w:w="142" w:type="dxa"/>
            <w:bottom w:w="0" w:type="dxa"/>
          </w:tcMar>
        </w:tcPr>
        <w:p w14:paraId="14462473" w14:textId="7CC166DE" w:rsidR="00877636" w:rsidRDefault="00877636"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37</w:t>
          </w:r>
          <w:r>
            <w:rPr>
              <w:noProof/>
            </w:rPr>
            <w:fldChar w:fldCharType="end"/>
          </w:r>
          <w:r>
            <w:t xml:space="preserve">  </w:t>
          </w:r>
        </w:p>
      </w:tc>
    </w:tr>
  </w:tbl>
  <w:p w14:paraId="76758204" w14:textId="77777777" w:rsidR="00877636" w:rsidRDefault="0087763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08327" w14:textId="77777777" w:rsidR="00877636" w:rsidRDefault="00877636" w:rsidP="00C40A36">
      <w:pPr>
        <w:spacing w:after="0"/>
      </w:pPr>
      <w:r>
        <w:separator/>
      </w:r>
    </w:p>
  </w:footnote>
  <w:footnote w:type="continuationSeparator" w:id="0">
    <w:p w14:paraId="14876E9B" w14:textId="77777777" w:rsidR="00877636" w:rsidRDefault="00877636" w:rsidP="00C40A36">
      <w:pPr>
        <w:spacing w:after="0"/>
      </w:pPr>
      <w:r>
        <w:continuationSeparator/>
      </w:r>
    </w:p>
  </w:footnote>
  <w:footnote w:id="1">
    <w:p w14:paraId="16BBCD86" w14:textId="77777777" w:rsidR="00877636" w:rsidRDefault="0087763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DC83F48" w14:textId="77777777" w:rsidR="00877636" w:rsidRDefault="00877636">
      <w:pPr>
        <w:pStyle w:val="FootnoteText"/>
      </w:pPr>
      <w:r>
        <w:rPr>
          <w:rStyle w:val="FootnoteReference"/>
        </w:rPr>
        <w:footnoteRef/>
      </w:r>
      <w:r>
        <w:t xml:space="preserve"> </w:t>
      </w:r>
      <w:r w:rsidRPr="00EB114F">
        <w:t xml:space="preserve">Fiore AE, Shay DK, Broder K, et al. Prevention and control of seasonal influenza with vaccines: recommendations of the Advisory Committee on Immunization Practices (ACIP), 2009. </w:t>
      </w:r>
      <w:r w:rsidRPr="00EB114F">
        <w:rPr>
          <w:i/>
        </w:rPr>
        <w:t>MMWR Recomm Rep</w:t>
      </w:r>
      <w:r w:rsidRPr="00EB114F">
        <w:t xml:space="preserve"> 2009</w:t>
      </w:r>
      <w:r>
        <w:t xml:space="preserve"> (58)</w:t>
      </w:r>
      <w:r w:rsidRPr="00EB114F">
        <w:t>:</w:t>
      </w:r>
      <w:r>
        <w:t xml:space="preserve"> </w:t>
      </w:r>
      <w:r w:rsidRPr="00EB114F">
        <w:t>1-52.</w:t>
      </w:r>
    </w:p>
  </w:footnote>
  <w:footnote w:id="3">
    <w:p w14:paraId="46309070" w14:textId="77777777" w:rsidR="00877636" w:rsidRDefault="00877636">
      <w:pPr>
        <w:pStyle w:val="FootnoteText"/>
      </w:pPr>
      <w:r>
        <w:rPr>
          <w:rStyle w:val="FootnoteReference"/>
        </w:rPr>
        <w:footnoteRef/>
      </w:r>
      <w:r>
        <w:t xml:space="preserve"> </w:t>
      </w:r>
      <w:r w:rsidRPr="00EB114F">
        <w:t xml:space="preserve">Rothberg MB, Haessler SD, Brown RB. Complications of viral influenza. </w:t>
      </w:r>
      <w:r w:rsidRPr="00EB114F">
        <w:rPr>
          <w:i/>
        </w:rPr>
        <w:t>Am J Med</w:t>
      </w:r>
      <w:r>
        <w:t xml:space="preserve"> 2008 (</w:t>
      </w:r>
      <w:r w:rsidRPr="00EB114F">
        <w:t>121</w:t>
      </w:r>
      <w:r>
        <w:t>):</w:t>
      </w:r>
      <w:r w:rsidRPr="00EB114F">
        <w:t>258-64.</w:t>
      </w:r>
    </w:p>
  </w:footnote>
  <w:footnote w:id="4">
    <w:p w14:paraId="5021E603" w14:textId="77777777" w:rsidR="00877636" w:rsidRDefault="00877636">
      <w:pPr>
        <w:pStyle w:val="FootnoteText"/>
      </w:pPr>
      <w:r>
        <w:rPr>
          <w:rStyle w:val="FootnoteReference"/>
        </w:rPr>
        <w:footnoteRef/>
      </w:r>
      <w:r>
        <w:t xml:space="preserve"> </w:t>
      </w:r>
      <w:r w:rsidRPr="00EB114F">
        <w:t xml:space="preserve">Belshe, RB. The need for quadrivalent vaccine against seasonal influenza. </w:t>
      </w:r>
      <w:r w:rsidRPr="00EB114F">
        <w:rPr>
          <w:i/>
        </w:rPr>
        <w:t>Vaccine</w:t>
      </w:r>
      <w:r>
        <w:t xml:space="preserve"> 2010 (</w:t>
      </w:r>
      <w:r w:rsidRPr="00EB114F">
        <w:t>28</w:t>
      </w:r>
      <w:r>
        <w:t xml:space="preserve">): </w:t>
      </w:r>
      <w:r w:rsidRPr="00EB114F">
        <w:t>D45-53.</w:t>
      </w:r>
    </w:p>
  </w:footnote>
  <w:footnote w:id="5">
    <w:p w14:paraId="3F81EC50" w14:textId="77777777" w:rsidR="00877636" w:rsidRDefault="00877636">
      <w:pPr>
        <w:pStyle w:val="FootnoteText"/>
      </w:pPr>
      <w:r>
        <w:rPr>
          <w:rStyle w:val="FootnoteReference"/>
        </w:rPr>
        <w:footnoteRef/>
      </w:r>
      <w:r>
        <w:t xml:space="preserve"> </w:t>
      </w:r>
      <w:r w:rsidRPr="00EB114F">
        <w:t xml:space="preserve">Ambrose CS, Levin MJ. The rationale for quadrivalent influenza vaccines. </w:t>
      </w:r>
      <w:r w:rsidRPr="00EB114F">
        <w:rPr>
          <w:i/>
        </w:rPr>
        <w:t>Hum Vaccin Immunother</w:t>
      </w:r>
      <w:r>
        <w:t xml:space="preserve"> 2012; (8)</w:t>
      </w:r>
      <w:r w:rsidRPr="00EB114F">
        <w:t>:81-8.</w:t>
      </w:r>
    </w:p>
  </w:footnote>
  <w:footnote w:id="6">
    <w:p w14:paraId="6D754EC8" w14:textId="0DE72D69" w:rsidR="00877636" w:rsidRPr="0064386B" w:rsidRDefault="00877636">
      <w:pPr>
        <w:pStyle w:val="FootnoteText"/>
        <w:rPr>
          <w:lang w:val="en-US"/>
        </w:rPr>
      </w:pPr>
      <w:r>
        <w:rPr>
          <w:rStyle w:val="FootnoteReference"/>
        </w:rPr>
        <w:footnoteRef/>
      </w:r>
      <w:r>
        <w:t xml:space="preserve"> A Category 3 application relates to</w:t>
      </w:r>
      <w:r w:rsidRPr="00DB0243">
        <w:t xml:space="preserve"> changes to the quality data of medicines already included on the Australian Register of Therapeutic Goods (ARTG) which, in the opinion of the TGA, do not need to be supported by clinical, non-clinical or bioequivalence data.</w:t>
      </w:r>
    </w:p>
  </w:footnote>
  <w:footnote w:id="7">
    <w:p w14:paraId="40BB9BC7" w14:textId="14C8525B" w:rsidR="00877636" w:rsidRPr="00B12907" w:rsidRDefault="00877636" w:rsidP="00B12907">
      <w:pPr>
        <w:pStyle w:val="FootnoteText"/>
      </w:pPr>
      <w:r>
        <w:rPr>
          <w:rStyle w:val="FootnoteReference"/>
        </w:rPr>
        <w:footnoteRef/>
      </w:r>
      <w:r>
        <w:t xml:space="preserve"> </w:t>
      </w:r>
      <w:r w:rsidRPr="0064386B">
        <w:rPr>
          <w:b/>
        </w:rPr>
        <w:t>EMA/CHMP/VWP/457259/2014</w:t>
      </w:r>
      <w:r>
        <w:t>: European Medicine Agency Guideline on Influenza Vaccines, Non-clinical and Clinical Module.</w:t>
      </w:r>
    </w:p>
  </w:footnote>
  <w:footnote w:id="8">
    <w:p w14:paraId="7ECD1E5F" w14:textId="52A19226" w:rsidR="00877636" w:rsidRDefault="00877636">
      <w:pPr>
        <w:pStyle w:val="FootnoteText"/>
      </w:pPr>
      <w:r>
        <w:rPr>
          <w:rStyle w:val="FootnoteReference"/>
        </w:rPr>
        <w:footnoteRef/>
      </w:r>
      <w:r>
        <w:t xml:space="preserve"> </w:t>
      </w:r>
      <w:r w:rsidRPr="00564DAA">
        <w:rPr>
          <w:b/>
          <w:lang w:eastAsia="ja-JP"/>
        </w:rPr>
        <w:t>CPMP/ICH/295/95</w:t>
      </w:r>
      <w:r>
        <w:rPr>
          <w:b/>
          <w:lang w:eastAsia="ja-JP"/>
        </w:rPr>
        <w:t xml:space="preserve">, </w:t>
      </w:r>
      <w:r>
        <w:rPr>
          <w:lang w:eastAsia="ja-JP"/>
        </w:rPr>
        <w:t xml:space="preserve">EMEA, Committee for Proprietary Medicinal Products (CPMP), 2005. </w:t>
      </w:r>
      <w:r w:rsidRPr="002278A1">
        <w:t>Guideline on clinical evaluation of vaccines</w:t>
      </w:r>
      <w:r>
        <w:t>.</w:t>
      </w:r>
    </w:p>
  </w:footnote>
  <w:footnote w:id="9">
    <w:p w14:paraId="1B3B3065" w14:textId="36C43E85" w:rsidR="00877636" w:rsidRDefault="00877636">
      <w:pPr>
        <w:pStyle w:val="FootnoteText"/>
      </w:pPr>
      <w:r>
        <w:rPr>
          <w:rStyle w:val="FootnoteReference"/>
        </w:rPr>
        <w:footnoteRef/>
      </w:r>
      <w:r>
        <w:t xml:space="preserve"> </w:t>
      </w:r>
      <w:r w:rsidRPr="0070370A">
        <w:t>F</w:t>
      </w:r>
      <w:r>
        <w:t>luvirin</w:t>
      </w:r>
      <w:r w:rsidRPr="0070370A">
        <w:t xml:space="preserve"> inactivated influenza vaccine (surface antigen)</w:t>
      </w:r>
      <w:r>
        <w:t xml:space="preserve"> registered in Australia on 28 January 2003, ARTG 92695.</w:t>
      </w:r>
    </w:p>
  </w:footnote>
  <w:footnote w:id="10">
    <w:p w14:paraId="1E13215E" w14:textId="77777777" w:rsidR="00877636" w:rsidRDefault="00877636"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EF3DA8E" w14:textId="77777777" w:rsidR="00877636" w:rsidRDefault="00877636" w:rsidP="007D53B6">
      <w:pPr>
        <w:pStyle w:val="FootnoteText"/>
      </w:pPr>
      <w:r w:rsidRPr="007D53B6">
        <w:rPr>
          <w:i/>
        </w:rPr>
        <w:t>Routine pharmacovigilance</w:t>
      </w:r>
      <w:r>
        <w:t xml:space="preserve"> practices involve the following activities:</w:t>
      </w:r>
    </w:p>
    <w:p w14:paraId="4C145765" w14:textId="77777777" w:rsidR="00877636" w:rsidRDefault="00877636" w:rsidP="007D53B6">
      <w:pPr>
        <w:pStyle w:val="FootnoteText"/>
        <w:numPr>
          <w:ilvl w:val="0"/>
          <w:numId w:val="32"/>
        </w:numPr>
        <w:ind w:left="284" w:hanging="284"/>
      </w:pPr>
      <w:r>
        <w:t>All suspected adverse reactions that are reported to the personnel of the company are collected and collated in an accessible manner;</w:t>
      </w:r>
    </w:p>
    <w:p w14:paraId="4369A76A" w14:textId="77777777" w:rsidR="00877636" w:rsidRDefault="00877636" w:rsidP="007D53B6">
      <w:pPr>
        <w:pStyle w:val="FootnoteText"/>
        <w:numPr>
          <w:ilvl w:val="0"/>
          <w:numId w:val="32"/>
        </w:numPr>
        <w:ind w:left="284" w:hanging="284"/>
      </w:pPr>
      <w:r>
        <w:t>Reporting to regulatory authorities;</w:t>
      </w:r>
    </w:p>
    <w:p w14:paraId="474872A9" w14:textId="77777777" w:rsidR="00877636" w:rsidRDefault="00877636" w:rsidP="007D53B6">
      <w:pPr>
        <w:pStyle w:val="FootnoteText"/>
        <w:numPr>
          <w:ilvl w:val="0"/>
          <w:numId w:val="32"/>
        </w:numPr>
        <w:ind w:left="284" w:hanging="284"/>
      </w:pPr>
      <w:r>
        <w:t>Continuous monitoring of the safety profiles of approved products including signal detection and updating of labelling;</w:t>
      </w:r>
    </w:p>
    <w:p w14:paraId="41639F7A" w14:textId="77777777" w:rsidR="00877636" w:rsidRDefault="00877636" w:rsidP="007D53B6">
      <w:pPr>
        <w:pStyle w:val="FootnoteText"/>
        <w:numPr>
          <w:ilvl w:val="0"/>
          <w:numId w:val="32"/>
        </w:numPr>
        <w:ind w:left="284" w:hanging="284"/>
      </w:pPr>
      <w:r>
        <w:t>Submission of PSURs;</w:t>
      </w:r>
    </w:p>
    <w:p w14:paraId="25E9DC3F" w14:textId="77777777" w:rsidR="00877636" w:rsidRDefault="00877636" w:rsidP="007D53B6">
      <w:pPr>
        <w:pStyle w:val="FootnoteText"/>
        <w:numPr>
          <w:ilvl w:val="0"/>
          <w:numId w:val="32"/>
        </w:numPr>
        <w:ind w:left="284" w:hanging="284"/>
      </w:pPr>
      <w:r>
        <w:t>Meeting other local regulatory agency requirements.</w:t>
      </w:r>
    </w:p>
  </w:footnote>
  <w:footnote w:id="11">
    <w:p w14:paraId="0F21C46F" w14:textId="09D05708" w:rsidR="00877636" w:rsidRPr="00EB5B4B" w:rsidRDefault="00877636" w:rsidP="00EB5B4B">
      <w:pPr>
        <w:autoSpaceDE w:val="0"/>
        <w:autoSpaceDN w:val="0"/>
        <w:adjustRightInd w:val="0"/>
        <w:spacing w:before="0" w:after="0" w:line="240" w:lineRule="auto"/>
        <w:rPr>
          <w:rFonts w:asciiTheme="minorHAnsi" w:eastAsiaTheme="minorHAnsi" w:hAnsiTheme="minorHAnsi" w:cs="TimesNewRoman"/>
          <w:color w:val="000000" w:themeColor="text1"/>
          <w:sz w:val="18"/>
          <w:szCs w:val="18"/>
        </w:rPr>
      </w:pPr>
      <w:r>
        <w:rPr>
          <w:rStyle w:val="FootnoteReference"/>
        </w:rPr>
        <w:footnoteRef/>
      </w:r>
      <w:r>
        <w:t xml:space="preserve"> </w:t>
      </w:r>
      <w:r w:rsidRPr="005817BF">
        <w:rPr>
          <w:rFonts w:asciiTheme="minorHAnsi" w:eastAsiaTheme="minorHAnsi" w:hAnsiTheme="minorHAnsi" w:cs="TimesNewRoman"/>
          <w:b/>
          <w:color w:val="000000" w:themeColor="text1"/>
          <w:sz w:val="18"/>
          <w:szCs w:val="18"/>
        </w:rPr>
        <w:t>CPMP/BWP/214/96</w:t>
      </w:r>
      <w:r w:rsidRPr="005817BF">
        <w:rPr>
          <w:rFonts w:asciiTheme="minorHAnsi" w:eastAsiaTheme="minorHAnsi" w:hAnsiTheme="minorHAnsi" w:cs="TimesNewRoman"/>
          <w:color w:val="000000" w:themeColor="text1"/>
          <w:sz w:val="18"/>
          <w:szCs w:val="18"/>
        </w:rPr>
        <w:t>. Note for guidance on harmonisation of requirements for influenza vaccines. Committee for Proprietary Medicinal Products (CPMP), March 1997 CPMP/EWP/463/97. Guideline On Clinical Evaluation Of New Vaccines. Committee for</w:t>
      </w:r>
      <w:r>
        <w:rPr>
          <w:rFonts w:asciiTheme="minorHAnsi" w:eastAsiaTheme="minorHAnsi" w:hAnsiTheme="minorHAnsi" w:cs="TimesNewRoman"/>
          <w:color w:val="000000" w:themeColor="text1"/>
          <w:sz w:val="18"/>
          <w:szCs w:val="18"/>
        </w:rPr>
        <w:t xml:space="preserve"> </w:t>
      </w:r>
      <w:r w:rsidRPr="005817BF">
        <w:rPr>
          <w:rFonts w:asciiTheme="minorHAnsi" w:eastAsiaTheme="minorHAnsi" w:hAnsiTheme="minorHAnsi" w:cs="TimesNewRoman"/>
          <w:color w:val="000000" w:themeColor="text1"/>
          <w:sz w:val="18"/>
          <w:szCs w:val="18"/>
        </w:rPr>
        <w:t xml:space="preserve">Medicinal Products </w:t>
      </w:r>
      <w:r>
        <w:rPr>
          <w:rFonts w:asciiTheme="minorHAnsi" w:eastAsiaTheme="minorHAnsi" w:hAnsiTheme="minorHAnsi" w:cs="TimesNewRoman"/>
          <w:color w:val="000000" w:themeColor="text1"/>
          <w:sz w:val="18"/>
          <w:szCs w:val="18"/>
        </w:rPr>
        <w:t>for Human Use (CHMP), May 1999.</w:t>
      </w:r>
    </w:p>
  </w:footnote>
  <w:footnote w:id="12">
    <w:p w14:paraId="49232255" w14:textId="00D8333F" w:rsidR="00877636" w:rsidRPr="00EB5B4B" w:rsidRDefault="00877636" w:rsidP="00EB5B4B">
      <w:pPr>
        <w:autoSpaceDE w:val="0"/>
        <w:autoSpaceDN w:val="0"/>
        <w:adjustRightInd w:val="0"/>
        <w:spacing w:before="0" w:after="0" w:line="240" w:lineRule="auto"/>
        <w:rPr>
          <w:rFonts w:asciiTheme="minorHAnsi" w:eastAsiaTheme="minorHAnsi" w:hAnsiTheme="minorHAnsi"/>
          <w:sz w:val="18"/>
          <w:szCs w:val="18"/>
        </w:rPr>
      </w:pPr>
      <w:r>
        <w:rPr>
          <w:rStyle w:val="FootnoteReference"/>
        </w:rPr>
        <w:footnoteRef/>
      </w:r>
      <w:r>
        <w:t xml:space="preserve"> </w:t>
      </w:r>
      <w:r w:rsidRPr="00056669">
        <w:rPr>
          <w:rFonts w:asciiTheme="minorHAnsi" w:eastAsiaTheme="minorHAnsi" w:hAnsiTheme="minorHAnsi"/>
          <w:b/>
          <w:sz w:val="18"/>
          <w:szCs w:val="18"/>
        </w:rPr>
        <w:t>EMA/CHMP/VWP/457259/2014</w:t>
      </w:r>
      <w:r w:rsidRPr="00056669">
        <w:rPr>
          <w:rFonts w:asciiTheme="minorHAnsi" w:eastAsiaTheme="minorHAnsi" w:hAnsiTheme="minorHAnsi"/>
          <w:sz w:val="18"/>
          <w:szCs w:val="18"/>
        </w:rPr>
        <w:t>. Guideline on influenza vaccines: non-clinical an</w:t>
      </w:r>
      <w:r>
        <w:rPr>
          <w:rFonts w:asciiTheme="minorHAnsi" w:eastAsiaTheme="minorHAnsi" w:hAnsiTheme="minorHAnsi"/>
          <w:sz w:val="18"/>
          <w:szCs w:val="18"/>
        </w:rPr>
        <w:t>d clinical module, 21 July 2016</w:t>
      </w:r>
    </w:p>
  </w:footnote>
  <w:footnote w:id="13">
    <w:p w14:paraId="4C14B7B8" w14:textId="23687FC5" w:rsidR="00877636" w:rsidRDefault="00877636">
      <w:pPr>
        <w:pStyle w:val="FootnoteText"/>
      </w:pPr>
      <w:r>
        <w:rPr>
          <w:rStyle w:val="FootnoteReference"/>
        </w:rPr>
        <w:footnoteRef/>
      </w:r>
      <w:r>
        <w:t xml:space="preserve"> Pregnancy Category A: </w:t>
      </w:r>
      <w:r w:rsidRPr="00E64B7F">
        <w:t>Drugs which have been taken by a large number of pregnant women and women of childbearing age without any proven increase in the frequency of malformations or other direct or indirect harmful effects on the fetus having been observed.</w:t>
      </w:r>
    </w:p>
  </w:footnote>
  <w:footnote w:id="14">
    <w:p w14:paraId="5F7271F6" w14:textId="4C4AEB5E" w:rsidR="00877636" w:rsidRDefault="00877636">
      <w:pPr>
        <w:pStyle w:val="FootnoteText"/>
      </w:pPr>
      <w:r>
        <w:rPr>
          <w:rStyle w:val="FootnoteReference"/>
        </w:rPr>
        <w:footnoteRef/>
      </w:r>
      <w:r>
        <w:t xml:space="preserve"> </w:t>
      </w:r>
      <w:r w:rsidRPr="00482B8D">
        <w:t>Australian Immunisation Handbook April 2020. Access via immunisationhandbook.health.gov.au</w:t>
      </w:r>
    </w:p>
  </w:footnote>
  <w:footnote w:id="15">
    <w:p w14:paraId="3010D1ED" w14:textId="12CDC2D3" w:rsidR="00877636" w:rsidRDefault="00877636">
      <w:pPr>
        <w:pStyle w:val="FootnoteText"/>
      </w:pPr>
      <w:r>
        <w:rPr>
          <w:rStyle w:val="FootnoteReference"/>
        </w:rPr>
        <w:footnoteRef/>
      </w:r>
      <w:r>
        <w:t xml:space="preserve"> </w:t>
      </w:r>
      <w:r w:rsidRPr="00482B8D">
        <w:t>FDA</w:t>
      </w:r>
      <w:r>
        <w:t xml:space="preserve"> post-approval pregnancy safety studies guidance for i</w:t>
      </w:r>
      <w:r w:rsidRPr="00482B8D">
        <w:t xml:space="preserve">ndustry </w:t>
      </w:r>
      <w:r>
        <w:t>Access via.fda.gov</w:t>
      </w:r>
    </w:p>
  </w:footnote>
  <w:footnote w:id="16">
    <w:p w14:paraId="139D0C3D" w14:textId="77777777" w:rsidR="00877636" w:rsidRDefault="00877636" w:rsidP="00F90622">
      <w:pPr>
        <w:pStyle w:val="FootnoteText"/>
        <w:spacing w:before="120" w:after="120"/>
        <w:rPr>
          <w:lang w:eastAsia="ja-JP"/>
        </w:rPr>
      </w:pPr>
      <w:r>
        <w:rPr>
          <w:rStyle w:val="FootnoteReference"/>
        </w:rPr>
        <w:footnoteRef/>
      </w:r>
      <w:r>
        <w:t xml:space="preserve"> </w:t>
      </w:r>
      <w:r>
        <w:rPr>
          <w:lang w:eastAsia="ja-JP"/>
        </w:rPr>
        <w:t xml:space="preserve">The </w:t>
      </w:r>
      <w:r w:rsidRPr="007D53B6">
        <w:rPr>
          <w:b/>
          <w:lang w:eastAsia="ja-JP"/>
        </w:rPr>
        <w:t>Advisory Committee on Vaccines (ACV)</w:t>
      </w:r>
      <w:r>
        <w:rPr>
          <w:lang w:eastAsia="ja-JP"/>
        </w:rP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0AEB4CE4" w14:textId="77777777" w:rsidR="00877636" w:rsidRDefault="00877636" w:rsidP="00F90622">
      <w:pPr>
        <w:pStyle w:val="FootnoteText"/>
        <w:spacing w:before="120" w:after="120"/>
        <w:rPr>
          <w:lang w:eastAsia="ja-JP"/>
        </w:rPr>
      </w:pPr>
      <w:r>
        <w:rPr>
          <w:lang w:eastAsia="ja-JP"/>
        </w:rPr>
        <w:t>The Committee is established under Regulation 39F of the Therapeutic Goods Regulations 1990 and the members are appointed by the Minister for Health.</w:t>
      </w:r>
    </w:p>
    <w:p w14:paraId="7FF17A4D" w14:textId="77777777" w:rsidR="00877636" w:rsidRDefault="00877636" w:rsidP="00F90622">
      <w:pPr>
        <w:pStyle w:val="FootnoteText"/>
        <w:spacing w:before="120" w:after="120"/>
        <w:rPr>
          <w:lang w:eastAsia="ja-JP"/>
        </w:rPr>
      </w:pPr>
      <w:r>
        <w:rPr>
          <w:lang w:eastAsia="ja-JP"/>
        </w:rPr>
        <w:t>The ACV was established in January 2017, following consolidation of previous functions of the Advisory Committee on the Safety of Vaccines (ACSOV) and the pre-market functions for vaccines of the Advisory Committee on Prescription Medicines (ACPM).</w:t>
      </w:r>
    </w:p>
    <w:p w14:paraId="13187546" w14:textId="67F2776D" w:rsidR="00877636" w:rsidRPr="00F90622" w:rsidRDefault="00877636" w:rsidP="00F90622">
      <w:pPr>
        <w:pStyle w:val="FootnoteText"/>
        <w:spacing w:before="120" w:after="120"/>
        <w:rPr>
          <w:lang w:eastAsia="ja-JP"/>
        </w:rPr>
      </w:pPr>
      <w:r>
        <w:rPr>
          <w:lang w:eastAsia="ja-JP"/>
        </w:rPr>
        <w:t>Membership comprises professionals with expertise in specific scientific, medical or clinical fields, or consumer health issues</w:t>
      </w:r>
      <w:r>
        <w:t>.</w:t>
      </w:r>
    </w:p>
  </w:footnote>
  <w:footnote w:id="17">
    <w:p w14:paraId="7E683E83" w14:textId="49EB29DF" w:rsidR="00877636" w:rsidRDefault="00877636" w:rsidP="00E64B7F">
      <w:pPr>
        <w:pStyle w:val="FootnoteText"/>
      </w:pPr>
      <w:r>
        <w:rPr>
          <w:rStyle w:val="FootnoteReference"/>
        </w:rPr>
        <w:footnoteRef/>
      </w:r>
      <w:r>
        <w:t xml:space="preserve"> Pregnancy Category B1: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4BF7" w14:textId="77777777" w:rsidR="00877636" w:rsidRDefault="0087763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1853F" w14:textId="77777777" w:rsidR="00877636" w:rsidRDefault="00877636">
    <w:pPr>
      <w:rPr>
        <w:noProof/>
        <w:lang w:eastAsia="en-AU"/>
      </w:rPr>
    </w:pPr>
    <w:r w:rsidRPr="00347824">
      <w:rPr>
        <w:noProof/>
        <w:lang w:eastAsia="en-AU"/>
      </w:rPr>
      <w:drawing>
        <wp:anchor distT="0" distB="0" distL="114300" distR="114300" simplePos="0" relativeHeight="251658752" behindDoc="1" locked="0" layoutInCell="1" allowOverlap="1" wp14:anchorId="09C8A0B0" wp14:editId="70C927DF">
          <wp:simplePos x="0" y="0"/>
          <wp:positionH relativeFrom="column">
            <wp:posOffset>-1089660</wp:posOffset>
          </wp:positionH>
          <wp:positionV relativeFrom="paragraph">
            <wp:posOffset>-585470</wp:posOffset>
          </wp:positionV>
          <wp:extent cx="7572375" cy="10706100"/>
          <wp:effectExtent l="19050" t="0" r="0" b="0"/>
          <wp:wrapNone/>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B61A8EB" w14:textId="7DA90D9E" w:rsidR="00877636" w:rsidRDefault="00877636"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6D7D7" w14:textId="77777777" w:rsidR="00877636" w:rsidRDefault="008776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C7F6D" w14:textId="77777777" w:rsidR="00877636" w:rsidRDefault="0087763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8680" w14:textId="77777777" w:rsidR="00877636" w:rsidRDefault="0087763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B37DA" w14:textId="77777777" w:rsidR="00877636" w:rsidRDefault="008776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531DA" w14:textId="77777777" w:rsidR="00877636" w:rsidRDefault="0087763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755A" w14:textId="77777777" w:rsidR="00877636" w:rsidRDefault="00877636" w:rsidP="006E08B3">
    <w:r>
      <w:t>Therapeutic Goods Administration</w:t>
    </w:r>
  </w:p>
  <w:p w14:paraId="14A7E04E" w14:textId="77777777" w:rsidR="00877636" w:rsidRDefault="00877636"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C5601B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932EB4"/>
    <w:multiLevelType w:val="hybridMultilevel"/>
    <w:tmpl w:val="B352C0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85186188"/>
    <w:styleLink w:val="ListBullets"/>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C4F29EA"/>
    <w:multiLevelType w:val="hybridMultilevel"/>
    <w:tmpl w:val="F7EC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987F3F"/>
    <w:multiLevelType w:val="hybridMultilevel"/>
    <w:tmpl w:val="AA4A8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574E61"/>
    <w:multiLevelType w:val="hybridMultilevel"/>
    <w:tmpl w:val="DEA04D4C"/>
    <w:lvl w:ilvl="0" w:tplc="C2DE4BD6">
      <w:start w:val="1"/>
      <w:numFmt w:val="bullet"/>
      <w:pStyle w:val="ListBullet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A1E5C38"/>
    <w:multiLevelType w:val="hybridMultilevel"/>
    <w:tmpl w:val="2DB27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lvlOverride w:ilvl="0">
      <w:lvl w:ilvl="0">
        <w:start w:val="1"/>
        <w:numFmt w:val="bullet"/>
        <w:pStyle w:val="ListBullet"/>
        <w:lvlText w:val="•"/>
        <w:lvlJc w:val="left"/>
        <w:pPr>
          <w:ind w:left="360" w:hanging="360"/>
        </w:pPr>
        <w:rPr>
          <w:rFonts w:ascii="Arial" w:hAnsi="Aria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8"/>
  </w:num>
  <w:num w:numId="29">
    <w:abstractNumId w:val="7"/>
  </w:num>
  <w:num w:numId="30">
    <w:abstractNumId w:val="13"/>
  </w:num>
  <w:num w:numId="31">
    <w:abstractNumId w:val="4"/>
  </w:num>
  <w:num w:numId="32">
    <w:abstractNumId w:val="16"/>
  </w:num>
  <w:num w:numId="33">
    <w:abstractNumId w:val="11"/>
  </w:num>
  <w:num w:numId="34">
    <w:abstractNumId w:val="10"/>
  </w:num>
  <w:num w:numId="35">
    <w:abstractNumId w:val="5"/>
  </w:num>
  <w:num w:numId="36">
    <w:abstractNumId w:val="17"/>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2"/>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1E4"/>
    <w:rsid w:val="00002031"/>
    <w:rsid w:val="00004734"/>
    <w:rsid w:val="00006B22"/>
    <w:rsid w:val="00006FAB"/>
    <w:rsid w:val="00007D7D"/>
    <w:rsid w:val="0001276A"/>
    <w:rsid w:val="000131E4"/>
    <w:rsid w:val="00020F5B"/>
    <w:rsid w:val="000246AE"/>
    <w:rsid w:val="00025C67"/>
    <w:rsid w:val="00044772"/>
    <w:rsid w:val="0004541C"/>
    <w:rsid w:val="00047A60"/>
    <w:rsid w:val="0005559E"/>
    <w:rsid w:val="000604D6"/>
    <w:rsid w:val="00060B6D"/>
    <w:rsid w:val="00062421"/>
    <w:rsid w:val="00067B23"/>
    <w:rsid w:val="000734D8"/>
    <w:rsid w:val="00077775"/>
    <w:rsid w:val="00077EEA"/>
    <w:rsid w:val="00082167"/>
    <w:rsid w:val="00085E9C"/>
    <w:rsid w:val="00090471"/>
    <w:rsid w:val="00096AA7"/>
    <w:rsid w:val="000A3AED"/>
    <w:rsid w:val="000A3E9C"/>
    <w:rsid w:val="000B3532"/>
    <w:rsid w:val="000B3A75"/>
    <w:rsid w:val="000B4705"/>
    <w:rsid w:val="000C00C2"/>
    <w:rsid w:val="000C4658"/>
    <w:rsid w:val="000C690F"/>
    <w:rsid w:val="000D1295"/>
    <w:rsid w:val="000D391B"/>
    <w:rsid w:val="000D3D6D"/>
    <w:rsid w:val="000D4FC7"/>
    <w:rsid w:val="000E48FD"/>
    <w:rsid w:val="000E6196"/>
    <w:rsid w:val="000F4869"/>
    <w:rsid w:val="000F5B42"/>
    <w:rsid w:val="000F6E6F"/>
    <w:rsid w:val="0010601F"/>
    <w:rsid w:val="0010788A"/>
    <w:rsid w:val="00107A31"/>
    <w:rsid w:val="00110EA5"/>
    <w:rsid w:val="00112F56"/>
    <w:rsid w:val="001233AA"/>
    <w:rsid w:val="0012347D"/>
    <w:rsid w:val="00124ACD"/>
    <w:rsid w:val="00125318"/>
    <w:rsid w:val="001305A2"/>
    <w:rsid w:val="00133238"/>
    <w:rsid w:val="00133A1B"/>
    <w:rsid w:val="001340B7"/>
    <w:rsid w:val="0014197B"/>
    <w:rsid w:val="001447CD"/>
    <w:rsid w:val="00145CC4"/>
    <w:rsid w:val="00145EB1"/>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2CEE"/>
    <w:rsid w:val="001F37C8"/>
    <w:rsid w:val="001F49EB"/>
    <w:rsid w:val="001F6CBA"/>
    <w:rsid w:val="00201D4E"/>
    <w:rsid w:val="00202009"/>
    <w:rsid w:val="002025F9"/>
    <w:rsid w:val="002076C9"/>
    <w:rsid w:val="002117AE"/>
    <w:rsid w:val="00220B8A"/>
    <w:rsid w:val="002257F3"/>
    <w:rsid w:val="002278A1"/>
    <w:rsid w:val="00233456"/>
    <w:rsid w:val="002339A5"/>
    <w:rsid w:val="00247FD9"/>
    <w:rsid w:val="00250271"/>
    <w:rsid w:val="00257848"/>
    <w:rsid w:val="002578E8"/>
    <w:rsid w:val="00257CBE"/>
    <w:rsid w:val="002651CA"/>
    <w:rsid w:val="0027084A"/>
    <w:rsid w:val="00280265"/>
    <w:rsid w:val="0028228E"/>
    <w:rsid w:val="00286434"/>
    <w:rsid w:val="00286C59"/>
    <w:rsid w:val="00291957"/>
    <w:rsid w:val="002942D1"/>
    <w:rsid w:val="0029501A"/>
    <w:rsid w:val="002A3721"/>
    <w:rsid w:val="002A4557"/>
    <w:rsid w:val="002B1638"/>
    <w:rsid w:val="002B3624"/>
    <w:rsid w:val="002D0952"/>
    <w:rsid w:val="002D6321"/>
    <w:rsid w:val="002E35A3"/>
    <w:rsid w:val="002E40B3"/>
    <w:rsid w:val="002E4C9A"/>
    <w:rsid w:val="002F11F8"/>
    <w:rsid w:val="002F3F56"/>
    <w:rsid w:val="002F3FE1"/>
    <w:rsid w:val="002F44B5"/>
    <w:rsid w:val="002F5122"/>
    <w:rsid w:val="00311AC0"/>
    <w:rsid w:val="003176FC"/>
    <w:rsid w:val="0032583B"/>
    <w:rsid w:val="00327883"/>
    <w:rsid w:val="0033017A"/>
    <w:rsid w:val="00331F5E"/>
    <w:rsid w:val="00335504"/>
    <w:rsid w:val="00340C18"/>
    <w:rsid w:val="003442FD"/>
    <w:rsid w:val="003461DF"/>
    <w:rsid w:val="00347824"/>
    <w:rsid w:val="00350567"/>
    <w:rsid w:val="003521E8"/>
    <w:rsid w:val="00357298"/>
    <w:rsid w:val="00370CE3"/>
    <w:rsid w:val="003728F3"/>
    <w:rsid w:val="003735BC"/>
    <w:rsid w:val="0037496E"/>
    <w:rsid w:val="00375E45"/>
    <w:rsid w:val="00383221"/>
    <w:rsid w:val="00384A28"/>
    <w:rsid w:val="00386150"/>
    <w:rsid w:val="003874CE"/>
    <w:rsid w:val="00390900"/>
    <w:rsid w:val="003A56FF"/>
    <w:rsid w:val="003A7F6C"/>
    <w:rsid w:val="003B4978"/>
    <w:rsid w:val="003B4D60"/>
    <w:rsid w:val="003B5D28"/>
    <w:rsid w:val="003B7E39"/>
    <w:rsid w:val="003C45E3"/>
    <w:rsid w:val="003C58DC"/>
    <w:rsid w:val="003D0316"/>
    <w:rsid w:val="003D1E62"/>
    <w:rsid w:val="003E0B99"/>
    <w:rsid w:val="003E1F59"/>
    <w:rsid w:val="003E2486"/>
    <w:rsid w:val="003E3208"/>
    <w:rsid w:val="003F0B04"/>
    <w:rsid w:val="003F49DC"/>
    <w:rsid w:val="0040134E"/>
    <w:rsid w:val="004334C7"/>
    <w:rsid w:val="00434DB7"/>
    <w:rsid w:val="004407EA"/>
    <w:rsid w:val="00440A2D"/>
    <w:rsid w:val="00441C3F"/>
    <w:rsid w:val="00444D1A"/>
    <w:rsid w:val="0044690F"/>
    <w:rsid w:val="0045186A"/>
    <w:rsid w:val="004564A7"/>
    <w:rsid w:val="00456765"/>
    <w:rsid w:val="00460036"/>
    <w:rsid w:val="004617BF"/>
    <w:rsid w:val="00463658"/>
    <w:rsid w:val="004637A0"/>
    <w:rsid w:val="004722CC"/>
    <w:rsid w:val="00482B8D"/>
    <w:rsid w:val="00485BA7"/>
    <w:rsid w:val="0048766E"/>
    <w:rsid w:val="00490483"/>
    <w:rsid w:val="004936E4"/>
    <w:rsid w:val="00494E60"/>
    <w:rsid w:val="00497487"/>
    <w:rsid w:val="004A2771"/>
    <w:rsid w:val="004A6189"/>
    <w:rsid w:val="004A7390"/>
    <w:rsid w:val="004B7B76"/>
    <w:rsid w:val="004C0776"/>
    <w:rsid w:val="004C239D"/>
    <w:rsid w:val="004C2DCA"/>
    <w:rsid w:val="004C4FBE"/>
    <w:rsid w:val="004C59AE"/>
    <w:rsid w:val="004C61D2"/>
    <w:rsid w:val="004F0C4A"/>
    <w:rsid w:val="004F0F38"/>
    <w:rsid w:val="004F47D6"/>
    <w:rsid w:val="00500337"/>
    <w:rsid w:val="005015F9"/>
    <w:rsid w:val="00501921"/>
    <w:rsid w:val="0052167C"/>
    <w:rsid w:val="00530354"/>
    <w:rsid w:val="0053625B"/>
    <w:rsid w:val="005434C6"/>
    <w:rsid w:val="00543B39"/>
    <w:rsid w:val="00546154"/>
    <w:rsid w:val="00550096"/>
    <w:rsid w:val="00555280"/>
    <w:rsid w:val="00557FF9"/>
    <w:rsid w:val="00562327"/>
    <w:rsid w:val="005624A1"/>
    <w:rsid w:val="00564DAA"/>
    <w:rsid w:val="00570D44"/>
    <w:rsid w:val="005711D5"/>
    <w:rsid w:val="00576378"/>
    <w:rsid w:val="00577130"/>
    <w:rsid w:val="00577945"/>
    <w:rsid w:val="00577E38"/>
    <w:rsid w:val="005804CA"/>
    <w:rsid w:val="00585322"/>
    <w:rsid w:val="005857C6"/>
    <w:rsid w:val="00592F6E"/>
    <w:rsid w:val="00593AD1"/>
    <w:rsid w:val="005A68B6"/>
    <w:rsid w:val="005B1247"/>
    <w:rsid w:val="005C5570"/>
    <w:rsid w:val="005C5B66"/>
    <w:rsid w:val="005C79A4"/>
    <w:rsid w:val="005D130B"/>
    <w:rsid w:val="005D421D"/>
    <w:rsid w:val="005D5442"/>
    <w:rsid w:val="005D65A8"/>
    <w:rsid w:val="005D7997"/>
    <w:rsid w:val="005E40FD"/>
    <w:rsid w:val="005F6147"/>
    <w:rsid w:val="00603F32"/>
    <w:rsid w:val="00605AD4"/>
    <w:rsid w:val="006136D7"/>
    <w:rsid w:val="00622D6D"/>
    <w:rsid w:val="00625042"/>
    <w:rsid w:val="00625A6E"/>
    <w:rsid w:val="00632398"/>
    <w:rsid w:val="00640FC3"/>
    <w:rsid w:val="00642020"/>
    <w:rsid w:val="006430EE"/>
    <w:rsid w:val="0064386B"/>
    <w:rsid w:val="0065337B"/>
    <w:rsid w:val="0065419D"/>
    <w:rsid w:val="006603BC"/>
    <w:rsid w:val="006604D8"/>
    <w:rsid w:val="00664A5B"/>
    <w:rsid w:val="0066735C"/>
    <w:rsid w:val="00674E6B"/>
    <w:rsid w:val="006763D2"/>
    <w:rsid w:val="00680C08"/>
    <w:rsid w:val="006863DF"/>
    <w:rsid w:val="006916A0"/>
    <w:rsid w:val="006931B1"/>
    <w:rsid w:val="006933EF"/>
    <w:rsid w:val="00696C9D"/>
    <w:rsid w:val="00696CF0"/>
    <w:rsid w:val="006A15C0"/>
    <w:rsid w:val="006A2678"/>
    <w:rsid w:val="006A58A8"/>
    <w:rsid w:val="006C3E2A"/>
    <w:rsid w:val="006C642F"/>
    <w:rsid w:val="006D03E5"/>
    <w:rsid w:val="006D47CA"/>
    <w:rsid w:val="006D5D3E"/>
    <w:rsid w:val="006E08B3"/>
    <w:rsid w:val="006E512A"/>
    <w:rsid w:val="006E5FC7"/>
    <w:rsid w:val="006E6AC3"/>
    <w:rsid w:val="006F1346"/>
    <w:rsid w:val="006F17AC"/>
    <w:rsid w:val="006F25B8"/>
    <w:rsid w:val="006F572E"/>
    <w:rsid w:val="0070370A"/>
    <w:rsid w:val="007046D6"/>
    <w:rsid w:val="00704A0A"/>
    <w:rsid w:val="00705DB0"/>
    <w:rsid w:val="00706A7E"/>
    <w:rsid w:val="00722B57"/>
    <w:rsid w:val="00730F8A"/>
    <w:rsid w:val="00735A8C"/>
    <w:rsid w:val="00736063"/>
    <w:rsid w:val="0074253D"/>
    <w:rsid w:val="0074406A"/>
    <w:rsid w:val="0074429B"/>
    <w:rsid w:val="007508B7"/>
    <w:rsid w:val="0075789B"/>
    <w:rsid w:val="007615BC"/>
    <w:rsid w:val="00762F05"/>
    <w:rsid w:val="00763EBD"/>
    <w:rsid w:val="007652FF"/>
    <w:rsid w:val="00770CAC"/>
    <w:rsid w:val="00770EF1"/>
    <w:rsid w:val="00773EF7"/>
    <w:rsid w:val="00774E1D"/>
    <w:rsid w:val="00775522"/>
    <w:rsid w:val="007765D8"/>
    <w:rsid w:val="0077675A"/>
    <w:rsid w:val="00780355"/>
    <w:rsid w:val="007819FD"/>
    <w:rsid w:val="00785717"/>
    <w:rsid w:val="00785721"/>
    <w:rsid w:val="007939AB"/>
    <w:rsid w:val="00793A59"/>
    <w:rsid w:val="007A46F5"/>
    <w:rsid w:val="007A6505"/>
    <w:rsid w:val="007B06E1"/>
    <w:rsid w:val="007B6132"/>
    <w:rsid w:val="007B6DAD"/>
    <w:rsid w:val="007B6E9F"/>
    <w:rsid w:val="007C1216"/>
    <w:rsid w:val="007C1AF7"/>
    <w:rsid w:val="007C6B9B"/>
    <w:rsid w:val="007D53B6"/>
    <w:rsid w:val="007F5386"/>
    <w:rsid w:val="008031C7"/>
    <w:rsid w:val="00805D27"/>
    <w:rsid w:val="00806DCB"/>
    <w:rsid w:val="00821776"/>
    <w:rsid w:val="00825EB9"/>
    <w:rsid w:val="008321F5"/>
    <w:rsid w:val="00832369"/>
    <w:rsid w:val="00834660"/>
    <w:rsid w:val="00836BC2"/>
    <w:rsid w:val="00842357"/>
    <w:rsid w:val="0085156D"/>
    <w:rsid w:val="00851C69"/>
    <w:rsid w:val="00852B28"/>
    <w:rsid w:val="008534F9"/>
    <w:rsid w:val="0085641B"/>
    <w:rsid w:val="00857136"/>
    <w:rsid w:val="00865763"/>
    <w:rsid w:val="00875A6B"/>
    <w:rsid w:val="00877636"/>
    <w:rsid w:val="00885B11"/>
    <w:rsid w:val="00886D15"/>
    <w:rsid w:val="00887DD8"/>
    <w:rsid w:val="00891BA9"/>
    <w:rsid w:val="00896018"/>
    <w:rsid w:val="008960DD"/>
    <w:rsid w:val="0089635C"/>
    <w:rsid w:val="008A2B9D"/>
    <w:rsid w:val="008A3D9F"/>
    <w:rsid w:val="008A5E0B"/>
    <w:rsid w:val="008A6D59"/>
    <w:rsid w:val="008B0D27"/>
    <w:rsid w:val="008B4B03"/>
    <w:rsid w:val="008B596F"/>
    <w:rsid w:val="008C159F"/>
    <w:rsid w:val="008C1623"/>
    <w:rsid w:val="008C1850"/>
    <w:rsid w:val="008C51A9"/>
    <w:rsid w:val="008E357B"/>
    <w:rsid w:val="008E7846"/>
    <w:rsid w:val="008F02E5"/>
    <w:rsid w:val="008F1CCC"/>
    <w:rsid w:val="008F2967"/>
    <w:rsid w:val="008F6943"/>
    <w:rsid w:val="00902A21"/>
    <w:rsid w:val="0091523F"/>
    <w:rsid w:val="00920330"/>
    <w:rsid w:val="00920BF0"/>
    <w:rsid w:val="009219D7"/>
    <w:rsid w:val="00922D53"/>
    <w:rsid w:val="00923B70"/>
    <w:rsid w:val="00924482"/>
    <w:rsid w:val="009253CF"/>
    <w:rsid w:val="00930237"/>
    <w:rsid w:val="00937C17"/>
    <w:rsid w:val="00940A89"/>
    <w:rsid w:val="00941F77"/>
    <w:rsid w:val="009428C6"/>
    <w:rsid w:val="00946EA5"/>
    <w:rsid w:val="0095441F"/>
    <w:rsid w:val="009603F5"/>
    <w:rsid w:val="00960520"/>
    <w:rsid w:val="00963C08"/>
    <w:rsid w:val="00974BB3"/>
    <w:rsid w:val="009752A5"/>
    <w:rsid w:val="00976D58"/>
    <w:rsid w:val="0098268D"/>
    <w:rsid w:val="0098585A"/>
    <w:rsid w:val="0099045B"/>
    <w:rsid w:val="009A315C"/>
    <w:rsid w:val="009A4CED"/>
    <w:rsid w:val="009A690D"/>
    <w:rsid w:val="009B1D12"/>
    <w:rsid w:val="009B416B"/>
    <w:rsid w:val="009B45CB"/>
    <w:rsid w:val="009C3488"/>
    <w:rsid w:val="009C4BD5"/>
    <w:rsid w:val="009D7B77"/>
    <w:rsid w:val="009E0BB0"/>
    <w:rsid w:val="009E0F8A"/>
    <w:rsid w:val="009E3FBB"/>
    <w:rsid w:val="009E44F1"/>
    <w:rsid w:val="009F1F6D"/>
    <w:rsid w:val="009F7353"/>
    <w:rsid w:val="00A04F85"/>
    <w:rsid w:val="00A05FA4"/>
    <w:rsid w:val="00A102E4"/>
    <w:rsid w:val="00A11E37"/>
    <w:rsid w:val="00A1219C"/>
    <w:rsid w:val="00A12C42"/>
    <w:rsid w:val="00A14DF7"/>
    <w:rsid w:val="00A22D57"/>
    <w:rsid w:val="00A3246D"/>
    <w:rsid w:val="00A36FA7"/>
    <w:rsid w:val="00A44DDB"/>
    <w:rsid w:val="00A475B7"/>
    <w:rsid w:val="00A47AF7"/>
    <w:rsid w:val="00A47C3E"/>
    <w:rsid w:val="00A50226"/>
    <w:rsid w:val="00A60375"/>
    <w:rsid w:val="00A60BAD"/>
    <w:rsid w:val="00A60E7F"/>
    <w:rsid w:val="00A70074"/>
    <w:rsid w:val="00A77F87"/>
    <w:rsid w:val="00A80B5B"/>
    <w:rsid w:val="00A81346"/>
    <w:rsid w:val="00A84E36"/>
    <w:rsid w:val="00A964D1"/>
    <w:rsid w:val="00AA0ED0"/>
    <w:rsid w:val="00AC09BD"/>
    <w:rsid w:val="00AC2400"/>
    <w:rsid w:val="00AC2B40"/>
    <w:rsid w:val="00AC2BB2"/>
    <w:rsid w:val="00AC2C3C"/>
    <w:rsid w:val="00AC512D"/>
    <w:rsid w:val="00AD0083"/>
    <w:rsid w:val="00AD3935"/>
    <w:rsid w:val="00AE65EB"/>
    <w:rsid w:val="00AE67A7"/>
    <w:rsid w:val="00AF1D94"/>
    <w:rsid w:val="00AF60C5"/>
    <w:rsid w:val="00AF7156"/>
    <w:rsid w:val="00B009C6"/>
    <w:rsid w:val="00B01548"/>
    <w:rsid w:val="00B12907"/>
    <w:rsid w:val="00B130C5"/>
    <w:rsid w:val="00B13EBD"/>
    <w:rsid w:val="00B21D29"/>
    <w:rsid w:val="00B25034"/>
    <w:rsid w:val="00B25DB2"/>
    <w:rsid w:val="00B308B8"/>
    <w:rsid w:val="00B33588"/>
    <w:rsid w:val="00B33863"/>
    <w:rsid w:val="00B37D17"/>
    <w:rsid w:val="00B4175E"/>
    <w:rsid w:val="00B41C85"/>
    <w:rsid w:val="00B452CE"/>
    <w:rsid w:val="00B54C25"/>
    <w:rsid w:val="00B65710"/>
    <w:rsid w:val="00B71C5F"/>
    <w:rsid w:val="00B76B91"/>
    <w:rsid w:val="00B77EB1"/>
    <w:rsid w:val="00B811C6"/>
    <w:rsid w:val="00B855B0"/>
    <w:rsid w:val="00B92C4F"/>
    <w:rsid w:val="00B92E08"/>
    <w:rsid w:val="00BC622A"/>
    <w:rsid w:val="00BD46F5"/>
    <w:rsid w:val="00BE0A78"/>
    <w:rsid w:val="00BE2374"/>
    <w:rsid w:val="00BE79F0"/>
    <w:rsid w:val="00BF046D"/>
    <w:rsid w:val="00BF1190"/>
    <w:rsid w:val="00BF2685"/>
    <w:rsid w:val="00BF3774"/>
    <w:rsid w:val="00BF5D04"/>
    <w:rsid w:val="00C009AA"/>
    <w:rsid w:val="00C04FAC"/>
    <w:rsid w:val="00C1164D"/>
    <w:rsid w:val="00C11C9F"/>
    <w:rsid w:val="00C16861"/>
    <w:rsid w:val="00C3306A"/>
    <w:rsid w:val="00C346AB"/>
    <w:rsid w:val="00C404A6"/>
    <w:rsid w:val="00C40A36"/>
    <w:rsid w:val="00C44419"/>
    <w:rsid w:val="00C45E7B"/>
    <w:rsid w:val="00C471B1"/>
    <w:rsid w:val="00C525A2"/>
    <w:rsid w:val="00C52E24"/>
    <w:rsid w:val="00C62FE0"/>
    <w:rsid w:val="00C6316B"/>
    <w:rsid w:val="00C634A9"/>
    <w:rsid w:val="00C64586"/>
    <w:rsid w:val="00C70A36"/>
    <w:rsid w:val="00C70D53"/>
    <w:rsid w:val="00C73D0B"/>
    <w:rsid w:val="00C74621"/>
    <w:rsid w:val="00C74F5C"/>
    <w:rsid w:val="00C772FF"/>
    <w:rsid w:val="00C80137"/>
    <w:rsid w:val="00C801AF"/>
    <w:rsid w:val="00C80256"/>
    <w:rsid w:val="00C940B6"/>
    <w:rsid w:val="00C94CD4"/>
    <w:rsid w:val="00C9747E"/>
    <w:rsid w:val="00CB6BC0"/>
    <w:rsid w:val="00CC1B7C"/>
    <w:rsid w:val="00CC727F"/>
    <w:rsid w:val="00CC72C7"/>
    <w:rsid w:val="00CF1414"/>
    <w:rsid w:val="00CF15C3"/>
    <w:rsid w:val="00CF2893"/>
    <w:rsid w:val="00CF2B6F"/>
    <w:rsid w:val="00CF2F3E"/>
    <w:rsid w:val="00CF58B6"/>
    <w:rsid w:val="00CF5DAD"/>
    <w:rsid w:val="00D0062D"/>
    <w:rsid w:val="00D017ED"/>
    <w:rsid w:val="00D040D3"/>
    <w:rsid w:val="00D04C65"/>
    <w:rsid w:val="00D153D8"/>
    <w:rsid w:val="00D201D2"/>
    <w:rsid w:val="00D224FE"/>
    <w:rsid w:val="00D23139"/>
    <w:rsid w:val="00D26EC9"/>
    <w:rsid w:val="00D425BB"/>
    <w:rsid w:val="00D43649"/>
    <w:rsid w:val="00D453FA"/>
    <w:rsid w:val="00D6493E"/>
    <w:rsid w:val="00D7195D"/>
    <w:rsid w:val="00D7301E"/>
    <w:rsid w:val="00D74E9B"/>
    <w:rsid w:val="00D83AE1"/>
    <w:rsid w:val="00D855D4"/>
    <w:rsid w:val="00D902C9"/>
    <w:rsid w:val="00D93466"/>
    <w:rsid w:val="00DA1124"/>
    <w:rsid w:val="00DA64CB"/>
    <w:rsid w:val="00DB0243"/>
    <w:rsid w:val="00DB06B8"/>
    <w:rsid w:val="00DB6124"/>
    <w:rsid w:val="00DB750B"/>
    <w:rsid w:val="00DB75B7"/>
    <w:rsid w:val="00DC0A2F"/>
    <w:rsid w:val="00DC1948"/>
    <w:rsid w:val="00DC1DCA"/>
    <w:rsid w:val="00DC238B"/>
    <w:rsid w:val="00DC6E02"/>
    <w:rsid w:val="00DD28CD"/>
    <w:rsid w:val="00DD3333"/>
    <w:rsid w:val="00DE02AE"/>
    <w:rsid w:val="00DE39D1"/>
    <w:rsid w:val="00DF1D7F"/>
    <w:rsid w:val="00DF4BE4"/>
    <w:rsid w:val="00E0210F"/>
    <w:rsid w:val="00E02382"/>
    <w:rsid w:val="00E02FB4"/>
    <w:rsid w:val="00E13FC7"/>
    <w:rsid w:val="00E20571"/>
    <w:rsid w:val="00E212AB"/>
    <w:rsid w:val="00E22CC1"/>
    <w:rsid w:val="00E235F7"/>
    <w:rsid w:val="00E23659"/>
    <w:rsid w:val="00E239D4"/>
    <w:rsid w:val="00E26130"/>
    <w:rsid w:val="00E40B22"/>
    <w:rsid w:val="00E43D74"/>
    <w:rsid w:val="00E44ED1"/>
    <w:rsid w:val="00E45619"/>
    <w:rsid w:val="00E4588F"/>
    <w:rsid w:val="00E46DA3"/>
    <w:rsid w:val="00E51BB1"/>
    <w:rsid w:val="00E5497C"/>
    <w:rsid w:val="00E55CB0"/>
    <w:rsid w:val="00E624A5"/>
    <w:rsid w:val="00E64B7F"/>
    <w:rsid w:val="00E64BA4"/>
    <w:rsid w:val="00E65EE0"/>
    <w:rsid w:val="00E7344E"/>
    <w:rsid w:val="00E82665"/>
    <w:rsid w:val="00E84038"/>
    <w:rsid w:val="00E905A0"/>
    <w:rsid w:val="00E91BBF"/>
    <w:rsid w:val="00EB0798"/>
    <w:rsid w:val="00EB114F"/>
    <w:rsid w:val="00EB40AD"/>
    <w:rsid w:val="00EB4B53"/>
    <w:rsid w:val="00EB586E"/>
    <w:rsid w:val="00EB5B4B"/>
    <w:rsid w:val="00EB5FC8"/>
    <w:rsid w:val="00EC2CA5"/>
    <w:rsid w:val="00EC463D"/>
    <w:rsid w:val="00EC5CDC"/>
    <w:rsid w:val="00EC7A85"/>
    <w:rsid w:val="00ED2922"/>
    <w:rsid w:val="00ED3CAD"/>
    <w:rsid w:val="00ED5A41"/>
    <w:rsid w:val="00EE1DE8"/>
    <w:rsid w:val="00EE27C2"/>
    <w:rsid w:val="00EF477F"/>
    <w:rsid w:val="00EF4BAD"/>
    <w:rsid w:val="00EF59DC"/>
    <w:rsid w:val="00F033EC"/>
    <w:rsid w:val="00F04F68"/>
    <w:rsid w:val="00F12670"/>
    <w:rsid w:val="00F14B27"/>
    <w:rsid w:val="00F3148D"/>
    <w:rsid w:val="00F325C5"/>
    <w:rsid w:val="00F32FE0"/>
    <w:rsid w:val="00F35298"/>
    <w:rsid w:val="00F44182"/>
    <w:rsid w:val="00F47333"/>
    <w:rsid w:val="00F47E37"/>
    <w:rsid w:val="00F53C07"/>
    <w:rsid w:val="00F54B65"/>
    <w:rsid w:val="00F55274"/>
    <w:rsid w:val="00F60CA6"/>
    <w:rsid w:val="00F640B6"/>
    <w:rsid w:val="00F66DF2"/>
    <w:rsid w:val="00F76554"/>
    <w:rsid w:val="00F80E40"/>
    <w:rsid w:val="00F848D9"/>
    <w:rsid w:val="00F90622"/>
    <w:rsid w:val="00FA0F3E"/>
    <w:rsid w:val="00FA5069"/>
    <w:rsid w:val="00FA5B82"/>
    <w:rsid w:val="00FA639E"/>
    <w:rsid w:val="00FC1FCA"/>
    <w:rsid w:val="00FC25E4"/>
    <w:rsid w:val="00FC4EF7"/>
    <w:rsid w:val="00FC7E14"/>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F19184"/>
  <w15:docId w15:val="{CE565827-E66F-42B8-BD19-72C6E673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7B06E1"/>
    <w:pPr>
      <w:numPr>
        <w:numId w:val="21"/>
      </w:numPr>
      <w:ind w:left="426" w:hanging="426"/>
    </w:pPr>
  </w:style>
  <w:style w:type="paragraph" w:styleId="ListBullet2">
    <w:name w:val="List Bullet 2"/>
    <w:basedOn w:val="Normal"/>
    <w:uiPriority w:val="2"/>
    <w:qFormat/>
    <w:rsid w:val="007B06E1"/>
    <w:pPr>
      <w:numPr>
        <w:numId w:val="42"/>
      </w:numPr>
      <w:ind w:left="851"/>
    </w:pPr>
  </w:style>
  <w:style w:type="paragraph" w:styleId="ListBullet3">
    <w:name w:val="List Bullet 3"/>
    <w:basedOn w:val="Normal"/>
    <w:uiPriority w:val="2"/>
    <w:qFormat/>
    <w:rsid w:val="004C2DCA"/>
    <w:pPr>
      <w:numPr>
        <w:ilvl w:val="2"/>
        <w:numId w:val="21"/>
      </w:numPr>
      <w:ind w:left="1080"/>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0"/>
      </w:numPr>
      <w:ind w:left="425" w:hanging="425"/>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7B06E1"/>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C7E14"/>
    <w:pPr>
      <w:ind w:left="720"/>
      <w:contextualSpacing/>
    </w:pPr>
  </w:style>
  <w:style w:type="paragraph" w:customStyle="1" w:styleId="Default">
    <w:name w:val="Default"/>
    <w:rsid w:val="005015F9"/>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list">
    <w:name w:val="Bullet list"/>
    <w:basedOn w:val="Normal"/>
    <w:link w:val="BulletlistChar"/>
    <w:qFormat/>
    <w:rsid w:val="005B1247"/>
    <w:pPr>
      <w:numPr>
        <w:numId w:val="35"/>
      </w:numPr>
      <w:spacing w:before="0" w:after="180" w:line="252" w:lineRule="auto"/>
      <w:ind w:left="426" w:hanging="284"/>
    </w:pPr>
    <w:rPr>
      <w:rFonts w:asciiTheme="minorHAnsi" w:eastAsia="Times New Roman" w:hAnsiTheme="minorHAnsi" w:cstheme="minorBidi"/>
      <w:snapToGrid w:val="0"/>
      <w:kern w:val="2"/>
      <w:sz w:val="23"/>
      <w:szCs w:val="24"/>
    </w:rPr>
  </w:style>
  <w:style w:type="character" w:customStyle="1" w:styleId="BulletlistChar">
    <w:name w:val="Bullet list Char"/>
    <w:basedOn w:val="DefaultParagraphFont"/>
    <w:link w:val="Bulletlist"/>
    <w:rsid w:val="005B1247"/>
    <w:rPr>
      <w:rFonts w:eastAsia="Times New Roman"/>
      <w:snapToGrid w:val="0"/>
      <w:kern w:val="2"/>
      <w:sz w:val="23"/>
      <w:szCs w:val="24"/>
    </w:rPr>
  </w:style>
  <w:style w:type="character" w:customStyle="1" w:styleId="TabletextChar">
    <w:name w:val="Table text Char"/>
    <w:basedOn w:val="DefaultParagraphFont"/>
    <w:link w:val="Tabletext"/>
    <w:rsid w:val="00C62FE0"/>
    <w:rPr>
      <w:rFonts w:ascii="Cambria" w:eastAsia="Cambria" w:hAnsi="Cambria" w:cs="Times New Roman"/>
      <w:sz w:val="19"/>
    </w:rPr>
  </w:style>
  <w:style w:type="paragraph" w:customStyle="1" w:styleId="Bullet1">
    <w:name w:val="Bullet 1"/>
    <w:basedOn w:val="Normal"/>
    <w:rsid w:val="0028228E"/>
    <w:pPr>
      <w:numPr>
        <w:numId w:val="41"/>
      </w:numPr>
      <w:spacing w:after="0"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2037">
      <w:bodyDiv w:val="1"/>
      <w:marLeft w:val="0"/>
      <w:marRight w:val="0"/>
      <w:marTop w:val="0"/>
      <w:marBottom w:val="0"/>
      <w:divBdr>
        <w:top w:val="none" w:sz="0" w:space="0" w:color="auto"/>
        <w:left w:val="none" w:sz="0" w:space="0" w:color="auto"/>
        <w:bottom w:val="none" w:sz="0" w:space="0" w:color="auto"/>
        <w:right w:val="none" w:sz="0" w:space="0" w:color="auto"/>
      </w:divBdr>
    </w:div>
    <w:div w:id="515464266">
      <w:bodyDiv w:val="1"/>
      <w:marLeft w:val="0"/>
      <w:marRight w:val="0"/>
      <w:marTop w:val="0"/>
      <w:marBottom w:val="0"/>
      <w:divBdr>
        <w:top w:val="none" w:sz="0" w:space="0" w:color="auto"/>
        <w:left w:val="none" w:sz="0" w:space="0" w:color="auto"/>
        <w:bottom w:val="none" w:sz="0" w:space="0" w:color="auto"/>
        <w:right w:val="none" w:sz="0" w:space="0" w:color="auto"/>
      </w:divBdr>
    </w:div>
    <w:div w:id="662003235">
      <w:bodyDiv w:val="1"/>
      <w:marLeft w:val="0"/>
      <w:marRight w:val="0"/>
      <w:marTop w:val="0"/>
      <w:marBottom w:val="0"/>
      <w:divBdr>
        <w:top w:val="none" w:sz="0" w:space="0" w:color="auto"/>
        <w:left w:val="none" w:sz="0" w:space="0" w:color="auto"/>
        <w:bottom w:val="none" w:sz="0" w:space="0" w:color="auto"/>
        <w:right w:val="none" w:sz="0" w:space="0" w:color="auto"/>
      </w:divBdr>
    </w:div>
    <w:div w:id="684795408">
      <w:bodyDiv w:val="1"/>
      <w:marLeft w:val="0"/>
      <w:marRight w:val="0"/>
      <w:marTop w:val="0"/>
      <w:marBottom w:val="0"/>
      <w:divBdr>
        <w:top w:val="none" w:sz="0" w:space="0" w:color="auto"/>
        <w:left w:val="none" w:sz="0" w:space="0" w:color="auto"/>
        <w:bottom w:val="none" w:sz="0" w:space="0" w:color="auto"/>
        <w:right w:val="none" w:sz="0" w:space="0" w:color="auto"/>
      </w:divBdr>
    </w:div>
    <w:div w:id="707295045">
      <w:bodyDiv w:val="1"/>
      <w:marLeft w:val="0"/>
      <w:marRight w:val="0"/>
      <w:marTop w:val="0"/>
      <w:marBottom w:val="0"/>
      <w:divBdr>
        <w:top w:val="none" w:sz="0" w:space="0" w:color="auto"/>
        <w:left w:val="none" w:sz="0" w:space="0" w:color="auto"/>
        <w:bottom w:val="none" w:sz="0" w:space="0" w:color="auto"/>
        <w:right w:val="none" w:sz="0" w:space="0" w:color="auto"/>
      </w:divBdr>
    </w:div>
    <w:div w:id="1055663797">
      <w:bodyDiv w:val="1"/>
      <w:marLeft w:val="0"/>
      <w:marRight w:val="0"/>
      <w:marTop w:val="0"/>
      <w:marBottom w:val="0"/>
      <w:divBdr>
        <w:top w:val="none" w:sz="0" w:space="0" w:color="auto"/>
        <w:left w:val="none" w:sz="0" w:space="0" w:color="auto"/>
        <w:bottom w:val="none" w:sz="0" w:space="0" w:color="auto"/>
        <w:right w:val="none" w:sz="0" w:space="0" w:color="auto"/>
      </w:divBdr>
    </w:div>
    <w:div w:id="1222668761">
      <w:bodyDiv w:val="1"/>
      <w:marLeft w:val="0"/>
      <w:marRight w:val="0"/>
      <w:marTop w:val="0"/>
      <w:marBottom w:val="0"/>
      <w:divBdr>
        <w:top w:val="none" w:sz="0" w:space="0" w:color="auto"/>
        <w:left w:val="none" w:sz="0" w:space="0" w:color="auto"/>
        <w:bottom w:val="none" w:sz="0" w:space="0" w:color="auto"/>
        <w:right w:val="none" w:sz="0" w:space="0" w:color="auto"/>
      </w:divBdr>
    </w:div>
    <w:div w:id="1293755764">
      <w:bodyDiv w:val="1"/>
      <w:marLeft w:val="0"/>
      <w:marRight w:val="0"/>
      <w:marTop w:val="0"/>
      <w:marBottom w:val="0"/>
      <w:divBdr>
        <w:top w:val="none" w:sz="0" w:space="0" w:color="auto"/>
        <w:left w:val="none" w:sz="0" w:space="0" w:color="auto"/>
        <w:bottom w:val="none" w:sz="0" w:space="0" w:color="auto"/>
        <w:right w:val="none" w:sz="0" w:space="0" w:color="auto"/>
      </w:divBdr>
    </w:div>
    <w:div w:id="1567690691">
      <w:bodyDiv w:val="1"/>
      <w:marLeft w:val="0"/>
      <w:marRight w:val="0"/>
      <w:marTop w:val="0"/>
      <w:marBottom w:val="0"/>
      <w:divBdr>
        <w:top w:val="none" w:sz="0" w:space="0" w:color="auto"/>
        <w:left w:val="none" w:sz="0" w:space="0" w:color="auto"/>
        <w:bottom w:val="none" w:sz="0" w:space="0" w:color="auto"/>
        <w:right w:val="none" w:sz="0" w:space="0" w:color="auto"/>
      </w:divBdr>
    </w:div>
    <w:div w:id="1625960656">
      <w:bodyDiv w:val="1"/>
      <w:marLeft w:val="0"/>
      <w:marRight w:val="0"/>
      <w:marTop w:val="0"/>
      <w:marBottom w:val="0"/>
      <w:divBdr>
        <w:top w:val="none" w:sz="0" w:space="0" w:color="auto"/>
        <w:left w:val="none" w:sz="0" w:space="0" w:color="auto"/>
        <w:bottom w:val="none" w:sz="0" w:space="0" w:color="auto"/>
        <w:right w:val="none" w:sz="0" w:space="0" w:color="auto"/>
      </w:divBdr>
    </w:div>
    <w:div w:id="1677342467">
      <w:bodyDiv w:val="1"/>
      <w:marLeft w:val="0"/>
      <w:marRight w:val="0"/>
      <w:marTop w:val="0"/>
      <w:marBottom w:val="0"/>
      <w:divBdr>
        <w:top w:val="none" w:sz="0" w:space="0" w:color="auto"/>
        <w:left w:val="none" w:sz="0" w:space="0" w:color="auto"/>
        <w:bottom w:val="none" w:sz="0" w:space="0" w:color="auto"/>
        <w:right w:val="none" w:sz="0" w:space="0" w:color="auto"/>
      </w:divBdr>
    </w:div>
    <w:div w:id="1778334797">
      <w:bodyDiv w:val="1"/>
      <w:marLeft w:val="0"/>
      <w:marRight w:val="0"/>
      <w:marTop w:val="0"/>
      <w:marBottom w:val="0"/>
      <w:divBdr>
        <w:top w:val="none" w:sz="0" w:space="0" w:color="auto"/>
        <w:left w:val="none" w:sz="0" w:space="0" w:color="auto"/>
        <w:bottom w:val="none" w:sz="0" w:space="0" w:color="auto"/>
        <w:right w:val="none" w:sz="0" w:space="0" w:color="auto"/>
      </w:divBdr>
    </w:div>
    <w:div w:id="1819569726">
      <w:bodyDiv w:val="1"/>
      <w:marLeft w:val="0"/>
      <w:marRight w:val="0"/>
      <w:marTop w:val="0"/>
      <w:marBottom w:val="0"/>
      <w:divBdr>
        <w:top w:val="none" w:sz="0" w:space="0" w:color="auto"/>
        <w:left w:val="none" w:sz="0" w:space="0" w:color="auto"/>
        <w:bottom w:val="none" w:sz="0" w:space="0" w:color="auto"/>
        <w:right w:val="none" w:sz="0" w:space="0" w:color="auto"/>
      </w:divBdr>
    </w:div>
    <w:div w:id="1879391212">
      <w:bodyDiv w:val="1"/>
      <w:marLeft w:val="0"/>
      <w:marRight w:val="0"/>
      <w:marTop w:val="0"/>
      <w:marBottom w:val="0"/>
      <w:divBdr>
        <w:top w:val="none" w:sz="0" w:space="0" w:color="auto"/>
        <w:left w:val="none" w:sz="0" w:space="0" w:color="auto"/>
        <w:bottom w:val="none" w:sz="0" w:space="0" w:color="auto"/>
        <w:right w:val="none" w:sz="0" w:space="0" w:color="auto"/>
      </w:divBdr>
    </w:div>
    <w:div w:id="1922174912">
      <w:bodyDiv w:val="1"/>
      <w:marLeft w:val="0"/>
      <w:marRight w:val="0"/>
      <w:marTop w:val="0"/>
      <w:marBottom w:val="0"/>
      <w:divBdr>
        <w:top w:val="none" w:sz="0" w:space="0" w:color="auto"/>
        <w:left w:val="none" w:sz="0" w:space="0" w:color="auto"/>
        <w:bottom w:val="none" w:sz="0" w:space="0" w:color="auto"/>
        <w:right w:val="none" w:sz="0" w:space="0" w:color="auto"/>
      </w:divBdr>
    </w:div>
    <w:div w:id="2095542874">
      <w:bodyDiv w:val="1"/>
      <w:marLeft w:val="0"/>
      <w:marRight w:val="0"/>
      <w:marTop w:val="0"/>
      <w:marBottom w:val="0"/>
      <w:divBdr>
        <w:top w:val="none" w:sz="0" w:space="0" w:color="auto"/>
        <w:left w:val="none" w:sz="0" w:space="0" w:color="auto"/>
        <w:bottom w:val="none" w:sz="0" w:space="0" w:color="auto"/>
        <w:right w:val="none" w:sz="0" w:space="0" w:color="auto"/>
      </w:divBdr>
    </w:div>
    <w:div w:id="213007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5.emf"/><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s://www.tga.gov.au/guidance-7-certified-product-details"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 Id="rId43"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5292\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A4AAF-B5CA-488F-B435-498DE02B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219</TotalTime>
  <Pages>38</Pages>
  <Words>11486</Words>
  <Characters>63062</Characters>
  <Application>Microsoft Office Word</Application>
  <DocSecurity>0</DocSecurity>
  <Lines>1466</Lines>
  <Paragraphs>753</Paragraphs>
  <ScaleCrop>false</ScaleCrop>
  <HeadingPairs>
    <vt:vector size="2" baseType="variant">
      <vt:variant>
        <vt:lpstr>Title</vt:lpstr>
      </vt:variant>
      <vt:variant>
        <vt:i4>1</vt:i4>
      </vt:variant>
    </vt:vector>
  </HeadingPairs>
  <TitlesOfParts>
    <vt:vector size="1" baseType="lpstr">
      <vt:lpstr>Australian Public Assessment Report for Quadrivalent Influenza Vaccine</vt:lpstr>
    </vt:vector>
  </TitlesOfParts>
  <Company>Department of Health Therapeutic Goods Administration</Company>
  <LinksUpToDate>false</LinksUpToDate>
  <CharactersWithSpaces>73795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Quadrivalent Influenza Vaccine</dc:title>
  <dc:subject>prescription medicine regulation</dc:subject>
  <dc:creator>Therapeutic Goods Administration</dc:creator>
  <cp:keywords>AusPARs</cp:keywords>
  <cp:lastPrinted>2019-08-14T04:30:00Z</cp:lastPrinted>
  <dcterms:created xsi:type="dcterms:W3CDTF">2020-12-16T20:14:00Z</dcterms:created>
  <dcterms:modified xsi:type="dcterms:W3CDTF">2020-12-23T06:44:00Z</dcterms:modified>
  <cp:category/>
</cp:coreProperties>
</file>