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853" w:rsidRPr="0054286B" w:rsidRDefault="00DD1E34" w:rsidP="00DD1E34">
      <w:pPr>
        <w:ind w:right="-694"/>
        <w:jc w:val="center"/>
        <w:rPr>
          <w:b/>
        </w:rPr>
      </w:pPr>
      <w:r>
        <w:rPr>
          <w:b/>
        </w:rPr>
        <w:t>PRODUCT INFORMATION</w:t>
      </w:r>
    </w:p>
    <w:p w:rsidR="00DD1E34" w:rsidRDefault="00DD1E34" w:rsidP="00DD1E34">
      <w:pPr>
        <w:autoSpaceDE w:val="0"/>
        <w:autoSpaceDN w:val="0"/>
        <w:adjustRightInd w:val="0"/>
        <w:ind w:right="-694"/>
        <w:jc w:val="center"/>
        <w:rPr>
          <w:color w:val="000000"/>
        </w:rPr>
      </w:pPr>
    </w:p>
    <w:p w:rsidR="00942E59" w:rsidRDefault="00DD1E34" w:rsidP="00DD1E34">
      <w:pPr>
        <w:autoSpaceDE w:val="0"/>
        <w:autoSpaceDN w:val="0"/>
        <w:adjustRightInd w:val="0"/>
        <w:ind w:right="-694"/>
        <w:jc w:val="center"/>
        <w:rPr>
          <w:b/>
          <w:color w:val="000000"/>
        </w:rPr>
      </w:pPr>
      <w:r w:rsidRPr="00147EC9">
        <w:rPr>
          <w:b/>
          <w:color w:val="000000"/>
        </w:rPr>
        <w:t xml:space="preserve">FOLOTYN solution for infusion </w:t>
      </w:r>
    </w:p>
    <w:p w:rsidR="00DD1E34" w:rsidRPr="00147EC9" w:rsidRDefault="00DD1E34" w:rsidP="00DD1E34">
      <w:pPr>
        <w:autoSpaceDE w:val="0"/>
        <w:autoSpaceDN w:val="0"/>
        <w:adjustRightInd w:val="0"/>
        <w:ind w:right="-694"/>
        <w:jc w:val="center"/>
        <w:rPr>
          <w:b/>
          <w:color w:val="000000"/>
        </w:rPr>
      </w:pPr>
      <w:r w:rsidRPr="00147EC9">
        <w:rPr>
          <w:b/>
          <w:color w:val="000000"/>
        </w:rPr>
        <w:t>20 mg</w:t>
      </w:r>
      <w:r w:rsidR="00942E59">
        <w:rPr>
          <w:b/>
          <w:color w:val="000000"/>
        </w:rPr>
        <w:t xml:space="preserve"> in 1 </w:t>
      </w:r>
      <w:r w:rsidRPr="00147EC9">
        <w:rPr>
          <w:b/>
          <w:color w:val="000000"/>
        </w:rPr>
        <w:t>m</w:t>
      </w:r>
      <w:r w:rsidR="00DE69FF">
        <w:rPr>
          <w:b/>
          <w:color w:val="000000"/>
        </w:rPr>
        <w:t>L</w:t>
      </w:r>
      <w:r w:rsidR="0075264E">
        <w:rPr>
          <w:b/>
          <w:color w:val="000000"/>
        </w:rPr>
        <w:t xml:space="preserve"> </w:t>
      </w:r>
      <w:r w:rsidR="00942E59">
        <w:rPr>
          <w:b/>
          <w:color w:val="000000"/>
        </w:rPr>
        <w:t>and 40 mg in 2 mL</w:t>
      </w:r>
    </w:p>
    <w:p w:rsidR="0002134C" w:rsidRPr="00600475" w:rsidRDefault="0002134C" w:rsidP="00DD1E34">
      <w:pPr>
        <w:autoSpaceDE w:val="0"/>
        <w:autoSpaceDN w:val="0"/>
        <w:adjustRightInd w:val="0"/>
        <w:ind w:right="-694"/>
        <w:jc w:val="center"/>
        <w:rPr>
          <w:color w:val="000000"/>
        </w:rPr>
      </w:pPr>
    </w:p>
    <w:p w:rsidR="00147EC9" w:rsidRDefault="00147EC9" w:rsidP="00DB3F47">
      <w:pPr>
        <w:autoSpaceDE w:val="0"/>
        <w:autoSpaceDN w:val="0"/>
        <w:adjustRightInd w:val="0"/>
        <w:ind w:right="-694"/>
        <w:rPr>
          <w:b/>
          <w:bCs/>
          <w:color w:val="000000"/>
        </w:rPr>
      </w:pPr>
    </w:p>
    <w:p w:rsidR="0002134C" w:rsidRDefault="0002134C" w:rsidP="00DB3F47">
      <w:pPr>
        <w:autoSpaceDE w:val="0"/>
        <w:autoSpaceDN w:val="0"/>
        <w:adjustRightInd w:val="0"/>
        <w:ind w:right="-694"/>
        <w:rPr>
          <w:color w:val="000000"/>
        </w:rPr>
      </w:pPr>
      <w:r w:rsidRPr="00600475">
        <w:rPr>
          <w:b/>
          <w:bCs/>
          <w:color w:val="000000"/>
        </w:rPr>
        <w:t>NAME OF THE MEDICIN</w:t>
      </w:r>
      <w:r w:rsidR="00147EC9">
        <w:rPr>
          <w:b/>
          <w:bCs/>
          <w:color w:val="000000"/>
        </w:rPr>
        <w:t>E</w:t>
      </w:r>
      <w:r w:rsidR="00147EC9">
        <w:rPr>
          <w:b/>
          <w:bCs/>
          <w:color w:val="000000"/>
        </w:rPr>
        <w:tab/>
      </w:r>
      <w:proofErr w:type="spellStart"/>
      <w:r w:rsidR="00147EC9" w:rsidRPr="00600475">
        <w:rPr>
          <w:color w:val="000000"/>
        </w:rPr>
        <w:t>pralatrexate</w:t>
      </w:r>
      <w:proofErr w:type="spellEnd"/>
      <w:r w:rsidR="00147EC9" w:rsidRPr="00600475">
        <w:rPr>
          <w:color w:val="000000"/>
        </w:rPr>
        <w:t xml:space="preserve"> </w:t>
      </w:r>
    </w:p>
    <w:p w:rsidR="00631D87" w:rsidRDefault="00631D87" w:rsidP="00DB3F47">
      <w:pPr>
        <w:autoSpaceDE w:val="0"/>
        <w:autoSpaceDN w:val="0"/>
        <w:adjustRightInd w:val="0"/>
        <w:ind w:right="-694"/>
        <w:rPr>
          <w:color w:val="000000"/>
        </w:rPr>
      </w:pPr>
    </w:p>
    <w:p w:rsidR="00893801" w:rsidRPr="00893801" w:rsidRDefault="00893801" w:rsidP="00DB3F47">
      <w:pPr>
        <w:autoSpaceDE w:val="0"/>
        <w:autoSpaceDN w:val="0"/>
        <w:adjustRightInd w:val="0"/>
        <w:ind w:right="-694"/>
        <w:rPr>
          <w:color w:val="000000"/>
          <w:u w:val="single"/>
        </w:rPr>
      </w:pPr>
      <w:r w:rsidRPr="00893801">
        <w:rPr>
          <w:color w:val="000000"/>
          <w:u w:val="single"/>
        </w:rPr>
        <w:t>Chemical name</w:t>
      </w:r>
      <w:r>
        <w:rPr>
          <w:color w:val="000000"/>
          <w:u w:val="single"/>
        </w:rPr>
        <w:t>:</w:t>
      </w:r>
    </w:p>
    <w:p w:rsidR="00631D87" w:rsidRDefault="00631D87" w:rsidP="00DB3F47">
      <w:pPr>
        <w:autoSpaceDE w:val="0"/>
        <w:autoSpaceDN w:val="0"/>
        <w:adjustRightInd w:val="0"/>
        <w:ind w:right="-694"/>
        <w:rPr>
          <w:color w:val="000000"/>
        </w:rPr>
      </w:pPr>
      <w:r>
        <w:rPr>
          <w:color w:val="000000"/>
        </w:rPr>
        <w:t xml:space="preserve"> </w:t>
      </w:r>
      <w:r w:rsidRPr="007B4BEF">
        <w:rPr>
          <w:i/>
          <w:iCs/>
          <w:color w:val="000000"/>
        </w:rPr>
        <w:t>N</w:t>
      </w:r>
      <w:r w:rsidRPr="007B4BEF">
        <w:rPr>
          <w:color w:val="000000"/>
        </w:rPr>
        <w:t>-(4-{1-[(2,4-diaminopteridin-6-yl)methyl]but-3-yn-1-yl}benzoyl)-L-glutamic acid</w:t>
      </w:r>
    </w:p>
    <w:p w:rsidR="00A55839" w:rsidRDefault="00A55839" w:rsidP="00DB3F47">
      <w:pPr>
        <w:autoSpaceDE w:val="0"/>
        <w:autoSpaceDN w:val="0"/>
        <w:adjustRightInd w:val="0"/>
        <w:ind w:right="-694"/>
        <w:rPr>
          <w:color w:val="000000"/>
        </w:rPr>
      </w:pPr>
    </w:p>
    <w:p w:rsidR="00631D87" w:rsidRPr="00893801" w:rsidRDefault="00893801" w:rsidP="00DB3F47">
      <w:pPr>
        <w:autoSpaceDE w:val="0"/>
        <w:autoSpaceDN w:val="0"/>
        <w:adjustRightInd w:val="0"/>
        <w:ind w:right="-694"/>
        <w:rPr>
          <w:color w:val="000000"/>
          <w:u w:val="single"/>
        </w:rPr>
      </w:pPr>
      <w:r w:rsidRPr="00893801">
        <w:rPr>
          <w:color w:val="000000"/>
          <w:u w:val="single"/>
        </w:rPr>
        <w:t>Chemical Structure</w:t>
      </w:r>
      <w:r>
        <w:rPr>
          <w:color w:val="000000"/>
          <w:u w:val="single"/>
        </w:rPr>
        <w:t>:</w:t>
      </w:r>
      <w:r w:rsidR="00631D87" w:rsidRPr="00893801">
        <w:rPr>
          <w:color w:val="000000"/>
          <w:u w:val="single"/>
        </w:rPr>
        <w:t xml:space="preserve"> </w:t>
      </w:r>
    </w:p>
    <w:p w:rsidR="00631D87" w:rsidRDefault="00631D87" w:rsidP="00DB3F47">
      <w:pPr>
        <w:autoSpaceDE w:val="0"/>
        <w:autoSpaceDN w:val="0"/>
        <w:adjustRightInd w:val="0"/>
        <w:ind w:right="-694"/>
        <w:rPr>
          <w:color w:val="000000"/>
        </w:rPr>
      </w:pPr>
    </w:p>
    <w:p w:rsidR="006835D7" w:rsidRDefault="006835D7" w:rsidP="00DB3F47">
      <w:pPr>
        <w:autoSpaceDE w:val="0"/>
        <w:autoSpaceDN w:val="0"/>
        <w:adjustRightInd w:val="0"/>
        <w:ind w:right="-694"/>
        <w:rPr>
          <w:color w:val="000000"/>
        </w:rPr>
      </w:pPr>
      <w:bookmarkStart w:id="0" w:name="_GoBack"/>
      <w:r w:rsidRPr="007713C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398pt;height:153.8pt;visibility:visible;mso-wrap-style:square">
            <v:imagedata r:id="rId6" o:title=""/>
          </v:shape>
        </w:pict>
      </w:r>
      <w:bookmarkEnd w:id="0"/>
    </w:p>
    <w:p w:rsidR="00A62C60" w:rsidRDefault="00A62C60" w:rsidP="00DB3F47">
      <w:pPr>
        <w:autoSpaceDE w:val="0"/>
        <w:autoSpaceDN w:val="0"/>
        <w:adjustRightInd w:val="0"/>
        <w:ind w:right="-694"/>
        <w:rPr>
          <w:color w:val="000000"/>
        </w:rPr>
      </w:pPr>
    </w:p>
    <w:p w:rsidR="00631D87" w:rsidRPr="00893801" w:rsidRDefault="00893801" w:rsidP="00DB3F47">
      <w:pPr>
        <w:autoSpaceDE w:val="0"/>
        <w:autoSpaceDN w:val="0"/>
        <w:adjustRightInd w:val="0"/>
        <w:ind w:right="-694"/>
        <w:rPr>
          <w:color w:val="000000"/>
          <w:u w:val="single"/>
        </w:rPr>
      </w:pPr>
      <w:r w:rsidRPr="00893801">
        <w:rPr>
          <w:color w:val="000000"/>
          <w:u w:val="single"/>
        </w:rPr>
        <w:t>Molecular formula</w:t>
      </w:r>
      <w:r>
        <w:rPr>
          <w:color w:val="000000"/>
          <w:u w:val="single"/>
        </w:rPr>
        <w:t xml:space="preserve">: </w:t>
      </w:r>
      <w:r w:rsidR="00631D87">
        <w:rPr>
          <w:color w:val="000000"/>
        </w:rPr>
        <w:t>C</w:t>
      </w:r>
      <w:r w:rsidR="00631D87">
        <w:rPr>
          <w:color w:val="000000"/>
          <w:vertAlign w:val="subscript"/>
        </w:rPr>
        <w:t>23</w:t>
      </w:r>
      <w:r w:rsidR="00631D87">
        <w:rPr>
          <w:color w:val="000000"/>
        </w:rPr>
        <w:t>H</w:t>
      </w:r>
      <w:r w:rsidR="00631D87">
        <w:rPr>
          <w:color w:val="000000"/>
          <w:vertAlign w:val="subscript"/>
        </w:rPr>
        <w:t>23</w:t>
      </w:r>
      <w:r w:rsidR="00631D87">
        <w:rPr>
          <w:color w:val="000000"/>
        </w:rPr>
        <w:t>N</w:t>
      </w:r>
      <w:r w:rsidR="00631D87">
        <w:rPr>
          <w:color w:val="000000"/>
          <w:vertAlign w:val="subscript"/>
        </w:rPr>
        <w:t>7</w:t>
      </w:r>
      <w:r w:rsidR="00631D87">
        <w:rPr>
          <w:color w:val="000000"/>
        </w:rPr>
        <w:t>O</w:t>
      </w:r>
      <w:r w:rsidR="00631D87">
        <w:rPr>
          <w:color w:val="000000"/>
          <w:vertAlign w:val="subscript"/>
        </w:rPr>
        <w:t>5</w:t>
      </w:r>
      <w:r w:rsidR="00347E04">
        <w:rPr>
          <w:color w:val="000000"/>
        </w:rPr>
        <w:tab/>
      </w:r>
      <w:r w:rsidR="00347E04">
        <w:rPr>
          <w:color w:val="000000"/>
        </w:rPr>
        <w:tab/>
      </w:r>
      <w:r w:rsidR="00631D87" w:rsidRPr="00893801">
        <w:rPr>
          <w:color w:val="000000"/>
          <w:u w:val="single"/>
        </w:rPr>
        <w:t>Mole</w:t>
      </w:r>
      <w:r w:rsidRPr="00893801">
        <w:rPr>
          <w:color w:val="000000"/>
          <w:u w:val="single"/>
        </w:rPr>
        <w:t>cular weight</w:t>
      </w:r>
      <w:r>
        <w:rPr>
          <w:color w:val="000000"/>
        </w:rPr>
        <w:t xml:space="preserve">: </w:t>
      </w:r>
      <w:r w:rsidR="00631D87">
        <w:rPr>
          <w:color w:val="000000"/>
        </w:rPr>
        <w:t>477.4</w:t>
      </w:r>
      <w:r w:rsidR="001373F2">
        <w:rPr>
          <w:color w:val="000000"/>
        </w:rPr>
        <w:t>8</w:t>
      </w:r>
    </w:p>
    <w:p w:rsidR="00A55839" w:rsidRDefault="00A55839" w:rsidP="00DB3F47">
      <w:pPr>
        <w:autoSpaceDE w:val="0"/>
        <w:autoSpaceDN w:val="0"/>
        <w:adjustRightInd w:val="0"/>
        <w:ind w:right="-694"/>
        <w:rPr>
          <w:color w:val="000000"/>
        </w:rPr>
      </w:pPr>
    </w:p>
    <w:p w:rsidR="00631D87" w:rsidRDefault="00631D87" w:rsidP="00DB3F47">
      <w:pPr>
        <w:autoSpaceDE w:val="0"/>
        <w:autoSpaceDN w:val="0"/>
        <w:adjustRightInd w:val="0"/>
        <w:ind w:right="-694"/>
        <w:rPr>
          <w:b/>
          <w:bCs/>
          <w:color w:val="000000"/>
        </w:rPr>
      </w:pPr>
      <w:r w:rsidRPr="00893801">
        <w:rPr>
          <w:color w:val="000000"/>
          <w:u w:val="single"/>
        </w:rPr>
        <w:t>CAS Registry Number:</w:t>
      </w:r>
      <w:r>
        <w:rPr>
          <w:color w:val="000000"/>
        </w:rPr>
        <w:t xml:space="preserve"> 146464-95-1</w:t>
      </w:r>
    </w:p>
    <w:p w:rsidR="00D0491F" w:rsidRDefault="00D0491F" w:rsidP="00DB3F47">
      <w:pPr>
        <w:autoSpaceDE w:val="0"/>
        <w:autoSpaceDN w:val="0"/>
        <w:adjustRightInd w:val="0"/>
        <w:ind w:right="-694"/>
        <w:rPr>
          <w:b/>
          <w:bCs/>
          <w:color w:val="000000"/>
        </w:rPr>
      </w:pPr>
    </w:p>
    <w:p w:rsidR="00347E04" w:rsidRDefault="00347E04" w:rsidP="00DB3F47">
      <w:pPr>
        <w:autoSpaceDE w:val="0"/>
        <w:autoSpaceDN w:val="0"/>
        <w:adjustRightInd w:val="0"/>
        <w:ind w:right="-694"/>
        <w:rPr>
          <w:b/>
          <w:bCs/>
          <w:color w:val="000000"/>
        </w:rPr>
      </w:pPr>
    </w:p>
    <w:p w:rsidR="0002134C" w:rsidRPr="00600475" w:rsidRDefault="00147EC9" w:rsidP="00DB3F47">
      <w:pPr>
        <w:autoSpaceDE w:val="0"/>
        <w:autoSpaceDN w:val="0"/>
        <w:adjustRightInd w:val="0"/>
        <w:ind w:right="-694"/>
        <w:rPr>
          <w:b/>
          <w:bCs/>
          <w:color w:val="000000"/>
        </w:rPr>
      </w:pPr>
      <w:r>
        <w:rPr>
          <w:b/>
          <w:bCs/>
          <w:color w:val="000000"/>
        </w:rPr>
        <w:t>DESCRIPTION</w:t>
      </w:r>
    </w:p>
    <w:p w:rsidR="00447563" w:rsidRPr="00447563" w:rsidRDefault="00447563" w:rsidP="00447563">
      <w:pPr>
        <w:rPr>
          <w:color w:val="0C2842"/>
        </w:rPr>
      </w:pPr>
      <w:r w:rsidRPr="00447563">
        <w:t xml:space="preserve">Pralatrexate is an off-white to yellow solid. </w:t>
      </w:r>
      <w:r>
        <w:t xml:space="preserve"> </w:t>
      </w:r>
      <w:r w:rsidRPr="00447563">
        <w:t>It is soluble in aqueous</w:t>
      </w:r>
      <w:r>
        <w:t xml:space="preserve"> solutions at pH 6.5 or higher, and</w:t>
      </w:r>
      <w:r w:rsidRPr="00447563">
        <w:t xml:space="preserve"> practically insoluble in chloroform and ethanol. </w:t>
      </w:r>
      <w:r>
        <w:t xml:space="preserve"> </w:t>
      </w:r>
      <w:r w:rsidR="00C36A01">
        <w:t xml:space="preserve">The aqueous solubility of </w:t>
      </w:r>
      <w:proofErr w:type="spellStart"/>
      <w:r w:rsidR="00C36A01">
        <w:t>pralatrexate</w:t>
      </w:r>
      <w:proofErr w:type="spellEnd"/>
      <w:r w:rsidR="00C36A01">
        <w:t xml:space="preserve"> is U-shaped over a pH range of 1-7, and is controlled by the neutral species within this range.  The intrinsic solubility of the neutral species was calculated as 132 µM or 63 µg/</w:t>
      </w:r>
      <w:proofErr w:type="spellStart"/>
      <w:r w:rsidR="00C36A01">
        <w:t>mL.</w:t>
      </w:r>
      <w:proofErr w:type="spellEnd"/>
      <w:r w:rsidR="00C36A01">
        <w:t xml:space="preserve">  The lowest solubility is within the range of pH 3 to pH 6, which correlates with t</w:t>
      </w:r>
      <w:r w:rsidRPr="00447563">
        <w:t xml:space="preserve">he </w:t>
      </w:r>
      <w:r w:rsidR="00C36A01">
        <w:t xml:space="preserve">measured </w:t>
      </w:r>
      <w:proofErr w:type="spellStart"/>
      <w:r w:rsidRPr="00447563">
        <w:t>pKa</w:t>
      </w:r>
      <w:proofErr w:type="spellEnd"/>
      <w:r w:rsidRPr="00447563">
        <w:t xml:space="preserve"> values </w:t>
      </w:r>
      <w:r>
        <w:t xml:space="preserve">of </w:t>
      </w:r>
      <w:proofErr w:type="spellStart"/>
      <w:r>
        <w:t>pralatrexate</w:t>
      </w:r>
      <w:proofErr w:type="spellEnd"/>
      <w:r>
        <w:t xml:space="preserve"> </w:t>
      </w:r>
      <w:r w:rsidR="00B70275">
        <w:t>of</w:t>
      </w:r>
      <w:r w:rsidRPr="00447563">
        <w:t xml:space="preserve"> 3.25</w:t>
      </w:r>
      <w:r w:rsidR="00245E41">
        <w:t xml:space="preserve"> and</w:t>
      </w:r>
      <w:r w:rsidRPr="00447563">
        <w:t xml:space="preserve"> 4.76</w:t>
      </w:r>
      <w:r w:rsidR="00245E41">
        <w:t xml:space="preserve"> for the first two carboxylic acid groups</w:t>
      </w:r>
      <w:r w:rsidRPr="00447563">
        <w:t>, and 6</w:t>
      </w:r>
      <w:r w:rsidR="00C36A01">
        <w:t>.17</w:t>
      </w:r>
      <w:r w:rsidR="00245E41">
        <w:t xml:space="preserve"> for the conjugate acid of the basic group</w:t>
      </w:r>
      <w:r w:rsidRPr="00447563">
        <w:t>.</w:t>
      </w:r>
      <w:r>
        <w:t xml:space="preserve"> </w:t>
      </w:r>
      <w:r w:rsidR="0049358A">
        <w:t xml:space="preserve"> </w:t>
      </w:r>
      <w:r w:rsidR="00245E41">
        <w:t xml:space="preserve">The partition coefficient (log P) </w:t>
      </w:r>
      <w:r w:rsidR="009E6FDF">
        <w:t>is 0.025 (neutral) and 0.011 (</w:t>
      </w:r>
      <w:proofErr w:type="spellStart"/>
      <w:r w:rsidR="009E6FDF">
        <w:t>monoanionic</w:t>
      </w:r>
      <w:proofErr w:type="spellEnd"/>
      <w:r w:rsidR="009E6FDF">
        <w:t xml:space="preserve">).  </w:t>
      </w:r>
      <w:r w:rsidR="002A2A95" w:rsidRPr="00600475">
        <w:rPr>
          <w:color w:val="000000"/>
        </w:rPr>
        <w:t xml:space="preserve">Pralatrexate is a 1:1 mixture of </w:t>
      </w:r>
      <w:r w:rsidR="002A2A95" w:rsidRPr="00600475">
        <w:rPr>
          <w:i/>
          <w:iCs/>
          <w:color w:val="000000"/>
        </w:rPr>
        <w:t>R</w:t>
      </w:r>
      <w:r w:rsidR="002A2A95" w:rsidRPr="00600475">
        <w:rPr>
          <w:color w:val="000000"/>
        </w:rPr>
        <w:t xml:space="preserve">- and </w:t>
      </w:r>
      <w:r w:rsidR="002A2A95" w:rsidRPr="00600475">
        <w:rPr>
          <w:i/>
          <w:iCs/>
          <w:color w:val="000000"/>
        </w:rPr>
        <w:t>S</w:t>
      </w:r>
      <w:r w:rsidR="002A2A95" w:rsidRPr="00600475">
        <w:rPr>
          <w:color w:val="000000"/>
        </w:rPr>
        <w:t>-</w:t>
      </w:r>
      <w:proofErr w:type="spellStart"/>
      <w:r w:rsidR="002A2A95" w:rsidRPr="00600475">
        <w:rPr>
          <w:color w:val="000000"/>
        </w:rPr>
        <w:t>diastereomers</w:t>
      </w:r>
      <w:proofErr w:type="spellEnd"/>
      <w:r w:rsidR="002A2A95" w:rsidRPr="00600475">
        <w:rPr>
          <w:color w:val="000000"/>
        </w:rPr>
        <w:t xml:space="preserve"> at the C10 </w:t>
      </w:r>
      <w:proofErr w:type="spellStart"/>
      <w:r w:rsidR="004D33D4">
        <w:rPr>
          <w:color w:val="000000"/>
        </w:rPr>
        <w:t>epimeric</w:t>
      </w:r>
      <w:proofErr w:type="spellEnd"/>
      <w:r w:rsidR="004D33D4">
        <w:rPr>
          <w:color w:val="000000"/>
        </w:rPr>
        <w:t xml:space="preserve"> </w:t>
      </w:r>
      <w:r w:rsidR="002A2A95" w:rsidRPr="00600475">
        <w:rPr>
          <w:color w:val="000000"/>
        </w:rPr>
        <w:t xml:space="preserve">chiral </w:t>
      </w:r>
      <w:r w:rsidR="00112230">
        <w:rPr>
          <w:color w:val="000000"/>
        </w:rPr>
        <w:t>centre</w:t>
      </w:r>
      <w:r w:rsidR="00965954">
        <w:rPr>
          <w:color w:val="000000"/>
        </w:rPr>
        <w:t>, with a fixed chiral centre at C19</w:t>
      </w:r>
      <w:r w:rsidR="00631D87">
        <w:rPr>
          <w:color w:val="000000"/>
        </w:rPr>
        <w:t xml:space="preserve">. </w:t>
      </w:r>
    </w:p>
    <w:p w:rsidR="00523BA4" w:rsidRDefault="00523BA4" w:rsidP="00147EC9">
      <w:pPr>
        <w:autoSpaceDE w:val="0"/>
        <w:autoSpaceDN w:val="0"/>
        <w:adjustRightInd w:val="0"/>
        <w:ind w:right="-694"/>
        <w:rPr>
          <w:color w:val="000000"/>
          <w:u w:val="single"/>
        </w:rPr>
      </w:pPr>
    </w:p>
    <w:p w:rsidR="008D4547" w:rsidRDefault="008D4547" w:rsidP="00147EC9">
      <w:pPr>
        <w:autoSpaceDE w:val="0"/>
        <w:autoSpaceDN w:val="0"/>
        <w:adjustRightInd w:val="0"/>
        <w:ind w:right="-694"/>
        <w:rPr>
          <w:color w:val="000000"/>
        </w:rPr>
      </w:pPr>
      <w:r w:rsidRPr="008D4547">
        <w:rPr>
          <w:color w:val="000000"/>
          <w:u w:val="single"/>
        </w:rPr>
        <w:t xml:space="preserve">Description of </w:t>
      </w:r>
      <w:r w:rsidR="00267ABB">
        <w:rPr>
          <w:color w:val="000000"/>
          <w:u w:val="single"/>
        </w:rPr>
        <w:t xml:space="preserve">the </w:t>
      </w:r>
      <w:r w:rsidRPr="008D4547">
        <w:rPr>
          <w:color w:val="000000"/>
          <w:u w:val="single"/>
        </w:rPr>
        <w:t>product</w:t>
      </w:r>
    </w:p>
    <w:p w:rsidR="00147EC9" w:rsidRPr="00600475" w:rsidRDefault="00266DB7" w:rsidP="00147EC9">
      <w:pPr>
        <w:autoSpaceDE w:val="0"/>
        <w:autoSpaceDN w:val="0"/>
        <w:adjustRightInd w:val="0"/>
        <w:ind w:right="-694"/>
        <w:rPr>
          <w:color w:val="000000"/>
        </w:rPr>
      </w:pPr>
      <w:r>
        <w:rPr>
          <w:color w:val="000000"/>
        </w:rPr>
        <w:t>P</w:t>
      </w:r>
      <w:r w:rsidRPr="00600475">
        <w:rPr>
          <w:color w:val="000000"/>
        </w:rPr>
        <w:t>ralatrexate</w:t>
      </w:r>
      <w:r>
        <w:rPr>
          <w:color w:val="000000"/>
        </w:rPr>
        <w:t xml:space="preserve"> </w:t>
      </w:r>
      <w:r w:rsidR="008D4547">
        <w:rPr>
          <w:color w:val="000000"/>
        </w:rPr>
        <w:t>solution for infusion</w:t>
      </w:r>
      <w:r w:rsidR="008D4547" w:rsidRPr="00147EC9">
        <w:rPr>
          <w:color w:val="000000"/>
        </w:rPr>
        <w:t xml:space="preserve"> </w:t>
      </w:r>
      <w:r w:rsidR="008D4547">
        <w:rPr>
          <w:color w:val="000000"/>
        </w:rPr>
        <w:t xml:space="preserve">is a </w:t>
      </w:r>
      <w:r w:rsidR="008D4547" w:rsidRPr="00447563">
        <w:t>preservative</w:t>
      </w:r>
      <w:r w:rsidR="008D4547">
        <w:t>-</w:t>
      </w:r>
      <w:r w:rsidR="008D4547" w:rsidRPr="00447563">
        <w:t xml:space="preserve">free, sterile, isotonic, non-pyrogenic </w:t>
      </w:r>
      <w:r w:rsidR="008D4547">
        <w:rPr>
          <w:color w:val="000000"/>
        </w:rPr>
        <w:t>c</w:t>
      </w:r>
      <w:r w:rsidR="008D4547" w:rsidRPr="00600475">
        <w:rPr>
          <w:color w:val="000000"/>
        </w:rPr>
        <w:t>lear yellow</w:t>
      </w:r>
      <w:r w:rsidR="008D4547" w:rsidRPr="008D4547">
        <w:t xml:space="preserve"> </w:t>
      </w:r>
      <w:r w:rsidR="008D4547" w:rsidRPr="00447563">
        <w:t>aqueous parenteral solution</w:t>
      </w:r>
      <w:r w:rsidR="008D4547">
        <w:t>.  It</w:t>
      </w:r>
      <w:r w:rsidR="008D4547">
        <w:rPr>
          <w:color w:val="000000"/>
        </w:rPr>
        <w:t xml:space="preserve"> </w:t>
      </w:r>
      <w:r w:rsidRPr="00600475">
        <w:rPr>
          <w:color w:val="000000"/>
        </w:rPr>
        <w:t>is supplied in a clear glass</w:t>
      </w:r>
      <w:r w:rsidR="008D4547">
        <w:rPr>
          <w:color w:val="000000"/>
        </w:rPr>
        <w:t>, single-use</w:t>
      </w:r>
      <w:r w:rsidRPr="00600475">
        <w:rPr>
          <w:color w:val="000000"/>
        </w:rPr>
        <w:t xml:space="preserve"> vial with a </w:t>
      </w:r>
      <w:proofErr w:type="spellStart"/>
      <w:r w:rsidR="00631FA9">
        <w:rPr>
          <w:color w:val="000000"/>
        </w:rPr>
        <w:t>chloro</w:t>
      </w:r>
      <w:r w:rsidRPr="00600475">
        <w:rPr>
          <w:color w:val="000000"/>
        </w:rPr>
        <w:t>butyl</w:t>
      </w:r>
      <w:proofErr w:type="spellEnd"/>
      <w:r w:rsidRPr="00600475">
        <w:rPr>
          <w:color w:val="000000"/>
        </w:rPr>
        <w:t xml:space="preserve"> stopper covered with an aluminium flip-off</w:t>
      </w:r>
      <w:r>
        <w:rPr>
          <w:color w:val="000000"/>
        </w:rPr>
        <w:t xml:space="preserve"> </w:t>
      </w:r>
      <w:r w:rsidRPr="00600475">
        <w:rPr>
          <w:color w:val="000000"/>
        </w:rPr>
        <w:t>seal</w:t>
      </w:r>
      <w:r>
        <w:rPr>
          <w:color w:val="000000"/>
        </w:rPr>
        <w:t xml:space="preserve">.  </w:t>
      </w:r>
      <w:r w:rsidR="008D4547" w:rsidRPr="00447563">
        <w:t xml:space="preserve">Each 1 mL of solution contains 20 mg of </w:t>
      </w:r>
      <w:proofErr w:type="spellStart"/>
      <w:r w:rsidR="008D4547" w:rsidRPr="00447563">
        <w:t>pralatrexate</w:t>
      </w:r>
      <w:proofErr w:type="spellEnd"/>
      <w:r w:rsidR="008D4547">
        <w:t>,</w:t>
      </w:r>
      <w:r w:rsidR="008D4547">
        <w:rPr>
          <w:color w:val="000000"/>
        </w:rPr>
        <w:t xml:space="preserve"> </w:t>
      </w:r>
      <w:r w:rsidR="008D4547" w:rsidRPr="00447563">
        <w:t>supplied as either 20 mg (1 mL) or 40 mg (2 mL)</w:t>
      </w:r>
      <w:r w:rsidR="008D4547">
        <w:t xml:space="preserve"> </w:t>
      </w:r>
      <w:r w:rsidR="00631FA9">
        <w:t>vials</w:t>
      </w:r>
      <w:r w:rsidR="008D4547">
        <w:t>.</w:t>
      </w:r>
      <w:r w:rsidR="008D4547">
        <w:rPr>
          <w:color w:val="000000"/>
        </w:rPr>
        <w:t xml:space="preserve">  </w:t>
      </w:r>
      <w:r w:rsidR="00147EC9">
        <w:rPr>
          <w:color w:val="000000"/>
        </w:rPr>
        <w:t xml:space="preserve">The inactive </w:t>
      </w:r>
      <w:r w:rsidR="00147EC9">
        <w:rPr>
          <w:color w:val="000000"/>
        </w:rPr>
        <w:lastRenderedPageBreak/>
        <w:t>ingredients</w:t>
      </w:r>
      <w:r w:rsidR="008D4547">
        <w:rPr>
          <w:color w:val="000000"/>
        </w:rPr>
        <w:t xml:space="preserve"> in the solution for infusion</w:t>
      </w:r>
      <w:r w:rsidR="00147EC9" w:rsidRPr="00600475">
        <w:rPr>
          <w:color w:val="000000"/>
        </w:rPr>
        <w:t xml:space="preserve"> </w:t>
      </w:r>
      <w:r w:rsidR="00147EC9">
        <w:rPr>
          <w:color w:val="000000"/>
        </w:rPr>
        <w:t xml:space="preserve">are </w:t>
      </w:r>
      <w:r w:rsidR="00147EC9" w:rsidRPr="00600475">
        <w:rPr>
          <w:color w:val="000000"/>
        </w:rPr>
        <w:t>sodium chloride</w:t>
      </w:r>
      <w:r w:rsidR="00AA1791">
        <w:rPr>
          <w:color w:val="000000"/>
        </w:rPr>
        <w:t xml:space="preserve"> (</w:t>
      </w:r>
      <w:r w:rsidR="004D33D4">
        <w:rPr>
          <w:color w:val="000000"/>
        </w:rPr>
        <w:t xml:space="preserve">approximately </w:t>
      </w:r>
      <w:r w:rsidR="00AA1791">
        <w:rPr>
          <w:color w:val="000000"/>
        </w:rPr>
        <w:t>6</w:t>
      </w:r>
      <w:r w:rsidR="001E0613">
        <w:rPr>
          <w:color w:val="000000"/>
        </w:rPr>
        <w:t>.3</w:t>
      </w:r>
      <w:r w:rsidR="00AA1791">
        <w:rPr>
          <w:color w:val="000000"/>
        </w:rPr>
        <w:t xml:space="preserve"> mg in 1 mL of solution)</w:t>
      </w:r>
      <w:r w:rsidR="00147EC9">
        <w:rPr>
          <w:color w:val="000000"/>
        </w:rPr>
        <w:t xml:space="preserve">, </w:t>
      </w:r>
      <w:r w:rsidR="001E0613">
        <w:rPr>
          <w:color w:val="000000"/>
        </w:rPr>
        <w:t xml:space="preserve">a sufficient quantity of </w:t>
      </w:r>
      <w:r w:rsidR="00147EC9">
        <w:rPr>
          <w:color w:val="000000"/>
        </w:rPr>
        <w:t>s</w:t>
      </w:r>
      <w:r w:rsidR="00147EC9" w:rsidRPr="00600475">
        <w:rPr>
          <w:color w:val="000000"/>
        </w:rPr>
        <w:t>odium hydroxide</w:t>
      </w:r>
      <w:r w:rsidR="00303062">
        <w:rPr>
          <w:color w:val="000000"/>
        </w:rPr>
        <w:t xml:space="preserve"> and</w:t>
      </w:r>
      <w:r w:rsidR="00147EC9">
        <w:rPr>
          <w:color w:val="000000"/>
        </w:rPr>
        <w:t xml:space="preserve"> h</w:t>
      </w:r>
      <w:r w:rsidR="00147EC9" w:rsidRPr="00600475">
        <w:rPr>
          <w:color w:val="000000"/>
        </w:rPr>
        <w:t>ydrochloric acid</w:t>
      </w:r>
      <w:r w:rsidR="002420BE">
        <w:rPr>
          <w:color w:val="000000"/>
        </w:rPr>
        <w:t xml:space="preserve"> if needed,</w:t>
      </w:r>
      <w:r w:rsidR="00147EC9">
        <w:rPr>
          <w:color w:val="000000"/>
        </w:rPr>
        <w:t xml:space="preserve"> </w:t>
      </w:r>
      <w:r w:rsidR="001E0613">
        <w:rPr>
          <w:color w:val="000000"/>
        </w:rPr>
        <w:t>to adjust</w:t>
      </w:r>
      <w:r w:rsidR="00303062">
        <w:rPr>
          <w:color w:val="000000"/>
        </w:rPr>
        <w:t xml:space="preserve"> </w:t>
      </w:r>
      <w:r w:rsidR="002420BE">
        <w:rPr>
          <w:color w:val="000000"/>
        </w:rPr>
        <w:t xml:space="preserve">and maintain the </w:t>
      </w:r>
      <w:r w:rsidR="00303062">
        <w:rPr>
          <w:color w:val="000000"/>
        </w:rPr>
        <w:t>pH</w:t>
      </w:r>
      <w:r w:rsidR="002420BE">
        <w:rPr>
          <w:color w:val="000000"/>
        </w:rPr>
        <w:t xml:space="preserve"> at 7.5-8.5</w:t>
      </w:r>
      <w:r w:rsidR="00303062">
        <w:rPr>
          <w:color w:val="000000"/>
        </w:rPr>
        <w:t xml:space="preserve">, </w:t>
      </w:r>
      <w:r w:rsidR="00147EC9">
        <w:rPr>
          <w:color w:val="000000"/>
        </w:rPr>
        <w:t>and w</w:t>
      </w:r>
      <w:r w:rsidR="00147EC9" w:rsidRPr="00600475">
        <w:rPr>
          <w:color w:val="000000"/>
        </w:rPr>
        <w:t>ater for injections</w:t>
      </w:r>
      <w:r w:rsidR="00147EC9">
        <w:rPr>
          <w:color w:val="000000"/>
        </w:rPr>
        <w:t>.</w:t>
      </w:r>
    </w:p>
    <w:p w:rsidR="00BE5ED7" w:rsidRPr="00600475" w:rsidRDefault="00BE5ED7" w:rsidP="00BE5ED7">
      <w:pPr>
        <w:autoSpaceDE w:val="0"/>
        <w:autoSpaceDN w:val="0"/>
        <w:adjustRightInd w:val="0"/>
        <w:ind w:right="-694"/>
        <w:rPr>
          <w:b/>
          <w:bCs/>
          <w:color w:val="000000"/>
        </w:rPr>
      </w:pPr>
      <w:r w:rsidRPr="00600475">
        <w:rPr>
          <w:b/>
          <w:bCs/>
          <w:color w:val="000000"/>
        </w:rPr>
        <w:t>PHARMACOLOG</w:t>
      </w:r>
      <w:r>
        <w:rPr>
          <w:b/>
          <w:bCs/>
          <w:color w:val="000000"/>
        </w:rPr>
        <w:t>Y</w:t>
      </w:r>
    </w:p>
    <w:p w:rsidR="00BE5ED7" w:rsidRPr="00BE5ED7" w:rsidRDefault="00BE5ED7" w:rsidP="00BE5ED7">
      <w:pPr>
        <w:autoSpaceDE w:val="0"/>
        <w:autoSpaceDN w:val="0"/>
        <w:adjustRightInd w:val="0"/>
        <w:ind w:right="-694"/>
        <w:rPr>
          <w:color w:val="000000"/>
          <w:u w:val="single"/>
        </w:rPr>
      </w:pPr>
      <w:r w:rsidRPr="00BE5ED7">
        <w:rPr>
          <w:color w:val="000000"/>
          <w:u w:val="single"/>
        </w:rPr>
        <w:t>Actions</w:t>
      </w:r>
    </w:p>
    <w:p w:rsidR="00BE5ED7" w:rsidRPr="00600475" w:rsidRDefault="00BE5ED7" w:rsidP="00BE5ED7">
      <w:pPr>
        <w:autoSpaceDE w:val="0"/>
        <w:autoSpaceDN w:val="0"/>
        <w:adjustRightInd w:val="0"/>
        <w:ind w:right="-694"/>
        <w:rPr>
          <w:color w:val="000000"/>
        </w:rPr>
      </w:pPr>
      <w:r w:rsidRPr="00600475">
        <w:rPr>
          <w:color w:val="000000"/>
        </w:rPr>
        <w:t xml:space="preserve">Pralatrexate is an antineoplastic folate analogue that </w:t>
      </w:r>
      <w:r w:rsidR="00425380">
        <w:rPr>
          <w:color w:val="000000"/>
        </w:rPr>
        <w:t xml:space="preserve">is </w:t>
      </w:r>
      <w:r w:rsidR="00B66422">
        <w:rPr>
          <w:color w:val="000000"/>
        </w:rPr>
        <w:t>a substrate</w:t>
      </w:r>
      <w:r w:rsidRPr="00600475">
        <w:rPr>
          <w:color w:val="000000"/>
        </w:rPr>
        <w:t xml:space="preserve"> for reduced folate </w:t>
      </w:r>
      <w:r w:rsidR="001753D8">
        <w:rPr>
          <w:color w:val="000000"/>
        </w:rPr>
        <w:t xml:space="preserve">transporters, including reduced folate </w:t>
      </w:r>
      <w:r w:rsidRPr="00600475">
        <w:rPr>
          <w:color w:val="000000"/>
        </w:rPr>
        <w:t>carrier 1</w:t>
      </w:r>
      <w:r>
        <w:rPr>
          <w:color w:val="000000"/>
        </w:rPr>
        <w:t xml:space="preserve"> </w:t>
      </w:r>
      <w:r w:rsidRPr="00600475">
        <w:rPr>
          <w:color w:val="000000"/>
        </w:rPr>
        <w:t xml:space="preserve">(RFC-1) and the enzyme </w:t>
      </w:r>
      <w:proofErr w:type="spellStart"/>
      <w:r w:rsidRPr="00600475">
        <w:rPr>
          <w:color w:val="000000"/>
        </w:rPr>
        <w:t>folylpolyglutamyl</w:t>
      </w:r>
      <w:proofErr w:type="spellEnd"/>
      <w:r>
        <w:rPr>
          <w:color w:val="000000"/>
        </w:rPr>
        <w:t xml:space="preserve"> </w:t>
      </w:r>
      <w:proofErr w:type="spellStart"/>
      <w:r w:rsidRPr="00600475">
        <w:rPr>
          <w:color w:val="000000"/>
        </w:rPr>
        <w:t>synthetase</w:t>
      </w:r>
      <w:proofErr w:type="spellEnd"/>
      <w:r w:rsidRPr="00600475">
        <w:rPr>
          <w:color w:val="000000"/>
        </w:rPr>
        <w:t xml:space="preserve"> (FPGS), resulting in internali</w:t>
      </w:r>
      <w:r w:rsidR="00AF7868">
        <w:rPr>
          <w:color w:val="000000"/>
        </w:rPr>
        <w:t>s</w:t>
      </w:r>
      <w:r w:rsidRPr="00600475">
        <w:rPr>
          <w:color w:val="000000"/>
        </w:rPr>
        <w:t>ation and accumulation within tumour cells.</w:t>
      </w:r>
      <w:r>
        <w:rPr>
          <w:color w:val="000000"/>
        </w:rPr>
        <w:t xml:space="preserve"> </w:t>
      </w:r>
      <w:r w:rsidR="008D4547">
        <w:rPr>
          <w:color w:val="000000"/>
        </w:rPr>
        <w:t xml:space="preserve"> </w:t>
      </w:r>
      <w:r w:rsidRPr="00600475">
        <w:rPr>
          <w:color w:val="000000"/>
        </w:rPr>
        <w:t xml:space="preserve">Pralatrexate exerts anti-folate activity via </w:t>
      </w:r>
      <w:r w:rsidR="00B9123C">
        <w:rPr>
          <w:color w:val="000000"/>
        </w:rPr>
        <w:t xml:space="preserve">the </w:t>
      </w:r>
      <w:r w:rsidRPr="00600475">
        <w:rPr>
          <w:color w:val="000000"/>
        </w:rPr>
        <w:t xml:space="preserve">inhibition of </w:t>
      </w:r>
      <w:proofErr w:type="spellStart"/>
      <w:r w:rsidRPr="00600475">
        <w:rPr>
          <w:color w:val="000000"/>
        </w:rPr>
        <w:t>dihydrofolate</w:t>
      </w:r>
      <w:proofErr w:type="spellEnd"/>
      <w:r w:rsidRPr="00600475">
        <w:rPr>
          <w:color w:val="000000"/>
        </w:rPr>
        <w:t xml:space="preserve"> reductase (DHFR), resulting</w:t>
      </w:r>
      <w:r>
        <w:rPr>
          <w:color w:val="000000"/>
        </w:rPr>
        <w:t xml:space="preserve"> </w:t>
      </w:r>
      <w:r w:rsidRPr="00600475">
        <w:rPr>
          <w:color w:val="000000"/>
        </w:rPr>
        <w:t>in a disruption of DNA synthesis and subsequent tumour cell death.</w:t>
      </w:r>
      <w:r w:rsidR="007570F0">
        <w:rPr>
          <w:color w:val="000000"/>
        </w:rPr>
        <w:t xml:space="preserve">  </w:t>
      </w:r>
      <w:r w:rsidR="001753D8" w:rsidRPr="001753D8">
        <w:rPr>
          <w:i/>
          <w:color w:val="000000"/>
        </w:rPr>
        <w:t>In vitro</w:t>
      </w:r>
      <w:r w:rsidR="001753D8">
        <w:rPr>
          <w:color w:val="000000"/>
        </w:rPr>
        <w:t xml:space="preserve"> testing indicates that </w:t>
      </w:r>
      <w:proofErr w:type="spellStart"/>
      <w:r w:rsidR="001753D8">
        <w:rPr>
          <w:color w:val="000000"/>
        </w:rPr>
        <w:t>p</w:t>
      </w:r>
      <w:r w:rsidRPr="00600475">
        <w:rPr>
          <w:color w:val="000000"/>
        </w:rPr>
        <w:t>ralatrexate</w:t>
      </w:r>
      <w:proofErr w:type="spellEnd"/>
      <w:r w:rsidRPr="00600475">
        <w:rPr>
          <w:color w:val="000000"/>
        </w:rPr>
        <w:t xml:space="preserve"> exhibits cytotoxic activity across a number of</w:t>
      </w:r>
      <w:r>
        <w:rPr>
          <w:color w:val="000000"/>
        </w:rPr>
        <w:t xml:space="preserve"> </w:t>
      </w:r>
      <w:r w:rsidRPr="00600475">
        <w:rPr>
          <w:color w:val="000000"/>
        </w:rPr>
        <w:t>human lymphoproliferative tumour cell types</w:t>
      </w:r>
      <w:r w:rsidR="001753D8">
        <w:rPr>
          <w:color w:val="000000"/>
        </w:rPr>
        <w:t xml:space="preserve">.  </w:t>
      </w:r>
      <w:r w:rsidR="00B66422">
        <w:rPr>
          <w:color w:val="000000"/>
        </w:rPr>
        <w:t>P</w:t>
      </w:r>
      <w:r w:rsidR="00B9123C" w:rsidRPr="00600475">
        <w:rPr>
          <w:color w:val="000000"/>
        </w:rPr>
        <w:t>ralatrexate produce</w:t>
      </w:r>
      <w:r w:rsidR="00B66422">
        <w:rPr>
          <w:color w:val="000000"/>
        </w:rPr>
        <w:t>d</w:t>
      </w:r>
      <w:r w:rsidR="00B9123C" w:rsidRPr="00600475">
        <w:rPr>
          <w:color w:val="000000"/>
        </w:rPr>
        <w:t xml:space="preserve"> a</w:t>
      </w:r>
      <w:r w:rsidR="00B9123C">
        <w:rPr>
          <w:color w:val="000000"/>
        </w:rPr>
        <w:t xml:space="preserve"> </w:t>
      </w:r>
      <w:r w:rsidR="00B9123C" w:rsidRPr="00600475">
        <w:rPr>
          <w:color w:val="000000"/>
        </w:rPr>
        <w:t>significant reduction in tumour size in human tumour xenograft models</w:t>
      </w:r>
      <w:r w:rsidRPr="00600475">
        <w:rPr>
          <w:color w:val="000000"/>
        </w:rPr>
        <w:t>.</w:t>
      </w:r>
    </w:p>
    <w:p w:rsidR="008D4547" w:rsidRDefault="008D4547" w:rsidP="008D4547">
      <w:pPr>
        <w:autoSpaceDE w:val="0"/>
        <w:autoSpaceDN w:val="0"/>
        <w:adjustRightInd w:val="0"/>
        <w:ind w:right="-694"/>
        <w:rPr>
          <w:color w:val="000000"/>
          <w:u w:val="single"/>
        </w:rPr>
      </w:pPr>
    </w:p>
    <w:p w:rsidR="008D4547" w:rsidRPr="00600475" w:rsidRDefault="008D4547" w:rsidP="008D4547">
      <w:pPr>
        <w:autoSpaceDE w:val="0"/>
        <w:autoSpaceDN w:val="0"/>
        <w:adjustRightInd w:val="0"/>
        <w:ind w:right="-694"/>
        <w:rPr>
          <w:color w:val="000000"/>
        </w:rPr>
      </w:pPr>
      <w:r>
        <w:rPr>
          <w:color w:val="000000"/>
        </w:rPr>
        <w:t xml:space="preserve">The </w:t>
      </w:r>
      <w:proofErr w:type="spellStart"/>
      <w:r>
        <w:rPr>
          <w:color w:val="000000"/>
        </w:rPr>
        <w:t>p</w:t>
      </w:r>
      <w:r w:rsidRPr="008D4547">
        <w:rPr>
          <w:color w:val="000000"/>
        </w:rPr>
        <w:t>harmacotherapeutic</w:t>
      </w:r>
      <w:proofErr w:type="spellEnd"/>
      <w:r w:rsidRPr="008D4547">
        <w:rPr>
          <w:color w:val="000000"/>
        </w:rPr>
        <w:t xml:space="preserve"> group</w:t>
      </w:r>
      <w:r>
        <w:rPr>
          <w:color w:val="000000"/>
        </w:rPr>
        <w:t xml:space="preserve"> for </w:t>
      </w:r>
      <w:proofErr w:type="spellStart"/>
      <w:r>
        <w:rPr>
          <w:color w:val="000000"/>
        </w:rPr>
        <w:t>pral</w:t>
      </w:r>
      <w:r w:rsidR="001753D8">
        <w:rPr>
          <w:color w:val="000000"/>
        </w:rPr>
        <w:t>a</w:t>
      </w:r>
      <w:r>
        <w:rPr>
          <w:color w:val="000000"/>
        </w:rPr>
        <w:t>trexate</w:t>
      </w:r>
      <w:proofErr w:type="spellEnd"/>
      <w:r>
        <w:rPr>
          <w:color w:val="000000"/>
        </w:rPr>
        <w:t xml:space="preserve"> is “a</w:t>
      </w:r>
      <w:r w:rsidRPr="00600475">
        <w:rPr>
          <w:color w:val="000000"/>
        </w:rPr>
        <w:t>ntineoplastic agents, antimetabolites, folic acid analogues</w:t>
      </w:r>
      <w:r>
        <w:rPr>
          <w:color w:val="000000"/>
        </w:rPr>
        <w:t>”</w:t>
      </w:r>
      <w:r w:rsidR="002A2A95">
        <w:rPr>
          <w:color w:val="000000"/>
        </w:rPr>
        <w:t>.  T</w:t>
      </w:r>
      <w:r>
        <w:rPr>
          <w:color w:val="000000"/>
        </w:rPr>
        <w:t xml:space="preserve">he </w:t>
      </w:r>
      <w:r w:rsidRPr="00600475">
        <w:rPr>
          <w:color w:val="000000"/>
        </w:rPr>
        <w:t>ATC code</w:t>
      </w:r>
      <w:r>
        <w:rPr>
          <w:color w:val="000000"/>
        </w:rPr>
        <w:t xml:space="preserve"> is</w:t>
      </w:r>
      <w:r w:rsidRPr="00600475">
        <w:rPr>
          <w:color w:val="000000"/>
        </w:rPr>
        <w:t xml:space="preserve"> L01BA05</w:t>
      </w:r>
      <w:r>
        <w:rPr>
          <w:color w:val="000000"/>
        </w:rPr>
        <w:t>.</w:t>
      </w:r>
      <w:r w:rsidRPr="008D4547">
        <w:rPr>
          <w:color w:val="000000"/>
        </w:rPr>
        <w:t xml:space="preserve"> </w:t>
      </w:r>
    </w:p>
    <w:p w:rsidR="00417597" w:rsidRDefault="00417597" w:rsidP="00BE5ED7">
      <w:pPr>
        <w:autoSpaceDE w:val="0"/>
        <w:autoSpaceDN w:val="0"/>
        <w:adjustRightInd w:val="0"/>
        <w:ind w:right="-694"/>
        <w:rPr>
          <w:bCs/>
          <w:color w:val="000000"/>
          <w:u w:val="single"/>
        </w:rPr>
      </w:pPr>
    </w:p>
    <w:p w:rsidR="00BE5ED7" w:rsidRPr="00BE5ED7" w:rsidRDefault="00BE5ED7" w:rsidP="00BE5ED7">
      <w:pPr>
        <w:autoSpaceDE w:val="0"/>
        <w:autoSpaceDN w:val="0"/>
        <w:adjustRightInd w:val="0"/>
        <w:ind w:right="-694"/>
        <w:rPr>
          <w:bCs/>
          <w:color w:val="000000"/>
          <w:u w:val="single"/>
        </w:rPr>
      </w:pPr>
      <w:r w:rsidRPr="00BE5ED7">
        <w:rPr>
          <w:bCs/>
          <w:color w:val="000000"/>
          <w:u w:val="single"/>
        </w:rPr>
        <w:t>Pharmacokinetic</w:t>
      </w:r>
      <w:r>
        <w:rPr>
          <w:bCs/>
          <w:color w:val="000000"/>
          <w:u w:val="single"/>
        </w:rPr>
        <w:t>s</w:t>
      </w:r>
    </w:p>
    <w:p w:rsidR="00BE5ED7" w:rsidRPr="002A2A95" w:rsidRDefault="00BE5ED7" w:rsidP="00BE5ED7">
      <w:pPr>
        <w:autoSpaceDE w:val="0"/>
        <w:autoSpaceDN w:val="0"/>
        <w:adjustRightInd w:val="0"/>
        <w:ind w:right="-694"/>
        <w:rPr>
          <w:i/>
          <w:color w:val="000000"/>
        </w:rPr>
      </w:pPr>
      <w:r w:rsidRPr="002A2A95">
        <w:rPr>
          <w:i/>
          <w:color w:val="000000"/>
        </w:rPr>
        <w:t>Absorption</w:t>
      </w:r>
    </w:p>
    <w:p w:rsidR="00BE5ED7" w:rsidRPr="00600475" w:rsidRDefault="00BE5ED7" w:rsidP="00BE5ED7">
      <w:pPr>
        <w:autoSpaceDE w:val="0"/>
        <w:autoSpaceDN w:val="0"/>
        <w:adjustRightInd w:val="0"/>
        <w:ind w:right="-694"/>
        <w:rPr>
          <w:color w:val="000000"/>
        </w:rPr>
      </w:pPr>
      <w:r w:rsidRPr="00600475">
        <w:rPr>
          <w:color w:val="000000"/>
        </w:rPr>
        <w:t>Pralatrexate is administered by intravenous infusion</w:t>
      </w:r>
      <w:r w:rsidR="00651DF1">
        <w:rPr>
          <w:color w:val="000000"/>
        </w:rPr>
        <w:t xml:space="preserve">, </w:t>
      </w:r>
      <w:r w:rsidRPr="00600475">
        <w:rPr>
          <w:color w:val="000000"/>
        </w:rPr>
        <w:t>therefore</w:t>
      </w:r>
      <w:r w:rsidR="00651DF1">
        <w:rPr>
          <w:color w:val="000000"/>
        </w:rPr>
        <w:t xml:space="preserve"> </w:t>
      </w:r>
      <w:r w:rsidRPr="00600475">
        <w:rPr>
          <w:color w:val="000000"/>
        </w:rPr>
        <w:t>absorption is not applicable.</w:t>
      </w:r>
      <w:r w:rsidR="002A2A95">
        <w:rPr>
          <w:color w:val="000000"/>
        </w:rPr>
        <w:t xml:space="preserve"> </w:t>
      </w:r>
    </w:p>
    <w:p w:rsidR="00BE5ED7" w:rsidRPr="00600475" w:rsidRDefault="00BE5ED7" w:rsidP="00BE5ED7">
      <w:pPr>
        <w:autoSpaceDE w:val="0"/>
        <w:autoSpaceDN w:val="0"/>
        <w:adjustRightInd w:val="0"/>
        <w:ind w:right="-694"/>
        <w:rPr>
          <w:color w:val="000000"/>
        </w:rPr>
      </w:pPr>
      <w:r w:rsidRPr="00600475">
        <w:rPr>
          <w:color w:val="000000"/>
        </w:rPr>
        <w:t xml:space="preserve">Maximum </w:t>
      </w:r>
      <w:proofErr w:type="spellStart"/>
      <w:r w:rsidRPr="00600475">
        <w:rPr>
          <w:color w:val="000000"/>
        </w:rPr>
        <w:t>pralatrexate</w:t>
      </w:r>
      <w:proofErr w:type="spellEnd"/>
      <w:r w:rsidRPr="00600475">
        <w:rPr>
          <w:color w:val="000000"/>
        </w:rPr>
        <w:t xml:space="preserve"> serum concentrations (</w:t>
      </w:r>
      <w:proofErr w:type="spellStart"/>
      <w:r w:rsidRPr="00600475">
        <w:rPr>
          <w:color w:val="000000"/>
        </w:rPr>
        <w:t>C</w:t>
      </w:r>
      <w:r w:rsidRPr="00AF7868">
        <w:rPr>
          <w:color w:val="000000"/>
          <w:vertAlign w:val="subscript"/>
        </w:rPr>
        <w:t>max</w:t>
      </w:r>
      <w:proofErr w:type="spellEnd"/>
      <w:r w:rsidRPr="00600475">
        <w:rPr>
          <w:color w:val="000000"/>
        </w:rPr>
        <w:t>) were generally observed at or shortly after the end</w:t>
      </w:r>
      <w:r>
        <w:rPr>
          <w:color w:val="000000"/>
        </w:rPr>
        <w:t xml:space="preserve"> </w:t>
      </w:r>
      <w:r w:rsidRPr="00600475">
        <w:rPr>
          <w:color w:val="000000"/>
        </w:rPr>
        <w:t xml:space="preserve">of the infusion. </w:t>
      </w:r>
      <w:r w:rsidR="002A2A95">
        <w:rPr>
          <w:color w:val="000000"/>
        </w:rPr>
        <w:t xml:space="preserve"> </w:t>
      </w:r>
      <w:r w:rsidR="00B9123C">
        <w:rPr>
          <w:color w:val="000000"/>
        </w:rPr>
        <w:t>T</w:t>
      </w:r>
      <w:r w:rsidRPr="00600475">
        <w:rPr>
          <w:color w:val="000000"/>
        </w:rPr>
        <w:t xml:space="preserve">he pharmacokinetics of </w:t>
      </w:r>
      <w:proofErr w:type="spellStart"/>
      <w:r w:rsidRPr="00600475">
        <w:rPr>
          <w:color w:val="000000"/>
        </w:rPr>
        <w:t>pralatrexate</w:t>
      </w:r>
      <w:proofErr w:type="spellEnd"/>
      <w:r w:rsidRPr="00600475">
        <w:rPr>
          <w:color w:val="000000"/>
        </w:rPr>
        <w:t xml:space="preserve"> </w:t>
      </w:r>
      <w:r w:rsidR="00B9123C">
        <w:rPr>
          <w:color w:val="000000"/>
        </w:rPr>
        <w:t xml:space="preserve">administered </w:t>
      </w:r>
      <w:r w:rsidRPr="00600475">
        <w:rPr>
          <w:color w:val="000000"/>
        </w:rPr>
        <w:t>as a</w:t>
      </w:r>
      <w:r>
        <w:rPr>
          <w:color w:val="000000"/>
        </w:rPr>
        <w:t xml:space="preserve"> </w:t>
      </w:r>
      <w:r w:rsidRPr="00600475">
        <w:rPr>
          <w:color w:val="000000"/>
        </w:rPr>
        <w:t>single</w:t>
      </w:r>
      <w:r w:rsidR="0025415B">
        <w:rPr>
          <w:color w:val="000000"/>
        </w:rPr>
        <w:t xml:space="preserve"> </w:t>
      </w:r>
      <w:r w:rsidRPr="00600475">
        <w:rPr>
          <w:color w:val="000000"/>
        </w:rPr>
        <w:t>30 mg/m</w:t>
      </w:r>
      <w:r w:rsidRPr="00AF7868">
        <w:rPr>
          <w:color w:val="000000"/>
          <w:vertAlign w:val="superscript"/>
        </w:rPr>
        <w:t>2</w:t>
      </w:r>
      <w:r w:rsidRPr="00600475">
        <w:rPr>
          <w:color w:val="000000"/>
        </w:rPr>
        <w:t xml:space="preserve"> </w:t>
      </w:r>
      <w:r w:rsidR="0025415B">
        <w:rPr>
          <w:color w:val="000000"/>
        </w:rPr>
        <w:t>dose by</w:t>
      </w:r>
      <w:r w:rsidRPr="00600475">
        <w:rPr>
          <w:color w:val="000000"/>
        </w:rPr>
        <w:t xml:space="preserve"> intravenous infusion over 3-5 minutes once</w:t>
      </w:r>
      <w:r>
        <w:rPr>
          <w:color w:val="000000"/>
        </w:rPr>
        <w:t xml:space="preserve"> </w:t>
      </w:r>
      <w:r w:rsidRPr="00600475">
        <w:rPr>
          <w:color w:val="000000"/>
        </w:rPr>
        <w:t xml:space="preserve">weekly for 6 weeks in 7-week cycles </w:t>
      </w:r>
      <w:r w:rsidR="0025415B">
        <w:rPr>
          <w:color w:val="000000"/>
        </w:rPr>
        <w:t>was</w:t>
      </w:r>
      <w:r w:rsidRPr="00600475">
        <w:rPr>
          <w:color w:val="000000"/>
        </w:rPr>
        <w:t xml:space="preserve"> evaluated in 10 patients with</w:t>
      </w:r>
      <w:r w:rsidR="00AF7868">
        <w:rPr>
          <w:color w:val="000000"/>
        </w:rPr>
        <w:t xml:space="preserve"> </w:t>
      </w:r>
      <w:r w:rsidR="00AF7868" w:rsidRPr="00600475">
        <w:rPr>
          <w:color w:val="000000"/>
        </w:rPr>
        <w:t>peripheral T-cell lymphoma</w:t>
      </w:r>
      <w:r w:rsidRPr="00600475">
        <w:rPr>
          <w:color w:val="000000"/>
        </w:rPr>
        <w:t xml:space="preserve"> </w:t>
      </w:r>
      <w:r w:rsidR="00AF7868">
        <w:rPr>
          <w:color w:val="000000"/>
        </w:rPr>
        <w:t>(</w:t>
      </w:r>
      <w:r w:rsidRPr="00600475">
        <w:rPr>
          <w:color w:val="000000"/>
        </w:rPr>
        <w:t>PTCL</w:t>
      </w:r>
      <w:r w:rsidR="00AF7868">
        <w:rPr>
          <w:color w:val="000000"/>
        </w:rPr>
        <w:t>)</w:t>
      </w:r>
      <w:r w:rsidRPr="00600475">
        <w:rPr>
          <w:color w:val="000000"/>
        </w:rPr>
        <w:t xml:space="preserve">. </w:t>
      </w:r>
      <w:r w:rsidR="002A2A95">
        <w:rPr>
          <w:color w:val="000000"/>
        </w:rPr>
        <w:t xml:space="preserve"> </w:t>
      </w:r>
      <w:r w:rsidRPr="00600475">
        <w:rPr>
          <w:color w:val="000000"/>
        </w:rPr>
        <w:t>The mean</w:t>
      </w:r>
      <w:r>
        <w:rPr>
          <w:color w:val="000000"/>
        </w:rPr>
        <w:t xml:space="preserve"> </w:t>
      </w:r>
      <w:proofErr w:type="spellStart"/>
      <w:r w:rsidRPr="00600475">
        <w:rPr>
          <w:color w:val="000000"/>
        </w:rPr>
        <w:t>C</w:t>
      </w:r>
      <w:r w:rsidRPr="00AF7868">
        <w:rPr>
          <w:color w:val="000000"/>
          <w:vertAlign w:val="subscript"/>
        </w:rPr>
        <w:t>max</w:t>
      </w:r>
      <w:proofErr w:type="spellEnd"/>
      <w:r w:rsidRPr="00600475">
        <w:rPr>
          <w:color w:val="000000"/>
        </w:rPr>
        <w:t xml:space="preserve"> value for </w:t>
      </w:r>
      <w:proofErr w:type="spellStart"/>
      <w:r w:rsidRPr="00600475">
        <w:rPr>
          <w:color w:val="000000"/>
        </w:rPr>
        <w:t>pralatrexate</w:t>
      </w:r>
      <w:proofErr w:type="spellEnd"/>
      <w:r w:rsidRPr="00600475">
        <w:rPr>
          <w:color w:val="000000"/>
        </w:rPr>
        <w:t xml:space="preserve"> was 5.8 μg/</w:t>
      </w:r>
      <w:proofErr w:type="spellStart"/>
      <w:r w:rsidRPr="00600475">
        <w:rPr>
          <w:color w:val="000000"/>
        </w:rPr>
        <w:t>mL</w:t>
      </w:r>
      <w:r w:rsidR="0025415B">
        <w:rPr>
          <w:color w:val="000000"/>
        </w:rPr>
        <w:t>.</w:t>
      </w:r>
      <w:proofErr w:type="spellEnd"/>
      <w:r w:rsidR="0025415B">
        <w:rPr>
          <w:color w:val="000000"/>
        </w:rPr>
        <w:t xml:space="preserve">  T</w:t>
      </w:r>
      <w:r w:rsidRPr="00600475">
        <w:rPr>
          <w:color w:val="000000"/>
        </w:rPr>
        <w:t>he mean total systemic exposure (AUC</w:t>
      </w:r>
      <w:r w:rsidRPr="00AF7868">
        <w:rPr>
          <w:color w:val="000000"/>
          <w:vertAlign w:val="subscript"/>
        </w:rPr>
        <w:t>(0-</w:t>
      </w:r>
      <w:r w:rsidRPr="00AF7868">
        <w:rPr>
          <w:rFonts w:eastAsia="TimesNewRoman"/>
          <w:color w:val="000000"/>
          <w:vertAlign w:val="subscript"/>
        </w:rPr>
        <w:t>∞</w:t>
      </w:r>
      <w:r w:rsidRPr="00AF7868">
        <w:rPr>
          <w:color w:val="000000"/>
          <w:vertAlign w:val="subscript"/>
        </w:rPr>
        <w:t>)</w:t>
      </w:r>
      <w:r w:rsidRPr="00600475">
        <w:rPr>
          <w:color w:val="000000"/>
        </w:rPr>
        <w:t>) was</w:t>
      </w:r>
      <w:r>
        <w:rPr>
          <w:color w:val="000000"/>
        </w:rPr>
        <w:t xml:space="preserve"> </w:t>
      </w:r>
      <w:r w:rsidRPr="00600475">
        <w:rPr>
          <w:color w:val="000000"/>
        </w:rPr>
        <w:t>268 μg/</w:t>
      </w:r>
      <w:proofErr w:type="spellStart"/>
      <w:r w:rsidRPr="00600475">
        <w:rPr>
          <w:color w:val="000000"/>
        </w:rPr>
        <w:t>mL·min</w:t>
      </w:r>
      <w:proofErr w:type="spellEnd"/>
      <w:r w:rsidRPr="00600475">
        <w:rPr>
          <w:color w:val="000000"/>
        </w:rPr>
        <w:t>.</w:t>
      </w:r>
    </w:p>
    <w:p w:rsidR="0025415B" w:rsidRDefault="0025415B" w:rsidP="00BE5ED7">
      <w:pPr>
        <w:autoSpaceDE w:val="0"/>
        <w:autoSpaceDN w:val="0"/>
        <w:adjustRightInd w:val="0"/>
        <w:ind w:right="-694"/>
        <w:rPr>
          <w:color w:val="000000"/>
        </w:rPr>
      </w:pPr>
    </w:p>
    <w:p w:rsidR="00BE5ED7" w:rsidRPr="00600475" w:rsidRDefault="0025415B" w:rsidP="00BE5ED7">
      <w:pPr>
        <w:autoSpaceDE w:val="0"/>
        <w:autoSpaceDN w:val="0"/>
        <w:adjustRightInd w:val="0"/>
        <w:ind w:right="-694"/>
        <w:rPr>
          <w:color w:val="000000"/>
        </w:rPr>
      </w:pPr>
      <w:r>
        <w:rPr>
          <w:color w:val="000000"/>
        </w:rPr>
        <w:t>The</w:t>
      </w:r>
      <w:r w:rsidR="00BE5ED7" w:rsidRPr="00600475">
        <w:rPr>
          <w:color w:val="000000"/>
        </w:rPr>
        <w:t xml:space="preserve"> </w:t>
      </w:r>
      <w:proofErr w:type="spellStart"/>
      <w:r w:rsidR="00BE5ED7" w:rsidRPr="00600475">
        <w:rPr>
          <w:color w:val="000000"/>
        </w:rPr>
        <w:t>C</w:t>
      </w:r>
      <w:r w:rsidR="00BE5ED7" w:rsidRPr="00AF7868">
        <w:rPr>
          <w:color w:val="000000"/>
          <w:vertAlign w:val="subscript"/>
        </w:rPr>
        <w:t>max</w:t>
      </w:r>
      <w:proofErr w:type="spellEnd"/>
      <w:r w:rsidR="00BE5ED7" w:rsidRPr="00600475">
        <w:rPr>
          <w:color w:val="000000"/>
        </w:rPr>
        <w:t xml:space="preserve"> and AUC</w:t>
      </w:r>
      <w:r w:rsidR="00BE5ED7" w:rsidRPr="00AF7868">
        <w:rPr>
          <w:color w:val="000000"/>
          <w:vertAlign w:val="subscript"/>
        </w:rPr>
        <w:t>(0-</w:t>
      </w:r>
      <w:r w:rsidR="00BE5ED7" w:rsidRPr="00AF7868">
        <w:rPr>
          <w:rFonts w:eastAsia="TimesNewRoman"/>
          <w:color w:val="000000"/>
          <w:vertAlign w:val="subscript"/>
        </w:rPr>
        <w:t>∞</w:t>
      </w:r>
      <w:r w:rsidR="00BE5ED7" w:rsidRPr="00AF7868">
        <w:rPr>
          <w:color w:val="000000"/>
          <w:vertAlign w:val="subscript"/>
        </w:rPr>
        <w:t>)</w:t>
      </w:r>
      <w:r w:rsidR="00BE5ED7" w:rsidRPr="00600475">
        <w:rPr>
          <w:color w:val="000000"/>
        </w:rPr>
        <w:t xml:space="preserve"> </w:t>
      </w:r>
      <w:r>
        <w:rPr>
          <w:color w:val="000000"/>
        </w:rPr>
        <w:t>increase</w:t>
      </w:r>
      <w:r w:rsidR="00BE5ED7" w:rsidRPr="00600475">
        <w:rPr>
          <w:color w:val="000000"/>
        </w:rPr>
        <w:t xml:space="preserve">d with </w:t>
      </w:r>
      <w:r>
        <w:rPr>
          <w:color w:val="000000"/>
        </w:rPr>
        <w:t xml:space="preserve">the </w:t>
      </w:r>
      <w:r w:rsidR="00BE5ED7" w:rsidRPr="00600475">
        <w:rPr>
          <w:color w:val="000000"/>
        </w:rPr>
        <w:t xml:space="preserve">dose </w:t>
      </w:r>
      <w:r w:rsidR="00102037">
        <w:rPr>
          <w:color w:val="000000"/>
        </w:rPr>
        <w:t>(</w:t>
      </w:r>
      <w:r w:rsidR="00BE5ED7" w:rsidRPr="00600475">
        <w:rPr>
          <w:color w:val="000000"/>
        </w:rPr>
        <w:t xml:space="preserve">dose range </w:t>
      </w:r>
      <w:r>
        <w:rPr>
          <w:color w:val="000000"/>
        </w:rPr>
        <w:t xml:space="preserve">of </w:t>
      </w:r>
      <w:r w:rsidR="00BE5ED7" w:rsidRPr="00600475">
        <w:rPr>
          <w:color w:val="000000"/>
        </w:rPr>
        <w:t>30-325 mg/m</w:t>
      </w:r>
      <w:r w:rsidR="00BE5ED7" w:rsidRPr="00AF7868">
        <w:rPr>
          <w:color w:val="000000"/>
          <w:vertAlign w:val="superscript"/>
        </w:rPr>
        <w:t>2</w:t>
      </w:r>
      <w:r w:rsidR="00BE5ED7" w:rsidRPr="00600475">
        <w:rPr>
          <w:color w:val="000000"/>
        </w:rPr>
        <w:t>,</w:t>
      </w:r>
      <w:r w:rsidR="00BE5ED7">
        <w:rPr>
          <w:color w:val="000000"/>
        </w:rPr>
        <w:t xml:space="preserve"> </w:t>
      </w:r>
      <w:r>
        <w:rPr>
          <w:color w:val="000000"/>
        </w:rPr>
        <w:t>including</w:t>
      </w:r>
      <w:r w:rsidR="00BE5ED7" w:rsidRPr="00600475">
        <w:rPr>
          <w:color w:val="000000"/>
        </w:rPr>
        <w:t xml:space="preserve"> pharmacokinetic data from high</w:t>
      </w:r>
      <w:r w:rsidR="00AF7868">
        <w:rPr>
          <w:color w:val="000000"/>
        </w:rPr>
        <w:t>-</w:t>
      </w:r>
      <w:r w:rsidR="00BE5ED7" w:rsidRPr="00600475">
        <w:rPr>
          <w:color w:val="000000"/>
        </w:rPr>
        <w:t>dose solid tumour clinical studies</w:t>
      </w:r>
      <w:r w:rsidR="00102037">
        <w:rPr>
          <w:color w:val="000000"/>
        </w:rPr>
        <w:t>)</w:t>
      </w:r>
      <w:r w:rsidR="00BE5ED7" w:rsidRPr="00600475">
        <w:rPr>
          <w:color w:val="000000"/>
        </w:rPr>
        <w:t xml:space="preserve">. </w:t>
      </w:r>
      <w:r w:rsidR="002A2A95">
        <w:rPr>
          <w:color w:val="000000"/>
        </w:rPr>
        <w:t xml:space="preserve"> </w:t>
      </w:r>
      <w:r w:rsidR="00BE5ED7" w:rsidRPr="00600475">
        <w:rPr>
          <w:color w:val="000000"/>
        </w:rPr>
        <w:t>The pharmacokinetics</w:t>
      </w:r>
      <w:r w:rsidR="00BE5ED7">
        <w:rPr>
          <w:color w:val="000000"/>
        </w:rPr>
        <w:t xml:space="preserve"> </w:t>
      </w:r>
      <w:r w:rsidR="00BE5ED7" w:rsidRPr="00600475">
        <w:rPr>
          <w:color w:val="000000"/>
        </w:rPr>
        <w:t xml:space="preserve">of </w:t>
      </w:r>
      <w:proofErr w:type="spellStart"/>
      <w:r w:rsidR="00BE5ED7" w:rsidRPr="00600475">
        <w:rPr>
          <w:color w:val="000000"/>
        </w:rPr>
        <w:t>pralatrexate</w:t>
      </w:r>
      <w:proofErr w:type="spellEnd"/>
      <w:r w:rsidR="00BE5ED7" w:rsidRPr="00600475">
        <w:rPr>
          <w:color w:val="000000"/>
        </w:rPr>
        <w:t xml:space="preserve"> did not change significantly over </w:t>
      </w:r>
      <w:r w:rsidR="00B151B7">
        <w:rPr>
          <w:color w:val="000000"/>
        </w:rPr>
        <w:t>the course of a single treatment cycle (6 doses) in 5 patients</w:t>
      </w:r>
      <w:r w:rsidR="00BE5ED7" w:rsidRPr="00600475">
        <w:rPr>
          <w:color w:val="000000"/>
        </w:rPr>
        <w:t>, and no accumulation of</w:t>
      </w:r>
      <w:r w:rsidR="00BE5ED7">
        <w:rPr>
          <w:color w:val="000000"/>
        </w:rPr>
        <w:t xml:space="preserve"> </w:t>
      </w:r>
      <w:proofErr w:type="spellStart"/>
      <w:r w:rsidR="00BE5ED7" w:rsidRPr="00600475">
        <w:rPr>
          <w:color w:val="000000"/>
        </w:rPr>
        <w:t>pralatrexate</w:t>
      </w:r>
      <w:proofErr w:type="spellEnd"/>
      <w:r w:rsidR="00BE5ED7" w:rsidRPr="00600475">
        <w:rPr>
          <w:color w:val="000000"/>
        </w:rPr>
        <w:t xml:space="preserve"> was observed.</w:t>
      </w:r>
      <w:r w:rsidR="00B151B7">
        <w:rPr>
          <w:color w:val="000000"/>
        </w:rPr>
        <w:t xml:space="preserve">  The potential for accumulation</w:t>
      </w:r>
      <w:r w:rsidR="002C271B">
        <w:rPr>
          <w:color w:val="000000"/>
        </w:rPr>
        <w:t xml:space="preserve"> </w:t>
      </w:r>
      <w:r w:rsidR="00B151B7">
        <w:rPr>
          <w:color w:val="000000"/>
        </w:rPr>
        <w:t>beyond a single cycle of treatment has not been assessed.</w:t>
      </w:r>
    </w:p>
    <w:p w:rsidR="00BE5ED7" w:rsidRDefault="00BE5ED7" w:rsidP="00BE5ED7">
      <w:pPr>
        <w:autoSpaceDE w:val="0"/>
        <w:autoSpaceDN w:val="0"/>
        <w:adjustRightInd w:val="0"/>
        <w:ind w:right="-694"/>
        <w:rPr>
          <w:color w:val="000000"/>
        </w:rPr>
      </w:pPr>
    </w:p>
    <w:p w:rsidR="00BE5ED7" w:rsidRPr="002A2A95" w:rsidRDefault="00BE5ED7" w:rsidP="00BE5ED7">
      <w:pPr>
        <w:autoSpaceDE w:val="0"/>
        <w:autoSpaceDN w:val="0"/>
        <w:adjustRightInd w:val="0"/>
        <w:ind w:right="-694"/>
        <w:rPr>
          <w:i/>
          <w:color w:val="000000"/>
        </w:rPr>
      </w:pPr>
      <w:r w:rsidRPr="002A2A95">
        <w:rPr>
          <w:i/>
          <w:color w:val="000000"/>
        </w:rPr>
        <w:t>Distribution</w:t>
      </w:r>
    </w:p>
    <w:p w:rsidR="0025415B" w:rsidRDefault="00BE5ED7" w:rsidP="00BE5ED7">
      <w:pPr>
        <w:autoSpaceDE w:val="0"/>
        <w:autoSpaceDN w:val="0"/>
        <w:adjustRightInd w:val="0"/>
        <w:ind w:right="-694"/>
        <w:rPr>
          <w:color w:val="000000"/>
        </w:rPr>
      </w:pPr>
      <w:r w:rsidRPr="00600475">
        <w:rPr>
          <w:color w:val="000000"/>
        </w:rPr>
        <w:t xml:space="preserve">In the pivotal PDX-008 study in PTCL, </w:t>
      </w:r>
      <w:proofErr w:type="spellStart"/>
      <w:r w:rsidRPr="00600475">
        <w:rPr>
          <w:color w:val="000000"/>
        </w:rPr>
        <w:t>pralatrexate</w:t>
      </w:r>
      <w:proofErr w:type="spellEnd"/>
      <w:r w:rsidRPr="00600475">
        <w:rPr>
          <w:color w:val="000000"/>
        </w:rPr>
        <w:t xml:space="preserve"> </w:t>
      </w:r>
      <w:proofErr w:type="spellStart"/>
      <w:r w:rsidRPr="00600475">
        <w:rPr>
          <w:color w:val="000000"/>
        </w:rPr>
        <w:t>diastereomers</w:t>
      </w:r>
      <w:proofErr w:type="spellEnd"/>
      <w:r w:rsidRPr="00600475">
        <w:rPr>
          <w:color w:val="000000"/>
        </w:rPr>
        <w:t xml:space="preserve"> showed a steady-state volume of</w:t>
      </w:r>
      <w:r>
        <w:rPr>
          <w:color w:val="000000"/>
        </w:rPr>
        <w:t xml:space="preserve"> </w:t>
      </w:r>
      <w:r w:rsidRPr="00600475">
        <w:rPr>
          <w:color w:val="000000"/>
        </w:rPr>
        <w:t xml:space="preserve">distribution of 105 </w:t>
      </w:r>
      <w:r w:rsidR="00245E41">
        <w:rPr>
          <w:color w:val="000000"/>
        </w:rPr>
        <w:t>L</w:t>
      </w:r>
      <w:r w:rsidRPr="00600475">
        <w:rPr>
          <w:color w:val="000000"/>
        </w:rPr>
        <w:t xml:space="preserve"> (</w:t>
      </w:r>
      <w:r w:rsidRPr="00600475">
        <w:rPr>
          <w:i/>
          <w:iCs/>
          <w:color w:val="000000"/>
        </w:rPr>
        <w:t>S</w:t>
      </w:r>
      <w:r w:rsidRPr="00600475">
        <w:rPr>
          <w:color w:val="000000"/>
        </w:rPr>
        <w:t>-</w:t>
      </w:r>
      <w:proofErr w:type="spellStart"/>
      <w:r w:rsidRPr="00600475">
        <w:rPr>
          <w:color w:val="000000"/>
        </w:rPr>
        <w:t>diastereomer</w:t>
      </w:r>
      <w:proofErr w:type="spellEnd"/>
      <w:r w:rsidRPr="00600475">
        <w:rPr>
          <w:color w:val="000000"/>
        </w:rPr>
        <w:t xml:space="preserve">) and 37 </w:t>
      </w:r>
      <w:r w:rsidR="00245E41">
        <w:rPr>
          <w:color w:val="000000"/>
        </w:rPr>
        <w:t>L</w:t>
      </w:r>
      <w:r w:rsidRPr="00600475">
        <w:rPr>
          <w:color w:val="000000"/>
        </w:rPr>
        <w:t xml:space="preserve"> (</w:t>
      </w:r>
      <w:r w:rsidRPr="00600475">
        <w:rPr>
          <w:i/>
          <w:iCs/>
          <w:color w:val="000000"/>
        </w:rPr>
        <w:t>R</w:t>
      </w:r>
      <w:r w:rsidRPr="00600475">
        <w:rPr>
          <w:color w:val="000000"/>
        </w:rPr>
        <w:t>-</w:t>
      </w:r>
      <w:proofErr w:type="spellStart"/>
      <w:r w:rsidRPr="00600475">
        <w:rPr>
          <w:color w:val="000000"/>
        </w:rPr>
        <w:t>diastereomer</w:t>
      </w:r>
      <w:proofErr w:type="spellEnd"/>
      <w:r w:rsidRPr="00600475">
        <w:rPr>
          <w:color w:val="000000"/>
        </w:rPr>
        <w:t xml:space="preserve">). </w:t>
      </w:r>
      <w:r w:rsidR="002A2A95">
        <w:rPr>
          <w:color w:val="000000"/>
        </w:rPr>
        <w:t xml:space="preserve"> </w:t>
      </w:r>
      <w:r w:rsidRPr="00600475">
        <w:rPr>
          <w:i/>
          <w:iCs/>
          <w:color w:val="000000"/>
        </w:rPr>
        <w:t xml:space="preserve">In vitro </w:t>
      </w:r>
      <w:r w:rsidRPr="00600475">
        <w:rPr>
          <w:color w:val="000000"/>
        </w:rPr>
        <w:t>studies indicated that</w:t>
      </w:r>
      <w:r>
        <w:rPr>
          <w:color w:val="000000"/>
        </w:rPr>
        <w:t xml:space="preserve"> </w:t>
      </w:r>
      <w:proofErr w:type="spellStart"/>
      <w:r w:rsidRPr="00600475">
        <w:rPr>
          <w:color w:val="000000"/>
        </w:rPr>
        <w:t>pralatrexate</w:t>
      </w:r>
      <w:proofErr w:type="spellEnd"/>
      <w:r w:rsidRPr="00600475">
        <w:rPr>
          <w:color w:val="000000"/>
        </w:rPr>
        <w:t xml:space="preserve"> is approximately </w:t>
      </w:r>
      <w:r w:rsidR="00B66422">
        <w:rPr>
          <w:color w:val="000000"/>
        </w:rPr>
        <w:t>65</w:t>
      </w:r>
      <w:r w:rsidRPr="00600475">
        <w:rPr>
          <w:color w:val="000000"/>
        </w:rPr>
        <w:t xml:space="preserve">% bound to human plasma proteins. </w:t>
      </w:r>
      <w:r w:rsidR="002A2A95">
        <w:rPr>
          <w:color w:val="000000"/>
        </w:rPr>
        <w:t xml:space="preserve"> </w:t>
      </w:r>
    </w:p>
    <w:p w:rsidR="00523BA4" w:rsidRDefault="00523BA4" w:rsidP="00BE5ED7">
      <w:pPr>
        <w:autoSpaceDE w:val="0"/>
        <w:autoSpaceDN w:val="0"/>
        <w:adjustRightInd w:val="0"/>
        <w:ind w:right="-694"/>
        <w:rPr>
          <w:i/>
          <w:color w:val="000000"/>
        </w:rPr>
      </w:pPr>
    </w:p>
    <w:p w:rsidR="0025415B" w:rsidRPr="0025415B" w:rsidRDefault="0096396A" w:rsidP="00BE5ED7">
      <w:pPr>
        <w:autoSpaceDE w:val="0"/>
        <w:autoSpaceDN w:val="0"/>
        <w:adjustRightInd w:val="0"/>
        <w:ind w:right="-694"/>
        <w:rPr>
          <w:i/>
          <w:color w:val="000000"/>
        </w:rPr>
      </w:pPr>
      <w:r>
        <w:rPr>
          <w:i/>
          <w:color w:val="000000"/>
        </w:rPr>
        <w:t>Metabolism</w:t>
      </w:r>
      <w:r w:rsidR="00BE5ED7" w:rsidRPr="0025415B">
        <w:rPr>
          <w:i/>
          <w:color w:val="000000"/>
        </w:rPr>
        <w:t xml:space="preserve"> </w:t>
      </w:r>
      <w:r w:rsidR="002A2A95" w:rsidRPr="0025415B">
        <w:rPr>
          <w:i/>
          <w:color w:val="000000"/>
        </w:rPr>
        <w:t xml:space="preserve"> </w:t>
      </w:r>
    </w:p>
    <w:p w:rsidR="00BE5ED7" w:rsidRPr="00600475" w:rsidRDefault="00BE5ED7" w:rsidP="00BE5ED7">
      <w:pPr>
        <w:autoSpaceDE w:val="0"/>
        <w:autoSpaceDN w:val="0"/>
        <w:adjustRightInd w:val="0"/>
        <w:ind w:right="-694"/>
        <w:rPr>
          <w:color w:val="000000"/>
        </w:rPr>
      </w:pPr>
      <w:r w:rsidRPr="00600475">
        <w:rPr>
          <w:i/>
          <w:iCs/>
          <w:color w:val="000000"/>
        </w:rPr>
        <w:t xml:space="preserve">In vitro </w:t>
      </w:r>
      <w:r w:rsidRPr="00600475">
        <w:rPr>
          <w:color w:val="000000"/>
        </w:rPr>
        <w:t xml:space="preserve">studies using human hepatocytes, liver </w:t>
      </w:r>
      <w:proofErr w:type="spellStart"/>
      <w:r w:rsidRPr="00600475">
        <w:rPr>
          <w:color w:val="000000"/>
        </w:rPr>
        <w:t>microsomes</w:t>
      </w:r>
      <w:proofErr w:type="spellEnd"/>
      <w:r w:rsidRPr="00600475">
        <w:rPr>
          <w:color w:val="000000"/>
        </w:rPr>
        <w:t xml:space="preserve"> and S9 fractions, and recombinant human</w:t>
      </w:r>
      <w:r>
        <w:rPr>
          <w:color w:val="000000"/>
        </w:rPr>
        <w:t xml:space="preserve"> </w:t>
      </w:r>
      <w:r w:rsidRPr="00600475">
        <w:rPr>
          <w:color w:val="000000"/>
        </w:rPr>
        <w:t xml:space="preserve">CYP450 </w:t>
      </w:r>
      <w:proofErr w:type="spellStart"/>
      <w:r w:rsidRPr="00600475">
        <w:rPr>
          <w:color w:val="000000"/>
        </w:rPr>
        <w:t>iso</w:t>
      </w:r>
      <w:r w:rsidR="00AF7868">
        <w:rPr>
          <w:color w:val="000000"/>
        </w:rPr>
        <w:t>en</w:t>
      </w:r>
      <w:r w:rsidRPr="00600475">
        <w:rPr>
          <w:color w:val="000000"/>
        </w:rPr>
        <w:t>zymes</w:t>
      </w:r>
      <w:proofErr w:type="spellEnd"/>
      <w:r w:rsidRPr="00600475">
        <w:rPr>
          <w:color w:val="000000"/>
        </w:rPr>
        <w:t xml:space="preserve"> showed that </w:t>
      </w:r>
      <w:proofErr w:type="spellStart"/>
      <w:r w:rsidRPr="00600475">
        <w:rPr>
          <w:color w:val="000000"/>
        </w:rPr>
        <w:t>pralatrexate</w:t>
      </w:r>
      <w:proofErr w:type="spellEnd"/>
      <w:r w:rsidRPr="00600475">
        <w:rPr>
          <w:color w:val="000000"/>
        </w:rPr>
        <w:t xml:space="preserve"> is not significantly metaboli</w:t>
      </w:r>
      <w:r w:rsidR="003F4272">
        <w:rPr>
          <w:color w:val="000000"/>
        </w:rPr>
        <w:t>s</w:t>
      </w:r>
      <w:r w:rsidRPr="00600475">
        <w:rPr>
          <w:color w:val="000000"/>
        </w:rPr>
        <w:t>ed by the phase I hepatic</w:t>
      </w:r>
      <w:r>
        <w:rPr>
          <w:color w:val="000000"/>
        </w:rPr>
        <w:t xml:space="preserve"> </w:t>
      </w:r>
      <w:r w:rsidRPr="00600475">
        <w:rPr>
          <w:color w:val="000000"/>
        </w:rPr>
        <w:t xml:space="preserve">CYP450 </w:t>
      </w:r>
      <w:proofErr w:type="spellStart"/>
      <w:r w:rsidRPr="00600475">
        <w:rPr>
          <w:color w:val="000000"/>
        </w:rPr>
        <w:t>isoenzymes</w:t>
      </w:r>
      <w:proofErr w:type="spellEnd"/>
      <w:r w:rsidRPr="00600475">
        <w:rPr>
          <w:color w:val="000000"/>
        </w:rPr>
        <w:t xml:space="preserve"> or phase II hepatic </w:t>
      </w:r>
      <w:proofErr w:type="spellStart"/>
      <w:r w:rsidRPr="00600475">
        <w:rPr>
          <w:color w:val="000000"/>
        </w:rPr>
        <w:t>glucuronidases</w:t>
      </w:r>
      <w:proofErr w:type="spellEnd"/>
      <w:r w:rsidRPr="00600475">
        <w:rPr>
          <w:color w:val="000000"/>
        </w:rPr>
        <w:t>.</w:t>
      </w:r>
      <w:r w:rsidR="0025415B">
        <w:rPr>
          <w:color w:val="000000"/>
        </w:rPr>
        <w:t xml:space="preserve"> </w:t>
      </w:r>
      <w:r w:rsidRPr="00600475">
        <w:rPr>
          <w:color w:val="000000"/>
        </w:rPr>
        <w:t xml:space="preserve"> </w:t>
      </w:r>
      <w:r w:rsidR="002A2A95">
        <w:rPr>
          <w:color w:val="000000"/>
        </w:rPr>
        <w:t xml:space="preserve"> </w:t>
      </w:r>
      <w:r w:rsidRPr="00600475">
        <w:rPr>
          <w:i/>
          <w:iCs/>
          <w:color w:val="000000"/>
        </w:rPr>
        <w:t xml:space="preserve">In vitro </w:t>
      </w:r>
      <w:r w:rsidRPr="00600475">
        <w:rPr>
          <w:color w:val="000000"/>
        </w:rPr>
        <w:t xml:space="preserve">studies indicated that </w:t>
      </w:r>
      <w:proofErr w:type="spellStart"/>
      <w:r w:rsidRPr="00600475">
        <w:rPr>
          <w:color w:val="000000"/>
        </w:rPr>
        <w:t>pralatrexate</w:t>
      </w:r>
      <w:proofErr w:type="spellEnd"/>
      <w:r>
        <w:rPr>
          <w:color w:val="000000"/>
        </w:rPr>
        <w:t xml:space="preserve"> </w:t>
      </w:r>
      <w:r w:rsidRPr="00600475">
        <w:rPr>
          <w:color w:val="000000"/>
        </w:rPr>
        <w:t xml:space="preserve">has low potential to induce or inhibit </w:t>
      </w:r>
      <w:r w:rsidR="007D066D">
        <w:rPr>
          <w:color w:val="000000"/>
        </w:rPr>
        <w:t xml:space="preserve">the activity of CYP450 </w:t>
      </w:r>
      <w:proofErr w:type="spellStart"/>
      <w:r w:rsidR="007D066D">
        <w:rPr>
          <w:color w:val="000000"/>
        </w:rPr>
        <w:t>isoenzymes</w:t>
      </w:r>
      <w:proofErr w:type="spellEnd"/>
      <w:r w:rsidRPr="00600475">
        <w:rPr>
          <w:color w:val="000000"/>
        </w:rPr>
        <w:t>.</w:t>
      </w:r>
    </w:p>
    <w:p w:rsidR="00BE5ED7" w:rsidRDefault="00BE5ED7" w:rsidP="00BE5ED7">
      <w:pPr>
        <w:autoSpaceDE w:val="0"/>
        <w:autoSpaceDN w:val="0"/>
        <w:adjustRightInd w:val="0"/>
        <w:ind w:right="-694"/>
        <w:rPr>
          <w:color w:val="000000"/>
        </w:rPr>
      </w:pPr>
    </w:p>
    <w:p w:rsidR="00BE5ED7" w:rsidRPr="002A2A95" w:rsidRDefault="0096396A" w:rsidP="00BE5ED7">
      <w:pPr>
        <w:autoSpaceDE w:val="0"/>
        <w:autoSpaceDN w:val="0"/>
        <w:adjustRightInd w:val="0"/>
        <w:ind w:right="-694"/>
        <w:rPr>
          <w:i/>
          <w:color w:val="000000"/>
        </w:rPr>
      </w:pPr>
      <w:r>
        <w:rPr>
          <w:i/>
          <w:color w:val="000000"/>
        </w:rPr>
        <w:t>Excretion</w:t>
      </w:r>
    </w:p>
    <w:p w:rsidR="00102037" w:rsidRDefault="00BE5ED7" w:rsidP="00BE5ED7">
      <w:pPr>
        <w:autoSpaceDE w:val="0"/>
        <w:autoSpaceDN w:val="0"/>
        <w:adjustRightInd w:val="0"/>
        <w:ind w:right="-694"/>
        <w:rPr>
          <w:color w:val="000000"/>
        </w:rPr>
      </w:pPr>
      <w:r w:rsidRPr="00600475">
        <w:rPr>
          <w:color w:val="000000"/>
        </w:rPr>
        <w:lastRenderedPageBreak/>
        <w:t xml:space="preserve">The total systemic clearance of </w:t>
      </w:r>
      <w:proofErr w:type="spellStart"/>
      <w:r w:rsidRPr="00600475">
        <w:rPr>
          <w:color w:val="000000"/>
        </w:rPr>
        <w:t>pralatrexate</w:t>
      </w:r>
      <w:proofErr w:type="spellEnd"/>
      <w:r w:rsidRPr="00600475">
        <w:rPr>
          <w:color w:val="000000"/>
        </w:rPr>
        <w:t xml:space="preserve"> </w:t>
      </w:r>
      <w:proofErr w:type="spellStart"/>
      <w:r w:rsidRPr="00600475">
        <w:rPr>
          <w:color w:val="000000"/>
        </w:rPr>
        <w:t>diastereomers</w:t>
      </w:r>
      <w:proofErr w:type="spellEnd"/>
      <w:r w:rsidRPr="00600475">
        <w:rPr>
          <w:color w:val="000000"/>
        </w:rPr>
        <w:t xml:space="preserve"> was 417 </w:t>
      </w:r>
      <w:r w:rsidR="00B94574">
        <w:rPr>
          <w:color w:val="000000"/>
        </w:rPr>
        <w:t>mL</w:t>
      </w:r>
      <w:r w:rsidRPr="00600475">
        <w:rPr>
          <w:color w:val="000000"/>
        </w:rPr>
        <w:t>/min (</w:t>
      </w:r>
      <w:r w:rsidRPr="00600475">
        <w:rPr>
          <w:i/>
          <w:iCs/>
          <w:color w:val="000000"/>
        </w:rPr>
        <w:t>S</w:t>
      </w:r>
      <w:r w:rsidRPr="00600475">
        <w:rPr>
          <w:color w:val="000000"/>
        </w:rPr>
        <w:t>-</w:t>
      </w:r>
      <w:proofErr w:type="spellStart"/>
      <w:r w:rsidRPr="00600475">
        <w:rPr>
          <w:color w:val="000000"/>
        </w:rPr>
        <w:t>diastereomer</w:t>
      </w:r>
      <w:proofErr w:type="spellEnd"/>
      <w:r w:rsidRPr="00600475">
        <w:rPr>
          <w:color w:val="000000"/>
        </w:rPr>
        <w:t>) and</w:t>
      </w:r>
      <w:r>
        <w:rPr>
          <w:color w:val="000000"/>
        </w:rPr>
        <w:t xml:space="preserve"> </w:t>
      </w:r>
      <w:r w:rsidRPr="00600475">
        <w:rPr>
          <w:color w:val="000000"/>
        </w:rPr>
        <w:t xml:space="preserve">191 </w:t>
      </w:r>
      <w:r w:rsidR="00B94574">
        <w:rPr>
          <w:color w:val="000000"/>
        </w:rPr>
        <w:t>mL</w:t>
      </w:r>
      <w:r w:rsidRPr="00600475">
        <w:rPr>
          <w:color w:val="000000"/>
        </w:rPr>
        <w:t>/min (</w:t>
      </w:r>
      <w:r w:rsidRPr="00600475">
        <w:rPr>
          <w:i/>
          <w:iCs/>
          <w:color w:val="000000"/>
        </w:rPr>
        <w:t>R</w:t>
      </w:r>
      <w:r w:rsidRPr="00600475">
        <w:rPr>
          <w:color w:val="000000"/>
        </w:rPr>
        <w:t>-</w:t>
      </w:r>
      <w:proofErr w:type="spellStart"/>
      <w:r w:rsidRPr="00600475">
        <w:rPr>
          <w:color w:val="000000"/>
        </w:rPr>
        <w:t>diastereomer</w:t>
      </w:r>
      <w:proofErr w:type="spellEnd"/>
      <w:r w:rsidRPr="00600475">
        <w:rPr>
          <w:color w:val="000000"/>
        </w:rPr>
        <w:t>).</w:t>
      </w:r>
      <w:r w:rsidR="002A2A95">
        <w:rPr>
          <w:color w:val="000000"/>
        </w:rPr>
        <w:t xml:space="preserve"> </w:t>
      </w:r>
      <w:r w:rsidRPr="00600475">
        <w:rPr>
          <w:color w:val="000000"/>
        </w:rPr>
        <w:t xml:space="preserve"> The terminal elimination half-life of </w:t>
      </w:r>
      <w:proofErr w:type="spellStart"/>
      <w:r w:rsidRPr="00600475">
        <w:rPr>
          <w:color w:val="000000"/>
        </w:rPr>
        <w:t>pralatrexate</w:t>
      </w:r>
      <w:proofErr w:type="spellEnd"/>
      <w:r w:rsidRPr="00600475">
        <w:rPr>
          <w:color w:val="000000"/>
        </w:rPr>
        <w:t xml:space="preserve"> was 12-18 hours</w:t>
      </w:r>
      <w:r>
        <w:rPr>
          <w:color w:val="000000"/>
        </w:rPr>
        <w:t xml:space="preserve"> </w:t>
      </w:r>
      <w:r w:rsidRPr="00600475">
        <w:rPr>
          <w:color w:val="000000"/>
        </w:rPr>
        <w:t xml:space="preserve">(coefficient of variance (CV) = 62-120%). </w:t>
      </w:r>
      <w:r w:rsidR="002A2A95">
        <w:rPr>
          <w:color w:val="000000"/>
        </w:rPr>
        <w:t xml:space="preserve"> </w:t>
      </w:r>
      <w:r w:rsidRPr="00600475">
        <w:rPr>
          <w:color w:val="000000"/>
        </w:rPr>
        <w:t xml:space="preserve">The mean fraction of unchanged </w:t>
      </w:r>
      <w:proofErr w:type="spellStart"/>
      <w:r w:rsidRPr="00600475">
        <w:rPr>
          <w:color w:val="000000"/>
        </w:rPr>
        <w:t>pralatrexate</w:t>
      </w:r>
      <w:proofErr w:type="spellEnd"/>
      <w:r>
        <w:rPr>
          <w:color w:val="000000"/>
        </w:rPr>
        <w:t xml:space="preserve"> </w:t>
      </w:r>
      <w:proofErr w:type="spellStart"/>
      <w:r w:rsidRPr="00600475">
        <w:rPr>
          <w:color w:val="000000"/>
        </w:rPr>
        <w:t>diastereomers</w:t>
      </w:r>
      <w:proofErr w:type="spellEnd"/>
      <w:r w:rsidRPr="00600475">
        <w:rPr>
          <w:color w:val="000000"/>
        </w:rPr>
        <w:t xml:space="preserve"> excreted in urine following a </w:t>
      </w:r>
      <w:proofErr w:type="spellStart"/>
      <w:r w:rsidRPr="00600475">
        <w:rPr>
          <w:color w:val="000000"/>
        </w:rPr>
        <w:t>pralatrexate</w:t>
      </w:r>
      <w:proofErr w:type="spellEnd"/>
      <w:r w:rsidRPr="00600475">
        <w:rPr>
          <w:color w:val="000000"/>
        </w:rPr>
        <w:t xml:space="preserve"> dose of 30 mg/m</w:t>
      </w:r>
      <w:r w:rsidRPr="003F4272">
        <w:rPr>
          <w:color w:val="000000"/>
          <w:vertAlign w:val="superscript"/>
        </w:rPr>
        <w:t>2</w:t>
      </w:r>
      <w:r w:rsidRPr="00600475">
        <w:rPr>
          <w:color w:val="000000"/>
        </w:rPr>
        <w:t xml:space="preserve"> administered as an IV</w:t>
      </w:r>
      <w:r>
        <w:rPr>
          <w:color w:val="000000"/>
        </w:rPr>
        <w:t xml:space="preserve"> </w:t>
      </w:r>
      <w:r w:rsidRPr="00600475">
        <w:rPr>
          <w:color w:val="000000"/>
        </w:rPr>
        <w:t>infusion over 3-5 minutes was 31% (</w:t>
      </w:r>
      <w:r w:rsidRPr="00600475">
        <w:rPr>
          <w:i/>
          <w:iCs/>
          <w:color w:val="000000"/>
        </w:rPr>
        <w:t>S</w:t>
      </w:r>
      <w:r w:rsidRPr="00600475">
        <w:rPr>
          <w:color w:val="000000"/>
        </w:rPr>
        <w:t>-</w:t>
      </w:r>
      <w:proofErr w:type="spellStart"/>
      <w:r w:rsidRPr="00600475">
        <w:rPr>
          <w:color w:val="000000"/>
        </w:rPr>
        <w:t>diastereomer</w:t>
      </w:r>
      <w:proofErr w:type="spellEnd"/>
      <w:r w:rsidRPr="00600475">
        <w:rPr>
          <w:color w:val="000000"/>
        </w:rPr>
        <w:t>) (CV = 47%) and 38% (</w:t>
      </w:r>
      <w:r w:rsidRPr="00600475">
        <w:rPr>
          <w:i/>
          <w:iCs/>
          <w:color w:val="000000"/>
        </w:rPr>
        <w:t>R</w:t>
      </w:r>
      <w:r w:rsidRPr="00600475">
        <w:rPr>
          <w:color w:val="000000"/>
        </w:rPr>
        <w:t>-</w:t>
      </w:r>
      <w:proofErr w:type="spellStart"/>
      <w:r w:rsidRPr="00600475">
        <w:rPr>
          <w:color w:val="000000"/>
        </w:rPr>
        <w:t>diastereomer</w:t>
      </w:r>
      <w:proofErr w:type="spellEnd"/>
      <w:r w:rsidRPr="00600475">
        <w:rPr>
          <w:color w:val="000000"/>
        </w:rPr>
        <w:t>)</w:t>
      </w:r>
      <w:r>
        <w:rPr>
          <w:color w:val="000000"/>
        </w:rPr>
        <w:t xml:space="preserve"> </w:t>
      </w:r>
      <w:r w:rsidRPr="00600475">
        <w:rPr>
          <w:color w:val="000000"/>
        </w:rPr>
        <w:t>(CV = 45%), respectively.</w:t>
      </w:r>
      <w:r w:rsidR="00102037">
        <w:rPr>
          <w:color w:val="000000"/>
        </w:rPr>
        <w:t xml:space="preserve">  Non-renal clearance accounts for</w:t>
      </w:r>
      <w:r w:rsidR="00924E37">
        <w:rPr>
          <w:color w:val="000000"/>
        </w:rPr>
        <w:t xml:space="preserve"> the elimination of the remainder (approximately two-thirds) of the administered </w:t>
      </w:r>
      <w:proofErr w:type="spellStart"/>
      <w:r w:rsidR="00924E37">
        <w:rPr>
          <w:color w:val="000000"/>
        </w:rPr>
        <w:t>pralatrexate</w:t>
      </w:r>
      <w:proofErr w:type="spellEnd"/>
      <w:r w:rsidR="00924E37">
        <w:rPr>
          <w:color w:val="000000"/>
        </w:rPr>
        <w:t xml:space="preserve">.  The exact mechanism of the non-renal clearance is unknown.  </w:t>
      </w:r>
      <w:r w:rsidRPr="00600475">
        <w:rPr>
          <w:color w:val="000000"/>
        </w:rPr>
        <w:t xml:space="preserve"> </w:t>
      </w:r>
      <w:r w:rsidR="002A2A95">
        <w:rPr>
          <w:color w:val="000000"/>
        </w:rPr>
        <w:t xml:space="preserve"> </w:t>
      </w:r>
    </w:p>
    <w:p w:rsidR="00102037" w:rsidRDefault="00102037" w:rsidP="00BE5ED7">
      <w:pPr>
        <w:autoSpaceDE w:val="0"/>
        <w:autoSpaceDN w:val="0"/>
        <w:adjustRightInd w:val="0"/>
        <w:ind w:right="-694"/>
        <w:rPr>
          <w:color w:val="000000"/>
        </w:rPr>
      </w:pPr>
    </w:p>
    <w:p w:rsidR="00BE5ED7" w:rsidRDefault="00BE5ED7" w:rsidP="00BE5ED7">
      <w:pPr>
        <w:autoSpaceDE w:val="0"/>
        <w:autoSpaceDN w:val="0"/>
        <w:adjustRightInd w:val="0"/>
        <w:ind w:right="-694"/>
        <w:rPr>
          <w:color w:val="000000"/>
        </w:rPr>
      </w:pPr>
      <w:r w:rsidRPr="00600475">
        <w:rPr>
          <w:color w:val="000000"/>
        </w:rPr>
        <w:t>A mass</w:t>
      </w:r>
      <w:r w:rsidR="003F4272">
        <w:rPr>
          <w:color w:val="000000"/>
        </w:rPr>
        <w:t>-</w:t>
      </w:r>
      <w:r w:rsidRPr="00600475">
        <w:rPr>
          <w:color w:val="000000"/>
        </w:rPr>
        <w:t>balance study has not been completed in humans.</w:t>
      </w:r>
    </w:p>
    <w:p w:rsidR="009B188E" w:rsidRPr="00600475" w:rsidRDefault="009B188E" w:rsidP="00BE5ED7">
      <w:pPr>
        <w:autoSpaceDE w:val="0"/>
        <w:autoSpaceDN w:val="0"/>
        <w:adjustRightInd w:val="0"/>
        <w:ind w:right="-694"/>
        <w:rPr>
          <w:color w:val="000000"/>
        </w:rPr>
      </w:pPr>
    </w:p>
    <w:p w:rsidR="00303062" w:rsidRPr="00DD7AA2" w:rsidRDefault="00303062" w:rsidP="00303062">
      <w:pPr>
        <w:pStyle w:val="Default"/>
        <w:keepNext/>
        <w:rPr>
          <w:u w:val="single"/>
        </w:rPr>
      </w:pPr>
      <w:r w:rsidRPr="00DD7AA2">
        <w:rPr>
          <w:u w:val="single"/>
        </w:rPr>
        <w:t>Special populations</w:t>
      </w:r>
    </w:p>
    <w:p w:rsidR="00303062" w:rsidRPr="00DD7AA2" w:rsidRDefault="00303062" w:rsidP="00303062">
      <w:pPr>
        <w:pStyle w:val="Default"/>
        <w:keepNext/>
        <w:rPr>
          <w:u w:val="single"/>
        </w:rPr>
      </w:pPr>
    </w:p>
    <w:p w:rsidR="00303062" w:rsidRPr="00DD7AA2" w:rsidRDefault="00303062" w:rsidP="00303062">
      <w:pPr>
        <w:pStyle w:val="Default"/>
        <w:keepNext/>
        <w:rPr>
          <w:i/>
        </w:rPr>
      </w:pPr>
      <w:r w:rsidRPr="00DD7AA2">
        <w:rPr>
          <w:i/>
        </w:rPr>
        <w:t>Renal impairment</w:t>
      </w:r>
    </w:p>
    <w:p w:rsidR="00303062" w:rsidRPr="00C25A72" w:rsidRDefault="00303062" w:rsidP="00303062">
      <w:pPr>
        <w:keepNext/>
        <w:keepLines/>
        <w:rPr>
          <w:color w:val="000000"/>
          <w:szCs w:val="22"/>
          <w:lang w:val="en-US" w:eastAsia="en-GB"/>
        </w:rPr>
      </w:pPr>
      <w:r w:rsidRPr="00027441">
        <w:rPr>
          <w:color w:val="000000"/>
          <w:szCs w:val="22"/>
          <w:lang w:eastAsia="en-GB"/>
        </w:rPr>
        <w:t>Limited pharmacokinetic data are available for patients with moderate renal impairment (</w:t>
      </w:r>
      <w:proofErr w:type="spellStart"/>
      <w:r w:rsidRPr="00027441">
        <w:rPr>
          <w:color w:val="000000"/>
          <w:szCs w:val="22"/>
          <w:lang w:eastAsia="en-GB"/>
        </w:rPr>
        <w:t>eGFR</w:t>
      </w:r>
      <w:proofErr w:type="spellEnd"/>
      <w:r w:rsidRPr="00027441">
        <w:rPr>
          <w:color w:val="000000"/>
          <w:szCs w:val="22"/>
          <w:lang w:eastAsia="en-GB"/>
        </w:rPr>
        <w:t> &lt; 60 </w:t>
      </w:r>
      <w:r w:rsidR="00B94574">
        <w:rPr>
          <w:color w:val="000000"/>
          <w:szCs w:val="22"/>
          <w:lang w:eastAsia="en-GB"/>
        </w:rPr>
        <w:t>mL</w:t>
      </w:r>
      <w:r w:rsidRPr="00027441">
        <w:rPr>
          <w:color w:val="000000"/>
          <w:szCs w:val="22"/>
          <w:lang w:eastAsia="en-GB"/>
        </w:rPr>
        <w:t>/min) and no data are available for patients with severe renal impairment (</w:t>
      </w:r>
      <w:proofErr w:type="spellStart"/>
      <w:r w:rsidRPr="00027441">
        <w:rPr>
          <w:color w:val="000000"/>
          <w:szCs w:val="22"/>
          <w:lang w:eastAsia="en-GB"/>
        </w:rPr>
        <w:t>eGFR</w:t>
      </w:r>
      <w:proofErr w:type="spellEnd"/>
      <w:r w:rsidRPr="00027441">
        <w:rPr>
          <w:color w:val="000000"/>
          <w:szCs w:val="22"/>
          <w:lang w:eastAsia="en-GB"/>
        </w:rPr>
        <w:t> &lt; 30 </w:t>
      </w:r>
      <w:r w:rsidR="00B94574">
        <w:rPr>
          <w:color w:val="000000"/>
          <w:szCs w:val="22"/>
          <w:lang w:eastAsia="en-GB"/>
        </w:rPr>
        <w:t>mL</w:t>
      </w:r>
      <w:r w:rsidRPr="00027441">
        <w:rPr>
          <w:color w:val="000000"/>
          <w:szCs w:val="22"/>
          <w:lang w:eastAsia="en-GB"/>
        </w:rPr>
        <w:t xml:space="preserve">/min). </w:t>
      </w:r>
      <w:r>
        <w:rPr>
          <w:color w:val="000000"/>
          <w:szCs w:val="22"/>
          <w:lang w:eastAsia="en-GB"/>
        </w:rPr>
        <w:t xml:space="preserve"> </w:t>
      </w:r>
      <w:r w:rsidRPr="00027441">
        <w:rPr>
          <w:color w:val="000000"/>
          <w:szCs w:val="22"/>
          <w:lang w:eastAsia="en-GB"/>
        </w:rPr>
        <w:t xml:space="preserve">Approximately 34% of </w:t>
      </w:r>
      <w:proofErr w:type="spellStart"/>
      <w:r w:rsidRPr="00027441">
        <w:rPr>
          <w:color w:val="000000"/>
          <w:szCs w:val="22"/>
          <w:lang w:eastAsia="en-GB"/>
        </w:rPr>
        <w:t>pralatrexate</w:t>
      </w:r>
      <w:proofErr w:type="spellEnd"/>
      <w:r w:rsidRPr="00027441">
        <w:rPr>
          <w:color w:val="000000"/>
          <w:szCs w:val="22"/>
          <w:lang w:eastAsia="en-GB"/>
        </w:rPr>
        <w:t xml:space="preserve"> was excreted unchanged into urine following a single dose of 30</w:t>
      </w:r>
      <w:r>
        <w:rPr>
          <w:color w:val="000000"/>
          <w:szCs w:val="22"/>
          <w:lang w:eastAsia="en-GB"/>
        </w:rPr>
        <w:t> </w:t>
      </w:r>
      <w:r w:rsidRPr="00027441">
        <w:rPr>
          <w:color w:val="000000"/>
          <w:szCs w:val="22"/>
          <w:lang w:eastAsia="en-GB"/>
        </w:rPr>
        <w:t>mg/m</w:t>
      </w:r>
      <w:r w:rsidRPr="00B705D9">
        <w:rPr>
          <w:color w:val="000000"/>
          <w:szCs w:val="22"/>
          <w:vertAlign w:val="superscript"/>
          <w:lang w:eastAsia="en-GB"/>
        </w:rPr>
        <w:t>2</w:t>
      </w:r>
      <w:r w:rsidRPr="00027441">
        <w:rPr>
          <w:color w:val="000000"/>
          <w:szCs w:val="22"/>
          <w:lang w:eastAsia="en-GB"/>
        </w:rPr>
        <w:t xml:space="preserve"> administered as an intravenous infusion over 3-5 minutes.  Covariate analysis showed that </w:t>
      </w:r>
      <w:proofErr w:type="spellStart"/>
      <w:r w:rsidRPr="00027441">
        <w:rPr>
          <w:color w:val="000000"/>
          <w:szCs w:val="22"/>
          <w:lang w:eastAsia="en-GB"/>
        </w:rPr>
        <w:t>pralatrexate</w:t>
      </w:r>
      <w:proofErr w:type="spellEnd"/>
      <w:r w:rsidRPr="00027441">
        <w:rPr>
          <w:color w:val="000000"/>
          <w:szCs w:val="22"/>
          <w:lang w:eastAsia="en-GB"/>
        </w:rPr>
        <w:t xml:space="preserve"> clearance moderately decreased with decreasing creatin</w:t>
      </w:r>
      <w:r>
        <w:rPr>
          <w:color w:val="000000"/>
          <w:szCs w:val="22"/>
          <w:lang w:eastAsia="en-GB"/>
        </w:rPr>
        <w:t>in</w:t>
      </w:r>
      <w:r w:rsidRPr="00027441">
        <w:rPr>
          <w:color w:val="000000"/>
          <w:szCs w:val="22"/>
          <w:lang w:eastAsia="en-GB"/>
        </w:rPr>
        <w:t>e clearance.</w:t>
      </w:r>
      <w:r>
        <w:rPr>
          <w:color w:val="000000"/>
          <w:szCs w:val="22"/>
          <w:lang w:eastAsia="en-GB"/>
        </w:rPr>
        <w:t xml:space="preserve"> </w:t>
      </w:r>
      <w:r w:rsidR="00965954">
        <w:rPr>
          <w:color w:val="000000"/>
          <w:szCs w:val="22"/>
          <w:lang w:eastAsia="en-GB"/>
        </w:rPr>
        <w:t xml:space="preserve"> </w:t>
      </w:r>
      <w:r w:rsidR="00C25A72" w:rsidRPr="00C25A72">
        <w:rPr>
          <w:color w:val="000000"/>
          <w:szCs w:val="22"/>
          <w:lang w:val="en-US" w:eastAsia="en-GB"/>
        </w:rPr>
        <w:t>Patients with moderate to severe renal function impairment may be at greater risk for increased exposure and toxicity.  Monitor patients for renal function and systemic toxicity and adjust dosing accordingly.  Avoid FOLOTYN use in patients with end stage renal disease including those undergoing dialysis unless the potential benefit justifies the potential risk.</w:t>
      </w:r>
    </w:p>
    <w:p w:rsidR="00303062" w:rsidRPr="00970EB6" w:rsidRDefault="00303062" w:rsidP="00303062">
      <w:pPr>
        <w:pStyle w:val="Default"/>
      </w:pPr>
    </w:p>
    <w:p w:rsidR="00303062" w:rsidRPr="00DD7AA2" w:rsidRDefault="00303062" w:rsidP="00303062">
      <w:pPr>
        <w:pStyle w:val="Default"/>
        <w:keepNext/>
        <w:keepLines/>
        <w:widowControl/>
        <w:rPr>
          <w:i/>
        </w:rPr>
      </w:pPr>
      <w:r w:rsidRPr="00DD7AA2">
        <w:rPr>
          <w:i/>
        </w:rPr>
        <w:t>Hepatic impairment</w:t>
      </w:r>
    </w:p>
    <w:p w:rsidR="00303062" w:rsidRPr="00027441" w:rsidRDefault="00303062" w:rsidP="00303062">
      <w:pPr>
        <w:keepNext/>
        <w:keepLines/>
        <w:autoSpaceDE w:val="0"/>
        <w:autoSpaceDN w:val="0"/>
        <w:adjustRightInd w:val="0"/>
        <w:rPr>
          <w:color w:val="000000"/>
          <w:szCs w:val="22"/>
          <w:lang w:eastAsia="en-GB"/>
        </w:rPr>
      </w:pPr>
      <w:r w:rsidRPr="005C3766">
        <w:rPr>
          <w:szCs w:val="22"/>
        </w:rPr>
        <w:t>No pharmacokinetic data are available for patients with hepatic impairment.</w:t>
      </w:r>
      <w:r>
        <w:rPr>
          <w:szCs w:val="22"/>
        </w:rPr>
        <w:t xml:space="preserve">  </w:t>
      </w:r>
      <w:r w:rsidRPr="00027441">
        <w:rPr>
          <w:color w:val="000000"/>
          <w:szCs w:val="22"/>
          <w:lang w:eastAsia="en-GB"/>
        </w:rPr>
        <w:t>Approximately two</w:t>
      </w:r>
      <w:r>
        <w:rPr>
          <w:color w:val="000000"/>
          <w:szCs w:val="22"/>
          <w:lang w:eastAsia="en-GB"/>
        </w:rPr>
        <w:noBreakHyphen/>
      </w:r>
      <w:r w:rsidRPr="00027441">
        <w:rPr>
          <w:color w:val="000000"/>
          <w:szCs w:val="22"/>
          <w:lang w:eastAsia="en-GB"/>
        </w:rPr>
        <w:t xml:space="preserve">thirds of </w:t>
      </w:r>
      <w:proofErr w:type="spellStart"/>
      <w:r w:rsidRPr="00027441">
        <w:rPr>
          <w:color w:val="000000"/>
          <w:szCs w:val="22"/>
          <w:lang w:eastAsia="en-GB"/>
        </w:rPr>
        <w:t>pralatrexate</w:t>
      </w:r>
      <w:proofErr w:type="spellEnd"/>
      <w:r w:rsidRPr="00027441">
        <w:rPr>
          <w:color w:val="000000"/>
          <w:szCs w:val="22"/>
          <w:lang w:eastAsia="en-GB"/>
        </w:rPr>
        <w:t xml:space="preserve"> is eliminated by non-renal clearance that may be largely via hepatobiliary excretion. </w:t>
      </w:r>
      <w:r>
        <w:rPr>
          <w:color w:val="000000"/>
          <w:szCs w:val="22"/>
          <w:lang w:eastAsia="en-GB"/>
        </w:rPr>
        <w:t xml:space="preserve"> </w:t>
      </w:r>
      <w:r w:rsidRPr="00027441">
        <w:rPr>
          <w:color w:val="000000"/>
          <w:szCs w:val="22"/>
          <w:lang w:eastAsia="en-GB"/>
        </w:rPr>
        <w:t>For this reason, a risk for increased exposure in patients with hepatic impairment cannot be excluded.</w:t>
      </w:r>
    </w:p>
    <w:p w:rsidR="00303062" w:rsidRPr="00970EB6" w:rsidRDefault="00303062" w:rsidP="00303062">
      <w:pPr>
        <w:pStyle w:val="Default"/>
        <w:rPr>
          <w:u w:val="single"/>
        </w:rPr>
      </w:pPr>
    </w:p>
    <w:p w:rsidR="00303062" w:rsidRPr="00DD7AA2" w:rsidRDefault="00303062" w:rsidP="00303062">
      <w:pPr>
        <w:pStyle w:val="Default"/>
        <w:rPr>
          <w:i/>
        </w:rPr>
      </w:pPr>
      <w:r w:rsidRPr="00DD7AA2">
        <w:rPr>
          <w:i/>
        </w:rPr>
        <w:t>Elderly</w:t>
      </w:r>
    </w:p>
    <w:p w:rsidR="00BE5ED7" w:rsidRDefault="00303062" w:rsidP="00303062">
      <w:pPr>
        <w:autoSpaceDE w:val="0"/>
        <w:autoSpaceDN w:val="0"/>
        <w:adjustRightInd w:val="0"/>
        <w:ind w:right="-694"/>
        <w:rPr>
          <w:b/>
          <w:bCs/>
          <w:color w:val="000000"/>
        </w:rPr>
      </w:pPr>
      <w:r w:rsidRPr="005C3766">
        <w:rPr>
          <w:color w:val="000000"/>
          <w:szCs w:val="22"/>
        </w:rPr>
        <w:t xml:space="preserve">Due to the contribution of renal excretion to overall clearance of </w:t>
      </w:r>
      <w:proofErr w:type="spellStart"/>
      <w:r w:rsidRPr="005C3766">
        <w:rPr>
          <w:color w:val="000000"/>
          <w:szCs w:val="22"/>
        </w:rPr>
        <w:t>pralatrexate</w:t>
      </w:r>
      <w:proofErr w:type="spellEnd"/>
      <w:r w:rsidRPr="005C3766">
        <w:rPr>
          <w:color w:val="000000"/>
          <w:szCs w:val="22"/>
        </w:rPr>
        <w:t>, age</w:t>
      </w:r>
      <w:r w:rsidRPr="005C3766">
        <w:rPr>
          <w:color w:val="000000"/>
          <w:szCs w:val="22"/>
        </w:rPr>
        <w:noBreakHyphen/>
        <w:t>related decline in renal function may lead to a reduction in clearance and a commensurate increase in plasma exposure</w:t>
      </w:r>
    </w:p>
    <w:p w:rsidR="00992DDC" w:rsidRDefault="00992DDC" w:rsidP="00DB3F47">
      <w:pPr>
        <w:autoSpaceDE w:val="0"/>
        <w:autoSpaceDN w:val="0"/>
        <w:adjustRightInd w:val="0"/>
        <w:ind w:right="-694"/>
        <w:rPr>
          <w:b/>
          <w:bCs/>
          <w:color w:val="000000"/>
        </w:rPr>
      </w:pPr>
    </w:p>
    <w:p w:rsidR="00BE5ED7" w:rsidRPr="00A55839" w:rsidRDefault="00A55839" w:rsidP="00BE5ED7">
      <w:pPr>
        <w:autoSpaceDE w:val="0"/>
        <w:autoSpaceDN w:val="0"/>
        <w:adjustRightInd w:val="0"/>
        <w:ind w:right="-694"/>
        <w:rPr>
          <w:b/>
          <w:color w:val="000000"/>
        </w:rPr>
      </w:pPr>
      <w:r>
        <w:rPr>
          <w:b/>
          <w:color w:val="000000"/>
        </w:rPr>
        <w:t xml:space="preserve">CLINICAL TRIALS </w:t>
      </w:r>
    </w:p>
    <w:p w:rsidR="00BD1FC3" w:rsidRDefault="00BE5ED7" w:rsidP="00E60C15">
      <w:pPr>
        <w:autoSpaceDE w:val="0"/>
        <w:autoSpaceDN w:val="0"/>
        <w:adjustRightInd w:val="0"/>
        <w:rPr>
          <w:color w:val="000000"/>
        </w:rPr>
      </w:pPr>
      <w:r w:rsidRPr="00600475">
        <w:rPr>
          <w:color w:val="000000"/>
        </w:rPr>
        <w:t xml:space="preserve">The efficacy of FOLOTYN was evaluated in </w:t>
      </w:r>
      <w:r w:rsidR="002A2A95">
        <w:rPr>
          <w:color w:val="000000"/>
        </w:rPr>
        <w:t>an</w:t>
      </w:r>
      <w:r w:rsidRPr="00600475">
        <w:rPr>
          <w:color w:val="000000"/>
        </w:rPr>
        <w:t xml:space="preserve"> open-label, single-arm, non-randomi</w:t>
      </w:r>
      <w:r w:rsidR="003F4272">
        <w:rPr>
          <w:color w:val="000000"/>
        </w:rPr>
        <w:t>s</w:t>
      </w:r>
      <w:r w:rsidRPr="00600475">
        <w:rPr>
          <w:color w:val="000000"/>
        </w:rPr>
        <w:t>ed</w:t>
      </w:r>
      <w:r w:rsidR="00666ABE">
        <w:rPr>
          <w:color w:val="000000"/>
        </w:rPr>
        <w:t>, international</w:t>
      </w:r>
      <w:r w:rsidR="002A2A95">
        <w:rPr>
          <w:color w:val="000000"/>
        </w:rPr>
        <w:t xml:space="preserve"> study (</w:t>
      </w:r>
      <w:r w:rsidRPr="00600475">
        <w:rPr>
          <w:color w:val="000000"/>
        </w:rPr>
        <w:t>PDX-008</w:t>
      </w:r>
      <w:r w:rsidR="002A2A95">
        <w:rPr>
          <w:color w:val="000000"/>
        </w:rPr>
        <w:t xml:space="preserve">) </w:t>
      </w:r>
      <w:r w:rsidR="00666ABE">
        <w:rPr>
          <w:color w:val="000000"/>
        </w:rPr>
        <w:t>that enrolled</w:t>
      </w:r>
      <w:r w:rsidRPr="00600475">
        <w:rPr>
          <w:color w:val="000000"/>
        </w:rPr>
        <w:t xml:space="preserve"> 115 patients with relapsed or refractory PTCL.</w:t>
      </w:r>
      <w:r w:rsidR="002A2A95">
        <w:rPr>
          <w:color w:val="000000"/>
        </w:rPr>
        <w:t xml:space="preserve">  </w:t>
      </w:r>
      <w:r w:rsidRPr="00600475">
        <w:rPr>
          <w:color w:val="000000"/>
        </w:rPr>
        <w:t>One hundred and eleven patients were treated with FOLOTYN at 30 mg/m</w:t>
      </w:r>
      <w:r w:rsidRPr="003F4272">
        <w:rPr>
          <w:color w:val="000000"/>
          <w:vertAlign w:val="superscript"/>
        </w:rPr>
        <w:t>2</w:t>
      </w:r>
      <w:r w:rsidRPr="00600475">
        <w:rPr>
          <w:color w:val="000000"/>
        </w:rPr>
        <w:t xml:space="preserve"> once weekly by </w:t>
      </w:r>
      <w:r w:rsidR="00970EB6">
        <w:rPr>
          <w:color w:val="000000"/>
        </w:rPr>
        <w:t>intravenous</w:t>
      </w:r>
      <w:r>
        <w:rPr>
          <w:color w:val="000000"/>
        </w:rPr>
        <w:t xml:space="preserve"> </w:t>
      </w:r>
      <w:r w:rsidRPr="00600475">
        <w:rPr>
          <w:color w:val="000000"/>
        </w:rPr>
        <w:t>infusion over 3-5 minutes for 6 weeks in 7-week cycles until disease progression or unacceptable</w:t>
      </w:r>
      <w:r>
        <w:rPr>
          <w:color w:val="000000"/>
        </w:rPr>
        <w:t xml:space="preserve"> </w:t>
      </w:r>
      <w:r w:rsidRPr="00600475">
        <w:rPr>
          <w:color w:val="000000"/>
        </w:rPr>
        <w:t>toxicity.</w:t>
      </w:r>
      <w:r w:rsidR="00BD1FC3">
        <w:rPr>
          <w:color w:val="000000"/>
        </w:rPr>
        <w:t xml:space="preserve">  </w:t>
      </w:r>
      <w:r w:rsidR="00BD1FC3" w:rsidRPr="00BD1FC3">
        <w:rPr>
          <w:rFonts w:ascii="Times Roman" w:hAnsi="Times Roman" w:cs="Arial"/>
        </w:rPr>
        <w:t xml:space="preserve">If </w:t>
      </w:r>
      <w:proofErr w:type="spellStart"/>
      <w:r w:rsidR="00BD1FC3" w:rsidRPr="00BD1FC3">
        <w:rPr>
          <w:rFonts w:ascii="Times Roman" w:hAnsi="Times Roman" w:cs="Arial"/>
        </w:rPr>
        <w:t>methylmalonic</w:t>
      </w:r>
      <w:proofErr w:type="spellEnd"/>
      <w:r w:rsidR="00BD1FC3" w:rsidRPr="00BD1FC3">
        <w:rPr>
          <w:rFonts w:ascii="Times Roman" w:hAnsi="Times Roman" w:cs="Arial"/>
        </w:rPr>
        <w:t xml:space="preserve"> acid</w:t>
      </w:r>
      <w:r w:rsidR="00E60C15">
        <w:rPr>
          <w:rFonts w:ascii="Times Roman" w:hAnsi="Times Roman" w:cs="Arial"/>
        </w:rPr>
        <w:t xml:space="preserve"> </w:t>
      </w:r>
      <w:r w:rsidR="00BD1FC3" w:rsidRPr="00BD1FC3">
        <w:rPr>
          <w:rFonts w:ascii="Times Roman" w:hAnsi="Times Roman" w:cs="Arial"/>
        </w:rPr>
        <w:t>level</w:t>
      </w:r>
      <w:r w:rsidR="00E60C15">
        <w:rPr>
          <w:rFonts w:ascii="Times Roman" w:hAnsi="Times Roman" w:cs="Arial"/>
        </w:rPr>
        <w:t xml:space="preserve"> </w:t>
      </w:r>
      <w:r w:rsidR="00BD1FC3" w:rsidRPr="00BD1FC3">
        <w:rPr>
          <w:rFonts w:ascii="Times Roman" w:hAnsi="Times Roman" w:cs="Arial"/>
        </w:rPr>
        <w:t xml:space="preserve">was &gt;200 </w:t>
      </w:r>
      <w:proofErr w:type="spellStart"/>
      <w:r w:rsidR="00BD1FC3" w:rsidRPr="00BD1FC3">
        <w:rPr>
          <w:rFonts w:ascii="Times Roman" w:hAnsi="Times Roman" w:cs="Arial"/>
        </w:rPr>
        <w:t>nM</w:t>
      </w:r>
      <w:proofErr w:type="spellEnd"/>
      <w:r w:rsidR="00BD1FC3" w:rsidRPr="00BD1FC3">
        <w:rPr>
          <w:rFonts w:ascii="Times Roman" w:hAnsi="Times Roman" w:cs="Arial"/>
        </w:rPr>
        <w:t xml:space="preserve"> and</w:t>
      </w:r>
      <w:r w:rsidR="00E60C15">
        <w:rPr>
          <w:rFonts w:ascii="Times Roman" w:hAnsi="Times Roman" w:cs="Arial"/>
        </w:rPr>
        <w:t xml:space="preserve"> / o</w:t>
      </w:r>
      <w:r w:rsidR="00BD1FC3" w:rsidRPr="00BD1FC3">
        <w:rPr>
          <w:rFonts w:ascii="Times Roman" w:hAnsi="Times Roman" w:cs="Arial"/>
        </w:rPr>
        <w:t>r homocysteine &gt;10</w:t>
      </w:r>
      <w:r w:rsidR="00E60C15">
        <w:rPr>
          <w:rFonts w:ascii="Times Roman" w:hAnsi="Times Roman" w:cs="Arial"/>
        </w:rPr>
        <w:t xml:space="preserve"> µ</w:t>
      </w:r>
      <w:r w:rsidR="00BD1FC3" w:rsidRPr="00BD1FC3">
        <w:rPr>
          <w:rFonts w:ascii="Times Roman" w:hAnsi="Times Roman" w:cs="Arial"/>
        </w:rPr>
        <w:t>M, vitamin</w:t>
      </w:r>
      <w:r w:rsidR="00E60C15">
        <w:rPr>
          <w:rFonts w:ascii="Times Roman" w:hAnsi="Times Roman" w:cs="Arial"/>
        </w:rPr>
        <w:t xml:space="preserve"> supplementation was given for </w:t>
      </w:r>
      <w:r w:rsidR="00E60C15">
        <w:t>≥</w:t>
      </w:r>
      <w:r w:rsidR="00E60C15">
        <w:rPr>
          <w:rFonts w:ascii="Times Roman" w:hAnsi="Times Roman" w:cs="Arial"/>
        </w:rPr>
        <w:t>1</w:t>
      </w:r>
      <w:r w:rsidR="00BD1FC3" w:rsidRPr="00BD1FC3">
        <w:rPr>
          <w:rFonts w:ascii="Times Roman" w:hAnsi="Times Roman" w:cs="Arial"/>
        </w:rPr>
        <w:t>0 days prior to first dose of</w:t>
      </w:r>
      <w:r w:rsidR="00E60C15">
        <w:rPr>
          <w:rFonts w:ascii="Times Roman" w:hAnsi="Times Roman" w:cs="Arial"/>
        </w:rPr>
        <w:t xml:space="preserve"> </w:t>
      </w:r>
      <w:proofErr w:type="spellStart"/>
      <w:r w:rsidR="00BD1FC3" w:rsidRPr="00BD1FC3">
        <w:rPr>
          <w:rFonts w:ascii="Times Roman" w:hAnsi="Times Roman" w:cs="Arial"/>
        </w:rPr>
        <w:t>pralatrexate</w:t>
      </w:r>
      <w:proofErr w:type="spellEnd"/>
      <w:r w:rsidR="00BD1FC3" w:rsidRPr="00BD1FC3">
        <w:rPr>
          <w:rFonts w:ascii="Times Roman" w:hAnsi="Times Roman" w:cs="Arial"/>
        </w:rPr>
        <w:t>; otherwise, patients received concurrent folic acid 1-1</w:t>
      </w:r>
      <w:r w:rsidR="00E60C15">
        <w:rPr>
          <w:rFonts w:ascii="Times Roman" w:hAnsi="Times Roman" w:cs="Arial"/>
        </w:rPr>
        <w:t>.</w:t>
      </w:r>
      <w:r w:rsidR="00BD1FC3" w:rsidRPr="00BD1FC3">
        <w:rPr>
          <w:rFonts w:ascii="Times Roman" w:hAnsi="Times Roman" w:cs="Arial"/>
        </w:rPr>
        <w:t>25</w:t>
      </w:r>
      <w:r w:rsidR="00F30D90">
        <w:rPr>
          <w:rFonts w:ascii="Times Roman" w:hAnsi="Times Roman" w:cs="Arial"/>
        </w:rPr>
        <w:t xml:space="preserve"> mg</w:t>
      </w:r>
      <w:r w:rsidR="00BD1FC3" w:rsidRPr="00BD1FC3">
        <w:rPr>
          <w:rFonts w:ascii="Times Roman" w:hAnsi="Times Roman" w:cs="Arial"/>
        </w:rPr>
        <w:t xml:space="preserve"> PO</w:t>
      </w:r>
      <w:r w:rsidR="00E60C15">
        <w:rPr>
          <w:rFonts w:ascii="Times Roman" w:hAnsi="Times Roman" w:cs="Arial"/>
        </w:rPr>
        <w:t xml:space="preserve"> </w:t>
      </w:r>
      <w:r w:rsidR="00BD1FC3" w:rsidRPr="00BD1FC3">
        <w:rPr>
          <w:rFonts w:ascii="Times Roman" w:hAnsi="Times Roman" w:cs="Arial"/>
        </w:rPr>
        <w:t>daily) and vitamin B12</w:t>
      </w:r>
      <w:r w:rsidR="00E60C15">
        <w:rPr>
          <w:rFonts w:ascii="Times Roman" w:hAnsi="Times Roman" w:cs="Arial"/>
        </w:rPr>
        <w:t xml:space="preserve"> (</w:t>
      </w:r>
      <w:r w:rsidR="00BD1FC3" w:rsidRPr="00BD1FC3">
        <w:rPr>
          <w:rFonts w:ascii="Times Roman" w:hAnsi="Times Roman" w:cs="Arial"/>
        </w:rPr>
        <w:t>1</w:t>
      </w:r>
      <w:r w:rsidR="00E60C15">
        <w:rPr>
          <w:rFonts w:ascii="Times Roman" w:hAnsi="Times Roman" w:cs="Arial"/>
        </w:rPr>
        <w:t xml:space="preserve"> m</w:t>
      </w:r>
      <w:r w:rsidR="00BD1FC3" w:rsidRPr="00BD1FC3">
        <w:rPr>
          <w:rFonts w:ascii="Times Roman" w:hAnsi="Times Roman" w:cs="Arial"/>
        </w:rPr>
        <w:t xml:space="preserve">g IM every 8-10 </w:t>
      </w:r>
      <w:r w:rsidR="00BD1FC3" w:rsidRPr="00BD1FC3">
        <w:rPr>
          <w:rFonts w:ascii="Times Roman" w:hAnsi="Times Roman" w:cs="Arial"/>
        </w:rPr>
        <w:lastRenderedPageBreak/>
        <w:t xml:space="preserve">weeks). </w:t>
      </w:r>
      <w:r w:rsidR="00E60C15">
        <w:rPr>
          <w:rFonts w:ascii="Times Roman" w:hAnsi="Times Roman" w:cs="Arial"/>
        </w:rPr>
        <w:t xml:space="preserve"> </w:t>
      </w:r>
      <w:r w:rsidR="00BD1FC3" w:rsidRPr="00BD1FC3">
        <w:rPr>
          <w:rFonts w:ascii="Times Roman" w:hAnsi="Times Roman" w:cs="Arial"/>
        </w:rPr>
        <w:t>Vitamin supplementation</w:t>
      </w:r>
      <w:r w:rsidR="00E60C15">
        <w:rPr>
          <w:rFonts w:ascii="Times Roman" w:hAnsi="Times Roman" w:cs="Arial"/>
        </w:rPr>
        <w:t xml:space="preserve"> </w:t>
      </w:r>
      <w:r w:rsidR="00BD1FC3" w:rsidRPr="00BD1FC3">
        <w:rPr>
          <w:rFonts w:ascii="Times Roman" w:hAnsi="Times Roman" w:cs="Arial"/>
        </w:rPr>
        <w:t xml:space="preserve">continued for at least </w:t>
      </w:r>
      <w:r w:rsidR="00F30D90">
        <w:rPr>
          <w:rFonts w:ascii="Times Roman" w:hAnsi="Times Roman" w:cs="Arial"/>
        </w:rPr>
        <w:t>1</w:t>
      </w:r>
      <w:r w:rsidR="00BD1FC3" w:rsidRPr="00BD1FC3">
        <w:rPr>
          <w:rFonts w:ascii="Times Roman" w:hAnsi="Times Roman" w:cs="Arial"/>
        </w:rPr>
        <w:t xml:space="preserve"> month </w:t>
      </w:r>
      <w:r w:rsidR="00ED2A5D">
        <w:rPr>
          <w:rFonts w:ascii="Times Roman" w:hAnsi="Times Roman" w:cs="Arial"/>
        </w:rPr>
        <w:t>after</w:t>
      </w:r>
      <w:r w:rsidR="00BD1FC3" w:rsidRPr="00BD1FC3">
        <w:rPr>
          <w:rFonts w:ascii="Times Roman" w:hAnsi="Times Roman" w:cs="Arial"/>
        </w:rPr>
        <w:t xml:space="preserve"> discontinuation of </w:t>
      </w:r>
      <w:proofErr w:type="spellStart"/>
      <w:r w:rsidR="00BD1FC3" w:rsidRPr="00BD1FC3">
        <w:rPr>
          <w:rFonts w:ascii="Times Roman" w:hAnsi="Times Roman" w:cs="Arial"/>
        </w:rPr>
        <w:t>pralatrexate</w:t>
      </w:r>
      <w:proofErr w:type="spellEnd"/>
      <w:r w:rsidR="00BD1FC3" w:rsidRPr="00BD1FC3">
        <w:rPr>
          <w:rFonts w:ascii="Times Roman" w:hAnsi="Times Roman" w:cs="Arial"/>
        </w:rPr>
        <w:t>.</w:t>
      </w:r>
      <w:r w:rsidR="00BD1FC3">
        <w:rPr>
          <w:color w:val="000000"/>
        </w:rPr>
        <w:t xml:space="preserve">   </w:t>
      </w:r>
      <w:r w:rsidRPr="00600475">
        <w:rPr>
          <w:color w:val="000000"/>
        </w:rPr>
        <w:t xml:space="preserve"> </w:t>
      </w:r>
      <w:r w:rsidR="002A2A95">
        <w:rPr>
          <w:color w:val="000000"/>
        </w:rPr>
        <w:t xml:space="preserve"> </w:t>
      </w:r>
    </w:p>
    <w:p w:rsidR="00BD1FC3" w:rsidRDefault="00BD1FC3" w:rsidP="00BE5ED7">
      <w:pPr>
        <w:autoSpaceDE w:val="0"/>
        <w:autoSpaceDN w:val="0"/>
        <w:adjustRightInd w:val="0"/>
        <w:ind w:right="-694"/>
        <w:rPr>
          <w:color w:val="000000"/>
        </w:rPr>
      </w:pPr>
    </w:p>
    <w:p w:rsidR="00BE5ED7" w:rsidRDefault="00BE5ED7" w:rsidP="00BE5ED7">
      <w:pPr>
        <w:autoSpaceDE w:val="0"/>
        <w:autoSpaceDN w:val="0"/>
        <w:adjustRightInd w:val="0"/>
        <w:ind w:right="-694"/>
        <w:rPr>
          <w:color w:val="000000"/>
        </w:rPr>
      </w:pPr>
      <w:r w:rsidRPr="00600475">
        <w:rPr>
          <w:color w:val="000000"/>
        </w:rPr>
        <w:t xml:space="preserve">Of the 111 patients treated, 109 patients were evaluable for efficacy. </w:t>
      </w:r>
      <w:r w:rsidR="002A2A95">
        <w:rPr>
          <w:color w:val="000000"/>
        </w:rPr>
        <w:t xml:space="preserve"> </w:t>
      </w:r>
      <w:r w:rsidRPr="00600475">
        <w:rPr>
          <w:color w:val="000000"/>
        </w:rPr>
        <w:t>Evaluable patients had</w:t>
      </w:r>
      <w:r>
        <w:rPr>
          <w:color w:val="000000"/>
        </w:rPr>
        <w:t xml:space="preserve"> </w:t>
      </w:r>
      <w:r w:rsidRPr="00600475">
        <w:rPr>
          <w:color w:val="000000"/>
        </w:rPr>
        <w:t>histologically confirmed PTCL</w:t>
      </w:r>
      <w:r w:rsidR="004F054C">
        <w:rPr>
          <w:color w:val="000000"/>
        </w:rPr>
        <w:t xml:space="preserve">, as confirmed </w:t>
      </w:r>
      <w:r w:rsidRPr="00600475">
        <w:rPr>
          <w:color w:val="000000"/>
        </w:rPr>
        <w:t>by independent central review using the Revised European American</w:t>
      </w:r>
      <w:r>
        <w:rPr>
          <w:color w:val="000000"/>
        </w:rPr>
        <w:t xml:space="preserve"> </w:t>
      </w:r>
      <w:r w:rsidRPr="00600475">
        <w:rPr>
          <w:color w:val="000000"/>
        </w:rPr>
        <w:t>Lymphoma (REAL) World Health Organization (WHO) disease classification, and relapsed or</w:t>
      </w:r>
      <w:r>
        <w:rPr>
          <w:color w:val="000000"/>
        </w:rPr>
        <w:t xml:space="preserve"> </w:t>
      </w:r>
      <w:r w:rsidRPr="00600475">
        <w:rPr>
          <w:color w:val="000000"/>
        </w:rPr>
        <w:t>refractory disease after at least one prior treatment.</w:t>
      </w:r>
      <w:r w:rsidR="00056780">
        <w:rPr>
          <w:color w:val="000000"/>
        </w:rPr>
        <w:t xml:space="preserve">  Commoner subtypes included for study were PTCL-unspecified (n=59), primary systemic anaplastic large cell lymphoma (n=17), </w:t>
      </w:r>
      <w:proofErr w:type="spellStart"/>
      <w:r w:rsidR="00056780">
        <w:rPr>
          <w:color w:val="000000"/>
        </w:rPr>
        <w:t>angioimmunoblastic</w:t>
      </w:r>
      <w:proofErr w:type="spellEnd"/>
      <w:r w:rsidR="00056780">
        <w:rPr>
          <w:color w:val="000000"/>
        </w:rPr>
        <w:t xml:space="preserve"> T cell lymphoma (n=13) and transformed mycosis </w:t>
      </w:r>
      <w:proofErr w:type="spellStart"/>
      <w:r w:rsidR="00056780">
        <w:rPr>
          <w:color w:val="000000"/>
        </w:rPr>
        <w:t>fungoides</w:t>
      </w:r>
      <w:proofErr w:type="spellEnd"/>
      <w:r w:rsidR="00056780">
        <w:rPr>
          <w:color w:val="000000"/>
        </w:rPr>
        <w:t xml:space="preserve"> (n=12).</w:t>
      </w:r>
    </w:p>
    <w:p w:rsidR="00A55839" w:rsidRPr="00600475" w:rsidRDefault="00A55839" w:rsidP="00BE5ED7">
      <w:pPr>
        <w:autoSpaceDE w:val="0"/>
        <w:autoSpaceDN w:val="0"/>
        <w:adjustRightInd w:val="0"/>
        <w:ind w:right="-694"/>
        <w:rPr>
          <w:color w:val="000000"/>
        </w:rPr>
      </w:pPr>
    </w:p>
    <w:p w:rsidR="00BE5ED7" w:rsidRPr="00600475" w:rsidRDefault="00BE5ED7" w:rsidP="00BE5ED7">
      <w:pPr>
        <w:autoSpaceDE w:val="0"/>
        <w:autoSpaceDN w:val="0"/>
        <w:adjustRightInd w:val="0"/>
        <w:ind w:right="-694"/>
        <w:rPr>
          <w:color w:val="000000"/>
        </w:rPr>
      </w:pPr>
      <w:r w:rsidRPr="00600475">
        <w:rPr>
          <w:color w:val="000000"/>
        </w:rPr>
        <w:t>The primary efficacy endpoint was response rate (complete response, complete response unconfirmed</w:t>
      </w:r>
      <w:r>
        <w:rPr>
          <w:color w:val="000000"/>
        </w:rPr>
        <w:t xml:space="preserve"> </w:t>
      </w:r>
      <w:r w:rsidRPr="00600475">
        <w:rPr>
          <w:color w:val="000000"/>
        </w:rPr>
        <w:t>and partial response) as assessed by independent central review using International Workshop Criteria</w:t>
      </w:r>
      <w:r>
        <w:rPr>
          <w:color w:val="000000"/>
        </w:rPr>
        <w:t xml:space="preserve"> </w:t>
      </w:r>
      <w:r w:rsidRPr="00600475">
        <w:rPr>
          <w:color w:val="000000"/>
        </w:rPr>
        <w:t xml:space="preserve">(IWC). </w:t>
      </w:r>
      <w:r w:rsidR="007013F5">
        <w:rPr>
          <w:color w:val="000000"/>
        </w:rPr>
        <w:t xml:space="preserve"> </w:t>
      </w:r>
      <w:r w:rsidRPr="00600475">
        <w:rPr>
          <w:color w:val="000000"/>
        </w:rPr>
        <w:t>Response assessments were</w:t>
      </w:r>
      <w:r>
        <w:rPr>
          <w:color w:val="000000"/>
        </w:rPr>
        <w:t xml:space="preserve"> </w:t>
      </w:r>
      <w:r w:rsidRPr="00600475">
        <w:rPr>
          <w:color w:val="000000"/>
        </w:rPr>
        <w:t xml:space="preserve">scheduled at the end of cycle 1 and then every other cycle (every 14 weeks). </w:t>
      </w:r>
      <w:r w:rsidR="007013F5">
        <w:rPr>
          <w:color w:val="000000"/>
        </w:rPr>
        <w:t xml:space="preserve"> </w:t>
      </w:r>
      <w:r w:rsidRPr="00600475">
        <w:rPr>
          <w:color w:val="000000"/>
        </w:rPr>
        <w:t>Duration of response</w:t>
      </w:r>
      <w:r>
        <w:rPr>
          <w:color w:val="000000"/>
        </w:rPr>
        <w:t xml:space="preserve"> </w:t>
      </w:r>
      <w:r w:rsidRPr="00600475">
        <w:rPr>
          <w:color w:val="000000"/>
        </w:rPr>
        <w:t>was</w:t>
      </w:r>
      <w:r w:rsidR="00820AB5">
        <w:rPr>
          <w:color w:val="000000"/>
        </w:rPr>
        <w:t xml:space="preserve"> measured from the first day of </w:t>
      </w:r>
      <w:r w:rsidRPr="00600475">
        <w:rPr>
          <w:color w:val="000000"/>
        </w:rPr>
        <w:t xml:space="preserve">documented response to disease progression or death. </w:t>
      </w:r>
      <w:r w:rsidR="007013F5">
        <w:rPr>
          <w:color w:val="000000"/>
        </w:rPr>
        <w:t xml:space="preserve"> </w:t>
      </w:r>
      <w:r w:rsidRPr="00600475">
        <w:rPr>
          <w:color w:val="000000"/>
        </w:rPr>
        <w:t>Response</w:t>
      </w:r>
      <w:r>
        <w:rPr>
          <w:color w:val="000000"/>
        </w:rPr>
        <w:t xml:space="preserve"> </w:t>
      </w:r>
      <w:r w:rsidRPr="00600475">
        <w:rPr>
          <w:color w:val="000000"/>
        </w:rPr>
        <w:t>and disease progression were evaluated by independent central review using the IWC and by the local</w:t>
      </w:r>
      <w:r>
        <w:rPr>
          <w:color w:val="000000"/>
        </w:rPr>
        <w:t xml:space="preserve"> </w:t>
      </w:r>
      <w:r w:rsidRPr="00600475">
        <w:rPr>
          <w:color w:val="000000"/>
        </w:rPr>
        <w:t>investigators.</w:t>
      </w:r>
      <w:r w:rsidR="0025415B">
        <w:rPr>
          <w:color w:val="000000"/>
        </w:rPr>
        <w:t xml:space="preserve"> </w:t>
      </w:r>
      <w:r w:rsidRPr="00600475">
        <w:rPr>
          <w:color w:val="000000"/>
        </w:rPr>
        <w:t xml:space="preserve"> Overall survival and progression-free survival was estimated by the Kaplan-Meier</w:t>
      </w:r>
      <w:r>
        <w:rPr>
          <w:color w:val="000000"/>
        </w:rPr>
        <w:t xml:space="preserve"> </w:t>
      </w:r>
      <w:r w:rsidRPr="00600475">
        <w:rPr>
          <w:color w:val="000000"/>
        </w:rPr>
        <w:t>method.</w:t>
      </w:r>
    </w:p>
    <w:p w:rsidR="00BE5ED7" w:rsidRDefault="00BE5ED7" w:rsidP="00BE5ED7">
      <w:pPr>
        <w:autoSpaceDE w:val="0"/>
        <w:autoSpaceDN w:val="0"/>
        <w:adjustRightInd w:val="0"/>
        <w:ind w:right="-694"/>
        <w:rPr>
          <w:color w:val="000000"/>
        </w:rPr>
      </w:pPr>
    </w:p>
    <w:p w:rsidR="00BE5ED7" w:rsidRPr="00600475" w:rsidRDefault="00BE5ED7" w:rsidP="00BE5ED7">
      <w:pPr>
        <w:autoSpaceDE w:val="0"/>
        <w:autoSpaceDN w:val="0"/>
        <w:adjustRightInd w:val="0"/>
        <w:ind w:right="-694"/>
        <w:rPr>
          <w:color w:val="000000"/>
        </w:rPr>
      </w:pPr>
      <w:r w:rsidRPr="00600475">
        <w:rPr>
          <w:color w:val="000000"/>
        </w:rPr>
        <w:t>The median age of treated patients was 59.0 years (range 21-85); 68% were male and 32% were</w:t>
      </w:r>
      <w:r>
        <w:rPr>
          <w:color w:val="000000"/>
        </w:rPr>
        <w:t xml:space="preserve"> </w:t>
      </w:r>
      <w:r w:rsidRPr="00600475">
        <w:rPr>
          <w:color w:val="000000"/>
        </w:rPr>
        <w:t xml:space="preserve">female. </w:t>
      </w:r>
      <w:r w:rsidR="007013F5">
        <w:rPr>
          <w:color w:val="000000"/>
        </w:rPr>
        <w:t xml:space="preserve"> </w:t>
      </w:r>
      <w:r w:rsidRPr="00600475">
        <w:rPr>
          <w:color w:val="000000"/>
        </w:rPr>
        <w:t>Patients had an Eastern Cooperative Oncology Group (ECOG) performance status at study</w:t>
      </w:r>
      <w:r>
        <w:rPr>
          <w:color w:val="000000"/>
        </w:rPr>
        <w:t xml:space="preserve"> </w:t>
      </w:r>
      <w:r w:rsidRPr="00600475">
        <w:rPr>
          <w:color w:val="000000"/>
        </w:rPr>
        <w:t xml:space="preserve">entry of 0 (39%), 1 (44%), or 2 (17%). </w:t>
      </w:r>
      <w:r w:rsidR="007013F5">
        <w:rPr>
          <w:color w:val="000000"/>
        </w:rPr>
        <w:t xml:space="preserve"> </w:t>
      </w:r>
      <w:r w:rsidRPr="00600475">
        <w:rPr>
          <w:color w:val="000000"/>
        </w:rPr>
        <w:t>The median time from initial diagnosis to study entry was</w:t>
      </w:r>
      <w:r>
        <w:rPr>
          <w:color w:val="000000"/>
        </w:rPr>
        <w:t xml:space="preserve"> </w:t>
      </w:r>
      <w:r w:rsidRPr="00600475">
        <w:rPr>
          <w:color w:val="000000"/>
        </w:rPr>
        <w:t>15.6 months (range 0.8 – 322.3).</w:t>
      </w:r>
    </w:p>
    <w:p w:rsidR="00BE5ED7" w:rsidRPr="00600475" w:rsidRDefault="00BE5ED7" w:rsidP="00BE5ED7">
      <w:pPr>
        <w:autoSpaceDE w:val="0"/>
        <w:autoSpaceDN w:val="0"/>
        <w:adjustRightInd w:val="0"/>
        <w:ind w:right="-694"/>
        <w:rPr>
          <w:color w:val="000000"/>
        </w:rPr>
      </w:pPr>
    </w:p>
    <w:p w:rsidR="00BE5ED7" w:rsidRDefault="00BE5ED7" w:rsidP="00BE5ED7">
      <w:pPr>
        <w:autoSpaceDE w:val="0"/>
        <w:autoSpaceDN w:val="0"/>
        <w:adjustRightInd w:val="0"/>
        <w:ind w:right="-694"/>
        <w:rPr>
          <w:color w:val="000000"/>
        </w:rPr>
      </w:pPr>
      <w:r w:rsidRPr="00600475">
        <w:rPr>
          <w:color w:val="000000"/>
        </w:rPr>
        <w:t>The median number of prior systemic therapies was 3 (range 1-12).</w:t>
      </w:r>
      <w:r w:rsidR="002A2A95">
        <w:rPr>
          <w:color w:val="000000"/>
        </w:rPr>
        <w:t xml:space="preserve">  </w:t>
      </w:r>
      <w:r w:rsidRPr="00600475">
        <w:rPr>
          <w:color w:val="000000"/>
        </w:rPr>
        <w:t xml:space="preserve">In all </w:t>
      </w:r>
      <w:r w:rsidR="0025415B">
        <w:rPr>
          <w:color w:val="000000"/>
        </w:rPr>
        <w:t xml:space="preserve">treated </w:t>
      </w:r>
      <w:r w:rsidRPr="00600475">
        <w:rPr>
          <w:color w:val="000000"/>
        </w:rPr>
        <w:t>evaluable patients (n = 109)</w:t>
      </w:r>
      <w:r w:rsidR="0025415B">
        <w:rPr>
          <w:color w:val="000000"/>
        </w:rPr>
        <w:t xml:space="preserve"> the response rate</w:t>
      </w:r>
      <w:r w:rsidRPr="00600475">
        <w:rPr>
          <w:color w:val="000000"/>
        </w:rPr>
        <w:t xml:space="preserve"> was 29% (n = 32)</w:t>
      </w:r>
      <w:r w:rsidR="0025415B">
        <w:rPr>
          <w:color w:val="000000"/>
        </w:rPr>
        <w:t>,</w:t>
      </w:r>
      <w:r w:rsidRPr="00600475">
        <w:rPr>
          <w:color w:val="000000"/>
        </w:rPr>
        <w:t xml:space="preserve"> with 12 of these patients achieving a</w:t>
      </w:r>
      <w:r>
        <w:rPr>
          <w:color w:val="000000"/>
        </w:rPr>
        <w:t xml:space="preserve"> </w:t>
      </w:r>
      <w:r w:rsidRPr="00600475">
        <w:rPr>
          <w:color w:val="000000"/>
        </w:rPr>
        <w:t>complete response</w:t>
      </w:r>
      <w:r w:rsidR="0025415B">
        <w:rPr>
          <w:color w:val="000000"/>
        </w:rPr>
        <w:t>,</w:t>
      </w:r>
      <w:r w:rsidR="0025415B" w:rsidRPr="0025415B">
        <w:rPr>
          <w:color w:val="000000"/>
        </w:rPr>
        <w:t xml:space="preserve"> </w:t>
      </w:r>
      <w:r w:rsidR="0025415B" w:rsidRPr="00600475">
        <w:rPr>
          <w:color w:val="000000"/>
        </w:rPr>
        <w:t>as determined by</w:t>
      </w:r>
      <w:r w:rsidR="0025415B">
        <w:rPr>
          <w:color w:val="000000"/>
        </w:rPr>
        <w:t xml:space="preserve"> </w:t>
      </w:r>
      <w:r w:rsidR="0025415B" w:rsidRPr="00600475">
        <w:rPr>
          <w:color w:val="000000"/>
        </w:rPr>
        <w:t>independent central review using IWC</w:t>
      </w:r>
      <w:r w:rsidRPr="00600475">
        <w:rPr>
          <w:color w:val="000000"/>
        </w:rPr>
        <w:t>.</w:t>
      </w:r>
    </w:p>
    <w:p w:rsidR="00E90140" w:rsidRPr="00600475" w:rsidRDefault="00E90140" w:rsidP="00BE5ED7">
      <w:pPr>
        <w:autoSpaceDE w:val="0"/>
        <w:autoSpaceDN w:val="0"/>
        <w:adjustRightInd w:val="0"/>
        <w:ind w:right="-694"/>
        <w:rPr>
          <w:color w:val="000000"/>
        </w:rPr>
      </w:pPr>
    </w:p>
    <w:p w:rsidR="004F054C" w:rsidRPr="00600475" w:rsidRDefault="00314B6B" w:rsidP="00BE5ED7">
      <w:pPr>
        <w:autoSpaceDE w:val="0"/>
        <w:autoSpaceDN w:val="0"/>
        <w:adjustRightInd w:val="0"/>
        <w:ind w:right="-694"/>
        <w:rPr>
          <w:b/>
          <w:bCs/>
          <w:color w:val="000000"/>
        </w:rPr>
      </w:pPr>
      <w:r>
        <w:rPr>
          <w:b/>
          <w:bCs/>
          <w:color w:val="000000"/>
        </w:rPr>
        <w:t>Table</w:t>
      </w:r>
      <w:r w:rsidR="00124182">
        <w:rPr>
          <w:b/>
          <w:bCs/>
          <w:color w:val="000000"/>
        </w:rPr>
        <w:t xml:space="preserve"> 1</w:t>
      </w:r>
      <w:r>
        <w:rPr>
          <w:b/>
          <w:bCs/>
          <w:color w:val="000000"/>
        </w:rPr>
        <w:t xml:space="preserve">: </w:t>
      </w:r>
      <w:r w:rsidR="00BE5ED7" w:rsidRPr="00600475">
        <w:rPr>
          <w:b/>
          <w:bCs/>
          <w:color w:val="000000"/>
        </w:rPr>
        <w:t>Respo</w:t>
      </w:r>
      <w:r w:rsidR="0036239F">
        <w:rPr>
          <w:b/>
          <w:bCs/>
          <w:color w:val="000000"/>
        </w:rPr>
        <w:t>nse a</w:t>
      </w:r>
      <w:r w:rsidR="00BE5ED7" w:rsidRPr="00600475">
        <w:rPr>
          <w:b/>
          <w:bCs/>
          <w:color w:val="000000"/>
        </w:rPr>
        <w:t>nalysis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080"/>
        <w:gridCol w:w="180"/>
        <w:gridCol w:w="1260"/>
        <w:gridCol w:w="1980"/>
        <w:gridCol w:w="2880"/>
      </w:tblGrid>
      <w:tr w:rsidR="00BE5ED7" w:rsidRPr="005554C6">
        <w:tc>
          <w:tcPr>
            <w:tcW w:w="1728" w:type="dxa"/>
            <w:shd w:val="clear" w:color="auto" w:fill="auto"/>
          </w:tcPr>
          <w:p w:rsidR="00BE5ED7" w:rsidRPr="005554C6" w:rsidRDefault="00BE5ED7" w:rsidP="005554C6">
            <w:pPr>
              <w:autoSpaceDE w:val="0"/>
              <w:autoSpaceDN w:val="0"/>
              <w:adjustRightInd w:val="0"/>
              <w:ind w:right="-694"/>
              <w:rPr>
                <w:b/>
                <w:bCs/>
                <w:color w:val="000000"/>
              </w:rPr>
            </w:pPr>
          </w:p>
        </w:tc>
        <w:tc>
          <w:tcPr>
            <w:tcW w:w="7380" w:type="dxa"/>
            <w:gridSpan w:val="5"/>
            <w:shd w:val="clear" w:color="auto" w:fill="auto"/>
          </w:tcPr>
          <w:p w:rsidR="00BE5ED7" w:rsidRPr="005554C6" w:rsidRDefault="0036239F" w:rsidP="00D36B42">
            <w:pPr>
              <w:autoSpaceDE w:val="0"/>
              <w:autoSpaceDN w:val="0"/>
              <w:adjustRightInd w:val="0"/>
              <w:ind w:right="-694"/>
              <w:jc w:val="center"/>
              <w:rPr>
                <w:b/>
                <w:bCs/>
                <w:color w:val="000000"/>
              </w:rPr>
            </w:pPr>
            <w:r w:rsidRPr="005554C6">
              <w:rPr>
                <w:b/>
                <w:bCs/>
                <w:color w:val="000000"/>
              </w:rPr>
              <w:t>Evaluable p</w:t>
            </w:r>
            <w:r w:rsidR="00BE5ED7" w:rsidRPr="005554C6">
              <w:rPr>
                <w:b/>
                <w:bCs/>
                <w:color w:val="000000"/>
              </w:rPr>
              <w:t>atients (N=109)</w:t>
            </w:r>
          </w:p>
        </w:tc>
      </w:tr>
      <w:tr w:rsidR="00BE5ED7" w:rsidRPr="005554C6">
        <w:tc>
          <w:tcPr>
            <w:tcW w:w="1728" w:type="dxa"/>
            <w:shd w:val="clear" w:color="auto" w:fill="auto"/>
          </w:tcPr>
          <w:p w:rsidR="00BE5ED7" w:rsidRPr="005554C6" w:rsidRDefault="00BE5ED7" w:rsidP="005554C6">
            <w:pPr>
              <w:autoSpaceDE w:val="0"/>
              <w:autoSpaceDN w:val="0"/>
              <w:adjustRightInd w:val="0"/>
              <w:ind w:right="-694"/>
              <w:rPr>
                <w:b/>
                <w:bCs/>
                <w:color w:val="000000"/>
              </w:rPr>
            </w:pPr>
          </w:p>
        </w:tc>
        <w:tc>
          <w:tcPr>
            <w:tcW w:w="1260" w:type="dxa"/>
            <w:gridSpan w:val="2"/>
            <w:shd w:val="clear" w:color="auto" w:fill="auto"/>
          </w:tcPr>
          <w:p w:rsidR="00BE5ED7" w:rsidRPr="005554C6" w:rsidRDefault="00BE5ED7" w:rsidP="005554C6">
            <w:pPr>
              <w:autoSpaceDE w:val="0"/>
              <w:autoSpaceDN w:val="0"/>
              <w:adjustRightInd w:val="0"/>
              <w:ind w:right="-694"/>
              <w:rPr>
                <w:b/>
                <w:bCs/>
                <w:color w:val="000000"/>
              </w:rPr>
            </w:pPr>
            <w:r w:rsidRPr="005554C6">
              <w:rPr>
                <w:b/>
                <w:bCs/>
                <w:color w:val="000000"/>
              </w:rPr>
              <w:t xml:space="preserve">      N (%)</w:t>
            </w:r>
          </w:p>
        </w:tc>
        <w:tc>
          <w:tcPr>
            <w:tcW w:w="1260" w:type="dxa"/>
            <w:shd w:val="clear" w:color="auto" w:fill="auto"/>
          </w:tcPr>
          <w:p w:rsidR="00BE5ED7" w:rsidRPr="005554C6" w:rsidRDefault="00BE5ED7" w:rsidP="005554C6">
            <w:pPr>
              <w:autoSpaceDE w:val="0"/>
              <w:autoSpaceDN w:val="0"/>
              <w:adjustRightInd w:val="0"/>
              <w:ind w:right="-694"/>
              <w:rPr>
                <w:b/>
                <w:bCs/>
                <w:color w:val="000000"/>
              </w:rPr>
            </w:pPr>
            <w:r w:rsidRPr="005554C6">
              <w:rPr>
                <w:b/>
                <w:bCs/>
                <w:color w:val="000000"/>
              </w:rPr>
              <w:t xml:space="preserve">  95% CI</w:t>
            </w:r>
          </w:p>
          <w:p w:rsidR="00BE5ED7" w:rsidRPr="005554C6" w:rsidRDefault="00BE5ED7" w:rsidP="005554C6">
            <w:pPr>
              <w:autoSpaceDE w:val="0"/>
              <w:autoSpaceDN w:val="0"/>
              <w:adjustRightInd w:val="0"/>
              <w:ind w:right="-694"/>
              <w:jc w:val="center"/>
              <w:rPr>
                <w:b/>
                <w:bCs/>
                <w:color w:val="000000"/>
              </w:rPr>
            </w:pPr>
          </w:p>
        </w:tc>
        <w:tc>
          <w:tcPr>
            <w:tcW w:w="1980" w:type="dxa"/>
            <w:shd w:val="clear" w:color="auto" w:fill="auto"/>
          </w:tcPr>
          <w:p w:rsidR="00BE5ED7" w:rsidRPr="005554C6" w:rsidRDefault="00BE5ED7" w:rsidP="005554C6">
            <w:pPr>
              <w:autoSpaceDE w:val="0"/>
              <w:autoSpaceDN w:val="0"/>
              <w:adjustRightInd w:val="0"/>
              <w:ind w:right="-694"/>
              <w:rPr>
                <w:b/>
                <w:bCs/>
                <w:color w:val="000000"/>
              </w:rPr>
            </w:pPr>
            <w:r w:rsidRPr="005554C6">
              <w:rPr>
                <w:b/>
                <w:bCs/>
                <w:color w:val="000000"/>
              </w:rPr>
              <w:t xml:space="preserve"> Median duration</w:t>
            </w:r>
          </w:p>
          <w:p w:rsidR="00BE5ED7" w:rsidRPr="005554C6" w:rsidRDefault="00BE5ED7" w:rsidP="005554C6">
            <w:pPr>
              <w:autoSpaceDE w:val="0"/>
              <w:autoSpaceDN w:val="0"/>
              <w:adjustRightInd w:val="0"/>
              <w:ind w:right="-694"/>
              <w:rPr>
                <w:b/>
                <w:bCs/>
                <w:color w:val="000000"/>
              </w:rPr>
            </w:pPr>
            <w:r w:rsidRPr="005554C6">
              <w:rPr>
                <w:b/>
                <w:bCs/>
                <w:color w:val="000000"/>
              </w:rPr>
              <w:t xml:space="preserve"> </w:t>
            </w:r>
            <w:r w:rsidR="00666ABE">
              <w:rPr>
                <w:b/>
                <w:bCs/>
                <w:color w:val="000000"/>
              </w:rPr>
              <w:t xml:space="preserve">    </w:t>
            </w:r>
            <w:r w:rsidRPr="005554C6">
              <w:rPr>
                <w:b/>
                <w:bCs/>
                <w:color w:val="000000"/>
              </w:rPr>
              <w:t>of response</w:t>
            </w:r>
          </w:p>
        </w:tc>
        <w:tc>
          <w:tcPr>
            <w:tcW w:w="2880" w:type="dxa"/>
            <w:shd w:val="clear" w:color="auto" w:fill="auto"/>
          </w:tcPr>
          <w:p w:rsidR="00BE5ED7" w:rsidRPr="005554C6" w:rsidRDefault="00BE5ED7" w:rsidP="005554C6">
            <w:pPr>
              <w:autoSpaceDE w:val="0"/>
              <w:autoSpaceDN w:val="0"/>
              <w:adjustRightInd w:val="0"/>
              <w:ind w:right="-694"/>
              <w:rPr>
                <w:b/>
                <w:bCs/>
                <w:color w:val="000000"/>
              </w:rPr>
            </w:pPr>
            <w:r w:rsidRPr="005554C6">
              <w:rPr>
                <w:b/>
                <w:bCs/>
                <w:color w:val="000000"/>
              </w:rPr>
              <w:t xml:space="preserve">             95% CI</w:t>
            </w:r>
          </w:p>
          <w:p w:rsidR="00BE5ED7" w:rsidRPr="005554C6" w:rsidRDefault="00BE5ED7" w:rsidP="005554C6">
            <w:pPr>
              <w:autoSpaceDE w:val="0"/>
              <w:autoSpaceDN w:val="0"/>
              <w:adjustRightInd w:val="0"/>
              <w:ind w:right="-694"/>
              <w:jc w:val="center"/>
              <w:rPr>
                <w:b/>
                <w:bCs/>
                <w:color w:val="000000"/>
              </w:rPr>
            </w:pPr>
          </w:p>
        </w:tc>
      </w:tr>
      <w:tr w:rsidR="00BE5ED7" w:rsidRPr="005554C6">
        <w:tc>
          <w:tcPr>
            <w:tcW w:w="9108" w:type="dxa"/>
            <w:gridSpan w:val="6"/>
            <w:shd w:val="clear" w:color="auto" w:fill="auto"/>
          </w:tcPr>
          <w:p w:rsidR="00BE5ED7" w:rsidRPr="005554C6" w:rsidRDefault="008B6252" w:rsidP="008B6252">
            <w:pPr>
              <w:autoSpaceDE w:val="0"/>
              <w:autoSpaceDN w:val="0"/>
              <w:adjustRightInd w:val="0"/>
              <w:ind w:right="-694"/>
              <w:rPr>
                <w:color w:val="000000"/>
              </w:rPr>
            </w:pPr>
            <w:r>
              <w:rPr>
                <w:b/>
                <w:bCs/>
                <w:color w:val="000000"/>
              </w:rPr>
              <w:t xml:space="preserve">Primary assessment: </w:t>
            </w:r>
            <w:r w:rsidR="00BE5ED7" w:rsidRPr="005554C6">
              <w:rPr>
                <w:b/>
                <w:bCs/>
                <w:color w:val="000000"/>
              </w:rPr>
              <w:t xml:space="preserve">Overall </w:t>
            </w:r>
            <w:r w:rsidR="0036239F" w:rsidRPr="005554C6">
              <w:rPr>
                <w:b/>
                <w:bCs/>
                <w:color w:val="000000"/>
              </w:rPr>
              <w:t>r</w:t>
            </w:r>
            <w:r w:rsidR="00BE5ED7" w:rsidRPr="005554C6">
              <w:rPr>
                <w:b/>
                <w:bCs/>
                <w:color w:val="000000"/>
              </w:rPr>
              <w:t>esponse</w:t>
            </w:r>
            <w:r w:rsidR="00BE5ED7" w:rsidRPr="00D36B42">
              <w:rPr>
                <w:bCs/>
                <w:color w:val="000000"/>
              </w:rPr>
              <w:t xml:space="preserve"> </w:t>
            </w:r>
            <w:r w:rsidR="0036239F" w:rsidRPr="00523BA4">
              <w:rPr>
                <w:b/>
                <w:color w:val="000000"/>
              </w:rPr>
              <w:t>per independent c</w:t>
            </w:r>
            <w:r w:rsidR="00BE5ED7" w:rsidRPr="00523BA4">
              <w:rPr>
                <w:b/>
                <w:color w:val="000000"/>
              </w:rPr>
              <w:t xml:space="preserve">entral </w:t>
            </w:r>
            <w:r w:rsidR="0036239F" w:rsidRPr="00523BA4">
              <w:rPr>
                <w:b/>
                <w:color w:val="000000"/>
              </w:rPr>
              <w:t>r</w:t>
            </w:r>
            <w:r w:rsidR="00BE5ED7" w:rsidRPr="00523BA4">
              <w:rPr>
                <w:b/>
                <w:color w:val="000000"/>
              </w:rPr>
              <w:t>eview</w:t>
            </w:r>
            <w:r w:rsidR="0036239F" w:rsidRPr="00523BA4">
              <w:rPr>
                <w:b/>
                <w:color w:val="000000"/>
              </w:rPr>
              <w:t xml:space="preserve"> </w:t>
            </w:r>
            <w:r w:rsidR="00417597" w:rsidRPr="00523BA4">
              <w:rPr>
                <w:b/>
                <w:color w:val="000000"/>
              </w:rPr>
              <w:t>(IWC)</w:t>
            </w:r>
            <w:r w:rsidR="00056780">
              <w:rPr>
                <w:color w:val="000000"/>
              </w:rPr>
              <w:t xml:space="preserve"> </w:t>
            </w:r>
          </w:p>
        </w:tc>
      </w:tr>
      <w:tr w:rsidR="00BE5ED7" w:rsidRPr="005554C6">
        <w:tc>
          <w:tcPr>
            <w:tcW w:w="1728" w:type="dxa"/>
            <w:shd w:val="clear" w:color="auto" w:fill="auto"/>
          </w:tcPr>
          <w:p w:rsidR="00BE5ED7" w:rsidRPr="005554C6" w:rsidRDefault="00BE5ED7" w:rsidP="005554C6">
            <w:pPr>
              <w:autoSpaceDE w:val="0"/>
              <w:autoSpaceDN w:val="0"/>
              <w:adjustRightInd w:val="0"/>
              <w:ind w:right="-694"/>
              <w:rPr>
                <w:b/>
                <w:bCs/>
                <w:color w:val="000000"/>
              </w:rPr>
            </w:pPr>
            <w:proofErr w:type="spellStart"/>
            <w:r w:rsidRPr="005554C6">
              <w:rPr>
                <w:color w:val="000000"/>
              </w:rPr>
              <w:t>CR+CRu+PR</w:t>
            </w:r>
            <w:proofErr w:type="spellEnd"/>
          </w:p>
        </w:tc>
        <w:tc>
          <w:tcPr>
            <w:tcW w:w="1080" w:type="dxa"/>
            <w:shd w:val="clear" w:color="auto" w:fill="auto"/>
          </w:tcPr>
          <w:p w:rsidR="00BE5ED7" w:rsidRPr="005554C6" w:rsidRDefault="00BE5ED7" w:rsidP="005554C6">
            <w:pPr>
              <w:autoSpaceDE w:val="0"/>
              <w:autoSpaceDN w:val="0"/>
              <w:adjustRightInd w:val="0"/>
              <w:ind w:right="-694"/>
              <w:rPr>
                <w:b/>
                <w:bCs/>
                <w:color w:val="000000"/>
              </w:rPr>
            </w:pPr>
            <w:r w:rsidRPr="005554C6">
              <w:rPr>
                <w:color w:val="000000"/>
              </w:rPr>
              <w:t>32 (29)</w:t>
            </w:r>
          </w:p>
        </w:tc>
        <w:tc>
          <w:tcPr>
            <w:tcW w:w="1440" w:type="dxa"/>
            <w:gridSpan w:val="2"/>
            <w:shd w:val="clear" w:color="auto" w:fill="auto"/>
          </w:tcPr>
          <w:p w:rsidR="00BE5ED7" w:rsidRPr="005554C6" w:rsidRDefault="00BE5ED7" w:rsidP="00C677CB">
            <w:pPr>
              <w:autoSpaceDE w:val="0"/>
              <w:autoSpaceDN w:val="0"/>
              <w:adjustRightInd w:val="0"/>
              <w:ind w:right="-694"/>
              <w:rPr>
                <w:b/>
                <w:bCs/>
                <w:color w:val="000000"/>
              </w:rPr>
            </w:pPr>
            <w:r w:rsidRPr="005554C6">
              <w:rPr>
                <w:color w:val="000000"/>
              </w:rPr>
              <w:t>21</w:t>
            </w:r>
            <w:r w:rsidR="0049358A">
              <w:rPr>
                <w:color w:val="000000"/>
              </w:rPr>
              <w:t>,</w:t>
            </w:r>
            <w:r w:rsidR="00C677CB">
              <w:rPr>
                <w:color w:val="000000"/>
              </w:rPr>
              <w:t xml:space="preserve"> </w:t>
            </w:r>
            <w:r w:rsidRPr="005554C6">
              <w:rPr>
                <w:color w:val="000000"/>
              </w:rPr>
              <w:t>39</w:t>
            </w:r>
          </w:p>
        </w:tc>
        <w:tc>
          <w:tcPr>
            <w:tcW w:w="1980" w:type="dxa"/>
            <w:shd w:val="clear" w:color="auto" w:fill="auto"/>
          </w:tcPr>
          <w:p w:rsidR="00BE5ED7" w:rsidRPr="005554C6" w:rsidRDefault="00BE5ED7" w:rsidP="005554C6">
            <w:pPr>
              <w:autoSpaceDE w:val="0"/>
              <w:autoSpaceDN w:val="0"/>
              <w:adjustRightInd w:val="0"/>
              <w:ind w:right="-694"/>
              <w:rPr>
                <w:b/>
                <w:bCs/>
                <w:color w:val="000000"/>
              </w:rPr>
            </w:pPr>
            <w:r w:rsidRPr="005554C6">
              <w:rPr>
                <w:color w:val="000000"/>
              </w:rPr>
              <w:t>10.1 months</w:t>
            </w:r>
          </w:p>
        </w:tc>
        <w:tc>
          <w:tcPr>
            <w:tcW w:w="2880" w:type="dxa"/>
            <w:shd w:val="clear" w:color="auto" w:fill="auto"/>
          </w:tcPr>
          <w:p w:rsidR="00BE5ED7" w:rsidRPr="005554C6" w:rsidRDefault="00BE5ED7" w:rsidP="005554C6">
            <w:pPr>
              <w:autoSpaceDE w:val="0"/>
              <w:autoSpaceDN w:val="0"/>
              <w:adjustRightInd w:val="0"/>
              <w:ind w:right="-694"/>
              <w:rPr>
                <w:b/>
                <w:bCs/>
                <w:color w:val="000000"/>
              </w:rPr>
            </w:pPr>
            <w:r w:rsidRPr="005554C6">
              <w:rPr>
                <w:color w:val="000000"/>
              </w:rPr>
              <w:t>3.4 months – not estimable</w:t>
            </w:r>
          </w:p>
        </w:tc>
      </w:tr>
      <w:tr w:rsidR="00BE5ED7" w:rsidRPr="005554C6">
        <w:tc>
          <w:tcPr>
            <w:tcW w:w="1728" w:type="dxa"/>
            <w:shd w:val="clear" w:color="auto" w:fill="auto"/>
          </w:tcPr>
          <w:p w:rsidR="00BE5ED7" w:rsidRPr="005554C6" w:rsidRDefault="00BE5ED7" w:rsidP="005554C6">
            <w:pPr>
              <w:autoSpaceDE w:val="0"/>
              <w:autoSpaceDN w:val="0"/>
              <w:adjustRightInd w:val="0"/>
              <w:ind w:right="-694"/>
              <w:rPr>
                <w:b/>
                <w:bCs/>
                <w:color w:val="000000"/>
              </w:rPr>
            </w:pPr>
            <w:r w:rsidRPr="005554C6">
              <w:rPr>
                <w:color w:val="000000"/>
              </w:rPr>
              <w:t>CR/</w:t>
            </w:r>
            <w:proofErr w:type="spellStart"/>
            <w:r w:rsidRPr="005554C6">
              <w:rPr>
                <w:color w:val="000000"/>
              </w:rPr>
              <w:t>CRu</w:t>
            </w:r>
            <w:proofErr w:type="spellEnd"/>
          </w:p>
        </w:tc>
        <w:tc>
          <w:tcPr>
            <w:tcW w:w="1080" w:type="dxa"/>
            <w:shd w:val="clear" w:color="auto" w:fill="auto"/>
          </w:tcPr>
          <w:p w:rsidR="00BE5ED7" w:rsidRPr="005554C6" w:rsidRDefault="00BE5ED7" w:rsidP="005554C6">
            <w:pPr>
              <w:autoSpaceDE w:val="0"/>
              <w:autoSpaceDN w:val="0"/>
              <w:adjustRightInd w:val="0"/>
              <w:ind w:right="-694"/>
              <w:rPr>
                <w:color w:val="000000"/>
              </w:rPr>
            </w:pPr>
            <w:r w:rsidRPr="005554C6">
              <w:rPr>
                <w:color w:val="000000"/>
              </w:rPr>
              <w:t>12 (11)</w:t>
            </w:r>
          </w:p>
        </w:tc>
        <w:tc>
          <w:tcPr>
            <w:tcW w:w="1440" w:type="dxa"/>
            <w:gridSpan w:val="2"/>
            <w:shd w:val="clear" w:color="auto" w:fill="auto"/>
          </w:tcPr>
          <w:p w:rsidR="00BE5ED7" w:rsidRPr="005554C6" w:rsidRDefault="00BE5ED7" w:rsidP="005554C6">
            <w:pPr>
              <w:autoSpaceDE w:val="0"/>
              <w:autoSpaceDN w:val="0"/>
              <w:adjustRightInd w:val="0"/>
              <w:ind w:right="-694"/>
              <w:rPr>
                <w:b/>
                <w:bCs/>
                <w:color w:val="000000"/>
              </w:rPr>
            </w:pPr>
          </w:p>
        </w:tc>
        <w:tc>
          <w:tcPr>
            <w:tcW w:w="1980" w:type="dxa"/>
            <w:shd w:val="clear" w:color="auto" w:fill="auto"/>
          </w:tcPr>
          <w:p w:rsidR="00BE5ED7" w:rsidRPr="005554C6" w:rsidRDefault="00BE5ED7" w:rsidP="005554C6">
            <w:pPr>
              <w:autoSpaceDE w:val="0"/>
              <w:autoSpaceDN w:val="0"/>
              <w:adjustRightInd w:val="0"/>
              <w:ind w:right="-694"/>
              <w:rPr>
                <w:b/>
                <w:bCs/>
                <w:color w:val="000000"/>
              </w:rPr>
            </w:pPr>
          </w:p>
        </w:tc>
        <w:tc>
          <w:tcPr>
            <w:tcW w:w="2880" w:type="dxa"/>
            <w:shd w:val="clear" w:color="auto" w:fill="auto"/>
          </w:tcPr>
          <w:p w:rsidR="00BE5ED7" w:rsidRPr="005554C6" w:rsidRDefault="00BE5ED7" w:rsidP="005554C6">
            <w:pPr>
              <w:autoSpaceDE w:val="0"/>
              <w:autoSpaceDN w:val="0"/>
              <w:adjustRightInd w:val="0"/>
              <w:ind w:right="-694"/>
              <w:rPr>
                <w:b/>
                <w:bCs/>
                <w:color w:val="000000"/>
              </w:rPr>
            </w:pPr>
          </w:p>
        </w:tc>
      </w:tr>
      <w:tr w:rsidR="00BE5ED7" w:rsidRPr="005554C6">
        <w:tc>
          <w:tcPr>
            <w:tcW w:w="1728" w:type="dxa"/>
            <w:shd w:val="clear" w:color="auto" w:fill="auto"/>
          </w:tcPr>
          <w:p w:rsidR="00BE5ED7" w:rsidRPr="005554C6" w:rsidRDefault="00BE5ED7" w:rsidP="005554C6">
            <w:pPr>
              <w:autoSpaceDE w:val="0"/>
              <w:autoSpaceDN w:val="0"/>
              <w:adjustRightInd w:val="0"/>
              <w:ind w:right="-694"/>
              <w:rPr>
                <w:b/>
                <w:bCs/>
                <w:color w:val="000000"/>
              </w:rPr>
            </w:pPr>
            <w:r w:rsidRPr="005554C6">
              <w:rPr>
                <w:color w:val="000000"/>
              </w:rPr>
              <w:t xml:space="preserve">PR </w:t>
            </w:r>
          </w:p>
        </w:tc>
        <w:tc>
          <w:tcPr>
            <w:tcW w:w="1080" w:type="dxa"/>
            <w:shd w:val="clear" w:color="auto" w:fill="auto"/>
          </w:tcPr>
          <w:p w:rsidR="00BE5ED7" w:rsidRPr="005554C6" w:rsidRDefault="00BE5ED7" w:rsidP="005554C6">
            <w:pPr>
              <w:autoSpaceDE w:val="0"/>
              <w:autoSpaceDN w:val="0"/>
              <w:adjustRightInd w:val="0"/>
              <w:ind w:right="-694"/>
              <w:rPr>
                <w:color w:val="000000"/>
              </w:rPr>
            </w:pPr>
            <w:r w:rsidRPr="005554C6">
              <w:rPr>
                <w:color w:val="000000"/>
              </w:rPr>
              <w:t>20 (18)</w:t>
            </w:r>
          </w:p>
        </w:tc>
        <w:tc>
          <w:tcPr>
            <w:tcW w:w="1440" w:type="dxa"/>
            <w:gridSpan w:val="2"/>
            <w:shd w:val="clear" w:color="auto" w:fill="auto"/>
          </w:tcPr>
          <w:p w:rsidR="00BE5ED7" w:rsidRPr="005554C6" w:rsidRDefault="00BE5ED7" w:rsidP="005554C6">
            <w:pPr>
              <w:autoSpaceDE w:val="0"/>
              <w:autoSpaceDN w:val="0"/>
              <w:adjustRightInd w:val="0"/>
              <w:ind w:right="-694"/>
              <w:rPr>
                <w:b/>
                <w:bCs/>
                <w:color w:val="000000"/>
              </w:rPr>
            </w:pPr>
          </w:p>
        </w:tc>
        <w:tc>
          <w:tcPr>
            <w:tcW w:w="1980" w:type="dxa"/>
            <w:shd w:val="clear" w:color="auto" w:fill="auto"/>
          </w:tcPr>
          <w:p w:rsidR="00BE5ED7" w:rsidRPr="005554C6" w:rsidRDefault="00BE5ED7" w:rsidP="005554C6">
            <w:pPr>
              <w:autoSpaceDE w:val="0"/>
              <w:autoSpaceDN w:val="0"/>
              <w:adjustRightInd w:val="0"/>
              <w:ind w:right="-694"/>
              <w:rPr>
                <w:b/>
                <w:bCs/>
                <w:color w:val="000000"/>
              </w:rPr>
            </w:pPr>
          </w:p>
        </w:tc>
        <w:tc>
          <w:tcPr>
            <w:tcW w:w="2880" w:type="dxa"/>
            <w:shd w:val="clear" w:color="auto" w:fill="auto"/>
          </w:tcPr>
          <w:p w:rsidR="00BE5ED7" w:rsidRPr="005554C6" w:rsidRDefault="00BE5ED7" w:rsidP="005554C6">
            <w:pPr>
              <w:autoSpaceDE w:val="0"/>
              <w:autoSpaceDN w:val="0"/>
              <w:adjustRightInd w:val="0"/>
              <w:ind w:right="-694"/>
              <w:rPr>
                <w:b/>
                <w:bCs/>
                <w:color w:val="000000"/>
              </w:rPr>
            </w:pPr>
          </w:p>
        </w:tc>
      </w:tr>
      <w:tr w:rsidR="00BE5ED7" w:rsidRPr="005554C6">
        <w:tc>
          <w:tcPr>
            <w:tcW w:w="9108" w:type="dxa"/>
            <w:gridSpan w:val="6"/>
            <w:shd w:val="clear" w:color="auto" w:fill="auto"/>
          </w:tcPr>
          <w:p w:rsidR="00BE5ED7" w:rsidRPr="005554C6" w:rsidRDefault="008B6252" w:rsidP="008B6252">
            <w:pPr>
              <w:autoSpaceDE w:val="0"/>
              <w:autoSpaceDN w:val="0"/>
              <w:adjustRightInd w:val="0"/>
              <w:ind w:right="-694"/>
              <w:rPr>
                <w:color w:val="000000"/>
              </w:rPr>
            </w:pPr>
            <w:r>
              <w:rPr>
                <w:b/>
                <w:bCs/>
                <w:color w:val="000000"/>
              </w:rPr>
              <w:t xml:space="preserve">Secondary assessment: </w:t>
            </w:r>
            <w:r w:rsidR="0036239F" w:rsidRPr="005554C6">
              <w:rPr>
                <w:b/>
                <w:bCs/>
                <w:color w:val="000000"/>
              </w:rPr>
              <w:t>Overall r</w:t>
            </w:r>
            <w:r w:rsidR="00BE5ED7" w:rsidRPr="005554C6">
              <w:rPr>
                <w:b/>
                <w:bCs/>
                <w:color w:val="000000"/>
              </w:rPr>
              <w:t>esponse</w:t>
            </w:r>
            <w:r w:rsidR="00BE5ED7" w:rsidRPr="00D36B42">
              <w:rPr>
                <w:bCs/>
                <w:color w:val="000000"/>
              </w:rPr>
              <w:t xml:space="preserve"> </w:t>
            </w:r>
            <w:r w:rsidR="00BE5ED7" w:rsidRPr="00523BA4">
              <w:rPr>
                <w:b/>
                <w:color w:val="000000"/>
              </w:rPr>
              <w:t xml:space="preserve">per </w:t>
            </w:r>
            <w:r w:rsidR="0036239F" w:rsidRPr="00523BA4">
              <w:rPr>
                <w:b/>
                <w:color w:val="000000"/>
              </w:rPr>
              <w:t>local i</w:t>
            </w:r>
            <w:r w:rsidR="00BE5ED7" w:rsidRPr="00523BA4">
              <w:rPr>
                <w:b/>
                <w:color w:val="000000"/>
              </w:rPr>
              <w:t>nvestigator</w:t>
            </w:r>
          </w:p>
        </w:tc>
      </w:tr>
      <w:tr w:rsidR="00BE5ED7" w:rsidRPr="005554C6">
        <w:tc>
          <w:tcPr>
            <w:tcW w:w="1728" w:type="dxa"/>
            <w:shd w:val="clear" w:color="auto" w:fill="auto"/>
          </w:tcPr>
          <w:p w:rsidR="00BE5ED7" w:rsidRPr="005554C6" w:rsidRDefault="00BE5ED7" w:rsidP="005554C6">
            <w:pPr>
              <w:autoSpaceDE w:val="0"/>
              <w:autoSpaceDN w:val="0"/>
              <w:adjustRightInd w:val="0"/>
              <w:ind w:right="-694"/>
              <w:rPr>
                <w:b/>
                <w:bCs/>
                <w:color w:val="000000"/>
              </w:rPr>
            </w:pPr>
            <w:proofErr w:type="spellStart"/>
            <w:r w:rsidRPr="005554C6">
              <w:rPr>
                <w:color w:val="000000"/>
              </w:rPr>
              <w:t>CR+CRu+PR</w:t>
            </w:r>
            <w:proofErr w:type="spellEnd"/>
          </w:p>
        </w:tc>
        <w:tc>
          <w:tcPr>
            <w:tcW w:w="1080" w:type="dxa"/>
            <w:shd w:val="clear" w:color="auto" w:fill="auto"/>
          </w:tcPr>
          <w:p w:rsidR="00BE5ED7" w:rsidRPr="005554C6" w:rsidRDefault="00BE5ED7" w:rsidP="005554C6">
            <w:pPr>
              <w:autoSpaceDE w:val="0"/>
              <w:autoSpaceDN w:val="0"/>
              <w:adjustRightInd w:val="0"/>
              <w:ind w:right="-694"/>
              <w:rPr>
                <w:b/>
                <w:bCs/>
                <w:color w:val="000000"/>
              </w:rPr>
            </w:pPr>
            <w:r w:rsidRPr="005554C6">
              <w:rPr>
                <w:color w:val="000000"/>
              </w:rPr>
              <w:t>43 (39)</w:t>
            </w:r>
          </w:p>
        </w:tc>
        <w:tc>
          <w:tcPr>
            <w:tcW w:w="1440" w:type="dxa"/>
            <w:gridSpan w:val="2"/>
            <w:shd w:val="clear" w:color="auto" w:fill="auto"/>
          </w:tcPr>
          <w:p w:rsidR="00BE5ED7" w:rsidRPr="005554C6" w:rsidRDefault="00BE5ED7" w:rsidP="00C677CB">
            <w:pPr>
              <w:autoSpaceDE w:val="0"/>
              <w:autoSpaceDN w:val="0"/>
              <w:adjustRightInd w:val="0"/>
              <w:ind w:right="-694"/>
              <w:rPr>
                <w:b/>
                <w:bCs/>
                <w:color w:val="000000"/>
              </w:rPr>
            </w:pPr>
            <w:r w:rsidRPr="005554C6">
              <w:rPr>
                <w:color w:val="000000"/>
              </w:rPr>
              <w:t>30</w:t>
            </w:r>
            <w:r w:rsidR="0049358A">
              <w:rPr>
                <w:color w:val="000000"/>
              </w:rPr>
              <w:t>,</w:t>
            </w:r>
            <w:r w:rsidR="00C677CB">
              <w:rPr>
                <w:color w:val="000000"/>
              </w:rPr>
              <w:t xml:space="preserve"> </w:t>
            </w:r>
            <w:r w:rsidRPr="005554C6">
              <w:rPr>
                <w:color w:val="000000"/>
              </w:rPr>
              <w:t>49</w:t>
            </w:r>
          </w:p>
        </w:tc>
        <w:tc>
          <w:tcPr>
            <w:tcW w:w="1980" w:type="dxa"/>
            <w:shd w:val="clear" w:color="auto" w:fill="auto"/>
          </w:tcPr>
          <w:p w:rsidR="00BE5ED7" w:rsidRPr="005554C6" w:rsidRDefault="00BE5ED7" w:rsidP="005554C6">
            <w:pPr>
              <w:autoSpaceDE w:val="0"/>
              <w:autoSpaceDN w:val="0"/>
              <w:adjustRightInd w:val="0"/>
              <w:ind w:right="-694"/>
              <w:rPr>
                <w:b/>
                <w:bCs/>
                <w:color w:val="000000"/>
              </w:rPr>
            </w:pPr>
            <w:r w:rsidRPr="005554C6">
              <w:rPr>
                <w:color w:val="000000"/>
              </w:rPr>
              <w:t>8.1 months</w:t>
            </w:r>
          </w:p>
        </w:tc>
        <w:tc>
          <w:tcPr>
            <w:tcW w:w="2880" w:type="dxa"/>
            <w:shd w:val="clear" w:color="auto" w:fill="auto"/>
          </w:tcPr>
          <w:p w:rsidR="00BE5ED7" w:rsidRPr="005554C6" w:rsidRDefault="00BE5ED7" w:rsidP="005554C6">
            <w:pPr>
              <w:autoSpaceDE w:val="0"/>
              <w:autoSpaceDN w:val="0"/>
              <w:adjustRightInd w:val="0"/>
              <w:ind w:right="-694"/>
              <w:rPr>
                <w:color w:val="000000"/>
              </w:rPr>
            </w:pPr>
            <w:r w:rsidRPr="005554C6">
              <w:rPr>
                <w:color w:val="000000"/>
              </w:rPr>
              <w:t>5.1 – 12.5 months</w:t>
            </w:r>
          </w:p>
        </w:tc>
      </w:tr>
      <w:tr w:rsidR="00BE5ED7" w:rsidRPr="005554C6">
        <w:tc>
          <w:tcPr>
            <w:tcW w:w="1728" w:type="dxa"/>
            <w:shd w:val="clear" w:color="auto" w:fill="auto"/>
          </w:tcPr>
          <w:p w:rsidR="00BE5ED7" w:rsidRPr="005554C6" w:rsidRDefault="00BE5ED7" w:rsidP="005554C6">
            <w:pPr>
              <w:autoSpaceDE w:val="0"/>
              <w:autoSpaceDN w:val="0"/>
              <w:adjustRightInd w:val="0"/>
              <w:ind w:right="-694"/>
              <w:rPr>
                <w:b/>
                <w:bCs/>
                <w:color w:val="000000"/>
              </w:rPr>
            </w:pPr>
            <w:r w:rsidRPr="005554C6">
              <w:rPr>
                <w:color w:val="000000"/>
              </w:rPr>
              <w:t>CR/</w:t>
            </w:r>
            <w:proofErr w:type="spellStart"/>
            <w:r w:rsidRPr="005554C6">
              <w:rPr>
                <w:color w:val="000000"/>
              </w:rPr>
              <w:t>CRu</w:t>
            </w:r>
            <w:proofErr w:type="spellEnd"/>
          </w:p>
        </w:tc>
        <w:tc>
          <w:tcPr>
            <w:tcW w:w="1080" w:type="dxa"/>
            <w:shd w:val="clear" w:color="auto" w:fill="auto"/>
          </w:tcPr>
          <w:p w:rsidR="00BE5ED7" w:rsidRPr="005554C6" w:rsidRDefault="00BE5ED7" w:rsidP="005554C6">
            <w:pPr>
              <w:autoSpaceDE w:val="0"/>
              <w:autoSpaceDN w:val="0"/>
              <w:adjustRightInd w:val="0"/>
              <w:ind w:right="-694"/>
              <w:rPr>
                <w:color w:val="000000"/>
              </w:rPr>
            </w:pPr>
            <w:r w:rsidRPr="005554C6">
              <w:rPr>
                <w:color w:val="000000"/>
              </w:rPr>
              <w:t>20 (18)</w:t>
            </w:r>
          </w:p>
        </w:tc>
        <w:tc>
          <w:tcPr>
            <w:tcW w:w="1440" w:type="dxa"/>
            <w:gridSpan w:val="2"/>
            <w:shd w:val="clear" w:color="auto" w:fill="auto"/>
          </w:tcPr>
          <w:p w:rsidR="00BE5ED7" w:rsidRPr="005554C6" w:rsidRDefault="00BE5ED7" w:rsidP="005554C6">
            <w:pPr>
              <w:autoSpaceDE w:val="0"/>
              <w:autoSpaceDN w:val="0"/>
              <w:adjustRightInd w:val="0"/>
              <w:ind w:right="-694"/>
              <w:rPr>
                <w:b/>
                <w:bCs/>
                <w:color w:val="000000"/>
              </w:rPr>
            </w:pPr>
          </w:p>
        </w:tc>
        <w:tc>
          <w:tcPr>
            <w:tcW w:w="1980" w:type="dxa"/>
            <w:shd w:val="clear" w:color="auto" w:fill="auto"/>
          </w:tcPr>
          <w:p w:rsidR="00BE5ED7" w:rsidRPr="005554C6" w:rsidRDefault="00BE5ED7" w:rsidP="005554C6">
            <w:pPr>
              <w:autoSpaceDE w:val="0"/>
              <w:autoSpaceDN w:val="0"/>
              <w:adjustRightInd w:val="0"/>
              <w:ind w:right="-694"/>
              <w:rPr>
                <w:b/>
                <w:bCs/>
                <w:color w:val="000000"/>
              </w:rPr>
            </w:pPr>
          </w:p>
        </w:tc>
        <w:tc>
          <w:tcPr>
            <w:tcW w:w="2880" w:type="dxa"/>
            <w:shd w:val="clear" w:color="auto" w:fill="auto"/>
          </w:tcPr>
          <w:p w:rsidR="00BE5ED7" w:rsidRPr="005554C6" w:rsidRDefault="00BE5ED7" w:rsidP="005554C6">
            <w:pPr>
              <w:autoSpaceDE w:val="0"/>
              <w:autoSpaceDN w:val="0"/>
              <w:adjustRightInd w:val="0"/>
              <w:ind w:right="-694"/>
              <w:rPr>
                <w:b/>
                <w:bCs/>
                <w:color w:val="000000"/>
              </w:rPr>
            </w:pPr>
          </w:p>
        </w:tc>
      </w:tr>
      <w:tr w:rsidR="00BE5ED7" w:rsidRPr="005554C6">
        <w:tc>
          <w:tcPr>
            <w:tcW w:w="1728" w:type="dxa"/>
            <w:shd w:val="clear" w:color="auto" w:fill="auto"/>
          </w:tcPr>
          <w:p w:rsidR="00BE5ED7" w:rsidRPr="005554C6" w:rsidRDefault="00BE5ED7" w:rsidP="005554C6">
            <w:pPr>
              <w:autoSpaceDE w:val="0"/>
              <w:autoSpaceDN w:val="0"/>
              <w:adjustRightInd w:val="0"/>
              <w:ind w:right="-694"/>
              <w:rPr>
                <w:b/>
                <w:bCs/>
                <w:color w:val="000000"/>
              </w:rPr>
            </w:pPr>
            <w:r w:rsidRPr="005554C6">
              <w:rPr>
                <w:color w:val="000000"/>
              </w:rPr>
              <w:t>PR</w:t>
            </w:r>
          </w:p>
        </w:tc>
        <w:tc>
          <w:tcPr>
            <w:tcW w:w="1080" w:type="dxa"/>
            <w:shd w:val="clear" w:color="auto" w:fill="auto"/>
          </w:tcPr>
          <w:p w:rsidR="00BE5ED7" w:rsidRPr="005554C6" w:rsidRDefault="00BE5ED7" w:rsidP="005554C6">
            <w:pPr>
              <w:autoSpaceDE w:val="0"/>
              <w:autoSpaceDN w:val="0"/>
              <w:adjustRightInd w:val="0"/>
              <w:ind w:right="-694"/>
              <w:rPr>
                <w:color w:val="000000"/>
              </w:rPr>
            </w:pPr>
            <w:r w:rsidRPr="005554C6">
              <w:rPr>
                <w:color w:val="000000"/>
              </w:rPr>
              <w:t>23 (21)</w:t>
            </w:r>
          </w:p>
        </w:tc>
        <w:tc>
          <w:tcPr>
            <w:tcW w:w="1440" w:type="dxa"/>
            <w:gridSpan w:val="2"/>
            <w:shd w:val="clear" w:color="auto" w:fill="auto"/>
          </w:tcPr>
          <w:p w:rsidR="00BE5ED7" w:rsidRPr="005554C6" w:rsidRDefault="00BE5ED7" w:rsidP="005554C6">
            <w:pPr>
              <w:autoSpaceDE w:val="0"/>
              <w:autoSpaceDN w:val="0"/>
              <w:adjustRightInd w:val="0"/>
              <w:ind w:right="-694"/>
              <w:rPr>
                <w:b/>
                <w:bCs/>
                <w:color w:val="000000"/>
              </w:rPr>
            </w:pPr>
          </w:p>
        </w:tc>
        <w:tc>
          <w:tcPr>
            <w:tcW w:w="1980" w:type="dxa"/>
            <w:shd w:val="clear" w:color="auto" w:fill="auto"/>
          </w:tcPr>
          <w:p w:rsidR="00BE5ED7" w:rsidRPr="005554C6" w:rsidRDefault="00BE5ED7" w:rsidP="005554C6">
            <w:pPr>
              <w:autoSpaceDE w:val="0"/>
              <w:autoSpaceDN w:val="0"/>
              <w:adjustRightInd w:val="0"/>
              <w:ind w:right="-694"/>
              <w:rPr>
                <w:b/>
                <w:bCs/>
                <w:color w:val="000000"/>
              </w:rPr>
            </w:pPr>
          </w:p>
        </w:tc>
        <w:tc>
          <w:tcPr>
            <w:tcW w:w="2880" w:type="dxa"/>
            <w:shd w:val="clear" w:color="auto" w:fill="auto"/>
          </w:tcPr>
          <w:p w:rsidR="00BE5ED7" w:rsidRPr="005554C6" w:rsidRDefault="00BE5ED7" w:rsidP="005554C6">
            <w:pPr>
              <w:autoSpaceDE w:val="0"/>
              <w:autoSpaceDN w:val="0"/>
              <w:adjustRightInd w:val="0"/>
              <w:ind w:right="-694"/>
              <w:rPr>
                <w:b/>
                <w:bCs/>
                <w:color w:val="000000"/>
              </w:rPr>
            </w:pPr>
          </w:p>
        </w:tc>
      </w:tr>
    </w:tbl>
    <w:p w:rsidR="00BE5ED7" w:rsidRPr="00D024F5" w:rsidRDefault="0036239F" w:rsidP="00BE5ED7">
      <w:pPr>
        <w:autoSpaceDE w:val="0"/>
        <w:autoSpaceDN w:val="0"/>
        <w:adjustRightInd w:val="0"/>
        <w:ind w:right="-694"/>
        <w:rPr>
          <w:color w:val="000000"/>
          <w:sz w:val="20"/>
          <w:szCs w:val="20"/>
        </w:rPr>
      </w:pPr>
      <w:r>
        <w:rPr>
          <w:color w:val="000000"/>
          <w:sz w:val="20"/>
          <w:szCs w:val="20"/>
        </w:rPr>
        <w:t>CR = Complete r</w:t>
      </w:r>
      <w:r w:rsidR="00BE5ED7" w:rsidRPr="00D024F5">
        <w:rPr>
          <w:color w:val="000000"/>
          <w:sz w:val="20"/>
          <w:szCs w:val="20"/>
        </w:rPr>
        <w:t xml:space="preserve">esponse, </w:t>
      </w:r>
      <w:proofErr w:type="spellStart"/>
      <w:r w:rsidR="00BE5ED7" w:rsidRPr="00D024F5">
        <w:rPr>
          <w:color w:val="000000"/>
          <w:sz w:val="20"/>
          <w:szCs w:val="20"/>
        </w:rPr>
        <w:t>CRu</w:t>
      </w:r>
      <w:proofErr w:type="spellEnd"/>
      <w:r w:rsidR="00BE5ED7" w:rsidRPr="00D024F5">
        <w:rPr>
          <w:color w:val="000000"/>
          <w:sz w:val="20"/>
          <w:szCs w:val="20"/>
        </w:rPr>
        <w:t xml:space="preserve"> = Complete </w:t>
      </w:r>
      <w:r>
        <w:rPr>
          <w:color w:val="000000"/>
          <w:sz w:val="20"/>
          <w:szCs w:val="20"/>
        </w:rPr>
        <w:t>r</w:t>
      </w:r>
      <w:r w:rsidR="00BE5ED7" w:rsidRPr="00D024F5">
        <w:rPr>
          <w:color w:val="000000"/>
          <w:sz w:val="20"/>
          <w:szCs w:val="20"/>
        </w:rPr>
        <w:t xml:space="preserve">esponse unconfirmed, PR = Partial </w:t>
      </w:r>
      <w:r>
        <w:rPr>
          <w:color w:val="000000"/>
          <w:sz w:val="20"/>
          <w:szCs w:val="20"/>
        </w:rPr>
        <w:t>r</w:t>
      </w:r>
      <w:r w:rsidR="00BE5ED7" w:rsidRPr="00D024F5">
        <w:rPr>
          <w:color w:val="000000"/>
          <w:sz w:val="20"/>
          <w:szCs w:val="20"/>
        </w:rPr>
        <w:t>esponse</w:t>
      </w:r>
    </w:p>
    <w:p w:rsidR="002A2A95" w:rsidRDefault="002A2A95" w:rsidP="00BE5ED7">
      <w:pPr>
        <w:autoSpaceDE w:val="0"/>
        <w:autoSpaceDN w:val="0"/>
        <w:adjustRightInd w:val="0"/>
        <w:ind w:right="-694"/>
        <w:rPr>
          <w:color w:val="000000"/>
        </w:rPr>
      </w:pPr>
    </w:p>
    <w:p w:rsidR="00BE5ED7" w:rsidRPr="00600475" w:rsidRDefault="00BE5ED7" w:rsidP="00BE5ED7">
      <w:pPr>
        <w:autoSpaceDE w:val="0"/>
        <w:autoSpaceDN w:val="0"/>
        <w:adjustRightInd w:val="0"/>
        <w:ind w:right="-694"/>
        <w:rPr>
          <w:color w:val="000000"/>
        </w:rPr>
      </w:pPr>
      <w:r w:rsidRPr="00600475">
        <w:rPr>
          <w:color w:val="000000"/>
        </w:rPr>
        <w:t xml:space="preserve">Of the responders, 63% responded within cycle 1. </w:t>
      </w:r>
      <w:r w:rsidR="007013F5">
        <w:rPr>
          <w:color w:val="000000"/>
        </w:rPr>
        <w:t xml:space="preserve"> </w:t>
      </w:r>
      <w:r w:rsidRPr="00600475">
        <w:rPr>
          <w:color w:val="000000"/>
        </w:rPr>
        <w:t>The median time to first response was 45 days</w:t>
      </w:r>
      <w:r>
        <w:rPr>
          <w:color w:val="000000"/>
        </w:rPr>
        <w:t xml:space="preserve"> </w:t>
      </w:r>
      <w:r w:rsidRPr="00600475">
        <w:rPr>
          <w:color w:val="000000"/>
        </w:rPr>
        <w:t>(range 37 – 349 days).</w:t>
      </w:r>
      <w:r w:rsidR="002A2A95">
        <w:rPr>
          <w:color w:val="000000"/>
        </w:rPr>
        <w:t xml:space="preserve">  </w:t>
      </w:r>
      <w:r w:rsidRPr="00600475">
        <w:rPr>
          <w:color w:val="000000"/>
        </w:rPr>
        <w:t>Approximately two-thirds of patients (63%, n = 69) did not have evidence of response to their most</w:t>
      </w:r>
      <w:r>
        <w:rPr>
          <w:color w:val="000000"/>
        </w:rPr>
        <w:t xml:space="preserve"> </w:t>
      </w:r>
      <w:r w:rsidRPr="00600475">
        <w:rPr>
          <w:color w:val="000000"/>
        </w:rPr>
        <w:t xml:space="preserve">recent prior therapy before entering the study. </w:t>
      </w:r>
      <w:r w:rsidR="007013F5">
        <w:rPr>
          <w:color w:val="000000"/>
        </w:rPr>
        <w:t xml:space="preserve"> </w:t>
      </w:r>
      <w:r w:rsidRPr="00600475">
        <w:rPr>
          <w:color w:val="000000"/>
        </w:rPr>
        <w:t>Of these 69 patients, 17 patients (25%) responded to</w:t>
      </w:r>
      <w:r>
        <w:rPr>
          <w:color w:val="000000"/>
        </w:rPr>
        <w:t xml:space="preserve"> </w:t>
      </w:r>
      <w:proofErr w:type="spellStart"/>
      <w:r w:rsidRPr="00600475">
        <w:rPr>
          <w:color w:val="000000"/>
        </w:rPr>
        <w:t>pralatrexate</w:t>
      </w:r>
      <w:proofErr w:type="spellEnd"/>
      <w:r w:rsidRPr="00600475">
        <w:rPr>
          <w:color w:val="000000"/>
        </w:rPr>
        <w:t xml:space="preserve"> per IWC. </w:t>
      </w:r>
      <w:r w:rsidR="007013F5">
        <w:rPr>
          <w:color w:val="000000"/>
        </w:rPr>
        <w:t xml:space="preserve"> </w:t>
      </w:r>
      <w:r w:rsidRPr="00600475">
        <w:rPr>
          <w:color w:val="000000"/>
        </w:rPr>
        <w:t xml:space="preserve">Approximately one-fourth of </w:t>
      </w:r>
      <w:r w:rsidRPr="00600475">
        <w:rPr>
          <w:color w:val="000000"/>
        </w:rPr>
        <w:lastRenderedPageBreak/>
        <w:t>patients (24%, n = 26) did not have evidence of</w:t>
      </w:r>
      <w:r>
        <w:rPr>
          <w:color w:val="000000"/>
        </w:rPr>
        <w:t xml:space="preserve"> </w:t>
      </w:r>
      <w:r w:rsidRPr="00600475">
        <w:rPr>
          <w:color w:val="000000"/>
        </w:rPr>
        <w:t xml:space="preserve">response to any previous therapy. </w:t>
      </w:r>
      <w:r w:rsidR="007013F5">
        <w:rPr>
          <w:color w:val="000000"/>
        </w:rPr>
        <w:t xml:space="preserve"> </w:t>
      </w:r>
      <w:r w:rsidRPr="00600475">
        <w:rPr>
          <w:color w:val="000000"/>
        </w:rPr>
        <w:t xml:space="preserve">Of these 26 patients, 5 patients (19%) responded to </w:t>
      </w:r>
      <w:proofErr w:type="spellStart"/>
      <w:r w:rsidRPr="00600475">
        <w:rPr>
          <w:color w:val="000000"/>
        </w:rPr>
        <w:t>pralatrexate</w:t>
      </w:r>
      <w:proofErr w:type="spellEnd"/>
      <w:r w:rsidRPr="00600475">
        <w:rPr>
          <w:color w:val="000000"/>
        </w:rPr>
        <w:t xml:space="preserve"> per</w:t>
      </w:r>
      <w:r>
        <w:rPr>
          <w:color w:val="000000"/>
        </w:rPr>
        <w:t xml:space="preserve"> </w:t>
      </w:r>
      <w:r w:rsidRPr="00600475">
        <w:rPr>
          <w:color w:val="000000"/>
        </w:rPr>
        <w:t>IWC</w:t>
      </w:r>
      <w:r w:rsidR="0025415B">
        <w:rPr>
          <w:color w:val="000000"/>
        </w:rPr>
        <w:t xml:space="preserve"> review</w:t>
      </w:r>
      <w:r w:rsidRPr="00600475">
        <w:rPr>
          <w:color w:val="000000"/>
        </w:rPr>
        <w:t>.</w:t>
      </w:r>
    </w:p>
    <w:p w:rsidR="00BE5ED7" w:rsidRPr="00600475" w:rsidRDefault="00BE5ED7" w:rsidP="00BE5ED7">
      <w:pPr>
        <w:autoSpaceDE w:val="0"/>
        <w:autoSpaceDN w:val="0"/>
        <w:adjustRightInd w:val="0"/>
        <w:ind w:right="-694"/>
        <w:rPr>
          <w:color w:val="000000"/>
        </w:rPr>
      </w:pPr>
      <w:r w:rsidRPr="00600475">
        <w:rPr>
          <w:color w:val="000000"/>
        </w:rPr>
        <w:t>The median progression</w:t>
      </w:r>
      <w:r w:rsidR="00C677CB">
        <w:rPr>
          <w:color w:val="000000"/>
        </w:rPr>
        <w:t>-</w:t>
      </w:r>
      <w:r w:rsidRPr="00600475">
        <w:rPr>
          <w:color w:val="000000"/>
        </w:rPr>
        <w:t>free survival for the efficacy analysis set was 3.5 months (95% confidence</w:t>
      </w:r>
      <w:r>
        <w:rPr>
          <w:color w:val="000000"/>
        </w:rPr>
        <w:t xml:space="preserve"> </w:t>
      </w:r>
      <w:r w:rsidRPr="00600475">
        <w:rPr>
          <w:color w:val="000000"/>
        </w:rPr>
        <w:t>interval (CI), 1.7</w:t>
      </w:r>
      <w:r w:rsidR="00C677CB">
        <w:rPr>
          <w:color w:val="000000"/>
        </w:rPr>
        <w:t xml:space="preserve"> to </w:t>
      </w:r>
      <w:r w:rsidRPr="00600475">
        <w:rPr>
          <w:color w:val="000000"/>
        </w:rPr>
        <w:t xml:space="preserve">4.8 months). </w:t>
      </w:r>
      <w:r w:rsidR="007013F5">
        <w:rPr>
          <w:color w:val="000000"/>
        </w:rPr>
        <w:t xml:space="preserve"> </w:t>
      </w:r>
      <w:r w:rsidRPr="00600475">
        <w:rPr>
          <w:color w:val="000000"/>
        </w:rPr>
        <w:t>The median overall survival was 14.5 months (95% CI,</w:t>
      </w:r>
      <w:r>
        <w:rPr>
          <w:color w:val="000000"/>
        </w:rPr>
        <w:t xml:space="preserve"> </w:t>
      </w:r>
      <w:r w:rsidRPr="00600475">
        <w:rPr>
          <w:color w:val="000000"/>
        </w:rPr>
        <w:t>10.6</w:t>
      </w:r>
      <w:r w:rsidR="00C677CB">
        <w:rPr>
          <w:color w:val="000000"/>
        </w:rPr>
        <w:t xml:space="preserve"> to </w:t>
      </w:r>
      <w:r w:rsidRPr="00600475">
        <w:rPr>
          <w:color w:val="000000"/>
        </w:rPr>
        <w:t xml:space="preserve">22.5 months). </w:t>
      </w:r>
      <w:r w:rsidR="007013F5">
        <w:rPr>
          <w:color w:val="000000"/>
        </w:rPr>
        <w:t xml:space="preserve"> </w:t>
      </w:r>
      <w:r w:rsidRPr="00600475">
        <w:rPr>
          <w:color w:val="000000"/>
        </w:rPr>
        <w:t>Forty-seven patients (43%) were censored for overall survival because they were</w:t>
      </w:r>
      <w:r>
        <w:rPr>
          <w:color w:val="000000"/>
        </w:rPr>
        <w:t xml:space="preserve"> </w:t>
      </w:r>
      <w:r w:rsidRPr="00600475">
        <w:rPr>
          <w:color w:val="000000"/>
        </w:rPr>
        <w:t>still alive at the time of the data cut-off date.</w:t>
      </w:r>
    </w:p>
    <w:p w:rsidR="00970EB6" w:rsidRDefault="00970EB6" w:rsidP="00970EB6"/>
    <w:p w:rsidR="005D771F" w:rsidRDefault="00056780" w:rsidP="00970EB6">
      <w:pPr>
        <w:pStyle w:val="BodytextAgency"/>
        <w:spacing w:before="0" w:after="0"/>
        <w:rPr>
          <w:rFonts w:ascii="Times New Roman" w:hAnsi="Times New Roman"/>
          <w:sz w:val="24"/>
          <w:szCs w:val="24"/>
        </w:rPr>
      </w:pPr>
      <w:r>
        <w:rPr>
          <w:rFonts w:ascii="Times New Roman" w:hAnsi="Times New Roman"/>
          <w:color w:val="000000"/>
          <w:sz w:val="24"/>
          <w:szCs w:val="24"/>
          <w:lang w:val="en-AU"/>
        </w:rPr>
        <w:t xml:space="preserve">Response rate by histopathology was similar among the subtypes, </w:t>
      </w:r>
      <w:r w:rsidR="008B6252">
        <w:rPr>
          <w:rFonts w:ascii="Times New Roman" w:hAnsi="Times New Roman"/>
          <w:color w:val="000000"/>
          <w:sz w:val="24"/>
          <w:szCs w:val="24"/>
          <w:lang w:val="en-AU"/>
        </w:rPr>
        <w:t xml:space="preserve">with the possible exception of </w:t>
      </w:r>
      <w:proofErr w:type="spellStart"/>
      <w:r w:rsidR="008B6252">
        <w:rPr>
          <w:rFonts w:ascii="Times New Roman" w:hAnsi="Times New Roman"/>
          <w:color w:val="000000"/>
          <w:sz w:val="24"/>
          <w:szCs w:val="24"/>
          <w:lang w:val="en-AU"/>
        </w:rPr>
        <w:t>angioblastic</w:t>
      </w:r>
      <w:proofErr w:type="spellEnd"/>
      <w:r w:rsidR="008B6252">
        <w:rPr>
          <w:rFonts w:ascii="Times New Roman" w:hAnsi="Times New Roman"/>
          <w:color w:val="000000"/>
          <w:sz w:val="24"/>
          <w:szCs w:val="24"/>
          <w:lang w:val="en-AU"/>
        </w:rPr>
        <w:t xml:space="preserve"> T-cell lymphoma in which there was only 1 responder out of a limited number of patients (n=13) with this histological subtype, for a responder rate for that subtype of 8%.  The study was not designed to assess tumour responsiveness by histological subtype.</w:t>
      </w:r>
      <w:r>
        <w:rPr>
          <w:rFonts w:ascii="Times New Roman" w:hAnsi="Times New Roman"/>
          <w:color w:val="000000"/>
          <w:sz w:val="24"/>
          <w:szCs w:val="24"/>
          <w:lang w:val="en-AU"/>
        </w:rPr>
        <w:t xml:space="preserve"> </w:t>
      </w:r>
    </w:p>
    <w:p w:rsidR="005D771F" w:rsidRDefault="005D771F" w:rsidP="00970EB6">
      <w:pPr>
        <w:pStyle w:val="BodytextAgency"/>
        <w:spacing w:before="0" w:after="0"/>
        <w:rPr>
          <w:rFonts w:ascii="Times New Roman" w:hAnsi="Times New Roman"/>
          <w:sz w:val="24"/>
          <w:szCs w:val="24"/>
        </w:rPr>
      </w:pPr>
    </w:p>
    <w:p w:rsidR="00970EB6" w:rsidRPr="00970EB6" w:rsidRDefault="00970EB6" w:rsidP="00970EB6">
      <w:pPr>
        <w:pStyle w:val="BodytextAgency"/>
        <w:spacing w:before="0" w:after="0"/>
        <w:rPr>
          <w:rFonts w:ascii="Times New Roman" w:hAnsi="Times New Roman"/>
          <w:sz w:val="24"/>
          <w:szCs w:val="24"/>
        </w:rPr>
      </w:pPr>
      <w:r w:rsidRPr="00970EB6">
        <w:rPr>
          <w:rFonts w:ascii="Times New Roman" w:hAnsi="Times New Roman"/>
          <w:sz w:val="24"/>
          <w:szCs w:val="24"/>
        </w:rPr>
        <w:t xml:space="preserve">Four patients in PDX-008 achieved a response following treatment with </w:t>
      </w:r>
      <w:proofErr w:type="spellStart"/>
      <w:r w:rsidRPr="00970EB6">
        <w:rPr>
          <w:rFonts w:ascii="Times New Roman" w:hAnsi="Times New Roman"/>
          <w:sz w:val="24"/>
          <w:szCs w:val="24"/>
        </w:rPr>
        <w:t>pralatrexate</w:t>
      </w:r>
      <w:proofErr w:type="spellEnd"/>
      <w:r w:rsidRPr="00970EB6">
        <w:rPr>
          <w:rFonts w:ascii="Times New Roman" w:hAnsi="Times New Roman"/>
          <w:sz w:val="24"/>
          <w:szCs w:val="24"/>
        </w:rPr>
        <w:t>, confirmed by independent central review</w:t>
      </w:r>
      <w:r w:rsidR="004F054C">
        <w:rPr>
          <w:rFonts w:ascii="Times New Roman" w:hAnsi="Times New Roman"/>
          <w:sz w:val="24"/>
          <w:szCs w:val="24"/>
        </w:rPr>
        <w:t xml:space="preserve">.  These patients </w:t>
      </w:r>
      <w:r w:rsidRPr="00970EB6">
        <w:rPr>
          <w:rFonts w:ascii="Times New Roman" w:hAnsi="Times New Roman"/>
          <w:sz w:val="24"/>
          <w:szCs w:val="24"/>
        </w:rPr>
        <w:t>were able to proceed to transplant as their subsequent therapy</w:t>
      </w:r>
      <w:r w:rsidR="004F054C">
        <w:rPr>
          <w:rFonts w:ascii="Times New Roman" w:hAnsi="Times New Roman"/>
          <w:sz w:val="24"/>
          <w:szCs w:val="24"/>
        </w:rPr>
        <w:t>,</w:t>
      </w:r>
      <w:r w:rsidRPr="00970EB6">
        <w:rPr>
          <w:rFonts w:ascii="Times New Roman" w:hAnsi="Times New Roman"/>
          <w:sz w:val="24"/>
          <w:szCs w:val="24"/>
        </w:rPr>
        <w:t xml:space="preserve"> and have achieved a prolonged response.</w:t>
      </w:r>
    </w:p>
    <w:p w:rsidR="00D0491F" w:rsidRDefault="00D0491F" w:rsidP="00DB3F47">
      <w:pPr>
        <w:autoSpaceDE w:val="0"/>
        <w:autoSpaceDN w:val="0"/>
        <w:adjustRightInd w:val="0"/>
        <w:ind w:right="-694"/>
        <w:rPr>
          <w:b/>
          <w:bCs/>
          <w:color w:val="000000"/>
        </w:rPr>
      </w:pPr>
    </w:p>
    <w:p w:rsidR="0002134C" w:rsidRPr="007013F5" w:rsidRDefault="00BE5ED7" w:rsidP="00DB3F47">
      <w:pPr>
        <w:autoSpaceDE w:val="0"/>
        <w:autoSpaceDN w:val="0"/>
        <w:adjustRightInd w:val="0"/>
        <w:ind w:right="-694"/>
        <w:rPr>
          <w:color w:val="000000"/>
        </w:rPr>
      </w:pPr>
      <w:r>
        <w:rPr>
          <w:b/>
          <w:bCs/>
          <w:color w:val="000000"/>
        </w:rPr>
        <w:t>I</w:t>
      </w:r>
      <w:r w:rsidRPr="00600475">
        <w:rPr>
          <w:b/>
          <w:bCs/>
          <w:color w:val="000000"/>
        </w:rPr>
        <w:t>NDICATIONS</w:t>
      </w:r>
    </w:p>
    <w:p w:rsidR="0002134C" w:rsidRPr="00600475" w:rsidRDefault="0002134C" w:rsidP="00DB3F47">
      <w:pPr>
        <w:autoSpaceDE w:val="0"/>
        <w:autoSpaceDN w:val="0"/>
        <w:adjustRightInd w:val="0"/>
        <w:ind w:right="-694"/>
        <w:rPr>
          <w:color w:val="000000"/>
        </w:rPr>
      </w:pPr>
      <w:r w:rsidRPr="00600475">
        <w:rPr>
          <w:color w:val="000000"/>
        </w:rPr>
        <w:t>FOLOTYN is indicated for the treatment of adult patients with peripheral T-cell</w:t>
      </w:r>
      <w:r w:rsidR="005C0947" w:rsidRPr="00600475">
        <w:rPr>
          <w:color w:val="000000"/>
        </w:rPr>
        <w:t xml:space="preserve"> </w:t>
      </w:r>
      <w:r w:rsidRPr="00600475">
        <w:rPr>
          <w:color w:val="000000"/>
        </w:rPr>
        <w:t xml:space="preserve">lymphoma (nodal, </w:t>
      </w:r>
      <w:proofErr w:type="spellStart"/>
      <w:r w:rsidRPr="00600475">
        <w:rPr>
          <w:color w:val="000000"/>
        </w:rPr>
        <w:t>extranodal</w:t>
      </w:r>
      <w:proofErr w:type="spellEnd"/>
      <w:r w:rsidRPr="00600475">
        <w:rPr>
          <w:color w:val="000000"/>
        </w:rPr>
        <w:t xml:space="preserve">, and </w:t>
      </w:r>
      <w:proofErr w:type="spellStart"/>
      <w:r w:rsidRPr="00600475">
        <w:rPr>
          <w:color w:val="000000"/>
        </w:rPr>
        <w:t>leukaemic</w:t>
      </w:r>
      <w:proofErr w:type="spellEnd"/>
      <w:r w:rsidRPr="00600475">
        <w:rPr>
          <w:color w:val="000000"/>
        </w:rPr>
        <w:t>/disseminated)</w:t>
      </w:r>
      <w:r w:rsidR="00AA1791">
        <w:rPr>
          <w:color w:val="000000"/>
        </w:rPr>
        <w:t xml:space="preserve"> who have </w:t>
      </w:r>
      <w:r w:rsidR="00EF2DD5">
        <w:rPr>
          <w:color w:val="000000"/>
        </w:rPr>
        <w:t>progressed</w:t>
      </w:r>
      <w:r w:rsidR="00AA1791">
        <w:rPr>
          <w:color w:val="000000"/>
        </w:rPr>
        <w:t xml:space="preserve"> after at least one prior therapy</w:t>
      </w:r>
      <w:r w:rsidRPr="00600475">
        <w:rPr>
          <w:color w:val="000000"/>
        </w:rPr>
        <w:t>.</w:t>
      </w:r>
    </w:p>
    <w:p w:rsidR="00D0491F" w:rsidRDefault="00D0491F" w:rsidP="00173E07">
      <w:pPr>
        <w:autoSpaceDE w:val="0"/>
        <w:autoSpaceDN w:val="0"/>
        <w:adjustRightInd w:val="0"/>
        <w:ind w:right="-694"/>
        <w:rPr>
          <w:b/>
          <w:bCs/>
          <w:color w:val="000000"/>
        </w:rPr>
      </w:pPr>
    </w:p>
    <w:p w:rsidR="0002134C" w:rsidRPr="00600475" w:rsidRDefault="00BE5ED7" w:rsidP="00173E07">
      <w:pPr>
        <w:autoSpaceDE w:val="0"/>
        <w:autoSpaceDN w:val="0"/>
        <w:adjustRightInd w:val="0"/>
        <w:ind w:right="-694"/>
        <w:rPr>
          <w:b/>
          <w:bCs/>
          <w:color w:val="000000"/>
        </w:rPr>
      </w:pPr>
      <w:r w:rsidRPr="00600475">
        <w:rPr>
          <w:b/>
          <w:bCs/>
          <w:color w:val="000000"/>
        </w:rPr>
        <w:t>CONTRAINDICATIONS</w:t>
      </w:r>
    </w:p>
    <w:p w:rsidR="0002134C" w:rsidRPr="00600475" w:rsidRDefault="0002134C" w:rsidP="00173E07">
      <w:pPr>
        <w:autoSpaceDE w:val="0"/>
        <w:autoSpaceDN w:val="0"/>
        <w:adjustRightInd w:val="0"/>
        <w:ind w:right="-694"/>
        <w:rPr>
          <w:color w:val="000000"/>
        </w:rPr>
      </w:pPr>
      <w:r w:rsidRPr="00600475">
        <w:rPr>
          <w:color w:val="000000"/>
        </w:rPr>
        <w:t>Hypersensitivity to the active substance or to any of the excipients</w:t>
      </w:r>
      <w:r w:rsidR="00AC5A60">
        <w:rPr>
          <w:color w:val="000000"/>
        </w:rPr>
        <w:t>.  B</w:t>
      </w:r>
      <w:r w:rsidR="00260381">
        <w:rPr>
          <w:color w:val="000000"/>
        </w:rPr>
        <w:t>reast-feeding</w:t>
      </w:r>
      <w:r w:rsidR="00AC5A60">
        <w:rPr>
          <w:color w:val="000000"/>
        </w:rPr>
        <w:t xml:space="preserve"> (see </w:t>
      </w:r>
      <w:r w:rsidR="00AC5A60" w:rsidRPr="00303062">
        <w:rPr>
          <w:b/>
          <w:color w:val="000000"/>
        </w:rPr>
        <w:t>PRECAUTIONS</w:t>
      </w:r>
      <w:r w:rsidR="00AC5A60">
        <w:rPr>
          <w:color w:val="000000"/>
        </w:rPr>
        <w:t>)</w:t>
      </w:r>
      <w:r w:rsidRPr="00600475">
        <w:rPr>
          <w:color w:val="000000"/>
        </w:rPr>
        <w:t>.</w:t>
      </w:r>
    </w:p>
    <w:p w:rsidR="00D0491F" w:rsidRDefault="00D0491F" w:rsidP="00173E07">
      <w:pPr>
        <w:autoSpaceDE w:val="0"/>
        <w:autoSpaceDN w:val="0"/>
        <w:adjustRightInd w:val="0"/>
        <w:ind w:right="-694"/>
        <w:rPr>
          <w:b/>
          <w:bCs/>
          <w:color w:val="000000"/>
        </w:rPr>
      </w:pPr>
    </w:p>
    <w:p w:rsidR="0002134C" w:rsidRPr="00600475" w:rsidRDefault="00BE5ED7" w:rsidP="00173E07">
      <w:pPr>
        <w:autoSpaceDE w:val="0"/>
        <w:autoSpaceDN w:val="0"/>
        <w:adjustRightInd w:val="0"/>
        <w:ind w:right="-694"/>
        <w:rPr>
          <w:b/>
          <w:bCs/>
          <w:color w:val="000000"/>
        </w:rPr>
      </w:pPr>
      <w:r w:rsidRPr="00600475">
        <w:rPr>
          <w:b/>
          <w:bCs/>
          <w:color w:val="000000"/>
        </w:rPr>
        <w:t>PRECAUTIONS</w:t>
      </w:r>
    </w:p>
    <w:p w:rsidR="00E60C15" w:rsidRPr="00803568" w:rsidRDefault="00E60C15" w:rsidP="00E60C15">
      <w:pPr>
        <w:autoSpaceDE w:val="0"/>
        <w:autoSpaceDN w:val="0"/>
        <w:adjustRightInd w:val="0"/>
        <w:ind w:right="-694"/>
        <w:rPr>
          <w:color w:val="000000"/>
          <w:u w:val="single"/>
        </w:rPr>
      </w:pPr>
      <w:r w:rsidRPr="00803568">
        <w:rPr>
          <w:iCs/>
          <w:color w:val="000000"/>
          <w:u w:val="single"/>
        </w:rPr>
        <w:t>Folic acid and vitamin B</w:t>
      </w:r>
      <w:r w:rsidRPr="00D36B42">
        <w:rPr>
          <w:iCs/>
          <w:color w:val="000000"/>
          <w:u w:val="single"/>
          <w:vertAlign w:val="subscript"/>
        </w:rPr>
        <w:t>12</w:t>
      </w:r>
      <w:r w:rsidRPr="00803568">
        <w:rPr>
          <w:iCs/>
          <w:color w:val="000000"/>
          <w:u w:val="single"/>
        </w:rPr>
        <w:t xml:space="preserve"> supplementation</w:t>
      </w:r>
      <w:r w:rsidRPr="00803568">
        <w:rPr>
          <w:color w:val="000000"/>
          <w:u w:val="single"/>
        </w:rPr>
        <w:t xml:space="preserve"> </w:t>
      </w:r>
    </w:p>
    <w:p w:rsidR="00E60C15" w:rsidRDefault="00E60C15" w:rsidP="00E60C15">
      <w:pPr>
        <w:autoSpaceDE w:val="0"/>
        <w:autoSpaceDN w:val="0"/>
        <w:adjustRightInd w:val="0"/>
        <w:ind w:right="-694"/>
        <w:rPr>
          <w:color w:val="000000"/>
        </w:rPr>
      </w:pPr>
      <w:r w:rsidRPr="00600475">
        <w:rPr>
          <w:color w:val="000000"/>
        </w:rPr>
        <w:t>Patients should be instructed to take folic acid and</w:t>
      </w:r>
      <w:r>
        <w:rPr>
          <w:color w:val="000000"/>
        </w:rPr>
        <w:t xml:space="preserve"> </w:t>
      </w:r>
      <w:r w:rsidRPr="00600475">
        <w:rPr>
          <w:color w:val="000000"/>
        </w:rPr>
        <w:t>vitamin B</w:t>
      </w:r>
      <w:r w:rsidRPr="00D36B42">
        <w:rPr>
          <w:color w:val="000000"/>
          <w:vertAlign w:val="subscript"/>
        </w:rPr>
        <w:t>12</w:t>
      </w:r>
      <w:r w:rsidRPr="00600475">
        <w:rPr>
          <w:color w:val="000000"/>
        </w:rPr>
        <w:t xml:space="preserve"> to potentially reduce treatment-related haematological toxicity and mucosal inflammation</w:t>
      </w:r>
      <w:r>
        <w:rPr>
          <w:color w:val="000000"/>
        </w:rPr>
        <w:t xml:space="preserve"> (see </w:t>
      </w:r>
      <w:r w:rsidRPr="00417597">
        <w:rPr>
          <w:b/>
          <w:color w:val="000000"/>
        </w:rPr>
        <w:t>DOSAGE AND ADMINISTRATION</w:t>
      </w:r>
      <w:r>
        <w:rPr>
          <w:color w:val="000000"/>
        </w:rPr>
        <w:t xml:space="preserve"> section)</w:t>
      </w:r>
      <w:r w:rsidRPr="00600475">
        <w:rPr>
          <w:color w:val="000000"/>
        </w:rPr>
        <w:t>.</w:t>
      </w:r>
    </w:p>
    <w:p w:rsidR="00E60C15" w:rsidRDefault="00E60C15" w:rsidP="00173E07">
      <w:pPr>
        <w:autoSpaceDE w:val="0"/>
        <w:autoSpaceDN w:val="0"/>
        <w:adjustRightInd w:val="0"/>
        <w:ind w:right="-694"/>
        <w:rPr>
          <w:iCs/>
          <w:color w:val="000000"/>
          <w:u w:val="single"/>
        </w:rPr>
      </w:pPr>
    </w:p>
    <w:p w:rsidR="007013F5" w:rsidRPr="00803568" w:rsidRDefault="0002134C" w:rsidP="00173E07">
      <w:pPr>
        <w:autoSpaceDE w:val="0"/>
        <w:autoSpaceDN w:val="0"/>
        <w:adjustRightInd w:val="0"/>
        <w:ind w:right="-694"/>
        <w:rPr>
          <w:color w:val="000000"/>
          <w:u w:val="single"/>
        </w:rPr>
      </w:pPr>
      <w:r w:rsidRPr="00803568">
        <w:rPr>
          <w:iCs/>
          <w:color w:val="000000"/>
          <w:u w:val="single"/>
        </w:rPr>
        <w:t>Bone marrow suppression</w:t>
      </w:r>
      <w:r w:rsidRPr="00803568">
        <w:rPr>
          <w:color w:val="000000"/>
          <w:u w:val="single"/>
        </w:rPr>
        <w:t xml:space="preserve"> </w:t>
      </w:r>
    </w:p>
    <w:p w:rsidR="0002134C" w:rsidRPr="00600475" w:rsidRDefault="00260381" w:rsidP="00E60C15">
      <w:pPr>
        <w:autoSpaceDE w:val="0"/>
        <w:autoSpaceDN w:val="0"/>
        <w:adjustRightInd w:val="0"/>
        <w:rPr>
          <w:color w:val="000000"/>
        </w:rPr>
      </w:pPr>
      <w:r>
        <w:rPr>
          <w:color w:val="000000"/>
        </w:rPr>
        <w:t>Pralatrexate</w:t>
      </w:r>
      <w:r w:rsidR="0002134C" w:rsidRPr="00600475">
        <w:rPr>
          <w:color w:val="000000"/>
        </w:rPr>
        <w:t xml:space="preserve"> can suppress bone marrow function, manifested by</w:t>
      </w:r>
      <w:r w:rsidR="007013F5">
        <w:rPr>
          <w:color w:val="000000"/>
        </w:rPr>
        <w:t xml:space="preserve"> </w:t>
      </w:r>
      <w:r w:rsidR="0002134C" w:rsidRPr="00600475">
        <w:rPr>
          <w:color w:val="000000"/>
        </w:rPr>
        <w:t xml:space="preserve">thrombocytopenia, neutropenia, and anaemia. </w:t>
      </w:r>
      <w:r w:rsidR="007013F5">
        <w:rPr>
          <w:color w:val="000000"/>
        </w:rPr>
        <w:t xml:space="preserve"> </w:t>
      </w:r>
      <w:r w:rsidR="00E60C15" w:rsidRPr="00E60C15">
        <w:t>Folic acid and vitamin B12 supplementation is recommended to reduce the risk of haematological toxicity.</w:t>
      </w:r>
      <w:r w:rsidR="00E60C15">
        <w:rPr>
          <w:rFonts w:ascii="Arial" w:hAnsi="Arial" w:cs="Arial"/>
          <w:sz w:val="22"/>
          <w:szCs w:val="22"/>
        </w:rPr>
        <w:t xml:space="preserve">  </w:t>
      </w:r>
      <w:r w:rsidR="0002134C" w:rsidRPr="00600475">
        <w:rPr>
          <w:color w:val="000000"/>
        </w:rPr>
        <w:t xml:space="preserve">Dose modifications are based on </w:t>
      </w:r>
      <w:r w:rsidR="00C677CB">
        <w:rPr>
          <w:color w:val="000000"/>
        </w:rPr>
        <w:t>absolute neutrophil count (</w:t>
      </w:r>
      <w:r w:rsidR="0002134C" w:rsidRPr="00600475">
        <w:rPr>
          <w:color w:val="000000"/>
        </w:rPr>
        <w:t>ANC</w:t>
      </w:r>
      <w:r w:rsidR="00C677CB">
        <w:rPr>
          <w:color w:val="000000"/>
        </w:rPr>
        <w:t>)</w:t>
      </w:r>
      <w:r w:rsidR="00173E07">
        <w:rPr>
          <w:color w:val="000000"/>
        </w:rPr>
        <w:t xml:space="preserve"> </w:t>
      </w:r>
      <w:r w:rsidR="0002134C" w:rsidRPr="00600475">
        <w:rPr>
          <w:color w:val="000000"/>
        </w:rPr>
        <w:t>and platelet count prior to each dose</w:t>
      </w:r>
      <w:r w:rsidR="00417597">
        <w:rPr>
          <w:color w:val="000000"/>
        </w:rPr>
        <w:t xml:space="preserve"> (see </w:t>
      </w:r>
      <w:r w:rsidR="00417597" w:rsidRPr="00417597">
        <w:rPr>
          <w:b/>
          <w:color w:val="000000"/>
        </w:rPr>
        <w:t>DOSAGE AND ADMINISTRATION</w:t>
      </w:r>
      <w:r w:rsidR="00417597">
        <w:rPr>
          <w:color w:val="000000"/>
        </w:rPr>
        <w:t xml:space="preserve"> section)</w:t>
      </w:r>
      <w:r w:rsidR="0002134C" w:rsidRPr="00600475">
        <w:rPr>
          <w:color w:val="000000"/>
        </w:rPr>
        <w:t>.</w:t>
      </w:r>
    </w:p>
    <w:p w:rsidR="00C677CB" w:rsidRDefault="00C677CB" w:rsidP="00173E07">
      <w:pPr>
        <w:autoSpaceDE w:val="0"/>
        <w:autoSpaceDN w:val="0"/>
        <w:adjustRightInd w:val="0"/>
        <w:ind w:right="-694"/>
        <w:rPr>
          <w:i/>
          <w:iCs/>
          <w:color w:val="000000"/>
        </w:rPr>
      </w:pPr>
    </w:p>
    <w:p w:rsidR="007013F5" w:rsidRPr="00803568" w:rsidRDefault="0002134C" w:rsidP="00173E07">
      <w:pPr>
        <w:autoSpaceDE w:val="0"/>
        <w:autoSpaceDN w:val="0"/>
        <w:adjustRightInd w:val="0"/>
        <w:ind w:right="-694"/>
        <w:rPr>
          <w:color w:val="000000"/>
          <w:u w:val="single"/>
        </w:rPr>
      </w:pPr>
      <w:r w:rsidRPr="00803568">
        <w:rPr>
          <w:iCs/>
          <w:color w:val="000000"/>
          <w:u w:val="single"/>
        </w:rPr>
        <w:t>Mucosal inflammation</w:t>
      </w:r>
      <w:r w:rsidRPr="00803568">
        <w:rPr>
          <w:color w:val="000000"/>
          <w:u w:val="single"/>
        </w:rPr>
        <w:t xml:space="preserve"> </w:t>
      </w:r>
    </w:p>
    <w:p w:rsidR="0002134C" w:rsidRPr="00E60C15" w:rsidRDefault="0002134C" w:rsidP="007432AC">
      <w:pPr>
        <w:autoSpaceDE w:val="0"/>
        <w:autoSpaceDN w:val="0"/>
        <w:adjustRightInd w:val="0"/>
        <w:rPr>
          <w:color w:val="000000"/>
        </w:rPr>
      </w:pPr>
      <w:r w:rsidRPr="00600475">
        <w:rPr>
          <w:color w:val="000000"/>
        </w:rPr>
        <w:t xml:space="preserve">Treatment with </w:t>
      </w:r>
      <w:proofErr w:type="spellStart"/>
      <w:r w:rsidR="00356F55">
        <w:rPr>
          <w:color w:val="000000"/>
        </w:rPr>
        <w:t>pralatrexate</w:t>
      </w:r>
      <w:proofErr w:type="spellEnd"/>
      <w:r w:rsidRPr="00600475">
        <w:rPr>
          <w:color w:val="000000"/>
        </w:rPr>
        <w:t xml:space="preserve"> can cause mucosal inflammation.</w:t>
      </w:r>
      <w:r w:rsidR="00173E07">
        <w:rPr>
          <w:color w:val="000000"/>
        </w:rPr>
        <w:t xml:space="preserve">  </w:t>
      </w:r>
      <w:r w:rsidR="008D2AEA">
        <w:t xml:space="preserve">Monitor for mucosal inflammation weekly and </w:t>
      </w:r>
      <w:r w:rsidR="008D2AEA">
        <w:rPr>
          <w:color w:val="000000"/>
        </w:rPr>
        <w:t>i</w:t>
      </w:r>
      <w:r w:rsidR="008D2AEA" w:rsidRPr="00600475">
        <w:rPr>
          <w:color w:val="000000"/>
        </w:rPr>
        <w:t xml:space="preserve">f </w:t>
      </w:r>
      <w:r w:rsidRPr="00600475">
        <w:rPr>
          <w:rFonts w:eastAsia="TimesNewRoman"/>
          <w:color w:val="000000"/>
        </w:rPr>
        <w:t>≥</w:t>
      </w:r>
      <w:r w:rsidR="00563D39">
        <w:rPr>
          <w:rFonts w:eastAsia="TimesNewRoman"/>
          <w:color w:val="000000"/>
        </w:rPr>
        <w:t xml:space="preserve"> </w:t>
      </w:r>
      <w:r w:rsidRPr="00600475">
        <w:rPr>
          <w:color w:val="000000"/>
        </w:rPr>
        <w:t xml:space="preserve">Grade 2 mucosal inflammation is observed, </w:t>
      </w:r>
      <w:r w:rsidR="008D2AEA">
        <w:rPr>
          <w:color w:val="000000"/>
        </w:rPr>
        <w:t xml:space="preserve">omit and/or reduce </w:t>
      </w:r>
      <w:r w:rsidRPr="00600475">
        <w:rPr>
          <w:color w:val="000000"/>
        </w:rPr>
        <w:t xml:space="preserve">the dose </w:t>
      </w:r>
      <w:r w:rsidR="00417597">
        <w:rPr>
          <w:color w:val="000000"/>
        </w:rPr>
        <w:t xml:space="preserve">(see </w:t>
      </w:r>
      <w:r w:rsidR="00417597" w:rsidRPr="00417597">
        <w:rPr>
          <w:b/>
          <w:color w:val="000000"/>
        </w:rPr>
        <w:t>DOSAGE AND ADMINISTRATION</w:t>
      </w:r>
      <w:r w:rsidR="00417597">
        <w:rPr>
          <w:color w:val="000000"/>
        </w:rPr>
        <w:t xml:space="preserve"> section)</w:t>
      </w:r>
      <w:r w:rsidRPr="00600475">
        <w:rPr>
          <w:color w:val="000000"/>
        </w:rPr>
        <w:t>.</w:t>
      </w:r>
      <w:r w:rsidR="008D2AEA">
        <w:rPr>
          <w:color w:val="000000"/>
        </w:rPr>
        <w:t xml:space="preserve"> Administer</w:t>
      </w:r>
      <w:r w:rsidR="00E60C15" w:rsidRPr="00E60C15">
        <w:rPr>
          <w:sz w:val="22"/>
          <w:szCs w:val="22"/>
        </w:rPr>
        <w:t xml:space="preserve">  </w:t>
      </w:r>
      <w:r w:rsidR="00E60C15" w:rsidRPr="00E60C15">
        <w:t>vitamin B</w:t>
      </w:r>
      <w:r w:rsidR="005962A3">
        <w:t>12</w:t>
      </w:r>
      <w:r w:rsidR="00E60C15" w:rsidRPr="00E60C15">
        <w:t xml:space="preserve"> </w:t>
      </w:r>
      <w:r w:rsidR="008D2AEA">
        <w:t xml:space="preserve">and instruct the patient to take folic acid </w:t>
      </w:r>
      <w:r w:rsidR="00E60C15" w:rsidRPr="00E60C15">
        <w:t>to reduce the risk of mucosal inflammation</w:t>
      </w:r>
      <w:r w:rsidR="005962A3">
        <w:t xml:space="preserve">. </w:t>
      </w:r>
    </w:p>
    <w:p w:rsidR="00173E07" w:rsidRDefault="00173E07" w:rsidP="00173E07">
      <w:pPr>
        <w:autoSpaceDE w:val="0"/>
        <w:autoSpaceDN w:val="0"/>
        <w:adjustRightInd w:val="0"/>
        <w:ind w:right="-694"/>
        <w:rPr>
          <w:i/>
          <w:iCs/>
          <w:color w:val="000000"/>
        </w:rPr>
      </w:pPr>
    </w:p>
    <w:p w:rsidR="007013F5" w:rsidRPr="00803568" w:rsidRDefault="0002134C" w:rsidP="00173E07">
      <w:pPr>
        <w:autoSpaceDE w:val="0"/>
        <w:autoSpaceDN w:val="0"/>
        <w:adjustRightInd w:val="0"/>
        <w:ind w:right="-694"/>
        <w:rPr>
          <w:color w:val="000000"/>
          <w:u w:val="single"/>
        </w:rPr>
      </w:pPr>
      <w:r w:rsidRPr="00803568">
        <w:rPr>
          <w:iCs/>
          <w:color w:val="000000"/>
          <w:u w:val="single"/>
        </w:rPr>
        <w:t>Dermatological reactions</w:t>
      </w:r>
      <w:r w:rsidRPr="00803568">
        <w:rPr>
          <w:color w:val="000000"/>
          <w:u w:val="single"/>
        </w:rPr>
        <w:t xml:space="preserve"> </w:t>
      </w:r>
    </w:p>
    <w:p w:rsidR="00546224" w:rsidRDefault="00546224" w:rsidP="00173E07">
      <w:pPr>
        <w:autoSpaceDE w:val="0"/>
        <w:autoSpaceDN w:val="0"/>
        <w:adjustRightInd w:val="0"/>
        <w:ind w:right="-694"/>
        <w:rPr>
          <w:color w:val="000000"/>
        </w:rPr>
      </w:pPr>
      <w:r>
        <w:rPr>
          <w:color w:val="000000"/>
        </w:rPr>
        <w:lastRenderedPageBreak/>
        <w:t>FOLOTYN can cause severe dermatological reactions, which may result in death.  Dermatological reactions with FOLOTYN have ranged from alopecia (reported in 12% of patients) in Study PDX-008), pruritus (7%) and rash (7%), to serious or fatal skin exfoliation, ulceration, toxic epidermal necrolysis.</w:t>
      </w:r>
    </w:p>
    <w:p w:rsidR="00546224" w:rsidRDefault="00264BF3" w:rsidP="00173E07">
      <w:pPr>
        <w:autoSpaceDE w:val="0"/>
        <w:autoSpaceDN w:val="0"/>
        <w:adjustRightInd w:val="0"/>
        <w:ind w:right="-694"/>
        <w:rPr>
          <w:color w:val="000000"/>
        </w:rPr>
      </w:pPr>
      <w:r>
        <w:rPr>
          <w:color w:val="000000"/>
        </w:rPr>
        <w:t>T</w:t>
      </w:r>
      <w:r w:rsidR="00546224">
        <w:rPr>
          <w:color w:val="000000"/>
        </w:rPr>
        <w:t xml:space="preserve">here have been </w:t>
      </w:r>
      <w:r>
        <w:rPr>
          <w:color w:val="000000"/>
        </w:rPr>
        <w:t>a small number of</w:t>
      </w:r>
      <w:r w:rsidR="00546224">
        <w:rPr>
          <w:color w:val="000000"/>
        </w:rPr>
        <w:t xml:space="preserve"> fatal dermatological reactions </w:t>
      </w:r>
      <w:r>
        <w:rPr>
          <w:color w:val="000000"/>
        </w:rPr>
        <w:t xml:space="preserve">both within the clinical trials and post-marketing setting with </w:t>
      </w:r>
      <w:proofErr w:type="spellStart"/>
      <w:r>
        <w:rPr>
          <w:color w:val="000000"/>
        </w:rPr>
        <w:t>pralatrexate</w:t>
      </w:r>
      <w:proofErr w:type="spellEnd"/>
      <w:r>
        <w:rPr>
          <w:color w:val="000000"/>
        </w:rPr>
        <w:t>.  In most cases</w:t>
      </w:r>
      <w:r w:rsidR="00546224">
        <w:rPr>
          <w:color w:val="000000"/>
        </w:rPr>
        <w:t xml:space="preserve"> the reaction occurred after the f</w:t>
      </w:r>
      <w:r w:rsidR="00D0280F">
        <w:rPr>
          <w:color w:val="000000"/>
        </w:rPr>
        <w:t>i</w:t>
      </w:r>
      <w:r w:rsidR="00546224">
        <w:rPr>
          <w:color w:val="000000"/>
        </w:rPr>
        <w:t>rst dose.  In 5/6 cases, there was extensive skin involvement by PTCL.</w:t>
      </w:r>
    </w:p>
    <w:p w:rsidR="00546224" w:rsidRDefault="00546224" w:rsidP="00173E07">
      <w:pPr>
        <w:autoSpaceDE w:val="0"/>
        <w:autoSpaceDN w:val="0"/>
        <w:adjustRightInd w:val="0"/>
        <w:ind w:right="-694"/>
        <w:rPr>
          <w:color w:val="000000"/>
        </w:rPr>
      </w:pPr>
    </w:p>
    <w:p w:rsidR="0002134C" w:rsidRPr="00600475" w:rsidRDefault="00264BF3" w:rsidP="00AC5A60">
      <w:pPr>
        <w:autoSpaceDE w:val="0"/>
        <w:autoSpaceDN w:val="0"/>
        <w:adjustRightInd w:val="0"/>
        <w:ind w:right="-694"/>
        <w:rPr>
          <w:color w:val="000000"/>
        </w:rPr>
      </w:pPr>
      <w:r>
        <w:rPr>
          <w:color w:val="000000"/>
        </w:rPr>
        <w:t xml:space="preserve">Such reactions involve </w:t>
      </w:r>
      <w:r w:rsidRPr="00600475">
        <w:rPr>
          <w:color w:val="000000"/>
        </w:rPr>
        <w:t>skin and subcutaneous sites of known lymphoma</w:t>
      </w:r>
      <w:r>
        <w:rPr>
          <w:color w:val="000000"/>
        </w:rPr>
        <w:t>.  The majority of these reactions are mild and self-limiting; however serious and potentially</w:t>
      </w:r>
      <w:r w:rsidRPr="00600475">
        <w:rPr>
          <w:color w:val="000000"/>
        </w:rPr>
        <w:t xml:space="preserve"> </w:t>
      </w:r>
      <w:r>
        <w:rPr>
          <w:color w:val="000000"/>
        </w:rPr>
        <w:t>life-threatening events</w:t>
      </w:r>
      <w:r w:rsidRPr="00600475">
        <w:rPr>
          <w:color w:val="000000"/>
        </w:rPr>
        <w:t xml:space="preserve"> includ</w:t>
      </w:r>
      <w:r>
        <w:rPr>
          <w:color w:val="000000"/>
        </w:rPr>
        <w:t>ing</w:t>
      </w:r>
      <w:r w:rsidRPr="00600475">
        <w:rPr>
          <w:color w:val="000000"/>
        </w:rPr>
        <w:t xml:space="preserve"> skin exfoliation,</w:t>
      </w:r>
      <w:r>
        <w:rPr>
          <w:color w:val="000000"/>
        </w:rPr>
        <w:t xml:space="preserve"> </w:t>
      </w:r>
      <w:r w:rsidRPr="00600475">
        <w:rPr>
          <w:color w:val="000000"/>
        </w:rPr>
        <w:t>ulceration and toxic epidermal necrolysis (TEN)</w:t>
      </w:r>
      <w:r>
        <w:rPr>
          <w:color w:val="000000"/>
        </w:rPr>
        <w:t xml:space="preserve"> have occurred, including fatal cases</w:t>
      </w:r>
      <w:r w:rsidRPr="00600475">
        <w:rPr>
          <w:color w:val="000000"/>
        </w:rPr>
        <w:t>.</w:t>
      </w:r>
      <w:r>
        <w:rPr>
          <w:color w:val="000000"/>
        </w:rPr>
        <w:t xml:space="preserve">  Patients with extensive skin disease or a history of adverse skin reactions appear to be at highest risk of developing these severe reactions, with onset occurring early in the course of therapy in most cases.</w:t>
      </w:r>
      <w:r w:rsidR="00A70578">
        <w:rPr>
          <w:color w:val="000000"/>
        </w:rPr>
        <w:t xml:space="preserve"> </w:t>
      </w:r>
      <w:r w:rsidR="00AC5A60">
        <w:rPr>
          <w:color w:val="000000"/>
        </w:rPr>
        <w:t xml:space="preserve"> </w:t>
      </w:r>
      <w:r w:rsidR="00D0280F">
        <w:rPr>
          <w:color w:val="000000"/>
        </w:rPr>
        <w:t>Skin</w:t>
      </w:r>
      <w:r w:rsidR="0002134C" w:rsidRPr="00600475">
        <w:rPr>
          <w:color w:val="000000"/>
        </w:rPr>
        <w:t xml:space="preserve"> reactions may be progressive and increase in</w:t>
      </w:r>
      <w:r w:rsidR="00173E07">
        <w:rPr>
          <w:color w:val="000000"/>
        </w:rPr>
        <w:t xml:space="preserve"> </w:t>
      </w:r>
      <w:r w:rsidR="0002134C" w:rsidRPr="00600475">
        <w:rPr>
          <w:color w:val="000000"/>
        </w:rPr>
        <w:t>severity with further treatment.</w:t>
      </w:r>
      <w:r w:rsidR="00D0280F">
        <w:rPr>
          <w:color w:val="000000"/>
        </w:rPr>
        <w:t xml:space="preserve">  Monitor </w:t>
      </w:r>
      <w:r w:rsidR="00AC5A60">
        <w:rPr>
          <w:color w:val="000000"/>
        </w:rPr>
        <w:t xml:space="preserve">patients </w:t>
      </w:r>
      <w:r w:rsidR="00D0280F">
        <w:rPr>
          <w:color w:val="000000"/>
        </w:rPr>
        <w:t xml:space="preserve">with dermatological </w:t>
      </w:r>
      <w:proofErr w:type="spellStart"/>
      <w:r w:rsidR="00D0280F">
        <w:rPr>
          <w:color w:val="000000"/>
        </w:rPr>
        <w:t>reactions</w:t>
      </w:r>
      <w:r w:rsidR="00AC5A60">
        <w:rPr>
          <w:color w:val="000000"/>
        </w:rPr>
        <w:t>closely</w:t>
      </w:r>
      <w:proofErr w:type="spellEnd"/>
      <w:r w:rsidR="00D0280F">
        <w:rPr>
          <w:color w:val="000000"/>
        </w:rPr>
        <w:t>,</w:t>
      </w:r>
      <w:r w:rsidR="00AC5A60">
        <w:rPr>
          <w:color w:val="000000"/>
        </w:rPr>
        <w:t xml:space="preserve"> and </w:t>
      </w:r>
      <w:r w:rsidR="00D0280F">
        <w:rPr>
          <w:color w:val="000000"/>
        </w:rPr>
        <w:t>if</w:t>
      </w:r>
      <w:r w:rsidR="00AC5A60">
        <w:rPr>
          <w:color w:val="000000"/>
        </w:rPr>
        <w:t xml:space="preserve"> severe</w:t>
      </w:r>
      <w:r w:rsidR="00D0280F">
        <w:rPr>
          <w:color w:val="000000"/>
        </w:rPr>
        <w:t>,</w:t>
      </w:r>
      <w:r w:rsidR="0002134C" w:rsidRPr="00600475">
        <w:rPr>
          <w:color w:val="000000"/>
        </w:rPr>
        <w:t xml:space="preserve"> discontinue</w:t>
      </w:r>
      <w:r w:rsidR="00D0280F">
        <w:rPr>
          <w:color w:val="000000"/>
        </w:rPr>
        <w:t xml:space="preserve"> FOLOTYN</w:t>
      </w:r>
      <w:r w:rsidR="00AC5A60">
        <w:rPr>
          <w:color w:val="000000"/>
        </w:rPr>
        <w:t xml:space="preserve"> ( see Table 3 under </w:t>
      </w:r>
      <w:r w:rsidR="00AC5A60" w:rsidRPr="00D36B42">
        <w:rPr>
          <w:b/>
          <w:color w:val="000000"/>
        </w:rPr>
        <w:t>DOSAGE AND ADMINISTRATION</w:t>
      </w:r>
      <w:r w:rsidR="00AC5A60">
        <w:rPr>
          <w:color w:val="000000"/>
        </w:rPr>
        <w:t>).</w:t>
      </w:r>
    </w:p>
    <w:p w:rsidR="00173E07" w:rsidRDefault="00173E07" w:rsidP="00173E07">
      <w:pPr>
        <w:autoSpaceDE w:val="0"/>
        <w:autoSpaceDN w:val="0"/>
        <w:adjustRightInd w:val="0"/>
        <w:ind w:right="-694"/>
        <w:rPr>
          <w:iCs/>
          <w:color w:val="000000"/>
        </w:rPr>
      </w:pPr>
    </w:p>
    <w:p w:rsidR="000A25B4" w:rsidRDefault="000A25B4" w:rsidP="00173E07">
      <w:pPr>
        <w:autoSpaceDE w:val="0"/>
        <w:autoSpaceDN w:val="0"/>
        <w:adjustRightInd w:val="0"/>
        <w:ind w:right="-694"/>
        <w:rPr>
          <w:iCs/>
          <w:color w:val="000000"/>
        </w:rPr>
      </w:pPr>
      <w:r w:rsidRPr="000A25B4">
        <w:rPr>
          <w:iCs/>
          <w:color w:val="000000"/>
          <w:u w:val="single"/>
        </w:rPr>
        <w:t>Pneumonitis</w:t>
      </w:r>
    </w:p>
    <w:p w:rsidR="000A25B4" w:rsidRDefault="000A25B4" w:rsidP="00173E07">
      <w:pPr>
        <w:autoSpaceDE w:val="0"/>
        <w:autoSpaceDN w:val="0"/>
        <w:adjustRightInd w:val="0"/>
        <w:ind w:right="-694"/>
        <w:rPr>
          <w:iCs/>
          <w:color w:val="000000"/>
        </w:rPr>
      </w:pPr>
      <w:r>
        <w:rPr>
          <w:iCs/>
          <w:color w:val="000000"/>
        </w:rPr>
        <w:t xml:space="preserve">Pneumonitis has been reported in patients treated with FOLOTYN.  Across clinical studies, pneumonitis was reported in 9 patients (1.3%), including 7 patients with PTCL.  Most cases were considered causally related to </w:t>
      </w:r>
      <w:proofErr w:type="spellStart"/>
      <w:r>
        <w:rPr>
          <w:iCs/>
          <w:color w:val="000000"/>
        </w:rPr>
        <w:t>pralatrexate</w:t>
      </w:r>
      <w:proofErr w:type="spellEnd"/>
      <w:r>
        <w:rPr>
          <w:iCs/>
          <w:color w:val="000000"/>
        </w:rPr>
        <w:t xml:space="preserve">.  In one case, it was considered to be an acute hypersensitivity reaction to </w:t>
      </w:r>
      <w:proofErr w:type="spellStart"/>
      <w:r>
        <w:rPr>
          <w:iCs/>
          <w:color w:val="000000"/>
        </w:rPr>
        <w:t>pralatrexate</w:t>
      </w:r>
      <w:proofErr w:type="spellEnd"/>
      <w:r>
        <w:rPr>
          <w:iCs/>
          <w:color w:val="000000"/>
        </w:rPr>
        <w:t>.</w:t>
      </w:r>
    </w:p>
    <w:p w:rsidR="000A25B4" w:rsidRPr="00B66422" w:rsidRDefault="000A25B4" w:rsidP="00173E07">
      <w:pPr>
        <w:autoSpaceDE w:val="0"/>
        <w:autoSpaceDN w:val="0"/>
        <w:adjustRightInd w:val="0"/>
        <w:ind w:right="-694"/>
        <w:rPr>
          <w:iCs/>
          <w:color w:val="000000"/>
        </w:rPr>
      </w:pPr>
    </w:p>
    <w:p w:rsidR="007013F5" w:rsidRPr="00803568" w:rsidRDefault="0002134C" w:rsidP="00173E07">
      <w:pPr>
        <w:autoSpaceDE w:val="0"/>
        <w:autoSpaceDN w:val="0"/>
        <w:adjustRightInd w:val="0"/>
        <w:ind w:right="-694"/>
        <w:rPr>
          <w:iCs/>
          <w:color w:val="000000"/>
          <w:u w:val="single"/>
        </w:rPr>
      </w:pPr>
      <w:r w:rsidRPr="00803568">
        <w:rPr>
          <w:iCs/>
          <w:color w:val="000000"/>
          <w:u w:val="single"/>
        </w:rPr>
        <w:t xml:space="preserve">Tumour </w:t>
      </w:r>
      <w:r w:rsidR="00AC5A60">
        <w:rPr>
          <w:iCs/>
          <w:color w:val="000000"/>
          <w:u w:val="single"/>
        </w:rPr>
        <w:t>l</w:t>
      </w:r>
      <w:r w:rsidRPr="00803568">
        <w:rPr>
          <w:iCs/>
          <w:color w:val="000000"/>
          <w:u w:val="single"/>
        </w:rPr>
        <w:t xml:space="preserve">ysis </w:t>
      </w:r>
      <w:r w:rsidR="00AC5A60">
        <w:rPr>
          <w:iCs/>
          <w:color w:val="000000"/>
          <w:u w:val="single"/>
        </w:rPr>
        <w:t>s</w:t>
      </w:r>
      <w:r w:rsidRPr="00803568">
        <w:rPr>
          <w:iCs/>
          <w:color w:val="000000"/>
          <w:u w:val="single"/>
        </w:rPr>
        <w:t xml:space="preserve">yndrome </w:t>
      </w:r>
    </w:p>
    <w:p w:rsidR="0002134C" w:rsidRPr="00600475" w:rsidRDefault="0002134C" w:rsidP="00173E07">
      <w:pPr>
        <w:autoSpaceDE w:val="0"/>
        <w:autoSpaceDN w:val="0"/>
        <w:adjustRightInd w:val="0"/>
        <w:ind w:right="-694"/>
        <w:rPr>
          <w:color w:val="000000"/>
        </w:rPr>
      </w:pPr>
      <w:r w:rsidRPr="00600475">
        <w:rPr>
          <w:color w:val="000000"/>
        </w:rPr>
        <w:t>Tumour lysis syndrome has been reported in patients with lymphoma</w:t>
      </w:r>
      <w:r w:rsidR="00173E07">
        <w:rPr>
          <w:color w:val="000000"/>
        </w:rPr>
        <w:t xml:space="preserve"> </w:t>
      </w:r>
      <w:r w:rsidRPr="00600475">
        <w:rPr>
          <w:color w:val="000000"/>
        </w:rPr>
        <w:t xml:space="preserve">receiving </w:t>
      </w:r>
      <w:proofErr w:type="spellStart"/>
      <w:r w:rsidR="00AC5A60">
        <w:rPr>
          <w:color w:val="000000"/>
        </w:rPr>
        <w:t>pralatrexate</w:t>
      </w:r>
      <w:proofErr w:type="spellEnd"/>
      <w:r w:rsidRPr="00600475">
        <w:rPr>
          <w:color w:val="000000"/>
        </w:rPr>
        <w:t xml:space="preserve">. </w:t>
      </w:r>
      <w:r w:rsidR="007013F5">
        <w:rPr>
          <w:color w:val="000000"/>
        </w:rPr>
        <w:t xml:space="preserve"> </w:t>
      </w:r>
      <w:r w:rsidRPr="00600475">
        <w:rPr>
          <w:color w:val="000000"/>
        </w:rPr>
        <w:t>Patients should be monitored closely and treated for</w:t>
      </w:r>
      <w:r w:rsidR="00173E07">
        <w:rPr>
          <w:color w:val="000000"/>
        </w:rPr>
        <w:t xml:space="preserve"> </w:t>
      </w:r>
      <w:r w:rsidRPr="00600475">
        <w:rPr>
          <w:color w:val="000000"/>
        </w:rPr>
        <w:t>complications.</w:t>
      </w:r>
    </w:p>
    <w:p w:rsidR="00173E07" w:rsidRDefault="00173E07" w:rsidP="00173E07">
      <w:pPr>
        <w:autoSpaceDE w:val="0"/>
        <w:autoSpaceDN w:val="0"/>
        <w:adjustRightInd w:val="0"/>
        <w:ind w:right="-694"/>
        <w:rPr>
          <w:i/>
          <w:iCs/>
          <w:color w:val="000000"/>
        </w:rPr>
      </w:pPr>
    </w:p>
    <w:p w:rsidR="0056163C" w:rsidRPr="00DB3F47" w:rsidRDefault="0056163C" w:rsidP="0056163C">
      <w:pPr>
        <w:autoSpaceDE w:val="0"/>
        <w:autoSpaceDN w:val="0"/>
        <w:adjustRightInd w:val="0"/>
        <w:ind w:right="-694"/>
        <w:rPr>
          <w:color w:val="000000"/>
          <w:u w:val="single"/>
        </w:rPr>
      </w:pPr>
      <w:r w:rsidRPr="00DB3F47">
        <w:rPr>
          <w:color w:val="000000"/>
          <w:u w:val="single"/>
        </w:rPr>
        <w:t>Hepatic impairment</w:t>
      </w:r>
    </w:p>
    <w:p w:rsidR="0056163C" w:rsidRDefault="000C2BC2" w:rsidP="00173E07">
      <w:pPr>
        <w:autoSpaceDE w:val="0"/>
        <w:autoSpaceDN w:val="0"/>
        <w:adjustRightInd w:val="0"/>
        <w:ind w:right="-694"/>
        <w:rPr>
          <w:color w:val="000000"/>
        </w:rPr>
      </w:pPr>
      <w:r>
        <w:rPr>
          <w:color w:val="000000"/>
        </w:rPr>
        <w:t xml:space="preserve">Administration of </w:t>
      </w:r>
      <w:proofErr w:type="spellStart"/>
      <w:r>
        <w:rPr>
          <w:color w:val="000000"/>
        </w:rPr>
        <w:t>pralatrexate</w:t>
      </w:r>
      <w:proofErr w:type="spellEnd"/>
      <w:r>
        <w:rPr>
          <w:color w:val="000000"/>
        </w:rPr>
        <w:t xml:space="preserve"> to patients with hepatic impairment should only be done with caution and close monitoring of</w:t>
      </w:r>
      <w:r w:rsidR="00803568">
        <w:rPr>
          <w:color w:val="000000"/>
        </w:rPr>
        <w:t xml:space="preserve"> liver function</w:t>
      </w:r>
      <w:r w:rsidR="0056163C" w:rsidRPr="00600475">
        <w:rPr>
          <w:color w:val="000000"/>
        </w:rPr>
        <w:t xml:space="preserve"> </w:t>
      </w:r>
      <w:r>
        <w:rPr>
          <w:color w:val="000000"/>
        </w:rPr>
        <w:t xml:space="preserve">and adverse events (see </w:t>
      </w:r>
      <w:r w:rsidRPr="00356F55">
        <w:rPr>
          <w:b/>
          <w:color w:val="000000"/>
        </w:rPr>
        <w:t>DOSAGE AND ADMINISTRATION</w:t>
      </w:r>
      <w:r>
        <w:rPr>
          <w:color w:val="000000"/>
        </w:rPr>
        <w:t xml:space="preserve"> and </w:t>
      </w:r>
      <w:r w:rsidRPr="00356F55">
        <w:rPr>
          <w:b/>
          <w:color w:val="000000"/>
        </w:rPr>
        <w:t>Pharmacokinetics</w:t>
      </w:r>
      <w:r>
        <w:rPr>
          <w:color w:val="000000"/>
        </w:rPr>
        <w:t>)</w:t>
      </w:r>
      <w:r w:rsidR="00803568">
        <w:rPr>
          <w:color w:val="000000"/>
        </w:rPr>
        <w:t xml:space="preserve">. </w:t>
      </w:r>
    </w:p>
    <w:p w:rsidR="0056163C" w:rsidRDefault="0056163C" w:rsidP="0056163C">
      <w:pPr>
        <w:autoSpaceDE w:val="0"/>
        <w:autoSpaceDN w:val="0"/>
        <w:adjustRightInd w:val="0"/>
        <w:ind w:right="-334"/>
        <w:rPr>
          <w:color w:val="000000"/>
          <w:u w:val="single"/>
        </w:rPr>
      </w:pPr>
    </w:p>
    <w:p w:rsidR="0056163C" w:rsidRPr="008614F5" w:rsidRDefault="0056163C" w:rsidP="0056163C">
      <w:pPr>
        <w:autoSpaceDE w:val="0"/>
        <w:autoSpaceDN w:val="0"/>
        <w:adjustRightInd w:val="0"/>
        <w:ind w:right="-334"/>
        <w:rPr>
          <w:color w:val="000000"/>
        </w:rPr>
      </w:pPr>
      <w:r w:rsidRPr="0054286B">
        <w:rPr>
          <w:color w:val="000000"/>
          <w:u w:val="single"/>
        </w:rPr>
        <w:t>Renal impairment</w:t>
      </w:r>
    </w:p>
    <w:p w:rsidR="0056163C" w:rsidRPr="00600475" w:rsidRDefault="000231BF" w:rsidP="0056163C">
      <w:pPr>
        <w:autoSpaceDE w:val="0"/>
        <w:autoSpaceDN w:val="0"/>
        <w:adjustRightInd w:val="0"/>
        <w:ind w:right="-694"/>
        <w:rPr>
          <w:color w:val="000000"/>
        </w:rPr>
      </w:pPr>
      <w:r>
        <w:rPr>
          <w:color w:val="000000"/>
        </w:rPr>
        <w:t>A</w:t>
      </w:r>
      <w:r w:rsidRPr="00600475">
        <w:rPr>
          <w:color w:val="000000"/>
        </w:rPr>
        <w:t>dminis</w:t>
      </w:r>
      <w:r>
        <w:rPr>
          <w:color w:val="000000"/>
        </w:rPr>
        <w:t>tration</w:t>
      </w:r>
      <w:r w:rsidR="000C2BC2">
        <w:rPr>
          <w:color w:val="000000"/>
        </w:rPr>
        <w:t xml:space="preserve"> of</w:t>
      </w:r>
      <w:r w:rsidR="0056163C" w:rsidRPr="00600475">
        <w:rPr>
          <w:color w:val="000000"/>
        </w:rPr>
        <w:t xml:space="preserve"> </w:t>
      </w:r>
      <w:proofErr w:type="spellStart"/>
      <w:r w:rsidR="0056163C" w:rsidRPr="00600475">
        <w:rPr>
          <w:color w:val="000000"/>
        </w:rPr>
        <w:t>pralatrexate</w:t>
      </w:r>
      <w:proofErr w:type="spellEnd"/>
      <w:r w:rsidR="0056163C" w:rsidRPr="00600475">
        <w:rPr>
          <w:color w:val="000000"/>
        </w:rPr>
        <w:t xml:space="preserve"> to patients with moderate to severe renal function impairment</w:t>
      </w:r>
      <w:r w:rsidR="0056163C">
        <w:rPr>
          <w:color w:val="000000"/>
        </w:rPr>
        <w:t xml:space="preserve"> </w:t>
      </w:r>
      <w:r w:rsidR="0056163C" w:rsidRPr="00600475">
        <w:rPr>
          <w:color w:val="000000"/>
        </w:rPr>
        <w:t>(estimated glomerular filtration rate [</w:t>
      </w:r>
      <w:proofErr w:type="spellStart"/>
      <w:r w:rsidR="0056163C" w:rsidRPr="00600475">
        <w:rPr>
          <w:color w:val="000000"/>
        </w:rPr>
        <w:t>eGFR</w:t>
      </w:r>
      <w:proofErr w:type="spellEnd"/>
      <w:r w:rsidR="0056163C" w:rsidRPr="00600475">
        <w:rPr>
          <w:color w:val="000000"/>
        </w:rPr>
        <w:t xml:space="preserve">] </w:t>
      </w:r>
      <w:r w:rsidR="000C2BC2">
        <w:rPr>
          <w:color w:val="000000"/>
        </w:rPr>
        <w:t>&lt;</w:t>
      </w:r>
      <w:r>
        <w:rPr>
          <w:color w:val="000000"/>
        </w:rPr>
        <w:t xml:space="preserve"> </w:t>
      </w:r>
      <w:r w:rsidR="0056163C" w:rsidRPr="00600475">
        <w:rPr>
          <w:color w:val="000000"/>
        </w:rPr>
        <w:t>60 mL/min)</w:t>
      </w:r>
      <w:r w:rsidR="000C2BC2">
        <w:rPr>
          <w:color w:val="000000"/>
        </w:rPr>
        <w:t xml:space="preserve"> should only be done with caution and close monitoring of</w:t>
      </w:r>
      <w:r w:rsidR="00803568">
        <w:rPr>
          <w:color w:val="000000"/>
        </w:rPr>
        <w:t xml:space="preserve"> </w:t>
      </w:r>
      <w:r w:rsidR="0056163C" w:rsidRPr="00600475">
        <w:rPr>
          <w:color w:val="000000"/>
        </w:rPr>
        <w:t>renal function</w:t>
      </w:r>
      <w:r w:rsidR="00803568">
        <w:rPr>
          <w:color w:val="000000"/>
        </w:rPr>
        <w:t xml:space="preserve"> </w:t>
      </w:r>
      <w:r w:rsidR="000C2BC2">
        <w:rPr>
          <w:color w:val="000000"/>
        </w:rPr>
        <w:t xml:space="preserve">and adverse events (see </w:t>
      </w:r>
      <w:r w:rsidR="000C2BC2" w:rsidRPr="00D36B42">
        <w:rPr>
          <w:b/>
          <w:color w:val="000000"/>
        </w:rPr>
        <w:t xml:space="preserve">DOSAGE AND ADMINISTRATION </w:t>
      </w:r>
      <w:r w:rsidR="000C2BC2">
        <w:rPr>
          <w:color w:val="000000"/>
        </w:rPr>
        <w:t xml:space="preserve">and </w:t>
      </w:r>
      <w:r w:rsidR="000C2BC2" w:rsidRPr="00D36B42">
        <w:rPr>
          <w:b/>
          <w:color w:val="000000"/>
        </w:rPr>
        <w:t>Pharmacokinetics</w:t>
      </w:r>
      <w:r w:rsidR="000C2BC2">
        <w:rPr>
          <w:color w:val="000000"/>
        </w:rPr>
        <w:t>)</w:t>
      </w:r>
      <w:r w:rsidR="0056163C" w:rsidRPr="00600475">
        <w:rPr>
          <w:color w:val="000000"/>
        </w:rPr>
        <w:t>.</w:t>
      </w:r>
    </w:p>
    <w:p w:rsidR="00A55839" w:rsidRDefault="00A55839" w:rsidP="00A55839">
      <w:pPr>
        <w:autoSpaceDE w:val="0"/>
        <w:autoSpaceDN w:val="0"/>
        <w:adjustRightInd w:val="0"/>
        <w:ind w:right="-694"/>
        <w:rPr>
          <w:b/>
          <w:bCs/>
          <w:color w:val="000000"/>
        </w:rPr>
      </w:pPr>
    </w:p>
    <w:p w:rsidR="000C2BC2" w:rsidRDefault="000C2BC2" w:rsidP="00A55839">
      <w:pPr>
        <w:autoSpaceDE w:val="0"/>
        <w:autoSpaceDN w:val="0"/>
        <w:adjustRightInd w:val="0"/>
        <w:ind w:right="-694"/>
        <w:rPr>
          <w:bCs/>
          <w:color w:val="000000"/>
          <w:u w:val="single"/>
        </w:rPr>
      </w:pPr>
      <w:r w:rsidRPr="00D36B42">
        <w:rPr>
          <w:bCs/>
          <w:color w:val="000000"/>
          <w:u w:val="single"/>
        </w:rPr>
        <w:t>Sodium content</w:t>
      </w:r>
    </w:p>
    <w:p w:rsidR="000C2BC2" w:rsidRPr="000C2BC2" w:rsidRDefault="000C2BC2" w:rsidP="00A55839">
      <w:pPr>
        <w:autoSpaceDE w:val="0"/>
        <w:autoSpaceDN w:val="0"/>
        <w:adjustRightInd w:val="0"/>
        <w:ind w:right="-694"/>
        <w:rPr>
          <w:bCs/>
          <w:color w:val="000000"/>
        </w:rPr>
      </w:pPr>
      <w:r>
        <w:rPr>
          <w:bCs/>
          <w:color w:val="000000"/>
        </w:rPr>
        <w:t xml:space="preserve">FOLOTYN contains less than 1 </w:t>
      </w:r>
      <w:proofErr w:type="spellStart"/>
      <w:r w:rsidR="00DC42B5" w:rsidRPr="000231BF">
        <w:rPr>
          <w:bCs/>
          <w:color w:val="000000"/>
        </w:rPr>
        <w:t>m</w:t>
      </w:r>
      <w:r w:rsidRPr="000231BF">
        <w:rPr>
          <w:bCs/>
          <w:color w:val="000000"/>
        </w:rPr>
        <w:t>mol</w:t>
      </w:r>
      <w:proofErr w:type="spellEnd"/>
      <w:r>
        <w:rPr>
          <w:bCs/>
          <w:color w:val="000000"/>
        </w:rPr>
        <w:t xml:space="preserve"> sodium (23 mg) per dose, i.e. is essentially ‘sodium- free’.</w:t>
      </w:r>
    </w:p>
    <w:p w:rsidR="000C2BC2" w:rsidRDefault="000C2BC2" w:rsidP="00A55839">
      <w:pPr>
        <w:autoSpaceDE w:val="0"/>
        <w:autoSpaceDN w:val="0"/>
        <w:adjustRightInd w:val="0"/>
        <w:ind w:right="-694"/>
        <w:rPr>
          <w:b/>
          <w:bCs/>
          <w:color w:val="000000"/>
        </w:rPr>
      </w:pPr>
    </w:p>
    <w:p w:rsidR="00A55839" w:rsidRPr="00BE5ED7" w:rsidRDefault="00A55839" w:rsidP="00A55839">
      <w:pPr>
        <w:autoSpaceDE w:val="0"/>
        <w:autoSpaceDN w:val="0"/>
        <w:adjustRightInd w:val="0"/>
        <w:ind w:right="-694"/>
        <w:rPr>
          <w:bCs/>
          <w:color w:val="000000"/>
          <w:u w:val="single"/>
        </w:rPr>
      </w:pPr>
      <w:r w:rsidRPr="00BE5ED7">
        <w:rPr>
          <w:bCs/>
          <w:color w:val="000000"/>
          <w:u w:val="single"/>
        </w:rPr>
        <w:t>Driving and operating dangerous machinery</w:t>
      </w:r>
    </w:p>
    <w:p w:rsidR="00A55839" w:rsidRPr="00600475" w:rsidRDefault="00A55839" w:rsidP="00A55839">
      <w:pPr>
        <w:autoSpaceDE w:val="0"/>
        <w:autoSpaceDN w:val="0"/>
        <w:adjustRightInd w:val="0"/>
        <w:ind w:right="-694"/>
        <w:rPr>
          <w:color w:val="000000"/>
        </w:rPr>
      </w:pPr>
      <w:r w:rsidRPr="00600475">
        <w:rPr>
          <w:color w:val="000000"/>
        </w:rPr>
        <w:t xml:space="preserve">There have been no studies relating to effects of </w:t>
      </w:r>
      <w:proofErr w:type="spellStart"/>
      <w:r w:rsidR="00356F55">
        <w:rPr>
          <w:color w:val="000000"/>
        </w:rPr>
        <w:t>pralatrexate</w:t>
      </w:r>
      <w:proofErr w:type="spellEnd"/>
      <w:r w:rsidRPr="00600475">
        <w:rPr>
          <w:color w:val="000000"/>
        </w:rPr>
        <w:t xml:space="preserve"> treatment on the ability to drive</w:t>
      </w:r>
      <w:r>
        <w:rPr>
          <w:color w:val="000000"/>
        </w:rPr>
        <w:t xml:space="preserve"> </w:t>
      </w:r>
      <w:r w:rsidR="000231BF">
        <w:rPr>
          <w:color w:val="000000"/>
        </w:rPr>
        <w:t>or operate machinery</w:t>
      </w:r>
      <w:r w:rsidRPr="00600475">
        <w:rPr>
          <w:color w:val="000000"/>
        </w:rPr>
        <w:t xml:space="preserve">. </w:t>
      </w:r>
      <w:r>
        <w:rPr>
          <w:color w:val="000000"/>
        </w:rPr>
        <w:t xml:space="preserve"> </w:t>
      </w:r>
      <w:r w:rsidR="00356F55">
        <w:rPr>
          <w:color w:val="000000"/>
        </w:rPr>
        <w:t>However, p</w:t>
      </w:r>
      <w:r w:rsidRPr="00600475">
        <w:rPr>
          <w:color w:val="000000"/>
        </w:rPr>
        <w:t xml:space="preserve">atients should be advised </w:t>
      </w:r>
      <w:r w:rsidR="00356F55">
        <w:rPr>
          <w:color w:val="000000"/>
        </w:rPr>
        <w:t xml:space="preserve">that they may experience fatigue, </w:t>
      </w:r>
      <w:r w:rsidR="00356F55">
        <w:rPr>
          <w:color w:val="000000"/>
        </w:rPr>
        <w:lastRenderedPageBreak/>
        <w:t xml:space="preserve">blurred vision or dizziness </w:t>
      </w:r>
      <w:r w:rsidR="00356F55" w:rsidRPr="00600475">
        <w:rPr>
          <w:color w:val="000000"/>
        </w:rPr>
        <w:t>during</w:t>
      </w:r>
      <w:r w:rsidR="00356F55">
        <w:rPr>
          <w:color w:val="000000"/>
        </w:rPr>
        <w:t xml:space="preserve"> </w:t>
      </w:r>
      <w:r w:rsidR="00356F55" w:rsidRPr="00600475">
        <w:rPr>
          <w:color w:val="000000"/>
        </w:rPr>
        <w:t>treatment</w:t>
      </w:r>
      <w:r w:rsidR="00356F55">
        <w:rPr>
          <w:color w:val="000000"/>
        </w:rPr>
        <w:t xml:space="preserve"> with FOLOT</w:t>
      </w:r>
      <w:r w:rsidR="00D14BFD">
        <w:rPr>
          <w:color w:val="000000"/>
        </w:rPr>
        <w:t>Y</w:t>
      </w:r>
      <w:r w:rsidR="00356F55">
        <w:rPr>
          <w:color w:val="000000"/>
        </w:rPr>
        <w:t xml:space="preserve">N and should be advised </w:t>
      </w:r>
      <w:r w:rsidRPr="00600475">
        <w:rPr>
          <w:color w:val="000000"/>
        </w:rPr>
        <w:t>a</w:t>
      </w:r>
      <w:r w:rsidR="000231BF">
        <w:rPr>
          <w:color w:val="000000"/>
        </w:rPr>
        <w:t>gainst driving or operating machinery</w:t>
      </w:r>
      <w:r>
        <w:rPr>
          <w:color w:val="000000"/>
        </w:rPr>
        <w:t>,</w:t>
      </w:r>
      <w:r w:rsidR="000231BF">
        <w:rPr>
          <w:color w:val="000000"/>
        </w:rPr>
        <w:t xml:space="preserve"> </w:t>
      </w:r>
      <w:r w:rsidRPr="00600475">
        <w:rPr>
          <w:color w:val="000000"/>
        </w:rPr>
        <w:t xml:space="preserve">if they experience </w:t>
      </w:r>
      <w:r w:rsidR="00356F55">
        <w:rPr>
          <w:color w:val="000000"/>
        </w:rPr>
        <w:t>any of these side effects</w:t>
      </w:r>
      <w:r w:rsidRPr="00600475">
        <w:rPr>
          <w:color w:val="000000"/>
        </w:rPr>
        <w:t>.</w:t>
      </w:r>
    </w:p>
    <w:p w:rsidR="00A55839" w:rsidRDefault="00A55839" w:rsidP="0056163C">
      <w:pPr>
        <w:autoSpaceDE w:val="0"/>
        <w:autoSpaceDN w:val="0"/>
        <w:adjustRightInd w:val="0"/>
        <w:ind w:right="-694"/>
        <w:rPr>
          <w:color w:val="000000"/>
        </w:rPr>
      </w:pPr>
    </w:p>
    <w:p w:rsidR="0056163C" w:rsidRPr="0056163C" w:rsidRDefault="0056163C" w:rsidP="004D2B64">
      <w:pPr>
        <w:pageBreakBefore/>
        <w:autoSpaceDE w:val="0"/>
        <w:autoSpaceDN w:val="0"/>
        <w:adjustRightInd w:val="0"/>
        <w:ind w:right="-692"/>
        <w:rPr>
          <w:color w:val="000000"/>
          <w:u w:val="single"/>
        </w:rPr>
      </w:pPr>
      <w:r w:rsidRPr="0056163C">
        <w:rPr>
          <w:color w:val="000000"/>
          <w:u w:val="single"/>
        </w:rPr>
        <w:lastRenderedPageBreak/>
        <w:t>Effects on fertility</w:t>
      </w:r>
    </w:p>
    <w:p w:rsidR="00325B42" w:rsidRDefault="00B60429" w:rsidP="00BE5ED7">
      <w:pPr>
        <w:autoSpaceDE w:val="0"/>
        <w:autoSpaceDN w:val="0"/>
        <w:adjustRightInd w:val="0"/>
        <w:ind w:right="-694"/>
        <w:rPr>
          <w:color w:val="000000"/>
        </w:rPr>
      </w:pPr>
      <w:r>
        <w:rPr>
          <w:color w:val="000000"/>
        </w:rPr>
        <w:t>There are n</w:t>
      </w:r>
      <w:r w:rsidR="00BE5ED7" w:rsidRPr="00600475">
        <w:rPr>
          <w:color w:val="000000"/>
        </w:rPr>
        <w:t xml:space="preserve">o </w:t>
      </w:r>
      <w:r>
        <w:rPr>
          <w:color w:val="000000"/>
        </w:rPr>
        <w:t xml:space="preserve">human data on the effect of </w:t>
      </w:r>
      <w:proofErr w:type="spellStart"/>
      <w:r>
        <w:rPr>
          <w:color w:val="000000"/>
        </w:rPr>
        <w:t>pralatrexate</w:t>
      </w:r>
      <w:proofErr w:type="spellEnd"/>
      <w:r>
        <w:rPr>
          <w:color w:val="000000"/>
        </w:rPr>
        <w:t xml:space="preserve"> on </w:t>
      </w:r>
      <w:r w:rsidR="00BE5ED7" w:rsidRPr="00600475">
        <w:rPr>
          <w:color w:val="000000"/>
        </w:rPr>
        <w:t>fertility</w:t>
      </w:r>
      <w:r>
        <w:rPr>
          <w:color w:val="000000"/>
        </w:rPr>
        <w:t>.  No fertility</w:t>
      </w:r>
      <w:r w:rsidR="00BE5ED7" w:rsidRPr="00600475">
        <w:rPr>
          <w:color w:val="000000"/>
        </w:rPr>
        <w:t xml:space="preserve"> studies have been performed</w:t>
      </w:r>
      <w:r>
        <w:rPr>
          <w:color w:val="000000"/>
        </w:rPr>
        <w:t xml:space="preserve"> in animals</w:t>
      </w:r>
      <w:r w:rsidR="00BE5ED7" w:rsidRPr="00600475">
        <w:rPr>
          <w:color w:val="000000"/>
        </w:rPr>
        <w:t xml:space="preserve">. </w:t>
      </w:r>
      <w:r w:rsidR="002D344D">
        <w:rPr>
          <w:color w:val="000000"/>
        </w:rPr>
        <w:t xml:space="preserve"> </w:t>
      </w:r>
      <w:r w:rsidR="00325B42">
        <w:rPr>
          <w:color w:val="000000"/>
        </w:rPr>
        <w:t xml:space="preserve">Due to the potential of </w:t>
      </w:r>
      <w:proofErr w:type="spellStart"/>
      <w:r w:rsidR="00325B42">
        <w:rPr>
          <w:color w:val="000000"/>
        </w:rPr>
        <w:t>antifolates</w:t>
      </w:r>
      <w:proofErr w:type="spellEnd"/>
      <w:r w:rsidR="00325B42">
        <w:rPr>
          <w:color w:val="000000"/>
        </w:rPr>
        <w:t xml:space="preserve"> to irreversibly affect fertility, patients should be offered appropriate counselling</w:t>
      </w:r>
      <w:r w:rsidR="00325B42" w:rsidRPr="00600475">
        <w:rPr>
          <w:color w:val="000000"/>
        </w:rPr>
        <w:t xml:space="preserve"> </w:t>
      </w:r>
    </w:p>
    <w:p w:rsidR="00BE5ED7" w:rsidRDefault="00BE5ED7" w:rsidP="00173E07">
      <w:pPr>
        <w:autoSpaceDE w:val="0"/>
        <w:autoSpaceDN w:val="0"/>
        <w:adjustRightInd w:val="0"/>
        <w:ind w:right="-694"/>
        <w:rPr>
          <w:b/>
          <w:bCs/>
          <w:color w:val="000000"/>
        </w:rPr>
      </w:pPr>
    </w:p>
    <w:p w:rsidR="00340BD5" w:rsidRDefault="00BE5ED7" w:rsidP="00523BA4">
      <w:pPr>
        <w:autoSpaceDE w:val="0"/>
        <w:autoSpaceDN w:val="0"/>
        <w:adjustRightInd w:val="0"/>
        <w:ind w:right="-694"/>
        <w:rPr>
          <w:lang w:val="en"/>
        </w:rPr>
      </w:pPr>
      <w:r w:rsidRPr="00BE5ED7">
        <w:rPr>
          <w:bCs/>
          <w:color w:val="000000"/>
          <w:u w:val="single"/>
        </w:rPr>
        <w:t>Use in</w:t>
      </w:r>
      <w:r w:rsidR="0002134C" w:rsidRPr="00BE5ED7">
        <w:rPr>
          <w:bCs/>
          <w:color w:val="000000"/>
          <w:u w:val="single"/>
        </w:rPr>
        <w:t xml:space="preserve"> pregnancy</w:t>
      </w:r>
      <w:r w:rsidR="00E00A5B">
        <w:rPr>
          <w:bCs/>
          <w:color w:val="000000"/>
          <w:u w:val="single"/>
        </w:rPr>
        <w:t xml:space="preserve"> - </w:t>
      </w:r>
      <w:r w:rsidR="0096396A" w:rsidRPr="000D2AB0">
        <w:rPr>
          <w:color w:val="000000"/>
          <w:u w:val="single"/>
        </w:rPr>
        <w:t>Categor</w:t>
      </w:r>
      <w:r w:rsidR="00E00A5B" w:rsidRPr="000D2AB0">
        <w:rPr>
          <w:color w:val="000000"/>
          <w:u w:val="single"/>
        </w:rPr>
        <w:t>y</w:t>
      </w:r>
      <w:r w:rsidR="0096396A" w:rsidRPr="000D2AB0">
        <w:rPr>
          <w:color w:val="000000"/>
          <w:u w:val="single"/>
        </w:rPr>
        <w:t xml:space="preserve"> </w:t>
      </w:r>
      <w:r w:rsidR="00715B74" w:rsidRPr="000D2AB0">
        <w:rPr>
          <w:color w:val="000000"/>
          <w:u w:val="single"/>
        </w:rPr>
        <w:t>D</w:t>
      </w:r>
      <w:r w:rsidR="0096396A">
        <w:rPr>
          <w:color w:val="000000"/>
        </w:rPr>
        <w:t xml:space="preserve">. </w:t>
      </w:r>
      <w:r w:rsidR="00B60429">
        <w:rPr>
          <w:color w:val="000000"/>
        </w:rPr>
        <w:t xml:space="preserve"> </w:t>
      </w:r>
    </w:p>
    <w:p w:rsidR="00D27273" w:rsidRDefault="0002134C" w:rsidP="00173E07">
      <w:pPr>
        <w:autoSpaceDE w:val="0"/>
        <w:autoSpaceDN w:val="0"/>
        <w:adjustRightInd w:val="0"/>
        <w:ind w:right="-694"/>
        <w:rPr>
          <w:color w:val="000000"/>
        </w:rPr>
      </w:pPr>
      <w:r w:rsidRPr="00600475">
        <w:rPr>
          <w:color w:val="000000"/>
        </w:rPr>
        <w:t xml:space="preserve">There are no data from the use of </w:t>
      </w:r>
      <w:proofErr w:type="spellStart"/>
      <w:r w:rsidR="00B60429">
        <w:rPr>
          <w:color w:val="000000"/>
        </w:rPr>
        <w:t>pralatrexate</w:t>
      </w:r>
      <w:proofErr w:type="spellEnd"/>
      <w:r w:rsidRPr="00600475">
        <w:rPr>
          <w:color w:val="000000"/>
        </w:rPr>
        <w:t xml:space="preserve"> in pregnant women. </w:t>
      </w:r>
      <w:r w:rsidR="002D344D">
        <w:rPr>
          <w:color w:val="000000"/>
        </w:rPr>
        <w:t xml:space="preserve"> </w:t>
      </w:r>
      <w:r w:rsidR="00E00A5B">
        <w:rPr>
          <w:color w:val="000000"/>
        </w:rPr>
        <w:t xml:space="preserve">In pregnant rats and rabbits, </w:t>
      </w:r>
      <w:proofErr w:type="spellStart"/>
      <w:r w:rsidR="00E00A5B">
        <w:rPr>
          <w:color w:val="000000"/>
        </w:rPr>
        <w:t>pralatrexate</w:t>
      </w:r>
      <w:proofErr w:type="spellEnd"/>
      <w:r w:rsidR="00E00A5B">
        <w:rPr>
          <w:color w:val="000000"/>
        </w:rPr>
        <w:t xml:space="preserve"> administered IV during the period of organogenesis had a negative effect on </w:t>
      </w:r>
      <w:proofErr w:type="spellStart"/>
      <w:r w:rsidR="00E00A5B">
        <w:rPr>
          <w:color w:val="000000"/>
        </w:rPr>
        <w:t>fetal</w:t>
      </w:r>
      <w:proofErr w:type="spellEnd"/>
      <w:r w:rsidR="00E00A5B">
        <w:rPr>
          <w:color w:val="000000"/>
        </w:rPr>
        <w:t xml:space="preserve"> viability, manifested as an increase in post</w:t>
      </w:r>
      <w:r w:rsidR="00D27273">
        <w:rPr>
          <w:color w:val="000000"/>
        </w:rPr>
        <w:t>-</w:t>
      </w:r>
      <w:r w:rsidR="00E00A5B">
        <w:rPr>
          <w:color w:val="000000"/>
        </w:rPr>
        <w:t xml:space="preserve">implantation loss and a reduced number of live </w:t>
      </w:r>
      <w:proofErr w:type="spellStart"/>
      <w:r w:rsidR="00D27273">
        <w:rPr>
          <w:color w:val="000000"/>
        </w:rPr>
        <w:t>f</w:t>
      </w:r>
      <w:r w:rsidR="00E00A5B">
        <w:rPr>
          <w:color w:val="000000"/>
        </w:rPr>
        <w:t>etuses</w:t>
      </w:r>
      <w:proofErr w:type="spellEnd"/>
      <w:r w:rsidR="00E00A5B">
        <w:rPr>
          <w:color w:val="000000"/>
        </w:rPr>
        <w:t xml:space="preserve"> at greater than or equal to 0.06 mg/kg in rats and 1 mg</w:t>
      </w:r>
      <w:r w:rsidR="00D27273">
        <w:rPr>
          <w:color w:val="000000"/>
        </w:rPr>
        <w:t>/kg in rabb</w:t>
      </w:r>
      <w:r w:rsidR="00E00A5B">
        <w:rPr>
          <w:color w:val="000000"/>
        </w:rPr>
        <w:t>its.  Total litter loss was seen at greater tha</w:t>
      </w:r>
      <w:r w:rsidR="00D27273">
        <w:rPr>
          <w:color w:val="000000"/>
        </w:rPr>
        <w:t>n</w:t>
      </w:r>
      <w:r w:rsidR="00E00A5B">
        <w:rPr>
          <w:color w:val="000000"/>
        </w:rPr>
        <w:t xml:space="preserve"> or equal to 0.1 mg/kg in rats and 1 mg/kg in rabbits.  Estimated exposures at these doses were below or slightly higher than the clinical exposure based on AUC.  Retardation of </w:t>
      </w:r>
      <w:proofErr w:type="spellStart"/>
      <w:r w:rsidR="00E00A5B">
        <w:rPr>
          <w:color w:val="000000"/>
        </w:rPr>
        <w:t>fetal</w:t>
      </w:r>
      <w:proofErr w:type="spellEnd"/>
      <w:r w:rsidR="00E00A5B">
        <w:rPr>
          <w:color w:val="000000"/>
        </w:rPr>
        <w:t xml:space="preserve"> growth was also seen in rats at greater than or equal to 0.00</w:t>
      </w:r>
      <w:r w:rsidR="00D27273">
        <w:rPr>
          <w:color w:val="000000"/>
        </w:rPr>
        <w:t xml:space="preserve">6 mg/kg.  One rat </w:t>
      </w:r>
      <w:proofErr w:type="spellStart"/>
      <w:r w:rsidR="00D27273">
        <w:rPr>
          <w:color w:val="000000"/>
        </w:rPr>
        <w:t>fetus</w:t>
      </w:r>
      <w:proofErr w:type="spellEnd"/>
      <w:r w:rsidR="00D27273">
        <w:rPr>
          <w:color w:val="000000"/>
        </w:rPr>
        <w:t xml:space="preserve"> in the 0</w:t>
      </w:r>
      <w:r w:rsidR="00E00A5B">
        <w:rPr>
          <w:color w:val="000000"/>
        </w:rPr>
        <w:t>.06 mg/kg group had a syndactyly</w:t>
      </w:r>
      <w:r w:rsidR="00D27273">
        <w:rPr>
          <w:color w:val="000000"/>
        </w:rPr>
        <w:t xml:space="preserve"> </w:t>
      </w:r>
      <w:proofErr w:type="spellStart"/>
      <w:r w:rsidR="00D27273">
        <w:rPr>
          <w:color w:val="000000"/>
        </w:rPr>
        <w:t>hindlimb</w:t>
      </w:r>
      <w:proofErr w:type="spellEnd"/>
      <w:r w:rsidR="00D27273">
        <w:rPr>
          <w:color w:val="000000"/>
        </w:rPr>
        <w:t xml:space="preserve"> or </w:t>
      </w:r>
      <w:proofErr w:type="spellStart"/>
      <w:r w:rsidR="00D27273">
        <w:rPr>
          <w:color w:val="000000"/>
        </w:rPr>
        <w:t>brachydactyly</w:t>
      </w:r>
      <w:proofErr w:type="spellEnd"/>
      <w:r w:rsidR="00D27273">
        <w:rPr>
          <w:color w:val="000000"/>
        </w:rPr>
        <w:t xml:space="preserve"> forelimbs.</w:t>
      </w:r>
    </w:p>
    <w:p w:rsidR="00D27273" w:rsidRDefault="00D27273" w:rsidP="00173E07">
      <w:pPr>
        <w:autoSpaceDE w:val="0"/>
        <w:autoSpaceDN w:val="0"/>
        <w:adjustRightInd w:val="0"/>
        <w:ind w:right="-694"/>
        <w:rPr>
          <w:color w:val="000000"/>
        </w:rPr>
      </w:pPr>
    </w:p>
    <w:p w:rsidR="0002134C" w:rsidRPr="00600475" w:rsidRDefault="00E00A5B" w:rsidP="00173E07">
      <w:pPr>
        <w:autoSpaceDE w:val="0"/>
        <w:autoSpaceDN w:val="0"/>
        <w:adjustRightInd w:val="0"/>
        <w:ind w:right="-694"/>
        <w:rPr>
          <w:color w:val="000000"/>
        </w:rPr>
      </w:pPr>
      <w:r>
        <w:rPr>
          <w:color w:val="000000"/>
        </w:rPr>
        <w:t xml:space="preserve"> </w:t>
      </w:r>
      <w:r w:rsidR="0002134C" w:rsidRPr="00600475">
        <w:rPr>
          <w:color w:val="000000"/>
        </w:rPr>
        <w:t xml:space="preserve">FOLOTYN is not recommended during pregnancy </w:t>
      </w:r>
      <w:r w:rsidR="000231BF">
        <w:rPr>
          <w:color w:val="000000"/>
        </w:rPr>
        <w:t>or</w:t>
      </w:r>
      <w:r w:rsidR="002D344D">
        <w:rPr>
          <w:color w:val="000000"/>
        </w:rPr>
        <w:t xml:space="preserve"> </w:t>
      </w:r>
      <w:r w:rsidR="0002134C" w:rsidRPr="00600475">
        <w:rPr>
          <w:color w:val="000000"/>
        </w:rPr>
        <w:t>in</w:t>
      </w:r>
      <w:r w:rsidR="00DD5BEC">
        <w:rPr>
          <w:color w:val="000000"/>
        </w:rPr>
        <w:t xml:space="preserve"> </w:t>
      </w:r>
      <w:r w:rsidR="0002134C" w:rsidRPr="00600475">
        <w:rPr>
          <w:color w:val="000000"/>
        </w:rPr>
        <w:t>women of childbearing</w:t>
      </w:r>
      <w:r w:rsidR="00803568">
        <w:rPr>
          <w:color w:val="000000"/>
        </w:rPr>
        <w:t xml:space="preserve"> </w:t>
      </w:r>
      <w:r w:rsidR="0002134C" w:rsidRPr="00600475">
        <w:rPr>
          <w:color w:val="000000"/>
        </w:rPr>
        <w:t>potential</w:t>
      </w:r>
      <w:r w:rsidR="00803568">
        <w:rPr>
          <w:color w:val="000000"/>
        </w:rPr>
        <w:t>,</w:t>
      </w:r>
      <w:r w:rsidR="0002134C" w:rsidRPr="00600475">
        <w:rPr>
          <w:color w:val="000000"/>
        </w:rPr>
        <w:t xml:space="preserve"> </w:t>
      </w:r>
      <w:r w:rsidR="002D344D">
        <w:rPr>
          <w:color w:val="000000"/>
        </w:rPr>
        <w:t>unless they are</w:t>
      </w:r>
      <w:r w:rsidR="0002134C" w:rsidRPr="00600475">
        <w:rPr>
          <w:color w:val="000000"/>
        </w:rPr>
        <w:t xml:space="preserve"> using </w:t>
      </w:r>
      <w:r w:rsidR="002D344D">
        <w:rPr>
          <w:color w:val="000000"/>
        </w:rPr>
        <w:t xml:space="preserve">reliable </w:t>
      </w:r>
      <w:r w:rsidR="0002134C" w:rsidRPr="00600475">
        <w:rPr>
          <w:color w:val="000000"/>
        </w:rPr>
        <w:t xml:space="preserve">contraception. </w:t>
      </w:r>
      <w:r w:rsidR="002D344D">
        <w:rPr>
          <w:color w:val="000000"/>
        </w:rPr>
        <w:t xml:space="preserve"> </w:t>
      </w:r>
      <w:r w:rsidR="0002134C" w:rsidRPr="00600475">
        <w:rPr>
          <w:color w:val="000000"/>
        </w:rPr>
        <w:t xml:space="preserve">If </w:t>
      </w:r>
      <w:proofErr w:type="spellStart"/>
      <w:r w:rsidR="000231BF">
        <w:rPr>
          <w:color w:val="000000"/>
        </w:rPr>
        <w:t>pralatrexate</w:t>
      </w:r>
      <w:proofErr w:type="spellEnd"/>
      <w:r w:rsidR="002D344D">
        <w:rPr>
          <w:color w:val="000000"/>
        </w:rPr>
        <w:t xml:space="preserve"> is used during pregnancy</w:t>
      </w:r>
      <w:r w:rsidR="0002134C" w:rsidRPr="00600475">
        <w:rPr>
          <w:color w:val="000000"/>
        </w:rPr>
        <w:t xml:space="preserve"> or</w:t>
      </w:r>
      <w:r w:rsidR="00DD5BEC">
        <w:rPr>
          <w:color w:val="000000"/>
        </w:rPr>
        <w:t xml:space="preserve"> </w:t>
      </w:r>
      <w:r w:rsidR="0002134C" w:rsidRPr="00600475">
        <w:rPr>
          <w:color w:val="000000"/>
        </w:rPr>
        <w:t xml:space="preserve">if the patient becomes pregnant while </w:t>
      </w:r>
      <w:r w:rsidR="00B60429">
        <w:rPr>
          <w:color w:val="000000"/>
        </w:rPr>
        <w:t xml:space="preserve">receiving </w:t>
      </w:r>
      <w:proofErr w:type="spellStart"/>
      <w:r w:rsidR="00B60429">
        <w:rPr>
          <w:color w:val="000000"/>
        </w:rPr>
        <w:t>pralatrexate</w:t>
      </w:r>
      <w:proofErr w:type="spellEnd"/>
      <w:r w:rsidR="0002134C" w:rsidRPr="00600475">
        <w:rPr>
          <w:color w:val="000000"/>
        </w:rPr>
        <w:t xml:space="preserve">, the </w:t>
      </w:r>
      <w:r w:rsidR="002D344D" w:rsidRPr="00600475">
        <w:rPr>
          <w:color w:val="000000"/>
        </w:rPr>
        <w:t>possible risk</w:t>
      </w:r>
      <w:r w:rsidR="002D344D">
        <w:rPr>
          <w:color w:val="000000"/>
        </w:rPr>
        <w:t>s</w:t>
      </w:r>
      <w:r w:rsidR="002D344D" w:rsidRPr="00600475">
        <w:rPr>
          <w:color w:val="000000"/>
        </w:rPr>
        <w:t xml:space="preserve"> to the f</w:t>
      </w:r>
      <w:r w:rsidR="00B44BB3">
        <w:rPr>
          <w:color w:val="000000"/>
        </w:rPr>
        <w:t>o</w:t>
      </w:r>
      <w:r w:rsidR="002D344D" w:rsidRPr="00600475">
        <w:rPr>
          <w:color w:val="000000"/>
        </w:rPr>
        <w:t xml:space="preserve">etus </w:t>
      </w:r>
      <w:r w:rsidR="002D344D">
        <w:rPr>
          <w:color w:val="000000"/>
        </w:rPr>
        <w:t>s</w:t>
      </w:r>
      <w:r w:rsidR="000231BF">
        <w:rPr>
          <w:color w:val="000000"/>
        </w:rPr>
        <w:t>hould be discussed with</w:t>
      </w:r>
      <w:r w:rsidR="002D344D">
        <w:rPr>
          <w:color w:val="000000"/>
        </w:rPr>
        <w:t xml:space="preserve"> the </w:t>
      </w:r>
      <w:r w:rsidR="0002134C" w:rsidRPr="00600475">
        <w:rPr>
          <w:color w:val="000000"/>
        </w:rPr>
        <w:t>patient.</w:t>
      </w:r>
    </w:p>
    <w:p w:rsidR="00DD5BEC" w:rsidRPr="00523BA4" w:rsidRDefault="00B60429" w:rsidP="00173E07">
      <w:pPr>
        <w:autoSpaceDE w:val="0"/>
        <w:autoSpaceDN w:val="0"/>
        <w:adjustRightInd w:val="0"/>
        <w:ind w:right="-694"/>
        <w:rPr>
          <w:color w:val="000000"/>
        </w:rPr>
      </w:pPr>
      <w:r w:rsidRPr="00523BA4">
        <w:rPr>
          <w:color w:val="000000"/>
        </w:rPr>
        <w:t xml:space="preserve">Women of childbearing potential must use effective contraception during treatment with </w:t>
      </w:r>
      <w:proofErr w:type="spellStart"/>
      <w:r w:rsidRPr="00523BA4">
        <w:rPr>
          <w:color w:val="000000"/>
        </w:rPr>
        <w:t>pralatrexate</w:t>
      </w:r>
      <w:proofErr w:type="spellEnd"/>
      <w:r w:rsidRPr="00523BA4">
        <w:rPr>
          <w:color w:val="000000"/>
        </w:rPr>
        <w:t>.  Pralatrexate may have genetically damaging effects.  Sexually mature males are advised not to father a child during treatment or up to six months thereafter.  Barrier contraceptive measures or abstinence are recommended.</w:t>
      </w:r>
    </w:p>
    <w:p w:rsidR="00B60429" w:rsidRDefault="00B60429" w:rsidP="00173E07">
      <w:pPr>
        <w:autoSpaceDE w:val="0"/>
        <w:autoSpaceDN w:val="0"/>
        <w:adjustRightInd w:val="0"/>
        <w:ind w:right="-694"/>
        <w:rPr>
          <w:color w:val="000000"/>
          <w:u w:val="single"/>
        </w:rPr>
      </w:pPr>
    </w:p>
    <w:p w:rsidR="0002134C" w:rsidRPr="00DD5BEC" w:rsidRDefault="00BE5ED7" w:rsidP="00173E07">
      <w:pPr>
        <w:autoSpaceDE w:val="0"/>
        <w:autoSpaceDN w:val="0"/>
        <w:adjustRightInd w:val="0"/>
        <w:ind w:right="-694"/>
        <w:rPr>
          <w:color w:val="000000"/>
          <w:u w:val="single"/>
        </w:rPr>
      </w:pPr>
      <w:r>
        <w:rPr>
          <w:color w:val="000000"/>
          <w:u w:val="single"/>
        </w:rPr>
        <w:t>Use in lactation</w:t>
      </w:r>
    </w:p>
    <w:p w:rsidR="00DD5BEC" w:rsidRDefault="003D59C1" w:rsidP="00173E07">
      <w:pPr>
        <w:autoSpaceDE w:val="0"/>
        <w:autoSpaceDN w:val="0"/>
        <w:adjustRightInd w:val="0"/>
        <w:ind w:right="-694"/>
        <w:rPr>
          <w:color w:val="000000"/>
        </w:rPr>
      </w:pPr>
      <w:r>
        <w:rPr>
          <w:color w:val="000000"/>
        </w:rPr>
        <w:t xml:space="preserve">FOLOTYN is </w:t>
      </w:r>
      <w:r w:rsidR="00D14BFD">
        <w:rPr>
          <w:color w:val="000000"/>
        </w:rPr>
        <w:t xml:space="preserve">contraindicated during </w:t>
      </w:r>
      <w:r w:rsidR="00B44BB3">
        <w:rPr>
          <w:color w:val="000000"/>
        </w:rPr>
        <w:t>breast-feeding</w:t>
      </w:r>
      <w:r w:rsidR="00D14BFD">
        <w:rPr>
          <w:color w:val="000000"/>
        </w:rPr>
        <w:t xml:space="preserve"> (see </w:t>
      </w:r>
      <w:r w:rsidR="00D14BFD" w:rsidRPr="00D14BFD">
        <w:rPr>
          <w:b/>
          <w:color w:val="000000"/>
        </w:rPr>
        <w:t>CONTRAINDICATIONS</w:t>
      </w:r>
      <w:r w:rsidR="00D14BFD">
        <w:rPr>
          <w:color w:val="000000"/>
        </w:rPr>
        <w:t>)</w:t>
      </w:r>
      <w:r>
        <w:rPr>
          <w:color w:val="000000"/>
        </w:rPr>
        <w:t xml:space="preserve">.  </w:t>
      </w:r>
      <w:r w:rsidR="008B3669">
        <w:rPr>
          <w:color w:val="000000"/>
        </w:rPr>
        <w:t xml:space="preserve"> </w:t>
      </w:r>
    </w:p>
    <w:p w:rsidR="00DD5BEC" w:rsidRDefault="00DD5BEC" w:rsidP="00173E07">
      <w:pPr>
        <w:autoSpaceDE w:val="0"/>
        <w:autoSpaceDN w:val="0"/>
        <w:adjustRightInd w:val="0"/>
        <w:ind w:right="-694"/>
        <w:rPr>
          <w:b/>
          <w:bCs/>
          <w:color w:val="000000"/>
        </w:rPr>
      </w:pPr>
    </w:p>
    <w:p w:rsidR="003D59C1" w:rsidRPr="009C3585" w:rsidRDefault="003D59C1" w:rsidP="003D59C1">
      <w:pPr>
        <w:autoSpaceDE w:val="0"/>
        <w:autoSpaceDN w:val="0"/>
        <w:adjustRightInd w:val="0"/>
        <w:ind w:right="-694"/>
        <w:rPr>
          <w:color w:val="000000"/>
          <w:u w:val="single"/>
        </w:rPr>
      </w:pPr>
      <w:r w:rsidRPr="009C3585">
        <w:rPr>
          <w:color w:val="000000"/>
          <w:u w:val="single"/>
        </w:rPr>
        <w:t xml:space="preserve">Paediatric </w:t>
      </w:r>
      <w:r>
        <w:rPr>
          <w:color w:val="000000"/>
          <w:u w:val="single"/>
        </w:rPr>
        <w:t>use</w:t>
      </w:r>
    </w:p>
    <w:p w:rsidR="003D59C1" w:rsidRDefault="003D59C1" w:rsidP="003D59C1">
      <w:pPr>
        <w:autoSpaceDE w:val="0"/>
        <w:autoSpaceDN w:val="0"/>
        <w:adjustRightInd w:val="0"/>
        <w:ind w:right="-694"/>
        <w:rPr>
          <w:b/>
          <w:bCs/>
          <w:color w:val="000000"/>
        </w:rPr>
      </w:pPr>
      <w:r w:rsidRPr="00600475">
        <w:rPr>
          <w:color w:val="000000"/>
        </w:rPr>
        <w:t>No data are available in children aged 0 to 18 years</w:t>
      </w:r>
      <w:r>
        <w:rPr>
          <w:color w:val="000000"/>
        </w:rPr>
        <w:t>, and t</w:t>
      </w:r>
      <w:r w:rsidRPr="00600475">
        <w:rPr>
          <w:color w:val="000000"/>
        </w:rPr>
        <w:t>he safety and efficacy of FOLOTYN has not yet been established</w:t>
      </w:r>
      <w:r>
        <w:rPr>
          <w:color w:val="000000"/>
        </w:rPr>
        <w:t xml:space="preserve"> in these patients</w:t>
      </w:r>
      <w:r w:rsidR="00215D83">
        <w:rPr>
          <w:color w:val="000000"/>
        </w:rPr>
        <w:t>.</w:t>
      </w:r>
    </w:p>
    <w:p w:rsidR="003D59C1" w:rsidRDefault="003D59C1" w:rsidP="003D59C1">
      <w:pPr>
        <w:autoSpaceDE w:val="0"/>
        <w:autoSpaceDN w:val="0"/>
        <w:adjustRightInd w:val="0"/>
        <w:ind w:right="-694"/>
        <w:rPr>
          <w:color w:val="000000"/>
          <w:u w:val="single"/>
        </w:rPr>
      </w:pPr>
    </w:p>
    <w:p w:rsidR="003D59C1" w:rsidRPr="00DB3F47" w:rsidRDefault="003D59C1" w:rsidP="003D59C1">
      <w:pPr>
        <w:autoSpaceDE w:val="0"/>
        <w:autoSpaceDN w:val="0"/>
        <w:adjustRightInd w:val="0"/>
        <w:ind w:right="-694"/>
        <w:rPr>
          <w:color w:val="000000"/>
          <w:u w:val="single"/>
        </w:rPr>
      </w:pPr>
      <w:r>
        <w:rPr>
          <w:color w:val="000000"/>
          <w:u w:val="single"/>
        </w:rPr>
        <w:t>Use in the e</w:t>
      </w:r>
      <w:r w:rsidRPr="00DB3F47">
        <w:rPr>
          <w:color w:val="000000"/>
          <w:u w:val="single"/>
        </w:rPr>
        <w:t>lderly</w:t>
      </w:r>
    </w:p>
    <w:p w:rsidR="003D59C1" w:rsidRPr="00600475" w:rsidRDefault="003D59C1" w:rsidP="003D59C1">
      <w:pPr>
        <w:autoSpaceDE w:val="0"/>
        <w:autoSpaceDN w:val="0"/>
        <w:adjustRightInd w:val="0"/>
        <w:ind w:right="-694"/>
        <w:rPr>
          <w:color w:val="000000"/>
        </w:rPr>
      </w:pPr>
      <w:r w:rsidRPr="00600475">
        <w:rPr>
          <w:color w:val="000000"/>
        </w:rPr>
        <w:t>No overall differences in efficacy and safety were observed in patients based on age (</w:t>
      </w:r>
      <w:r>
        <w:rPr>
          <w:color w:val="000000"/>
        </w:rPr>
        <w:t>under</w:t>
      </w:r>
      <w:r w:rsidRPr="00600475">
        <w:rPr>
          <w:color w:val="000000"/>
        </w:rPr>
        <w:t xml:space="preserve"> 65 years</w:t>
      </w:r>
      <w:r>
        <w:rPr>
          <w:color w:val="000000"/>
        </w:rPr>
        <w:t xml:space="preserve"> </w:t>
      </w:r>
      <w:r w:rsidRPr="00600475">
        <w:rPr>
          <w:color w:val="000000"/>
        </w:rPr>
        <w:t>compared with 65 years</w:t>
      </w:r>
      <w:r>
        <w:rPr>
          <w:color w:val="000000"/>
        </w:rPr>
        <w:t xml:space="preserve"> and over</w:t>
      </w:r>
      <w:r w:rsidRPr="00600475">
        <w:rPr>
          <w:color w:val="000000"/>
        </w:rPr>
        <w:t xml:space="preserve">). </w:t>
      </w:r>
      <w:r>
        <w:rPr>
          <w:color w:val="000000"/>
        </w:rPr>
        <w:t xml:space="preserve"> </w:t>
      </w:r>
      <w:r w:rsidRPr="00600475">
        <w:rPr>
          <w:color w:val="000000"/>
        </w:rPr>
        <w:t>No dose adjustment is required in elderly patients with normal renal</w:t>
      </w:r>
      <w:r>
        <w:rPr>
          <w:color w:val="000000"/>
        </w:rPr>
        <w:t xml:space="preserve"> function</w:t>
      </w:r>
      <w:r w:rsidR="00325B42">
        <w:rPr>
          <w:color w:val="000000"/>
        </w:rPr>
        <w:t xml:space="preserve"> (see </w:t>
      </w:r>
      <w:r w:rsidR="00325B42" w:rsidRPr="00325B42">
        <w:rPr>
          <w:b/>
          <w:color w:val="000000"/>
        </w:rPr>
        <w:t>DOSAGE AND ADMINISTRATION</w:t>
      </w:r>
      <w:r w:rsidR="00303062">
        <w:rPr>
          <w:b/>
          <w:color w:val="000000"/>
        </w:rPr>
        <w:t xml:space="preserve"> </w:t>
      </w:r>
      <w:r w:rsidR="00303062" w:rsidRPr="00D36B42">
        <w:rPr>
          <w:color w:val="000000"/>
        </w:rPr>
        <w:t>and</w:t>
      </w:r>
      <w:r w:rsidR="00303062">
        <w:rPr>
          <w:b/>
          <w:color w:val="000000"/>
        </w:rPr>
        <w:t xml:space="preserve"> Pharmacokinetics</w:t>
      </w:r>
      <w:r w:rsidR="00325B42">
        <w:rPr>
          <w:color w:val="000000"/>
        </w:rPr>
        <w:t>)</w:t>
      </w:r>
      <w:r w:rsidRPr="00600475">
        <w:rPr>
          <w:color w:val="000000"/>
        </w:rPr>
        <w:t>.</w:t>
      </w:r>
      <w:r w:rsidR="00E61FC6">
        <w:rPr>
          <w:color w:val="000000"/>
        </w:rPr>
        <w:t xml:space="preserve"> </w:t>
      </w:r>
    </w:p>
    <w:p w:rsidR="003D59C1" w:rsidRDefault="003D59C1" w:rsidP="003D59C1">
      <w:pPr>
        <w:autoSpaceDE w:val="0"/>
        <w:autoSpaceDN w:val="0"/>
        <w:adjustRightInd w:val="0"/>
        <w:ind w:right="-694"/>
        <w:rPr>
          <w:color w:val="000000"/>
          <w:u w:val="single"/>
        </w:rPr>
      </w:pPr>
    </w:p>
    <w:p w:rsidR="003D59C1" w:rsidRPr="0056163C" w:rsidRDefault="003D59C1" w:rsidP="003D59C1">
      <w:pPr>
        <w:autoSpaceDE w:val="0"/>
        <w:autoSpaceDN w:val="0"/>
        <w:adjustRightInd w:val="0"/>
        <w:ind w:right="-694"/>
        <w:rPr>
          <w:color w:val="000000"/>
          <w:u w:val="single"/>
        </w:rPr>
      </w:pPr>
      <w:proofErr w:type="spellStart"/>
      <w:r>
        <w:rPr>
          <w:color w:val="000000"/>
          <w:u w:val="single"/>
        </w:rPr>
        <w:t>Genotoxicity</w:t>
      </w:r>
      <w:proofErr w:type="spellEnd"/>
      <w:r w:rsidRPr="0056163C">
        <w:rPr>
          <w:color w:val="000000"/>
          <w:u w:val="single"/>
        </w:rPr>
        <w:t xml:space="preserve"> </w:t>
      </w:r>
    </w:p>
    <w:p w:rsidR="003D59C1" w:rsidRPr="00600475" w:rsidRDefault="003D59C1" w:rsidP="003D59C1">
      <w:pPr>
        <w:autoSpaceDE w:val="0"/>
        <w:autoSpaceDN w:val="0"/>
        <w:adjustRightInd w:val="0"/>
        <w:ind w:right="-694"/>
        <w:rPr>
          <w:color w:val="000000"/>
        </w:rPr>
      </w:pPr>
      <w:r w:rsidRPr="00600475">
        <w:rPr>
          <w:color w:val="000000"/>
        </w:rPr>
        <w:t xml:space="preserve">Pralatrexate was not mutagenic in </w:t>
      </w:r>
      <w:r>
        <w:rPr>
          <w:color w:val="000000"/>
        </w:rPr>
        <w:t xml:space="preserve">the </w:t>
      </w:r>
      <w:r w:rsidRPr="00600475">
        <w:rPr>
          <w:color w:val="000000"/>
        </w:rPr>
        <w:t xml:space="preserve">standard </w:t>
      </w:r>
      <w:r w:rsidRPr="00600475">
        <w:rPr>
          <w:i/>
          <w:iCs/>
          <w:color w:val="000000"/>
        </w:rPr>
        <w:t xml:space="preserve">in vitro </w:t>
      </w:r>
      <w:r w:rsidRPr="00600475">
        <w:rPr>
          <w:color w:val="000000"/>
        </w:rPr>
        <w:t xml:space="preserve">and </w:t>
      </w:r>
      <w:r w:rsidRPr="00600475">
        <w:rPr>
          <w:i/>
          <w:iCs/>
          <w:color w:val="000000"/>
        </w:rPr>
        <w:t xml:space="preserve">in vivo </w:t>
      </w:r>
      <w:r w:rsidRPr="00600475">
        <w:rPr>
          <w:color w:val="000000"/>
        </w:rPr>
        <w:t>mutagenicity assays</w:t>
      </w:r>
      <w:r>
        <w:rPr>
          <w:color w:val="000000"/>
        </w:rPr>
        <w:t xml:space="preserve">, including </w:t>
      </w:r>
      <w:r w:rsidRPr="00600475">
        <w:rPr>
          <w:color w:val="000000"/>
        </w:rPr>
        <w:t xml:space="preserve">Ames </w:t>
      </w:r>
      <w:r>
        <w:rPr>
          <w:color w:val="000000"/>
        </w:rPr>
        <w:t>t</w:t>
      </w:r>
      <w:r w:rsidRPr="00600475">
        <w:rPr>
          <w:color w:val="000000"/>
        </w:rPr>
        <w:t>est,</w:t>
      </w:r>
      <w:r>
        <w:rPr>
          <w:color w:val="000000"/>
        </w:rPr>
        <w:t xml:space="preserve"> </w:t>
      </w:r>
      <w:r w:rsidRPr="00600475">
        <w:rPr>
          <w:color w:val="000000"/>
        </w:rPr>
        <w:t>Chinese hamster ovary (CHO) c</w:t>
      </w:r>
      <w:r>
        <w:rPr>
          <w:color w:val="000000"/>
        </w:rPr>
        <w:t>ell chromosome aberration assay</w:t>
      </w:r>
      <w:r w:rsidRPr="00600475">
        <w:rPr>
          <w:color w:val="000000"/>
        </w:rPr>
        <w:t xml:space="preserve"> and mouse </w:t>
      </w:r>
      <w:r>
        <w:rPr>
          <w:color w:val="000000"/>
        </w:rPr>
        <w:t>m</w:t>
      </w:r>
      <w:r w:rsidRPr="00600475">
        <w:rPr>
          <w:color w:val="000000"/>
        </w:rPr>
        <w:t>icronucleus assay</w:t>
      </w:r>
      <w:r>
        <w:rPr>
          <w:color w:val="000000"/>
        </w:rPr>
        <w:t xml:space="preserve">. </w:t>
      </w:r>
      <w:r w:rsidR="00325B42">
        <w:rPr>
          <w:color w:val="000000"/>
        </w:rPr>
        <w:t xml:space="preserve"> However, these tests may not reliably predict </w:t>
      </w:r>
      <w:proofErr w:type="spellStart"/>
      <w:r w:rsidR="00325B42">
        <w:rPr>
          <w:color w:val="000000"/>
        </w:rPr>
        <w:t>genotoxicity</w:t>
      </w:r>
      <w:proofErr w:type="spellEnd"/>
      <w:r w:rsidR="00325B42">
        <w:rPr>
          <w:color w:val="000000"/>
        </w:rPr>
        <w:t xml:space="preserve"> for this class of compound.  Based on experience with other </w:t>
      </w:r>
      <w:proofErr w:type="spellStart"/>
      <w:r w:rsidR="00325B42">
        <w:rPr>
          <w:color w:val="000000"/>
        </w:rPr>
        <w:t>antifolates</w:t>
      </w:r>
      <w:proofErr w:type="spellEnd"/>
      <w:r w:rsidR="00325B42">
        <w:rPr>
          <w:color w:val="000000"/>
        </w:rPr>
        <w:t xml:space="preserve">, </w:t>
      </w:r>
      <w:r w:rsidR="007B2C7A">
        <w:rPr>
          <w:color w:val="000000"/>
        </w:rPr>
        <w:t>an</w:t>
      </w:r>
      <w:r w:rsidR="00325B42">
        <w:rPr>
          <w:color w:val="000000"/>
        </w:rPr>
        <w:t xml:space="preserve"> increased risk for </w:t>
      </w:r>
      <w:proofErr w:type="spellStart"/>
      <w:r w:rsidR="00325B42">
        <w:rPr>
          <w:color w:val="000000"/>
        </w:rPr>
        <w:t>genotoxicity</w:t>
      </w:r>
      <w:proofErr w:type="spellEnd"/>
      <w:r w:rsidR="00325B42">
        <w:rPr>
          <w:color w:val="000000"/>
        </w:rPr>
        <w:t xml:space="preserve"> from </w:t>
      </w:r>
      <w:proofErr w:type="spellStart"/>
      <w:r w:rsidR="00325B42">
        <w:rPr>
          <w:color w:val="000000"/>
        </w:rPr>
        <w:t>pralatrexate</w:t>
      </w:r>
      <w:proofErr w:type="spellEnd"/>
      <w:r w:rsidR="00325B42">
        <w:rPr>
          <w:color w:val="000000"/>
        </w:rPr>
        <w:t xml:space="preserve"> treatment cannot be excluded.</w:t>
      </w:r>
      <w:r w:rsidRPr="00600475">
        <w:rPr>
          <w:color w:val="000000"/>
        </w:rPr>
        <w:t xml:space="preserve"> </w:t>
      </w:r>
    </w:p>
    <w:p w:rsidR="003D59C1" w:rsidRDefault="003D59C1" w:rsidP="003D59C1">
      <w:pPr>
        <w:autoSpaceDE w:val="0"/>
        <w:autoSpaceDN w:val="0"/>
        <w:adjustRightInd w:val="0"/>
        <w:ind w:right="-694"/>
        <w:rPr>
          <w:bCs/>
          <w:color w:val="000000"/>
          <w:u w:val="single"/>
        </w:rPr>
      </w:pPr>
    </w:p>
    <w:p w:rsidR="003D59C1" w:rsidRPr="00BE5ED7" w:rsidRDefault="003D59C1" w:rsidP="003D59C1">
      <w:pPr>
        <w:autoSpaceDE w:val="0"/>
        <w:autoSpaceDN w:val="0"/>
        <w:adjustRightInd w:val="0"/>
        <w:ind w:right="-694"/>
        <w:rPr>
          <w:color w:val="000000"/>
          <w:u w:val="single"/>
        </w:rPr>
      </w:pPr>
      <w:r w:rsidRPr="00BE5ED7">
        <w:rPr>
          <w:bCs/>
          <w:color w:val="000000"/>
          <w:u w:val="single"/>
        </w:rPr>
        <w:t>Carcinogen</w:t>
      </w:r>
      <w:r w:rsidR="0052614A">
        <w:rPr>
          <w:bCs/>
          <w:color w:val="000000"/>
          <w:u w:val="single"/>
        </w:rPr>
        <w:t>i</w:t>
      </w:r>
      <w:r w:rsidRPr="00BE5ED7">
        <w:rPr>
          <w:bCs/>
          <w:color w:val="000000"/>
          <w:u w:val="single"/>
        </w:rPr>
        <w:t>city</w:t>
      </w:r>
    </w:p>
    <w:p w:rsidR="003D59C1" w:rsidRPr="00600475" w:rsidRDefault="003D59C1" w:rsidP="003D59C1">
      <w:pPr>
        <w:autoSpaceDE w:val="0"/>
        <w:autoSpaceDN w:val="0"/>
        <w:adjustRightInd w:val="0"/>
        <w:ind w:right="-694"/>
        <w:rPr>
          <w:color w:val="000000"/>
        </w:rPr>
      </w:pPr>
      <w:r w:rsidRPr="00600475">
        <w:rPr>
          <w:color w:val="000000"/>
        </w:rPr>
        <w:t xml:space="preserve">Carcinogenicity studies have not been performed with </w:t>
      </w:r>
      <w:proofErr w:type="spellStart"/>
      <w:r w:rsidRPr="00600475">
        <w:rPr>
          <w:color w:val="000000"/>
        </w:rPr>
        <w:t>pralatrexate</w:t>
      </w:r>
      <w:proofErr w:type="spellEnd"/>
      <w:r w:rsidRPr="00600475">
        <w:rPr>
          <w:color w:val="000000"/>
        </w:rPr>
        <w:t>.</w:t>
      </w:r>
    </w:p>
    <w:p w:rsidR="0096396A" w:rsidRDefault="0096396A" w:rsidP="00173E07">
      <w:pPr>
        <w:autoSpaceDE w:val="0"/>
        <w:autoSpaceDN w:val="0"/>
        <w:adjustRightInd w:val="0"/>
        <w:ind w:right="-694"/>
        <w:rPr>
          <w:b/>
          <w:bCs/>
          <w:color w:val="000000"/>
        </w:rPr>
      </w:pPr>
    </w:p>
    <w:p w:rsidR="003D59C1" w:rsidRPr="00A55839" w:rsidRDefault="00A55839" w:rsidP="00173E07">
      <w:pPr>
        <w:autoSpaceDE w:val="0"/>
        <w:autoSpaceDN w:val="0"/>
        <w:adjustRightInd w:val="0"/>
        <w:ind w:right="-694"/>
        <w:rPr>
          <w:bCs/>
          <w:color w:val="000000"/>
          <w:u w:val="single"/>
        </w:rPr>
      </w:pPr>
      <w:r w:rsidRPr="00A55839">
        <w:rPr>
          <w:bCs/>
          <w:color w:val="000000"/>
          <w:u w:val="single"/>
        </w:rPr>
        <w:t>Effects on laboratory tests</w:t>
      </w:r>
    </w:p>
    <w:p w:rsidR="00A55839" w:rsidRPr="00A55839" w:rsidRDefault="00A55839" w:rsidP="00173E07">
      <w:pPr>
        <w:autoSpaceDE w:val="0"/>
        <w:autoSpaceDN w:val="0"/>
        <w:adjustRightInd w:val="0"/>
        <w:ind w:right="-694"/>
        <w:rPr>
          <w:color w:val="000000"/>
        </w:rPr>
      </w:pPr>
      <w:r w:rsidRPr="00600475">
        <w:rPr>
          <w:color w:val="000000"/>
        </w:rPr>
        <w:t>Liver function test abnormalities have been observed after FOLOTYN</w:t>
      </w:r>
      <w:r>
        <w:rPr>
          <w:color w:val="000000"/>
        </w:rPr>
        <w:t xml:space="preserve"> </w:t>
      </w:r>
      <w:r w:rsidRPr="00600475">
        <w:rPr>
          <w:color w:val="000000"/>
        </w:rPr>
        <w:t>administration and are usually not cause for mod</w:t>
      </w:r>
      <w:r w:rsidR="000231BF">
        <w:rPr>
          <w:color w:val="000000"/>
        </w:rPr>
        <w:t>ification of FOLOTYN treatment</w:t>
      </w:r>
      <w:r w:rsidR="00A46373">
        <w:rPr>
          <w:color w:val="000000"/>
        </w:rPr>
        <w:t>.</w:t>
      </w:r>
      <w:r w:rsidR="000231BF">
        <w:rPr>
          <w:color w:val="000000"/>
        </w:rPr>
        <w:t xml:space="preserve"> </w:t>
      </w:r>
      <w:r w:rsidR="00A46373">
        <w:rPr>
          <w:color w:val="000000"/>
        </w:rPr>
        <w:t xml:space="preserve"> </w:t>
      </w:r>
      <w:r w:rsidR="007B2C7A">
        <w:rPr>
          <w:color w:val="000000"/>
        </w:rPr>
        <w:t>Persistent liver function test abnormalities may be indicators of liver toxicity</w:t>
      </w:r>
      <w:r w:rsidR="00B27733">
        <w:rPr>
          <w:color w:val="000000"/>
        </w:rPr>
        <w:t xml:space="preserve"> and require evaluation.  Caution is advised when administering </w:t>
      </w:r>
      <w:proofErr w:type="spellStart"/>
      <w:r w:rsidR="00B27733">
        <w:rPr>
          <w:color w:val="000000"/>
        </w:rPr>
        <w:t>pralatrexate</w:t>
      </w:r>
      <w:proofErr w:type="spellEnd"/>
      <w:r w:rsidR="00B27733">
        <w:rPr>
          <w:color w:val="000000"/>
        </w:rPr>
        <w:t xml:space="preserve"> to patients with hepatic impairment.  It is recommended that patients are monitored for liver function (see </w:t>
      </w:r>
      <w:r w:rsidR="00B27733" w:rsidRPr="00D36B42">
        <w:rPr>
          <w:b/>
          <w:color w:val="000000"/>
        </w:rPr>
        <w:t>PRECAUTIONS</w:t>
      </w:r>
      <w:r w:rsidR="00B27733">
        <w:rPr>
          <w:color w:val="000000"/>
        </w:rPr>
        <w:t>).</w:t>
      </w:r>
    </w:p>
    <w:p w:rsidR="00022A88" w:rsidRPr="00A55839" w:rsidRDefault="00022A88" w:rsidP="00173E07">
      <w:pPr>
        <w:autoSpaceDE w:val="0"/>
        <w:autoSpaceDN w:val="0"/>
        <w:adjustRightInd w:val="0"/>
        <w:ind w:right="-694"/>
        <w:rPr>
          <w:bCs/>
          <w:color w:val="000000"/>
        </w:rPr>
      </w:pPr>
    </w:p>
    <w:p w:rsidR="0096396A" w:rsidRPr="00A55839" w:rsidRDefault="0096396A" w:rsidP="0096396A">
      <w:pPr>
        <w:autoSpaceDE w:val="0"/>
        <w:autoSpaceDN w:val="0"/>
        <w:adjustRightInd w:val="0"/>
        <w:ind w:right="-694"/>
        <w:rPr>
          <w:b/>
          <w:bCs/>
          <w:color w:val="000000"/>
        </w:rPr>
      </w:pPr>
      <w:r w:rsidRPr="00A55839">
        <w:rPr>
          <w:b/>
          <w:bCs/>
          <w:color w:val="000000"/>
        </w:rPr>
        <w:t>INTERACTIONS WITH OTHER MEDICINES</w:t>
      </w:r>
    </w:p>
    <w:p w:rsidR="00843FAE" w:rsidRDefault="00843FAE" w:rsidP="0096396A">
      <w:pPr>
        <w:autoSpaceDE w:val="0"/>
        <w:autoSpaceDN w:val="0"/>
        <w:adjustRightInd w:val="0"/>
        <w:ind w:right="-694"/>
        <w:rPr>
          <w:color w:val="000000"/>
        </w:rPr>
      </w:pPr>
      <w:r w:rsidRPr="00600475">
        <w:rPr>
          <w:color w:val="000000"/>
        </w:rPr>
        <w:t>No formal interaction studies have been performed.</w:t>
      </w:r>
      <w:r>
        <w:rPr>
          <w:color w:val="000000"/>
        </w:rPr>
        <w:t xml:space="preserve">  </w:t>
      </w:r>
    </w:p>
    <w:p w:rsidR="00843FAE" w:rsidRDefault="00843FAE" w:rsidP="0096396A">
      <w:pPr>
        <w:autoSpaceDE w:val="0"/>
        <w:autoSpaceDN w:val="0"/>
        <w:adjustRightInd w:val="0"/>
        <w:ind w:right="-694"/>
        <w:rPr>
          <w:i/>
          <w:color w:val="000000"/>
        </w:rPr>
      </w:pPr>
    </w:p>
    <w:p w:rsidR="0096396A" w:rsidRPr="00893801" w:rsidRDefault="0096396A" w:rsidP="0096396A">
      <w:pPr>
        <w:autoSpaceDE w:val="0"/>
        <w:autoSpaceDN w:val="0"/>
        <w:adjustRightInd w:val="0"/>
        <w:ind w:right="-694"/>
        <w:rPr>
          <w:color w:val="000000"/>
          <w:u w:val="single"/>
        </w:rPr>
      </w:pPr>
      <w:r w:rsidRPr="00893801">
        <w:rPr>
          <w:color w:val="000000"/>
          <w:u w:val="single"/>
        </w:rPr>
        <w:t>Cytochrome P450 interactions</w:t>
      </w:r>
    </w:p>
    <w:p w:rsidR="0096396A" w:rsidRPr="00600475" w:rsidRDefault="0096396A" w:rsidP="0096396A">
      <w:pPr>
        <w:autoSpaceDE w:val="0"/>
        <w:autoSpaceDN w:val="0"/>
        <w:adjustRightInd w:val="0"/>
        <w:ind w:right="-694"/>
        <w:rPr>
          <w:color w:val="000000"/>
        </w:rPr>
      </w:pPr>
      <w:r w:rsidRPr="00600475">
        <w:rPr>
          <w:i/>
          <w:iCs/>
          <w:color w:val="000000"/>
        </w:rPr>
        <w:t xml:space="preserve">In vitro </w:t>
      </w:r>
      <w:r w:rsidRPr="00600475">
        <w:rPr>
          <w:color w:val="000000"/>
        </w:rPr>
        <w:t xml:space="preserve">studies indicated that </w:t>
      </w:r>
      <w:proofErr w:type="spellStart"/>
      <w:r w:rsidRPr="00600475">
        <w:rPr>
          <w:color w:val="000000"/>
        </w:rPr>
        <w:t>pralatrexate</w:t>
      </w:r>
      <w:proofErr w:type="spellEnd"/>
      <w:r w:rsidRPr="00600475">
        <w:rPr>
          <w:color w:val="000000"/>
        </w:rPr>
        <w:t xml:space="preserve"> is not a substrate, inhibitor, or inducer of cytochrome</w:t>
      </w:r>
      <w:r>
        <w:rPr>
          <w:color w:val="000000"/>
        </w:rPr>
        <w:t xml:space="preserve"> </w:t>
      </w:r>
      <w:r w:rsidRPr="00600475">
        <w:rPr>
          <w:color w:val="000000"/>
        </w:rPr>
        <w:t xml:space="preserve">P450 (CYP450) </w:t>
      </w:r>
      <w:proofErr w:type="spellStart"/>
      <w:r w:rsidRPr="00600475">
        <w:rPr>
          <w:color w:val="000000"/>
        </w:rPr>
        <w:t>isoenzymes</w:t>
      </w:r>
      <w:proofErr w:type="spellEnd"/>
      <w:r>
        <w:rPr>
          <w:color w:val="000000"/>
        </w:rPr>
        <w:t>,</w:t>
      </w:r>
      <w:r w:rsidRPr="00600475">
        <w:rPr>
          <w:color w:val="000000"/>
        </w:rPr>
        <w:t xml:space="preserve"> and thus </w:t>
      </w:r>
      <w:r>
        <w:rPr>
          <w:color w:val="000000"/>
        </w:rPr>
        <w:t xml:space="preserve">it </w:t>
      </w:r>
      <w:r w:rsidRPr="00600475">
        <w:rPr>
          <w:color w:val="000000"/>
        </w:rPr>
        <w:t>has low potential for drug-drug interactions at CYP450</w:t>
      </w:r>
      <w:r>
        <w:rPr>
          <w:color w:val="000000"/>
        </w:rPr>
        <w:t xml:space="preserve"> </w:t>
      </w:r>
      <w:proofErr w:type="spellStart"/>
      <w:r>
        <w:rPr>
          <w:color w:val="000000"/>
        </w:rPr>
        <w:t>isoenzymes</w:t>
      </w:r>
      <w:proofErr w:type="spellEnd"/>
      <w:r>
        <w:rPr>
          <w:color w:val="000000"/>
        </w:rPr>
        <w:t>.</w:t>
      </w:r>
    </w:p>
    <w:p w:rsidR="0096396A" w:rsidRDefault="0096396A" w:rsidP="0096396A">
      <w:pPr>
        <w:autoSpaceDE w:val="0"/>
        <w:autoSpaceDN w:val="0"/>
        <w:adjustRightInd w:val="0"/>
        <w:ind w:right="-694"/>
        <w:rPr>
          <w:color w:val="000000"/>
        </w:rPr>
      </w:pPr>
    </w:p>
    <w:p w:rsidR="0096396A" w:rsidRPr="00893801" w:rsidRDefault="00F62D06" w:rsidP="0096396A">
      <w:pPr>
        <w:autoSpaceDE w:val="0"/>
        <w:autoSpaceDN w:val="0"/>
        <w:adjustRightInd w:val="0"/>
        <w:ind w:right="-694"/>
        <w:rPr>
          <w:color w:val="000000"/>
          <w:u w:val="single"/>
        </w:rPr>
      </w:pPr>
      <w:proofErr w:type="spellStart"/>
      <w:r>
        <w:rPr>
          <w:color w:val="000000"/>
          <w:u w:val="single"/>
        </w:rPr>
        <w:t>Uricosurics</w:t>
      </w:r>
      <w:proofErr w:type="spellEnd"/>
    </w:p>
    <w:p w:rsidR="0096396A" w:rsidRPr="00600475" w:rsidRDefault="00DD7AA2" w:rsidP="0096396A">
      <w:pPr>
        <w:autoSpaceDE w:val="0"/>
        <w:autoSpaceDN w:val="0"/>
        <w:adjustRightInd w:val="0"/>
        <w:ind w:right="-694"/>
        <w:rPr>
          <w:color w:val="000000"/>
        </w:rPr>
      </w:pPr>
      <w:r>
        <w:rPr>
          <w:color w:val="000000"/>
        </w:rPr>
        <w:t>Concomitant use with probenecid should be avoided</w:t>
      </w:r>
      <w:r w:rsidRPr="00600475">
        <w:rPr>
          <w:color w:val="000000"/>
        </w:rPr>
        <w:t>.</w:t>
      </w:r>
      <w:r>
        <w:rPr>
          <w:color w:val="000000"/>
        </w:rPr>
        <w:t xml:space="preserve">  T</w:t>
      </w:r>
      <w:r w:rsidR="0096396A" w:rsidRPr="00600475">
        <w:rPr>
          <w:color w:val="000000"/>
        </w:rPr>
        <w:t>he effect of co-a</w:t>
      </w:r>
      <w:r w:rsidR="00F62D06">
        <w:rPr>
          <w:color w:val="000000"/>
        </w:rPr>
        <w:t xml:space="preserve">dministration of the </w:t>
      </w:r>
      <w:proofErr w:type="spellStart"/>
      <w:r w:rsidR="00F62D06">
        <w:rPr>
          <w:color w:val="000000"/>
        </w:rPr>
        <w:t>uricosuric</w:t>
      </w:r>
      <w:proofErr w:type="spellEnd"/>
      <w:r w:rsidR="0096396A" w:rsidRPr="00600475">
        <w:rPr>
          <w:color w:val="000000"/>
        </w:rPr>
        <w:t xml:space="preserve"> probenecid</w:t>
      </w:r>
      <w:r>
        <w:rPr>
          <w:color w:val="000000"/>
        </w:rPr>
        <w:t xml:space="preserve"> on </w:t>
      </w:r>
      <w:proofErr w:type="spellStart"/>
      <w:r>
        <w:rPr>
          <w:color w:val="000000"/>
        </w:rPr>
        <w:t>pralatrexate</w:t>
      </w:r>
      <w:proofErr w:type="spellEnd"/>
      <w:r>
        <w:rPr>
          <w:color w:val="000000"/>
        </w:rPr>
        <w:t xml:space="preserve"> pharmacokinetics</w:t>
      </w:r>
      <w:r w:rsidRPr="00DD7AA2">
        <w:rPr>
          <w:color w:val="000000"/>
        </w:rPr>
        <w:t xml:space="preserve"> </w:t>
      </w:r>
      <w:r>
        <w:rPr>
          <w:color w:val="000000"/>
        </w:rPr>
        <w:t>was investigated in a</w:t>
      </w:r>
      <w:r w:rsidRPr="00600475">
        <w:rPr>
          <w:color w:val="000000"/>
        </w:rPr>
        <w:t xml:space="preserve"> Phase 1 </w:t>
      </w:r>
      <w:r>
        <w:rPr>
          <w:color w:val="000000"/>
        </w:rPr>
        <w:t xml:space="preserve">clinical </w:t>
      </w:r>
      <w:r w:rsidRPr="00600475">
        <w:rPr>
          <w:color w:val="000000"/>
        </w:rPr>
        <w:t>study</w:t>
      </w:r>
      <w:r>
        <w:rPr>
          <w:color w:val="000000"/>
        </w:rPr>
        <w:t xml:space="preserve">.  Co-administration </w:t>
      </w:r>
      <w:r w:rsidR="00F62D06">
        <w:rPr>
          <w:color w:val="000000"/>
        </w:rPr>
        <w:t>of increasing</w:t>
      </w:r>
      <w:r w:rsidR="0096396A" w:rsidRPr="00600475">
        <w:rPr>
          <w:color w:val="000000"/>
        </w:rPr>
        <w:t xml:space="preserve"> doses of probenecid</w:t>
      </w:r>
      <w:r w:rsidR="0096396A">
        <w:rPr>
          <w:color w:val="000000"/>
        </w:rPr>
        <w:t xml:space="preserve"> </w:t>
      </w:r>
      <w:r w:rsidR="0096396A" w:rsidRPr="00600475">
        <w:rPr>
          <w:color w:val="000000"/>
        </w:rPr>
        <w:t xml:space="preserve">resulted in </w:t>
      </w:r>
      <w:r>
        <w:rPr>
          <w:color w:val="000000"/>
        </w:rPr>
        <w:t>reduced</w:t>
      </w:r>
      <w:r w:rsidR="0096396A" w:rsidRPr="00600475">
        <w:rPr>
          <w:color w:val="000000"/>
        </w:rPr>
        <w:t xml:space="preserve"> clearance of </w:t>
      </w:r>
      <w:proofErr w:type="spellStart"/>
      <w:r w:rsidR="00F62D06" w:rsidRPr="00600475">
        <w:rPr>
          <w:color w:val="000000"/>
        </w:rPr>
        <w:t>pralatrexate</w:t>
      </w:r>
      <w:proofErr w:type="spellEnd"/>
      <w:r w:rsidR="0096396A" w:rsidRPr="00600475">
        <w:rPr>
          <w:color w:val="000000"/>
        </w:rPr>
        <w:t xml:space="preserve"> and </w:t>
      </w:r>
      <w:r>
        <w:rPr>
          <w:color w:val="000000"/>
        </w:rPr>
        <w:t xml:space="preserve">a commensurate </w:t>
      </w:r>
      <w:r w:rsidR="0096396A">
        <w:rPr>
          <w:color w:val="000000"/>
        </w:rPr>
        <w:t>i</w:t>
      </w:r>
      <w:r w:rsidR="0096396A" w:rsidRPr="00600475">
        <w:rPr>
          <w:color w:val="000000"/>
        </w:rPr>
        <w:t>ncrease</w:t>
      </w:r>
      <w:r>
        <w:rPr>
          <w:color w:val="000000"/>
        </w:rPr>
        <w:t xml:space="preserve"> in systemic </w:t>
      </w:r>
      <w:r w:rsidR="0096396A" w:rsidRPr="00600475">
        <w:rPr>
          <w:color w:val="000000"/>
        </w:rPr>
        <w:t>exposure</w:t>
      </w:r>
      <w:r>
        <w:rPr>
          <w:color w:val="000000"/>
        </w:rPr>
        <w:t xml:space="preserve"> and reduced tolerability of </w:t>
      </w:r>
      <w:proofErr w:type="spellStart"/>
      <w:r>
        <w:rPr>
          <w:color w:val="000000"/>
        </w:rPr>
        <w:t>pralatrexate</w:t>
      </w:r>
      <w:proofErr w:type="spellEnd"/>
      <w:r>
        <w:rPr>
          <w:color w:val="000000"/>
        </w:rPr>
        <w:t xml:space="preserve">.  </w:t>
      </w:r>
    </w:p>
    <w:p w:rsidR="0096396A" w:rsidRDefault="0096396A" w:rsidP="0096396A">
      <w:pPr>
        <w:autoSpaceDE w:val="0"/>
        <w:autoSpaceDN w:val="0"/>
        <w:adjustRightInd w:val="0"/>
        <w:ind w:right="-694"/>
        <w:rPr>
          <w:color w:val="000000"/>
        </w:rPr>
      </w:pPr>
    </w:p>
    <w:p w:rsidR="0096396A" w:rsidRPr="00893801" w:rsidRDefault="00F62D06" w:rsidP="0096396A">
      <w:pPr>
        <w:autoSpaceDE w:val="0"/>
        <w:autoSpaceDN w:val="0"/>
        <w:adjustRightInd w:val="0"/>
        <w:ind w:right="-694"/>
        <w:rPr>
          <w:color w:val="000000"/>
          <w:u w:val="single"/>
        </w:rPr>
      </w:pPr>
      <w:r>
        <w:rPr>
          <w:color w:val="000000"/>
          <w:u w:val="single"/>
        </w:rPr>
        <w:t>Renal interactions</w:t>
      </w:r>
    </w:p>
    <w:p w:rsidR="00DD7AA2" w:rsidRPr="00DD7AA2" w:rsidRDefault="0096396A" w:rsidP="00DD7AA2">
      <w:pPr>
        <w:pStyle w:val="Paragraph"/>
        <w:tabs>
          <w:tab w:val="left" w:pos="0"/>
        </w:tabs>
        <w:spacing w:after="0"/>
        <w:rPr>
          <w:color w:val="000000"/>
          <w:szCs w:val="24"/>
          <w:lang w:val="en-GB" w:eastAsia="en-GB"/>
        </w:rPr>
      </w:pPr>
      <w:r>
        <w:rPr>
          <w:color w:val="000000"/>
        </w:rPr>
        <w:t>C</w:t>
      </w:r>
      <w:r w:rsidRPr="00600475">
        <w:rPr>
          <w:color w:val="000000"/>
        </w:rPr>
        <w:t>aution should be used in the concomitant administration of drugs that</w:t>
      </w:r>
      <w:r>
        <w:rPr>
          <w:color w:val="000000"/>
        </w:rPr>
        <w:t xml:space="preserve"> </w:t>
      </w:r>
      <w:r w:rsidR="005C35E2">
        <w:rPr>
          <w:color w:val="000000"/>
        </w:rPr>
        <w:t>affect glomerular filtration and/or renal tubular secretion</w:t>
      </w:r>
      <w:r>
        <w:rPr>
          <w:color w:val="000000"/>
        </w:rPr>
        <w:t>,</w:t>
      </w:r>
      <w:r w:rsidR="00F62D06">
        <w:rPr>
          <w:color w:val="000000"/>
        </w:rPr>
        <w:t xml:space="preserve"> </w:t>
      </w:r>
      <w:r w:rsidR="00D846EC">
        <w:rPr>
          <w:color w:val="000000"/>
        </w:rPr>
        <w:t>because of the significant contribution of renal excretion</w:t>
      </w:r>
      <w:r w:rsidR="005E27B9">
        <w:rPr>
          <w:color w:val="000000"/>
        </w:rPr>
        <w:t xml:space="preserve"> to the overall clearance of </w:t>
      </w:r>
      <w:proofErr w:type="spellStart"/>
      <w:r w:rsidR="005E27B9">
        <w:rPr>
          <w:color w:val="000000"/>
        </w:rPr>
        <w:t>pralatrexate</w:t>
      </w:r>
      <w:proofErr w:type="spellEnd"/>
      <w:r>
        <w:rPr>
          <w:color w:val="000000"/>
        </w:rPr>
        <w:t xml:space="preserve"> </w:t>
      </w:r>
      <w:r w:rsidR="005E27B9">
        <w:rPr>
          <w:color w:val="000000"/>
        </w:rPr>
        <w:t>(</w:t>
      </w:r>
      <w:r w:rsidRPr="00600475">
        <w:rPr>
          <w:color w:val="000000"/>
        </w:rPr>
        <w:t xml:space="preserve">approximately 34% </w:t>
      </w:r>
      <w:r w:rsidR="00DD7AA2">
        <w:rPr>
          <w:color w:val="000000"/>
        </w:rPr>
        <w:t xml:space="preserve">of </w:t>
      </w:r>
      <w:r w:rsidRPr="00600475">
        <w:rPr>
          <w:color w:val="000000"/>
        </w:rPr>
        <w:t xml:space="preserve">unchanged </w:t>
      </w:r>
      <w:proofErr w:type="spellStart"/>
      <w:r w:rsidRPr="00600475">
        <w:rPr>
          <w:color w:val="000000"/>
        </w:rPr>
        <w:t>pralatrexate</w:t>
      </w:r>
      <w:proofErr w:type="spellEnd"/>
      <w:r>
        <w:rPr>
          <w:color w:val="000000"/>
        </w:rPr>
        <w:t xml:space="preserve"> is excreted </w:t>
      </w:r>
      <w:proofErr w:type="spellStart"/>
      <w:r>
        <w:rPr>
          <w:color w:val="000000"/>
        </w:rPr>
        <w:t>renally</w:t>
      </w:r>
      <w:proofErr w:type="spellEnd"/>
      <w:r w:rsidR="005E27B9">
        <w:rPr>
          <w:color w:val="000000"/>
        </w:rPr>
        <w:t>)</w:t>
      </w:r>
      <w:r>
        <w:rPr>
          <w:color w:val="000000"/>
        </w:rPr>
        <w:t>.  Such drugs include</w:t>
      </w:r>
      <w:r w:rsidRPr="00600475">
        <w:rPr>
          <w:color w:val="000000"/>
        </w:rPr>
        <w:t xml:space="preserve"> nonsteroidal anti-inflammatory drugs </w:t>
      </w:r>
      <w:r w:rsidR="00314B6B">
        <w:rPr>
          <w:color w:val="000000"/>
        </w:rPr>
        <w:t>(</w:t>
      </w:r>
      <w:r w:rsidRPr="00600475">
        <w:rPr>
          <w:color w:val="000000"/>
        </w:rPr>
        <w:t>NSAIDs</w:t>
      </w:r>
      <w:r w:rsidR="00314B6B">
        <w:rPr>
          <w:color w:val="000000"/>
        </w:rPr>
        <w:t>)</w:t>
      </w:r>
      <w:r w:rsidR="005C35E2">
        <w:rPr>
          <w:color w:val="000000"/>
        </w:rPr>
        <w:t xml:space="preserve">, </w:t>
      </w:r>
      <w:proofErr w:type="spellStart"/>
      <w:r w:rsidR="005C35E2">
        <w:rPr>
          <w:color w:val="000000"/>
        </w:rPr>
        <w:t>penicillins</w:t>
      </w:r>
      <w:proofErr w:type="spellEnd"/>
      <w:r>
        <w:rPr>
          <w:color w:val="000000"/>
        </w:rPr>
        <w:t>,</w:t>
      </w:r>
      <w:r w:rsidRPr="00600475">
        <w:rPr>
          <w:color w:val="000000"/>
        </w:rPr>
        <w:t xml:space="preserve"> </w:t>
      </w:r>
      <w:r w:rsidR="00DD7AA2" w:rsidRPr="00DD7AA2">
        <w:rPr>
          <w:szCs w:val="24"/>
          <w:lang w:eastAsia="en-GB"/>
        </w:rPr>
        <w:t>omeprazole or pantoprazole</w:t>
      </w:r>
      <w:r w:rsidR="005C35E2">
        <w:rPr>
          <w:szCs w:val="24"/>
          <w:lang w:eastAsia="en-GB"/>
        </w:rPr>
        <w:t>,</w:t>
      </w:r>
      <w:r w:rsidR="00DD7AA2" w:rsidRPr="00DD7AA2">
        <w:rPr>
          <w:color w:val="000000"/>
          <w:szCs w:val="24"/>
        </w:rPr>
        <w:t xml:space="preserve"> as they may result in reduced clearance of </w:t>
      </w:r>
      <w:proofErr w:type="spellStart"/>
      <w:r w:rsidR="00DD7AA2" w:rsidRPr="00DD7AA2">
        <w:rPr>
          <w:color w:val="000000"/>
          <w:szCs w:val="24"/>
        </w:rPr>
        <w:t>pralatrexate</w:t>
      </w:r>
      <w:proofErr w:type="spellEnd"/>
      <w:r w:rsidR="00DD7AA2" w:rsidRPr="00DD7AA2">
        <w:rPr>
          <w:color w:val="000000"/>
          <w:szCs w:val="24"/>
        </w:rPr>
        <w:t xml:space="preserve">.  </w:t>
      </w:r>
      <w:r w:rsidR="00DD7AA2" w:rsidRPr="00DD7AA2">
        <w:rPr>
          <w:color w:val="000000"/>
          <w:szCs w:val="24"/>
          <w:lang w:val="en-GB" w:eastAsia="en-GB"/>
        </w:rPr>
        <w:t xml:space="preserve">In addition, </w:t>
      </w:r>
      <w:r w:rsidR="00F62D06">
        <w:rPr>
          <w:color w:val="000000"/>
          <w:szCs w:val="24"/>
          <w:lang w:val="en-GB" w:eastAsia="en-GB"/>
        </w:rPr>
        <w:t xml:space="preserve">concomitant </w:t>
      </w:r>
      <w:r w:rsidR="00DD7AA2" w:rsidRPr="00DD7AA2">
        <w:rPr>
          <w:color w:val="000000"/>
          <w:szCs w:val="24"/>
          <w:lang w:val="en-GB" w:eastAsia="en-GB"/>
        </w:rPr>
        <w:t>administra</w:t>
      </w:r>
      <w:r w:rsidR="005C35E2">
        <w:rPr>
          <w:color w:val="000000"/>
          <w:szCs w:val="24"/>
          <w:lang w:val="en-GB" w:eastAsia="en-GB"/>
        </w:rPr>
        <w:t>tion of nephrotoxic drugs (e.g.</w:t>
      </w:r>
      <w:r w:rsidR="00DD7AA2" w:rsidRPr="00DD7AA2">
        <w:rPr>
          <w:color w:val="000000"/>
          <w:szCs w:val="24"/>
          <w:lang w:val="en-GB" w:eastAsia="en-GB"/>
        </w:rPr>
        <w:t xml:space="preserve"> aminoglycosides, loop diuretics, platinum compounds, cyclosporine) could </w:t>
      </w:r>
      <w:r w:rsidR="005C35E2">
        <w:rPr>
          <w:color w:val="000000"/>
          <w:szCs w:val="24"/>
          <w:lang w:val="en-GB" w:eastAsia="en-GB"/>
        </w:rPr>
        <w:t xml:space="preserve">also </w:t>
      </w:r>
      <w:r w:rsidR="00DD7AA2" w:rsidRPr="00DD7AA2">
        <w:rPr>
          <w:color w:val="000000"/>
          <w:szCs w:val="24"/>
          <w:lang w:val="en-GB" w:eastAsia="en-GB"/>
        </w:rPr>
        <w:t xml:space="preserve">potentially result in reduced clearance of </w:t>
      </w:r>
      <w:proofErr w:type="spellStart"/>
      <w:r w:rsidR="00DD7AA2" w:rsidRPr="00DD7AA2">
        <w:rPr>
          <w:color w:val="000000"/>
          <w:szCs w:val="24"/>
          <w:lang w:val="en-GB" w:eastAsia="en-GB"/>
        </w:rPr>
        <w:t>pralatrexate</w:t>
      </w:r>
      <w:proofErr w:type="spellEnd"/>
      <w:r w:rsidR="00DD7AA2" w:rsidRPr="00DD7AA2">
        <w:rPr>
          <w:color w:val="000000"/>
          <w:szCs w:val="24"/>
          <w:lang w:val="en-GB" w:eastAsia="en-GB"/>
        </w:rPr>
        <w:t>.</w:t>
      </w:r>
    </w:p>
    <w:p w:rsidR="00DD7AA2" w:rsidRPr="00DD7AA2" w:rsidRDefault="00DD7AA2" w:rsidP="00DD7AA2">
      <w:pPr>
        <w:rPr>
          <w:noProof/>
        </w:rPr>
      </w:pPr>
    </w:p>
    <w:p w:rsidR="005C35E2" w:rsidRPr="005C35E2" w:rsidRDefault="005C35E2" w:rsidP="00DD7AA2">
      <w:pPr>
        <w:pStyle w:val="Paragraph"/>
        <w:spacing w:after="0"/>
        <w:rPr>
          <w:color w:val="000000"/>
          <w:szCs w:val="24"/>
          <w:u w:val="single"/>
          <w:lang w:val="en-GB" w:eastAsia="en-GB"/>
        </w:rPr>
      </w:pPr>
      <w:r>
        <w:rPr>
          <w:color w:val="000000"/>
          <w:szCs w:val="24"/>
          <w:u w:val="single"/>
          <w:lang w:val="en-GB" w:eastAsia="en-GB"/>
        </w:rPr>
        <w:t>T</w:t>
      </w:r>
      <w:r w:rsidRPr="005C35E2">
        <w:rPr>
          <w:color w:val="000000"/>
          <w:szCs w:val="24"/>
          <w:u w:val="single"/>
          <w:lang w:val="en-GB" w:eastAsia="en-GB"/>
        </w:rPr>
        <w:t>ransporters</w:t>
      </w:r>
    </w:p>
    <w:p w:rsidR="00DD7AA2" w:rsidRPr="00DD7AA2" w:rsidRDefault="00DD7AA2" w:rsidP="00DD7AA2">
      <w:pPr>
        <w:pStyle w:val="Paragraph"/>
        <w:spacing w:after="0"/>
        <w:rPr>
          <w:color w:val="000000"/>
          <w:szCs w:val="24"/>
          <w:lang w:val="en-GB" w:eastAsia="en-GB"/>
        </w:rPr>
      </w:pPr>
      <w:r w:rsidRPr="00DD7AA2">
        <w:rPr>
          <w:color w:val="000000"/>
          <w:szCs w:val="24"/>
          <w:lang w:val="en-GB" w:eastAsia="en-GB"/>
        </w:rPr>
        <w:t xml:space="preserve">In </w:t>
      </w:r>
      <w:r w:rsidRPr="00DD7AA2">
        <w:rPr>
          <w:i/>
          <w:color w:val="000000"/>
          <w:szCs w:val="24"/>
          <w:lang w:val="en-GB" w:eastAsia="en-GB"/>
        </w:rPr>
        <w:t>in vitro</w:t>
      </w:r>
      <w:r w:rsidRPr="00DD7AA2">
        <w:rPr>
          <w:color w:val="000000"/>
          <w:szCs w:val="24"/>
          <w:lang w:val="en-GB" w:eastAsia="en-GB"/>
        </w:rPr>
        <w:t xml:space="preserve"> transporter studies, </w:t>
      </w:r>
      <w:proofErr w:type="spellStart"/>
      <w:r w:rsidRPr="00DD7AA2">
        <w:rPr>
          <w:color w:val="000000"/>
          <w:szCs w:val="24"/>
          <w:lang w:val="en-GB" w:eastAsia="en-GB"/>
        </w:rPr>
        <w:t>pralatrexate</w:t>
      </w:r>
      <w:proofErr w:type="spellEnd"/>
      <w:r w:rsidRPr="00DD7AA2">
        <w:rPr>
          <w:color w:val="000000"/>
          <w:szCs w:val="24"/>
          <w:lang w:val="en-GB" w:eastAsia="en-GB"/>
        </w:rPr>
        <w:t xml:space="preserve"> was a substrate for BCRP, OATP1B1, MRP2, MRP3 and OATP1B3.  Pralatrexate was not a significant substrate for P</w:t>
      </w:r>
      <w:r w:rsidRPr="00DD7AA2">
        <w:rPr>
          <w:color w:val="000000"/>
          <w:szCs w:val="24"/>
          <w:lang w:val="en-GB" w:eastAsia="en-GB"/>
        </w:rPr>
        <w:noBreakHyphen/>
      </w:r>
      <w:proofErr w:type="spellStart"/>
      <w:r w:rsidRPr="00DD7AA2">
        <w:rPr>
          <w:color w:val="000000"/>
          <w:szCs w:val="24"/>
          <w:lang w:val="en-GB" w:eastAsia="en-GB"/>
        </w:rPr>
        <w:t>gp</w:t>
      </w:r>
      <w:proofErr w:type="spellEnd"/>
      <w:r w:rsidRPr="00DD7AA2">
        <w:rPr>
          <w:color w:val="000000"/>
          <w:szCs w:val="24"/>
          <w:lang w:val="en-GB" w:eastAsia="en-GB"/>
        </w:rPr>
        <w:t>, OCT2, OAT1</w:t>
      </w:r>
      <w:r w:rsidR="00D27273">
        <w:rPr>
          <w:color w:val="000000"/>
          <w:szCs w:val="24"/>
          <w:lang w:val="en-GB" w:eastAsia="en-GB"/>
        </w:rPr>
        <w:t xml:space="preserve"> or</w:t>
      </w:r>
      <w:r w:rsidRPr="00DD7AA2">
        <w:rPr>
          <w:color w:val="000000"/>
          <w:szCs w:val="24"/>
          <w:lang w:val="en-GB" w:eastAsia="en-GB"/>
        </w:rPr>
        <w:t xml:space="preserve"> OAT3.  Pralatrexate did not significantly inhibit P-</w:t>
      </w:r>
      <w:proofErr w:type="spellStart"/>
      <w:r w:rsidRPr="00DD7AA2">
        <w:rPr>
          <w:color w:val="000000"/>
          <w:szCs w:val="24"/>
          <w:lang w:val="en-GB" w:eastAsia="en-GB"/>
        </w:rPr>
        <w:t>gp</w:t>
      </w:r>
      <w:proofErr w:type="spellEnd"/>
      <w:r w:rsidRPr="00DD7AA2">
        <w:rPr>
          <w:color w:val="000000"/>
          <w:szCs w:val="24"/>
          <w:lang w:val="en-GB" w:eastAsia="en-GB"/>
        </w:rPr>
        <w:t>, BCRP, OCT2, OAT1, OAT3</w:t>
      </w:r>
      <w:r w:rsidR="00D27273">
        <w:rPr>
          <w:color w:val="000000"/>
          <w:szCs w:val="24"/>
          <w:lang w:val="en-GB" w:eastAsia="en-GB"/>
        </w:rPr>
        <w:t>, OATP1B1</w:t>
      </w:r>
      <w:r w:rsidRPr="00DD7AA2">
        <w:rPr>
          <w:color w:val="000000"/>
          <w:szCs w:val="24"/>
          <w:lang w:val="en-GB" w:eastAsia="en-GB"/>
        </w:rPr>
        <w:t xml:space="preserve"> and OATP1B3.  Pralatrexate was a weak inhibitor of MRP2 (IC</w:t>
      </w:r>
      <w:r w:rsidRPr="00DD7AA2">
        <w:rPr>
          <w:color w:val="000000"/>
          <w:szCs w:val="24"/>
          <w:vertAlign w:val="subscript"/>
          <w:lang w:val="en-GB" w:eastAsia="en-GB"/>
        </w:rPr>
        <w:t>50</w:t>
      </w:r>
      <w:r w:rsidRPr="00DD7AA2">
        <w:rPr>
          <w:color w:val="000000"/>
          <w:szCs w:val="24"/>
          <w:lang w:val="en-GB" w:eastAsia="en-GB"/>
        </w:rPr>
        <w:t> = 43.5 µM)</w:t>
      </w:r>
      <w:r w:rsidR="00D27273">
        <w:rPr>
          <w:color w:val="000000"/>
          <w:szCs w:val="24"/>
          <w:lang w:val="en-GB" w:eastAsia="en-GB"/>
        </w:rPr>
        <w:t>,</w:t>
      </w:r>
      <w:r w:rsidRPr="00DD7AA2">
        <w:rPr>
          <w:color w:val="000000"/>
          <w:szCs w:val="24"/>
          <w:lang w:val="en-GB" w:eastAsia="en-GB"/>
        </w:rPr>
        <w:t xml:space="preserve"> and a potent inhibitor of MRP3 (IC</w:t>
      </w:r>
      <w:r w:rsidRPr="00DD7AA2">
        <w:rPr>
          <w:color w:val="000000"/>
          <w:szCs w:val="24"/>
          <w:vertAlign w:val="subscript"/>
          <w:lang w:val="en-GB" w:eastAsia="en-GB"/>
        </w:rPr>
        <w:t>50</w:t>
      </w:r>
      <w:r w:rsidRPr="00DD7AA2">
        <w:rPr>
          <w:color w:val="000000"/>
          <w:szCs w:val="24"/>
          <w:lang w:val="en-GB" w:eastAsia="en-GB"/>
        </w:rPr>
        <w:t xml:space="preserve"> &lt; 0.3 µM).  Since </w:t>
      </w:r>
      <w:proofErr w:type="spellStart"/>
      <w:r w:rsidRPr="00DD7AA2">
        <w:rPr>
          <w:color w:val="000000"/>
          <w:szCs w:val="24"/>
          <w:lang w:val="en-GB" w:eastAsia="en-GB"/>
        </w:rPr>
        <w:t>pralatrexate</w:t>
      </w:r>
      <w:proofErr w:type="spellEnd"/>
      <w:r w:rsidRPr="00DD7AA2">
        <w:rPr>
          <w:color w:val="000000"/>
          <w:szCs w:val="24"/>
          <w:lang w:val="en-GB" w:eastAsia="en-GB"/>
        </w:rPr>
        <w:t xml:space="preserve"> was found to be a potent inhibitor of MRP3, a liver transporter implicated in transport of etoposide, </w:t>
      </w:r>
      <w:proofErr w:type="spellStart"/>
      <w:r w:rsidRPr="00DD7AA2">
        <w:rPr>
          <w:color w:val="000000"/>
          <w:szCs w:val="24"/>
          <w:lang w:val="en-GB" w:eastAsia="en-GB"/>
        </w:rPr>
        <w:t>teniposide</w:t>
      </w:r>
      <w:proofErr w:type="spellEnd"/>
      <w:r w:rsidRPr="00DD7AA2">
        <w:rPr>
          <w:color w:val="000000"/>
          <w:szCs w:val="24"/>
          <w:lang w:val="en-GB" w:eastAsia="en-GB"/>
        </w:rPr>
        <w:t xml:space="preserve">, and methotrexate, caution is advised with concomitant use of these agents with </w:t>
      </w:r>
      <w:proofErr w:type="spellStart"/>
      <w:r w:rsidRPr="00DD7AA2">
        <w:rPr>
          <w:color w:val="000000"/>
          <w:szCs w:val="24"/>
          <w:lang w:val="en-GB" w:eastAsia="en-GB"/>
        </w:rPr>
        <w:t>pralatrexate</w:t>
      </w:r>
      <w:proofErr w:type="spellEnd"/>
      <w:r w:rsidRPr="00DD7AA2">
        <w:rPr>
          <w:color w:val="000000"/>
          <w:szCs w:val="24"/>
          <w:lang w:val="en-GB" w:eastAsia="en-GB"/>
        </w:rPr>
        <w:t>.</w:t>
      </w:r>
    </w:p>
    <w:p w:rsidR="00DD7AA2" w:rsidRPr="00DD7AA2" w:rsidRDefault="00DD7AA2" w:rsidP="00DD7AA2">
      <w:pPr>
        <w:pStyle w:val="Paragraph"/>
        <w:tabs>
          <w:tab w:val="left" w:pos="0"/>
        </w:tabs>
        <w:spacing w:after="0"/>
        <w:rPr>
          <w:color w:val="000000"/>
          <w:szCs w:val="24"/>
          <w:highlight w:val="yellow"/>
          <w:lang w:val="en-GB" w:eastAsia="en-GB"/>
        </w:rPr>
      </w:pPr>
    </w:p>
    <w:p w:rsidR="005C35E2" w:rsidRPr="005C35E2" w:rsidRDefault="00DD7AA2" w:rsidP="00DD7AA2">
      <w:pPr>
        <w:pStyle w:val="Paragraph"/>
        <w:tabs>
          <w:tab w:val="left" w:pos="0"/>
        </w:tabs>
        <w:spacing w:after="0"/>
        <w:rPr>
          <w:color w:val="000000"/>
          <w:szCs w:val="24"/>
          <w:u w:val="single"/>
          <w:lang w:val="en-GB" w:eastAsia="en-GB"/>
        </w:rPr>
      </w:pPr>
      <w:r w:rsidRPr="005C35E2">
        <w:rPr>
          <w:color w:val="000000"/>
          <w:szCs w:val="24"/>
          <w:u w:val="single"/>
          <w:lang w:val="en-GB" w:eastAsia="en-GB"/>
        </w:rPr>
        <w:t xml:space="preserve">Trimethoprim/sulfamethoxazole </w:t>
      </w:r>
    </w:p>
    <w:p w:rsidR="00DD7AA2" w:rsidRPr="00DD7AA2" w:rsidRDefault="005C35E2" w:rsidP="00DD7AA2">
      <w:pPr>
        <w:pStyle w:val="Paragraph"/>
        <w:tabs>
          <w:tab w:val="left" w:pos="0"/>
        </w:tabs>
        <w:spacing w:after="0"/>
        <w:rPr>
          <w:color w:val="000000"/>
          <w:szCs w:val="24"/>
          <w:lang w:val="en-GB" w:eastAsia="en-GB"/>
        </w:rPr>
      </w:pPr>
      <w:r w:rsidRPr="00DD7AA2">
        <w:rPr>
          <w:color w:val="000000"/>
          <w:szCs w:val="24"/>
          <w:lang w:val="en-GB" w:eastAsia="en-GB"/>
        </w:rPr>
        <w:t>Trimethoprim/sulfamethoxazole</w:t>
      </w:r>
      <w:r>
        <w:rPr>
          <w:color w:val="000000"/>
          <w:szCs w:val="24"/>
          <w:lang w:val="en-GB" w:eastAsia="en-GB"/>
        </w:rPr>
        <w:t xml:space="preserve"> </w:t>
      </w:r>
      <w:r w:rsidR="00DD7AA2" w:rsidRPr="00DD7AA2">
        <w:rPr>
          <w:color w:val="000000"/>
          <w:szCs w:val="24"/>
          <w:lang w:val="en-GB" w:eastAsia="en-GB"/>
        </w:rPr>
        <w:t xml:space="preserve">has been reported in rare cases to increase bone marrow suppression in patients treated with methotrexate, presumably because of the </w:t>
      </w:r>
      <w:r w:rsidR="00DD7AA2" w:rsidRPr="00DD7AA2">
        <w:rPr>
          <w:color w:val="000000"/>
          <w:szCs w:val="24"/>
          <w:lang w:val="en-GB" w:eastAsia="en-GB"/>
        </w:rPr>
        <w:lastRenderedPageBreak/>
        <w:t xml:space="preserve">increased </w:t>
      </w:r>
      <w:proofErr w:type="spellStart"/>
      <w:r w:rsidR="00DD7AA2" w:rsidRPr="00DD7AA2">
        <w:rPr>
          <w:color w:val="000000"/>
          <w:szCs w:val="24"/>
          <w:lang w:val="en-GB" w:eastAsia="en-GB"/>
        </w:rPr>
        <w:t>antifolate</w:t>
      </w:r>
      <w:proofErr w:type="spellEnd"/>
      <w:r w:rsidR="00DD7AA2" w:rsidRPr="00DD7AA2">
        <w:rPr>
          <w:color w:val="000000"/>
          <w:szCs w:val="24"/>
          <w:lang w:val="en-GB" w:eastAsia="en-GB"/>
        </w:rPr>
        <w:t xml:space="preserve"> effect.  </w:t>
      </w:r>
      <w:r>
        <w:rPr>
          <w:color w:val="000000"/>
          <w:szCs w:val="24"/>
          <w:lang w:val="en-GB" w:eastAsia="en-GB"/>
        </w:rPr>
        <w:t>C</w:t>
      </w:r>
      <w:r w:rsidR="00DD7AA2" w:rsidRPr="00DD7AA2">
        <w:rPr>
          <w:color w:val="000000"/>
          <w:szCs w:val="24"/>
          <w:lang w:val="en-GB" w:eastAsia="en-GB"/>
        </w:rPr>
        <w:t xml:space="preserve">aution </w:t>
      </w:r>
      <w:r>
        <w:rPr>
          <w:color w:val="000000"/>
          <w:szCs w:val="24"/>
          <w:lang w:val="en-GB" w:eastAsia="en-GB"/>
        </w:rPr>
        <w:t xml:space="preserve">should be exercised </w:t>
      </w:r>
      <w:r w:rsidR="00DD7AA2" w:rsidRPr="00DD7AA2">
        <w:rPr>
          <w:color w:val="000000"/>
          <w:szCs w:val="24"/>
          <w:lang w:val="en-GB" w:eastAsia="en-GB"/>
        </w:rPr>
        <w:t xml:space="preserve">in the concomitant use of these agents with </w:t>
      </w:r>
      <w:proofErr w:type="spellStart"/>
      <w:r w:rsidR="00DD7AA2" w:rsidRPr="00DD7AA2">
        <w:rPr>
          <w:color w:val="000000"/>
          <w:szCs w:val="24"/>
          <w:lang w:val="en-GB" w:eastAsia="en-GB"/>
        </w:rPr>
        <w:t>pralatrexate</w:t>
      </w:r>
      <w:proofErr w:type="spellEnd"/>
      <w:r w:rsidR="00DD7AA2" w:rsidRPr="00DD7AA2">
        <w:rPr>
          <w:color w:val="000000"/>
          <w:szCs w:val="24"/>
          <w:lang w:val="en-GB" w:eastAsia="en-GB"/>
        </w:rPr>
        <w:t>.</w:t>
      </w:r>
    </w:p>
    <w:p w:rsidR="007570F0" w:rsidRDefault="007570F0" w:rsidP="00173E07">
      <w:pPr>
        <w:autoSpaceDE w:val="0"/>
        <w:autoSpaceDN w:val="0"/>
        <w:adjustRightInd w:val="0"/>
        <w:ind w:right="-694"/>
        <w:rPr>
          <w:b/>
          <w:bCs/>
          <w:color w:val="000000"/>
        </w:rPr>
      </w:pPr>
    </w:p>
    <w:p w:rsidR="0002134C" w:rsidRPr="00600475" w:rsidRDefault="00BE5ED7" w:rsidP="00173E07">
      <w:pPr>
        <w:autoSpaceDE w:val="0"/>
        <w:autoSpaceDN w:val="0"/>
        <w:adjustRightInd w:val="0"/>
        <w:ind w:right="-694"/>
        <w:rPr>
          <w:b/>
          <w:bCs/>
          <w:color w:val="000000"/>
        </w:rPr>
      </w:pPr>
      <w:r>
        <w:rPr>
          <w:b/>
          <w:bCs/>
          <w:color w:val="000000"/>
        </w:rPr>
        <w:t xml:space="preserve">ADVERSE </w:t>
      </w:r>
      <w:r w:rsidR="00022A88">
        <w:rPr>
          <w:b/>
          <w:bCs/>
          <w:color w:val="000000"/>
        </w:rPr>
        <w:t>EFFECTS</w:t>
      </w:r>
    </w:p>
    <w:p w:rsidR="008B3669" w:rsidRDefault="0002134C" w:rsidP="00173E07">
      <w:pPr>
        <w:autoSpaceDE w:val="0"/>
        <w:autoSpaceDN w:val="0"/>
        <w:adjustRightInd w:val="0"/>
        <w:ind w:right="-694"/>
        <w:rPr>
          <w:color w:val="000000"/>
        </w:rPr>
      </w:pPr>
      <w:r w:rsidRPr="00600475">
        <w:rPr>
          <w:color w:val="000000"/>
        </w:rPr>
        <w:t xml:space="preserve">The safety of </w:t>
      </w:r>
      <w:proofErr w:type="spellStart"/>
      <w:r w:rsidR="00F62D06">
        <w:rPr>
          <w:color w:val="000000"/>
        </w:rPr>
        <w:t>pralatrexate</w:t>
      </w:r>
      <w:proofErr w:type="spellEnd"/>
      <w:r w:rsidRPr="00600475">
        <w:rPr>
          <w:color w:val="000000"/>
        </w:rPr>
        <w:t xml:space="preserve"> was evaluated in 111 peripheral T-cell lymphoma (PTCL) patients in one</w:t>
      </w:r>
      <w:r w:rsidR="00DD5BEC">
        <w:rPr>
          <w:color w:val="000000"/>
        </w:rPr>
        <w:t xml:space="preserve"> </w:t>
      </w:r>
      <w:r w:rsidRPr="00600475">
        <w:rPr>
          <w:color w:val="000000"/>
        </w:rPr>
        <w:t>single-arm pivotal clinical study, PDX-008, in which patients received 30 mg/m</w:t>
      </w:r>
      <w:r w:rsidRPr="00F463BF">
        <w:rPr>
          <w:color w:val="000000"/>
          <w:vertAlign w:val="superscript"/>
        </w:rPr>
        <w:t>2</w:t>
      </w:r>
      <w:r w:rsidRPr="00600475">
        <w:rPr>
          <w:color w:val="000000"/>
        </w:rPr>
        <w:t xml:space="preserve"> once weekly for</w:t>
      </w:r>
      <w:r w:rsidR="00DD5BEC">
        <w:rPr>
          <w:color w:val="000000"/>
        </w:rPr>
        <w:t xml:space="preserve"> </w:t>
      </w:r>
      <w:r w:rsidRPr="00600475">
        <w:rPr>
          <w:color w:val="000000"/>
        </w:rPr>
        <w:t xml:space="preserve">6 weeks in 7-week cycles. </w:t>
      </w:r>
      <w:r w:rsidR="008B3669">
        <w:rPr>
          <w:color w:val="000000"/>
        </w:rPr>
        <w:t xml:space="preserve"> </w:t>
      </w:r>
      <w:r w:rsidRPr="00600475">
        <w:rPr>
          <w:color w:val="000000"/>
        </w:rPr>
        <w:t>The median duration of treatment was 70 days</w:t>
      </w:r>
      <w:r w:rsidR="008B3669">
        <w:rPr>
          <w:color w:val="000000"/>
        </w:rPr>
        <w:t xml:space="preserve">, with a </w:t>
      </w:r>
      <w:r w:rsidRPr="00600475">
        <w:rPr>
          <w:color w:val="000000"/>
        </w:rPr>
        <w:t xml:space="preserve">range </w:t>
      </w:r>
      <w:r w:rsidR="008B3669">
        <w:rPr>
          <w:color w:val="000000"/>
        </w:rPr>
        <w:t xml:space="preserve">of </w:t>
      </w:r>
      <w:r w:rsidRPr="00600475">
        <w:rPr>
          <w:color w:val="000000"/>
        </w:rPr>
        <w:t>1</w:t>
      </w:r>
      <w:r w:rsidR="008B3669">
        <w:rPr>
          <w:color w:val="000000"/>
        </w:rPr>
        <w:t xml:space="preserve"> </w:t>
      </w:r>
      <w:r w:rsidRPr="00600475">
        <w:rPr>
          <w:color w:val="000000"/>
        </w:rPr>
        <w:t>-</w:t>
      </w:r>
      <w:r w:rsidR="008B3669">
        <w:rPr>
          <w:color w:val="000000"/>
        </w:rPr>
        <w:t xml:space="preserve"> 696 days</w:t>
      </w:r>
      <w:r w:rsidRPr="00600475">
        <w:rPr>
          <w:color w:val="000000"/>
        </w:rPr>
        <w:t>.</w:t>
      </w:r>
      <w:r w:rsidR="008B3669">
        <w:rPr>
          <w:color w:val="000000"/>
        </w:rPr>
        <w:t xml:space="preserve">  </w:t>
      </w:r>
    </w:p>
    <w:p w:rsidR="008B3669" w:rsidRDefault="008B3669" w:rsidP="00173E07">
      <w:pPr>
        <w:autoSpaceDE w:val="0"/>
        <w:autoSpaceDN w:val="0"/>
        <w:adjustRightInd w:val="0"/>
        <w:ind w:right="-694"/>
        <w:rPr>
          <w:color w:val="000000"/>
        </w:rPr>
      </w:pPr>
    </w:p>
    <w:p w:rsidR="003174A7" w:rsidRDefault="0002134C" w:rsidP="00173E07">
      <w:pPr>
        <w:autoSpaceDE w:val="0"/>
        <w:autoSpaceDN w:val="0"/>
        <w:adjustRightInd w:val="0"/>
        <w:ind w:right="-694"/>
        <w:rPr>
          <w:color w:val="000000"/>
        </w:rPr>
      </w:pPr>
      <w:r w:rsidRPr="00600475">
        <w:rPr>
          <w:color w:val="000000"/>
        </w:rPr>
        <w:t>The most frequent</w:t>
      </w:r>
      <w:r w:rsidR="008B3669">
        <w:rPr>
          <w:color w:val="000000"/>
        </w:rPr>
        <w:t>ly reported</w:t>
      </w:r>
      <w:r w:rsidRPr="00600475">
        <w:rPr>
          <w:color w:val="000000"/>
        </w:rPr>
        <w:t xml:space="preserve"> adverse reactions </w:t>
      </w:r>
      <w:r w:rsidR="008B3669">
        <w:rPr>
          <w:color w:val="000000"/>
        </w:rPr>
        <w:t>included</w:t>
      </w:r>
      <w:r w:rsidRPr="00600475">
        <w:rPr>
          <w:color w:val="000000"/>
        </w:rPr>
        <w:t xml:space="preserve"> mucosal inflammation, </w:t>
      </w:r>
      <w:proofErr w:type="spellStart"/>
      <w:r w:rsidRPr="00600475">
        <w:rPr>
          <w:color w:val="000000"/>
        </w:rPr>
        <w:t>myelosuppression</w:t>
      </w:r>
      <w:proofErr w:type="spellEnd"/>
      <w:r w:rsidR="008B3669">
        <w:rPr>
          <w:color w:val="000000"/>
        </w:rPr>
        <w:t xml:space="preserve"> (</w:t>
      </w:r>
      <w:r w:rsidRPr="00600475">
        <w:rPr>
          <w:color w:val="000000"/>
        </w:rPr>
        <w:t>thrombocytopenia, neutropenia and anaemia), gastrointestinal symptoms (nausea, vomiting and</w:t>
      </w:r>
      <w:r w:rsidR="00DD5BEC">
        <w:rPr>
          <w:color w:val="000000"/>
        </w:rPr>
        <w:t xml:space="preserve"> </w:t>
      </w:r>
      <w:r w:rsidRPr="00600475">
        <w:rPr>
          <w:color w:val="000000"/>
        </w:rPr>
        <w:t>constipation)</w:t>
      </w:r>
      <w:r w:rsidR="00D857A5">
        <w:rPr>
          <w:color w:val="000000"/>
        </w:rPr>
        <w:t>,</w:t>
      </w:r>
      <w:r w:rsidRPr="00600475">
        <w:rPr>
          <w:color w:val="000000"/>
        </w:rPr>
        <w:t xml:space="preserve"> fatigue, and epistaxis.</w:t>
      </w:r>
      <w:r w:rsidR="008B3669">
        <w:rPr>
          <w:color w:val="000000"/>
        </w:rPr>
        <w:t xml:space="preserve">  </w:t>
      </w:r>
    </w:p>
    <w:p w:rsidR="003174A7" w:rsidRDefault="003174A7" w:rsidP="00173E07">
      <w:pPr>
        <w:autoSpaceDE w:val="0"/>
        <w:autoSpaceDN w:val="0"/>
        <w:adjustRightInd w:val="0"/>
        <w:ind w:right="-694"/>
        <w:rPr>
          <w:color w:val="000000"/>
        </w:rPr>
      </w:pPr>
    </w:p>
    <w:p w:rsidR="003174A7" w:rsidRDefault="0002134C" w:rsidP="00173E07">
      <w:pPr>
        <w:autoSpaceDE w:val="0"/>
        <w:autoSpaceDN w:val="0"/>
        <w:adjustRightInd w:val="0"/>
        <w:ind w:right="-694"/>
        <w:rPr>
          <w:color w:val="000000"/>
        </w:rPr>
      </w:pPr>
      <w:r w:rsidRPr="00600475">
        <w:rPr>
          <w:color w:val="000000"/>
        </w:rPr>
        <w:t xml:space="preserve">The most serious adverse reactions </w:t>
      </w:r>
      <w:r w:rsidR="008B3669">
        <w:rPr>
          <w:color w:val="000000"/>
        </w:rPr>
        <w:t>included</w:t>
      </w:r>
      <w:r w:rsidRPr="00600475">
        <w:rPr>
          <w:color w:val="000000"/>
        </w:rPr>
        <w:t xml:space="preserve"> bone marrow suppression</w:t>
      </w:r>
      <w:r w:rsidR="008B3669">
        <w:rPr>
          <w:color w:val="000000"/>
        </w:rPr>
        <w:t xml:space="preserve"> (thrombocytopenia, neutropenia</w:t>
      </w:r>
      <w:r w:rsidR="00DD5BEC">
        <w:rPr>
          <w:color w:val="000000"/>
        </w:rPr>
        <w:t xml:space="preserve"> </w:t>
      </w:r>
      <w:r w:rsidRPr="00600475">
        <w:rPr>
          <w:color w:val="000000"/>
        </w:rPr>
        <w:t>and anaemia), mucosal inflammation, dermatological reactions and tumour lysis syndrome.</w:t>
      </w:r>
      <w:r w:rsidR="008B3669">
        <w:rPr>
          <w:color w:val="000000"/>
        </w:rPr>
        <w:t xml:space="preserve">  </w:t>
      </w:r>
    </w:p>
    <w:p w:rsidR="00832C9C" w:rsidRDefault="00832C9C" w:rsidP="00DB3471">
      <w:pPr>
        <w:autoSpaceDE w:val="0"/>
        <w:autoSpaceDN w:val="0"/>
        <w:adjustRightInd w:val="0"/>
        <w:ind w:right="-874"/>
        <w:rPr>
          <w:color w:val="000000"/>
        </w:rPr>
      </w:pPr>
    </w:p>
    <w:p w:rsidR="001E22A4" w:rsidRDefault="0002134C" w:rsidP="00DB3471">
      <w:pPr>
        <w:autoSpaceDE w:val="0"/>
        <w:autoSpaceDN w:val="0"/>
        <w:adjustRightInd w:val="0"/>
        <w:ind w:right="-874"/>
        <w:rPr>
          <w:color w:val="000000"/>
        </w:rPr>
      </w:pPr>
      <w:r w:rsidRPr="00600475">
        <w:rPr>
          <w:color w:val="000000"/>
        </w:rPr>
        <w:t xml:space="preserve">Adverse reactions reported in the </w:t>
      </w:r>
      <w:r w:rsidR="008B3669">
        <w:rPr>
          <w:color w:val="000000"/>
        </w:rPr>
        <w:t xml:space="preserve">trial </w:t>
      </w:r>
      <w:r w:rsidRPr="00600475">
        <w:rPr>
          <w:color w:val="000000"/>
        </w:rPr>
        <w:t>that were at least possibly</w:t>
      </w:r>
      <w:r w:rsidR="00DD5BEC">
        <w:rPr>
          <w:color w:val="000000"/>
        </w:rPr>
        <w:t xml:space="preserve"> </w:t>
      </w:r>
      <w:r w:rsidRPr="00600475">
        <w:rPr>
          <w:color w:val="000000"/>
        </w:rPr>
        <w:t>related to FOLOTYN are listed below by system organ class and frequency.</w:t>
      </w:r>
      <w:r w:rsidR="001E22A4">
        <w:rPr>
          <w:color w:val="000000"/>
        </w:rPr>
        <w:t xml:space="preserve">  </w:t>
      </w:r>
      <w:r w:rsidR="001E22A4">
        <w:rPr>
          <w:color w:val="000000"/>
          <w:u w:val="single"/>
        </w:rPr>
        <w:t>The f</w:t>
      </w:r>
      <w:r w:rsidR="00F03F8A">
        <w:rPr>
          <w:color w:val="000000"/>
          <w:u w:val="single"/>
        </w:rPr>
        <w:t>requency</w:t>
      </w:r>
      <w:r w:rsidR="001E22A4">
        <w:rPr>
          <w:color w:val="000000"/>
          <w:u w:val="single"/>
        </w:rPr>
        <w:t xml:space="preserve"> key was as follows</w:t>
      </w:r>
      <w:r w:rsidR="00F03F8A">
        <w:rPr>
          <w:color w:val="000000"/>
          <w:u w:val="single"/>
        </w:rPr>
        <w:t>:</w:t>
      </w:r>
      <w:r w:rsidRPr="00F03F8A">
        <w:rPr>
          <w:color w:val="000000"/>
        </w:rPr>
        <w:t xml:space="preserve"> </w:t>
      </w:r>
    </w:p>
    <w:p w:rsidR="0002134C" w:rsidRPr="00600475" w:rsidRDefault="001E22A4" w:rsidP="00DB3471">
      <w:pPr>
        <w:autoSpaceDE w:val="0"/>
        <w:autoSpaceDN w:val="0"/>
        <w:adjustRightInd w:val="0"/>
        <w:ind w:right="-874"/>
        <w:rPr>
          <w:color w:val="000000"/>
        </w:rPr>
      </w:pPr>
      <w:r>
        <w:rPr>
          <w:color w:val="000000"/>
        </w:rPr>
        <w:t>V</w:t>
      </w:r>
      <w:r w:rsidR="0002134C" w:rsidRPr="00600475">
        <w:rPr>
          <w:color w:val="000000"/>
        </w:rPr>
        <w:t>ery common (</w:t>
      </w:r>
      <w:r w:rsidR="0002134C" w:rsidRPr="00600475">
        <w:rPr>
          <w:rFonts w:eastAsia="TimesNewRoman"/>
          <w:color w:val="000000"/>
        </w:rPr>
        <w:t xml:space="preserve">≥ </w:t>
      </w:r>
      <w:r w:rsidR="008B3669">
        <w:rPr>
          <w:color w:val="000000"/>
        </w:rPr>
        <w:t>1/10); c</w:t>
      </w:r>
      <w:r w:rsidR="0002134C" w:rsidRPr="00600475">
        <w:rPr>
          <w:color w:val="000000"/>
        </w:rPr>
        <w:t>ommon (</w:t>
      </w:r>
      <w:r w:rsidR="0002134C" w:rsidRPr="00600475">
        <w:rPr>
          <w:rFonts w:eastAsia="TimesNewRoman"/>
          <w:color w:val="000000"/>
        </w:rPr>
        <w:t xml:space="preserve">≥ </w:t>
      </w:r>
      <w:r w:rsidR="008B3669">
        <w:rPr>
          <w:color w:val="000000"/>
        </w:rPr>
        <w:t>1/100 to &lt;</w:t>
      </w:r>
      <w:r w:rsidR="00F62D06">
        <w:rPr>
          <w:color w:val="000000"/>
        </w:rPr>
        <w:t xml:space="preserve"> </w:t>
      </w:r>
      <w:r w:rsidR="008B3669">
        <w:rPr>
          <w:color w:val="000000"/>
        </w:rPr>
        <w:t>1/10); u</w:t>
      </w:r>
      <w:r w:rsidR="0002134C" w:rsidRPr="00600475">
        <w:rPr>
          <w:color w:val="000000"/>
        </w:rPr>
        <w:t>ncommon (</w:t>
      </w:r>
      <w:r w:rsidR="0002134C" w:rsidRPr="00600475">
        <w:rPr>
          <w:rFonts w:eastAsia="TimesNewRoman"/>
          <w:color w:val="000000"/>
        </w:rPr>
        <w:t xml:space="preserve">≥ </w:t>
      </w:r>
      <w:r w:rsidR="0002134C" w:rsidRPr="00600475">
        <w:rPr>
          <w:color w:val="000000"/>
        </w:rPr>
        <w:t>1/1,000 to &lt;</w:t>
      </w:r>
      <w:r w:rsidR="00F62D06">
        <w:rPr>
          <w:color w:val="000000"/>
        </w:rPr>
        <w:t xml:space="preserve"> </w:t>
      </w:r>
      <w:r w:rsidR="0002134C" w:rsidRPr="00600475">
        <w:rPr>
          <w:color w:val="000000"/>
        </w:rPr>
        <w:t>1/100).</w:t>
      </w:r>
      <w:r w:rsidR="008B3669">
        <w:rPr>
          <w:color w:val="000000"/>
        </w:rPr>
        <w:t xml:space="preserve">  </w:t>
      </w:r>
      <w:r w:rsidR="00F03F8A">
        <w:rPr>
          <w:color w:val="000000"/>
        </w:rPr>
        <w:t>A</w:t>
      </w:r>
      <w:r w:rsidR="008B3669">
        <w:rPr>
          <w:color w:val="000000"/>
        </w:rPr>
        <w:t>dverse</w:t>
      </w:r>
      <w:r w:rsidR="008B3669" w:rsidRPr="00600475">
        <w:rPr>
          <w:color w:val="000000"/>
        </w:rPr>
        <w:t xml:space="preserve"> effects are </w:t>
      </w:r>
      <w:r w:rsidR="00F03F8A">
        <w:rPr>
          <w:color w:val="000000"/>
        </w:rPr>
        <w:t xml:space="preserve">shown </w:t>
      </w:r>
      <w:r w:rsidR="0002134C" w:rsidRPr="00600475">
        <w:rPr>
          <w:color w:val="000000"/>
        </w:rPr>
        <w:t>in order of decreasing seriousness</w:t>
      </w:r>
      <w:r w:rsidR="00F03F8A" w:rsidRPr="00F03F8A">
        <w:rPr>
          <w:color w:val="000000"/>
        </w:rPr>
        <w:t xml:space="preserve"> </w:t>
      </w:r>
      <w:r w:rsidR="00DB3471">
        <w:rPr>
          <w:color w:val="000000"/>
        </w:rPr>
        <w:t>with</w:t>
      </w:r>
      <w:r w:rsidR="00F03F8A">
        <w:rPr>
          <w:color w:val="000000"/>
        </w:rPr>
        <w:t>in</w:t>
      </w:r>
      <w:r w:rsidR="00F03F8A" w:rsidRPr="00600475">
        <w:rPr>
          <w:color w:val="000000"/>
        </w:rPr>
        <w:t xml:space="preserve"> each frequency</w:t>
      </w:r>
      <w:r w:rsidR="003174A7">
        <w:rPr>
          <w:color w:val="000000"/>
        </w:rPr>
        <w:t xml:space="preserve"> grouping</w:t>
      </w:r>
      <w:r w:rsidR="0002134C" w:rsidRPr="00600475">
        <w:rPr>
          <w:color w:val="000000"/>
        </w:rPr>
        <w:t>.</w:t>
      </w:r>
    </w:p>
    <w:p w:rsidR="00264BF3" w:rsidRDefault="00264BF3" w:rsidP="00DB3471">
      <w:pPr>
        <w:autoSpaceDE w:val="0"/>
        <w:autoSpaceDN w:val="0"/>
        <w:adjustRightInd w:val="0"/>
        <w:ind w:right="-694"/>
        <w:rPr>
          <w:bCs/>
          <w:color w:val="000000"/>
          <w:u w:val="single"/>
        </w:rPr>
      </w:pPr>
    </w:p>
    <w:p w:rsidR="00A3326A" w:rsidRDefault="0002134C" w:rsidP="00DB3471">
      <w:pPr>
        <w:autoSpaceDE w:val="0"/>
        <w:autoSpaceDN w:val="0"/>
        <w:adjustRightInd w:val="0"/>
        <w:ind w:right="-694"/>
        <w:rPr>
          <w:bCs/>
          <w:color w:val="000000"/>
          <w:u w:val="single"/>
        </w:rPr>
      </w:pPr>
      <w:r w:rsidRPr="00DB3471">
        <w:rPr>
          <w:bCs/>
          <w:color w:val="000000"/>
          <w:u w:val="single"/>
        </w:rPr>
        <w:t xml:space="preserve">Adverse Drug Reactions </w:t>
      </w:r>
      <w:r w:rsidR="00F03F8A" w:rsidRPr="00DB3471">
        <w:rPr>
          <w:bCs/>
          <w:color w:val="000000"/>
          <w:u w:val="single"/>
        </w:rPr>
        <w:t>(from S</w:t>
      </w:r>
      <w:r w:rsidRPr="00DB3471">
        <w:rPr>
          <w:bCs/>
          <w:color w:val="000000"/>
          <w:u w:val="single"/>
        </w:rPr>
        <w:t xml:space="preserve">tudy </w:t>
      </w:r>
      <w:r w:rsidR="00F03F8A" w:rsidRPr="00DB3471">
        <w:rPr>
          <w:bCs/>
          <w:color w:val="000000"/>
          <w:u w:val="single"/>
        </w:rPr>
        <w:t>PDX-008 in 111 PTCL p</w:t>
      </w:r>
      <w:r w:rsidRPr="00DB3471">
        <w:rPr>
          <w:bCs/>
          <w:color w:val="000000"/>
          <w:u w:val="single"/>
        </w:rPr>
        <w:t>atients</w:t>
      </w:r>
      <w:r w:rsidR="00F03F8A" w:rsidRPr="00DB3471">
        <w:rPr>
          <w:bCs/>
          <w:color w:val="000000"/>
          <w:u w:val="single"/>
        </w:rPr>
        <w:t>)</w:t>
      </w:r>
    </w:p>
    <w:p w:rsidR="0002134C" w:rsidRPr="008C3E9A" w:rsidRDefault="00DB3471" w:rsidP="00173E07">
      <w:pPr>
        <w:autoSpaceDE w:val="0"/>
        <w:autoSpaceDN w:val="0"/>
        <w:adjustRightInd w:val="0"/>
        <w:ind w:right="-694"/>
        <w:rPr>
          <w:bCs/>
          <w:i/>
          <w:iCs/>
          <w:color w:val="000000"/>
        </w:rPr>
      </w:pPr>
      <w:r>
        <w:rPr>
          <w:bCs/>
          <w:i/>
          <w:iCs/>
          <w:color w:val="000000"/>
        </w:rPr>
        <w:t>Infections and i</w:t>
      </w:r>
      <w:r w:rsidR="0002134C" w:rsidRPr="008C3E9A">
        <w:rPr>
          <w:bCs/>
          <w:i/>
          <w:iCs/>
          <w:color w:val="000000"/>
        </w:rPr>
        <w:t>nfestations</w:t>
      </w:r>
    </w:p>
    <w:p w:rsidR="0002134C" w:rsidRPr="00600475" w:rsidRDefault="0002134C" w:rsidP="00A3326A">
      <w:pPr>
        <w:autoSpaceDE w:val="0"/>
        <w:autoSpaceDN w:val="0"/>
        <w:adjustRightInd w:val="0"/>
        <w:ind w:left="2160" w:right="-694" w:hanging="2160"/>
        <w:rPr>
          <w:color w:val="000000"/>
        </w:rPr>
      </w:pPr>
      <w:r w:rsidRPr="00600475">
        <w:rPr>
          <w:color w:val="000000"/>
        </w:rPr>
        <w:t xml:space="preserve">Common </w:t>
      </w:r>
      <w:r w:rsidR="00A3326A">
        <w:rPr>
          <w:color w:val="000000"/>
        </w:rPr>
        <w:tab/>
      </w:r>
      <w:r w:rsidRPr="00600475">
        <w:rPr>
          <w:color w:val="000000"/>
        </w:rPr>
        <w:t>Sepsis, pneumonia</w:t>
      </w:r>
      <w:r w:rsidRPr="00A3326A">
        <w:rPr>
          <w:color w:val="000000"/>
          <w:vertAlign w:val="superscript"/>
        </w:rPr>
        <w:t>1</w:t>
      </w:r>
      <w:r w:rsidRPr="00600475">
        <w:rPr>
          <w:color w:val="000000"/>
        </w:rPr>
        <w:t>, bronchitis, urinary tract infection, cellulitis, herpes zoster,</w:t>
      </w:r>
      <w:r w:rsidR="00A3326A">
        <w:rPr>
          <w:color w:val="000000"/>
        </w:rPr>
        <w:t xml:space="preserve"> </w:t>
      </w:r>
      <w:r w:rsidRPr="00600475">
        <w:rPr>
          <w:color w:val="000000"/>
        </w:rPr>
        <w:t>abscess</w:t>
      </w:r>
      <w:r w:rsidRPr="00A3326A">
        <w:rPr>
          <w:color w:val="000000"/>
          <w:vertAlign w:val="superscript"/>
        </w:rPr>
        <w:t>1</w:t>
      </w:r>
      <w:r w:rsidRPr="00600475">
        <w:rPr>
          <w:color w:val="000000"/>
        </w:rPr>
        <w:t>, infection</w:t>
      </w:r>
      <w:r w:rsidRPr="00F463BF">
        <w:rPr>
          <w:color w:val="000000"/>
          <w:vertAlign w:val="superscript"/>
        </w:rPr>
        <w:t>1</w:t>
      </w:r>
      <w:r w:rsidRPr="00600475">
        <w:rPr>
          <w:color w:val="000000"/>
        </w:rPr>
        <w:t>, herpes virus infection</w:t>
      </w:r>
      <w:r w:rsidRPr="00A3326A">
        <w:rPr>
          <w:color w:val="000000"/>
          <w:vertAlign w:val="superscript"/>
        </w:rPr>
        <w:t>1</w:t>
      </w:r>
      <w:r w:rsidRPr="00600475">
        <w:rPr>
          <w:color w:val="000000"/>
        </w:rPr>
        <w:t>, upper respiratory infection</w:t>
      </w:r>
      <w:r w:rsidRPr="00A3326A">
        <w:rPr>
          <w:color w:val="000000"/>
          <w:vertAlign w:val="superscript"/>
        </w:rPr>
        <w:t>1</w:t>
      </w:r>
      <w:r w:rsidRPr="00600475">
        <w:rPr>
          <w:color w:val="000000"/>
        </w:rPr>
        <w:t>, fungal</w:t>
      </w:r>
      <w:r w:rsidR="00A3326A">
        <w:rPr>
          <w:color w:val="000000"/>
        </w:rPr>
        <w:t xml:space="preserve"> </w:t>
      </w:r>
      <w:r w:rsidRPr="00600475">
        <w:rPr>
          <w:color w:val="000000"/>
        </w:rPr>
        <w:t>infection</w:t>
      </w:r>
      <w:r w:rsidRPr="00A3326A">
        <w:rPr>
          <w:color w:val="000000"/>
          <w:vertAlign w:val="superscript"/>
        </w:rPr>
        <w:t>1</w:t>
      </w:r>
      <w:r w:rsidRPr="00600475">
        <w:rPr>
          <w:color w:val="000000"/>
        </w:rPr>
        <w:t>, folliculitis</w:t>
      </w:r>
    </w:p>
    <w:p w:rsidR="0002134C" w:rsidRPr="00600475" w:rsidRDefault="0002134C" w:rsidP="00173E07">
      <w:pPr>
        <w:autoSpaceDE w:val="0"/>
        <w:autoSpaceDN w:val="0"/>
        <w:adjustRightInd w:val="0"/>
        <w:ind w:right="-694"/>
        <w:rPr>
          <w:color w:val="000000"/>
        </w:rPr>
      </w:pPr>
      <w:r w:rsidRPr="00600475">
        <w:rPr>
          <w:color w:val="000000"/>
        </w:rPr>
        <w:t xml:space="preserve">Uncommon </w:t>
      </w:r>
      <w:r w:rsidR="00A3326A">
        <w:rPr>
          <w:color w:val="000000"/>
        </w:rPr>
        <w:tab/>
      </w:r>
      <w:r w:rsidR="00A3326A">
        <w:rPr>
          <w:color w:val="000000"/>
        </w:rPr>
        <w:tab/>
      </w:r>
      <w:r w:rsidRPr="00DB3471">
        <w:rPr>
          <w:color w:val="000000"/>
        </w:rPr>
        <w:t>Clostridium difficile</w:t>
      </w:r>
      <w:r w:rsidRPr="00600475">
        <w:rPr>
          <w:color w:val="000000"/>
        </w:rPr>
        <w:t xml:space="preserve"> colitis, cytomegalovirus colitis</w:t>
      </w:r>
    </w:p>
    <w:p w:rsidR="00F03F8A" w:rsidRDefault="00F03F8A" w:rsidP="00173E07">
      <w:pPr>
        <w:autoSpaceDE w:val="0"/>
        <w:autoSpaceDN w:val="0"/>
        <w:adjustRightInd w:val="0"/>
        <w:ind w:right="-694"/>
        <w:rPr>
          <w:b/>
          <w:bCs/>
          <w:i/>
          <w:iCs/>
          <w:color w:val="000000"/>
        </w:rPr>
      </w:pPr>
    </w:p>
    <w:p w:rsidR="0002134C" w:rsidRPr="00600475" w:rsidRDefault="00DB3471" w:rsidP="00173E07">
      <w:pPr>
        <w:autoSpaceDE w:val="0"/>
        <w:autoSpaceDN w:val="0"/>
        <w:adjustRightInd w:val="0"/>
        <w:ind w:right="-694"/>
        <w:rPr>
          <w:b/>
          <w:bCs/>
          <w:i/>
          <w:iCs/>
          <w:color w:val="000000"/>
        </w:rPr>
      </w:pPr>
      <w:r>
        <w:rPr>
          <w:bCs/>
          <w:i/>
          <w:iCs/>
          <w:color w:val="000000"/>
        </w:rPr>
        <w:t>Neoplasms benign, m</w:t>
      </w:r>
      <w:r w:rsidR="0002134C" w:rsidRPr="008C3E9A">
        <w:rPr>
          <w:bCs/>
          <w:i/>
          <w:iCs/>
          <w:color w:val="000000"/>
        </w:rPr>
        <w:t xml:space="preserve">alignant and </w:t>
      </w:r>
      <w:r>
        <w:rPr>
          <w:bCs/>
          <w:i/>
          <w:iCs/>
          <w:color w:val="000000"/>
        </w:rPr>
        <w:t>u</w:t>
      </w:r>
      <w:r w:rsidR="0002134C" w:rsidRPr="008C3E9A">
        <w:rPr>
          <w:bCs/>
          <w:i/>
          <w:iCs/>
          <w:color w:val="000000"/>
        </w:rPr>
        <w:t>nspecified (</w:t>
      </w:r>
      <w:r>
        <w:rPr>
          <w:bCs/>
          <w:i/>
          <w:iCs/>
          <w:color w:val="000000"/>
        </w:rPr>
        <w:t>i</w:t>
      </w:r>
      <w:r w:rsidR="0002134C" w:rsidRPr="008C3E9A">
        <w:rPr>
          <w:bCs/>
          <w:i/>
          <w:iCs/>
          <w:color w:val="000000"/>
        </w:rPr>
        <w:t xml:space="preserve">ncluding </w:t>
      </w:r>
      <w:r>
        <w:rPr>
          <w:bCs/>
          <w:i/>
          <w:iCs/>
          <w:color w:val="000000"/>
        </w:rPr>
        <w:t>cysts and p</w:t>
      </w:r>
      <w:r w:rsidR="0002134C" w:rsidRPr="008C3E9A">
        <w:rPr>
          <w:bCs/>
          <w:i/>
          <w:iCs/>
          <w:color w:val="000000"/>
        </w:rPr>
        <w:t>olyps)</w:t>
      </w:r>
    </w:p>
    <w:p w:rsidR="0002134C" w:rsidRPr="00600475" w:rsidRDefault="0002134C" w:rsidP="00173E07">
      <w:pPr>
        <w:autoSpaceDE w:val="0"/>
        <w:autoSpaceDN w:val="0"/>
        <w:adjustRightInd w:val="0"/>
        <w:ind w:right="-694"/>
        <w:rPr>
          <w:color w:val="000000"/>
        </w:rPr>
      </w:pPr>
      <w:r w:rsidRPr="00600475">
        <w:rPr>
          <w:color w:val="000000"/>
        </w:rPr>
        <w:t xml:space="preserve">Uncommon </w:t>
      </w:r>
      <w:r w:rsidR="00A3326A">
        <w:rPr>
          <w:color w:val="000000"/>
        </w:rPr>
        <w:tab/>
      </w:r>
      <w:r w:rsidR="00A3326A">
        <w:rPr>
          <w:color w:val="000000"/>
        </w:rPr>
        <w:tab/>
      </w:r>
      <w:r w:rsidRPr="00600475">
        <w:rPr>
          <w:color w:val="000000"/>
        </w:rPr>
        <w:t>Tumour lysis syndrome</w:t>
      </w:r>
    </w:p>
    <w:p w:rsidR="008614F5" w:rsidRDefault="008614F5" w:rsidP="00A3326A">
      <w:pPr>
        <w:autoSpaceDE w:val="0"/>
        <w:autoSpaceDN w:val="0"/>
        <w:adjustRightInd w:val="0"/>
        <w:ind w:right="-694"/>
        <w:rPr>
          <w:b/>
          <w:bCs/>
          <w:i/>
          <w:iCs/>
          <w:color w:val="000000"/>
        </w:rPr>
      </w:pPr>
    </w:p>
    <w:p w:rsidR="0002134C" w:rsidRPr="008C3E9A" w:rsidRDefault="0002134C" w:rsidP="00A3326A">
      <w:pPr>
        <w:autoSpaceDE w:val="0"/>
        <w:autoSpaceDN w:val="0"/>
        <w:adjustRightInd w:val="0"/>
        <w:ind w:right="-694"/>
        <w:rPr>
          <w:bCs/>
          <w:i/>
          <w:iCs/>
          <w:color w:val="000000"/>
        </w:rPr>
      </w:pPr>
      <w:r w:rsidRPr="008C3E9A">
        <w:rPr>
          <w:bCs/>
          <w:i/>
          <w:iCs/>
          <w:color w:val="000000"/>
        </w:rPr>
        <w:t xml:space="preserve">Blood and </w:t>
      </w:r>
      <w:r w:rsidR="00DB3471">
        <w:rPr>
          <w:bCs/>
          <w:i/>
          <w:iCs/>
          <w:color w:val="000000"/>
        </w:rPr>
        <w:t>lymphatic system d</w:t>
      </w:r>
      <w:r w:rsidRPr="008C3E9A">
        <w:rPr>
          <w:bCs/>
          <w:i/>
          <w:iCs/>
          <w:color w:val="000000"/>
        </w:rPr>
        <w:t>isorders</w:t>
      </w:r>
    </w:p>
    <w:p w:rsidR="0002134C" w:rsidRPr="00600475" w:rsidRDefault="0002134C" w:rsidP="00173E07">
      <w:pPr>
        <w:autoSpaceDE w:val="0"/>
        <w:autoSpaceDN w:val="0"/>
        <w:adjustRightInd w:val="0"/>
        <w:ind w:right="-694"/>
        <w:rPr>
          <w:color w:val="000000"/>
        </w:rPr>
      </w:pPr>
      <w:r w:rsidRPr="00600475">
        <w:rPr>
          <w:color w:val="000000"/>
        </w:rPr>
        <w:t xml:space="preserve">Very common </w:t>
      </w:r>
      <w:r w:rsidR="00A3326A">
        <w:rPr>
          <w:color w:val="000000"/>
        </w:rPr>
        <w:tab/>
      </w:r>
      <w:r w:rsidR="00A3326A">
        <w:rPr>
          <w:color w:val="000000"/>
        </w:rPr>
        <w:tab/>
      </w:r>
      <w:r w:rsidRPr="00600475">
        <w:rPr>
          <w:color w:val="000000"/>
        </w:rPr>
        <w:t>Neutropenia</w:t>
      </w:r>
      <w:r w:rsidRPr="00A3326A">
        <w:rPr>
          <w:color w:val="000000"/>
          <w:vertAlign w:val="superscript"/>
        </w:rPr>
        <w:t>1</w:t>
      </w:r>
      <w:r w:rsidRPr="00600475">
        <w:rPr>
          <w:color w:val="000000"/>
        </w:rPr>
        <w:t>, leukopenia</w:t>
      </w:r>
      <w:r w:rsidRPr="00A3326A">
        <w:rPr>
          <w:color w:val="000000"/>
          <w:vertAlign w:val="superscript"/>
        </w:rPr>
        <w:t>1</w:t>
      </w:r>
      <w:r w:rsidRPr="00600475">
        <w:rPr>
          <w:color w:val="000000"/>
        </w:rPr>
        <w:t>, thrombocytopenia</w:t>
      </w:r>
      <w:r w:rsidRPr="00A3326A">
        <w:rPr>
          <w:color w:val="000000"/>
          <w:vertAlign w:val="superscript"/>
        </w:rPr>
        <w:t>1</w:t>
      </w:r>
      <w:r w:rsidRPr="00600475">
        <w:rPr>
          <w:color w:val="000000"/>
        </w:rPr>
        <w:t>, anaemia</w:t>
      </w:r>
      <w:r w:rsidRPr="00A3326A">
        <w:rPr>
          <w:color w:val="000000"/>
          <w:vertAlign w:val="superscript"/>
        </w:rPr>
        <w:t>1</w:t>
      </w:r>
    </w:p>
    <w:p w:rsidR="0002134C" w:rsidRPr="00600475" w:rsidRDefault="0002134C" w:rsidP="00173E07">
      <w:pPr>
        <w:autoSpaceDE w:val="0"/>
        <w:autoSpaceDN w:val="0"/>
        <w:adjustRightInd w:val="0"/>
        <w:ind w:right="-694"/>
        <w:rPr>
          <w:color w:val="000000"/>
        </w:rPr>
      </w:pPr>
      <w:r w:rsidRPr="00600475">
        <w:rPr>
          <w:color w:val="000000"/>
        </w:rPr>
        <w:t xml:space="preserve">Common </w:t>
      </w:r>
      <w:r w:rsidR="00A3326A">
        <w:rPr>
          <w:color w:val="000000"/>
        </w:rPr>
        <w:tab/>
      </w:r>
      <w:r w:rsidR="00A3326A">
        <w:rPr>
          <w:color w:val="000000"/>
        </w:rPr>
        <w:tab/>
      </w:r>
      <w:r w:rsidRPr="00600475">
        <w:rPr>
          <w:color w:val="000000"/>
        </w:rPr>
        <w:t xml:space="preserve">Febrile neutropenia, pancytopenia, </w:t>
      </w:r>
      <w:proofErr w:type="spellStart"/>
      <w:r w:rsidRPr="00600475">
        <w:rPr>
          <w:color w:val="000000"/>
        </w:rPr>
        <w:t>lymphopenia</w:t>
      </w:r>
      <w:proofErr w:type="spellEnd"/>
    </w:p>
    <w:p w:rsidR="0002134C" w:rsidRPr="00600475" w:rsidRDefault="0002134C" w:rsidP="00173E07">
      <w:pPr>
        <w:autoSpaceDE w:val="0"/>
        <w:autoSpaceDN w:val="0"/>
        <w:adjustRightInd w:val="0"/>
        <w:ind w:right="-694"/>
        <w:rPr>
          <w:color w:val="000000"/>
        </w:rPr>
      </w:pPr>
      <w:r w:rsidRPr="00600475">
        <w:rPr>
          <w:color w:val="000000"/>
        </w:rPr>
        <w:t xml:space="preserve">Uncommon </w:t>
      </w:r>
      <w:r w:rsidR="00A3326A">
        <w:rPr>
          <w:color w:val="000000"/>
        </w:rPr>
        <w:tab/>
      </w:r>
      <w:r w:rsidR="00A3326A">
        <w:rPr>
          <w:color w:val="000000"/>
        </w:rPr>
        <w:tab/>
      </w:r>
      <w:r w:rsidRPr="00600475">
        <w:rPr>
          <w:color w:val="000000"/>
        </w:rPr>
        <w:t>Haemolytic anaemia</w:t>
      </w:r>
    </w:p>
    <w:p w:rsidR="00A3326A" w:rsidRDefault="00A3326A" w:rsidP="00173E07">
      <w:pPr>
        <w:autoSpaceDE w:val="0"/>
        <w:autoSpaceDN w:val="0"/>
        <w:adjustRightInd w:val="0"/>
        <w:ind w:right="-694"/>
        <w:rPr>
          <w:b/>
          <w:bCs/>
          <w:i/>
          <w:iCs/>
          <w:color w:val="000000"/>
        </w:rPr>
      </w:pPr>
    </w:p>
    <w:p w:rsidR="0002134C" w:rsidRPr="008C3E9A" w:rsidRDefault="0002134C" w:rsidP="00173E07">
      <w:pPr>
        <w:autoSpaceDE w:val="0"/>
        <w:autoSpaceDN w:val="0"/>
        <w:adjustRightInd w:val="0"/>
        <w:ind w:right="-694"/>
        <w:rPr>
          <w:bCs/>
          <w:i/>
          <w:iCs/>
          <w:color w:val="000000"/>
        </w:rPr>
      </w:pPr>
      <w:r w:rsidRPr="008C3E9A">
        <w:rPr>
          <w:bCs/>
          <w:i/>
          <w:iCs/>
          <w:color w:val="000000"/>
        </w:rPr>
        <w:t xml:space="preserve">Metabolism and </w:t>
      </w:r>
      <w:r w:rsidR="00DB3471">
        <w:rPr>
          <w:bCs/>
          <w:i/>
          <w:iCs/>
          <w:color w:val="000000"/>
        </w:rPr>
        <w:t>n</w:t>
      </w:r>
      <w:r w:rsidRPr="008C3E9A">
        <w:rPr>
          <w:bCs/>
          <w:i/>
          <w:iCs/>
          <w:color w:val="000000"/>
        </w:rPr>
        <w:t xml:space="preserve">utrition </w:t>
      </w:r>
      <w:r w:rsidR="00DB3471">
        <w:rPr>
          <w:bCs/>
          <w:i/>
          <w:iCs/>
          <w:color w:val="000000"/>
        </w:rPr>
        <w:t>d</w:t>
      </w:r>
      <w:r w:rsidRPr="008C3E9A">
        <w:rPr>
          <w:bCs/>
          <w:i/>
          <w:iCs/>
          <w:color w:val="000000"/>
        </w:rPr>
        <w:t>isorders</w:t>
      </w:r>
    </w:p>
    <w:p w:rsidR="0002134C" w:rsidRPr="00600475" w:rsidRDefault="0002134C" w:rsidP="00173E07">
      <w:pPr>
        <w:autoSpaceDE w:val="0"/>
        <w:autoSpaceDN w:val="0"/>
        <w:adjustRightInd w:val="0"/>
        <w:ind w:right="-694"/>
        <w:rPr>
          <w:color w:val="000000"/>
        </w:rPr>
      </w:pPr>
      <w:r w:rsidRPr="00600475">
        <w:rPr>
          <w:color w:val="000000"/>
        </w:rPr>
        <w:t xml:space="preserve">Very common </w:t>
      </w:r>
      <w:r w:rsidR="00A3326A">
        <w:rPr>
          <w:color w:val="000000"/>
        </w:rPr>
        <w:tab/>
      </w:r>
      <w:r w:rsidR="00A3326A">
        <w:rPr>
          <w:color w:val="000000"/>
        </w:rPr>
        <w:tab/>
      </w:r>
      <w:r w:rsidRPr="00600475">
        <w:rPr>
          <w:color w:val="000000"/>
        </w:rPr>
        <w:t>Anorexia</w:t>
      </w:r>
      <w:r w:rsidRPr="00446476">
        <w:rPr>
          <w:color w:val="000000"/>
          <w:vertAlign w:val="superscript"/>
        </w:rPr>
        <w:t>1</w:t>
      </w:r>
    </w:p>
    <w:p w:rsidR="0002134C" w:rsidRPr="00600475" w:rsidRDefault="0002134C" w:rsidP="00446476">
      <w:pPr>
        <w:autoSpaceDE w:val="0"/>
        <w:autoSpaceDN w:val="0"/>
        <w:adjustRightInd w:val="0"/>
        <w:ind w:left="2160" w:right="-694" w:hanging="2160"/>
        <w:rPr>
          <w:color w:val="000000"/>
        </w:rPr>
      </w:pPr>
      <w:r w:rsidRPr="00600475">
        <w:rPr>
          <w:color w:val="000000"/>
        </w:rPr>
        <w:t xml:space="preserve">Common </w:t>
      </w:r>
      <w:r w:rsidR="00446476">
        <w:rPr>
          <w:color w:val="000000"/>
        </w:rPr>
        <w:tab/>
      </w:r>
      <w:r w:rsidRPr="00600475">
        <w:rPr>
          <w:color w:val="000000"/>
        </w:rPr>
        <w:t>Hyperkalaemia, hypokalaemia</w:t>
      </w:r>
      <w:r w:rsidRPr="00446476">
        <w:rPr>
          <w:color w:val="000000"/>
          <w:vertAlign w:val="superscript"/>
        </w:rPr>
        <w:t>1</w:t>
      </w:r>
      <w:r w:rsidRPr="00600475">
        <w:rPr>
          <w:color w:val="000000"/>
        </w:rPr>
        <w:t>, dehydration, hyperuricaemia</w:t>
      </w:r>
      <w:r w:rsidRPr="00DB3471">
        <w:rPr>
          <w:color w:val="000000"/>
          <w:vertAlign w:val="superscript"/>
        </w:rPr>
        <w:t>1</w:t>
      </w:r>
      <w:r w:rsidRPr="00600475">
        <w:rPr>
          <w:color w:val="000000"/>
        </w:rPr>
        <w:t>, hyperglycaemia</w:t>
      </w:r>
      <w:r w:rsidRPr="00446476">
        <w:rPr>
          <w:color w:val="000000"/>
          <w:vertAlign w:val="superscript"/>
        </w:rPr>
        <w:t>1</w:t>
      </w:r>
      <w:r w:rsidRPr="00600475">
        <w:rPr>
          <w:color w:val="000000"/>
        </w:rPr>
        <w:t>,</w:t>
      </w:r>
      <w:r w:rsidR="00446476">
        <w:rPr>
          <w:color w:val="000000"/>
        </w:rPr>
        <w:t xml:space="preserve"> </w:t>
      </w:r>
      <w:r w:rsidRPr="00600475">
        <w:rPr>
          <w:color w:val="000000"/>
        </w:rPr>
        <w:t>hypomagnesaemia, hypophosphataemia</w:t>
      </w:r>
    </w:p>
    <w:p w:rsidR="0002134C" w:rsidRPr="00600475" w:rsidRDefault="0002134C" w:rsidP="00173E07">
      <w:pPr>
        <w:autoSpaceDE w:val="0"/>
        <w:autoSpaceDN w:val="0"/>
        <w:adjustRightInd w:val="0"/>
        <w:ind w:right="-694"/>
        <w:rPr>
          <w:color w:val="000000"/>
        </w:rPr>
      </w:pPr>
      <w:r w:rsidRPr="00600475">
        <w:rPr>
          <w:color w:val="000000"/>
        </w:rPr>
        <w:t xml:space="preserve">Uncommon </w:t>
      </w:r>
      <w:r w:rsidR="00446476">
        <w:rPr>
          <w:color w:val="000000"/>
        </w:rPr>
        <w:tab/>
      </w:r>
      <w:r w:rsidR="00446476">
        <w:rPr>
          <w:color w:val="000000"/>
        </w:rPr>
        <w:tab/>
      </w:r>
      <w:r w:rsidRPr="00600475">
        <w:rPr>
          <w:color w:val="000000"/>
        </w:rPr>
        <w:t>Hypercalcaemia</w:t>
      </w:r>
    </w:p>
    <w:p w:rsidR="00832C9C" w:rsidRDefault="00832C9C" w:rsidP="00173E07">
      <w:pPr>
        <w:autoSpaceDE w:val="0"/>
        <w:autoSpaceDN w:val="0"/>
        <w:adjustRightInd w:val="0"/>
        <w:ind w:right="-694"/>
        <w:rPr>
          <w:bCs/>
          <w:i/>
          <w:iCs/>
          <w:color w:val="000000"/>
        </w:rPr>
      </w:pPr>
    </w:p>
    <w:p w:rsidR="0002134C" w:rsidRPr="008C3E9A" w:rsidRDefault="0002134C" w:rsidP="00173E07">
      <w:pPr>
        <w:autoSpaceDE w:val="0"/>
        <w:autoSpaceDN w:val="0"/>
        <w:adjustRightInd w:val="0"/>
        <w:ind w:right="-694"/>
        <w:rPr>
          <w:bCs/>
          <w:i/>
          <w:iCs/>
          <w:color w:val="000000"/>
        </w:rPr>
      </w:pPr>
      <w:r w:rsidRPr="008C3E9A">
        <w:rPr>
          <w:bCs/>
          <w:i/>
          <w:iCs/>
          <w:color w:val="000000"/>
        </w:rPr>
        <w:t xml:space="preserve">Psychiatric </w:t>
      </w:r>
      <w:r w:rsidR="00DB3471">
        <w:rPr>
          <w:bCs/>
          <w:i/>
          <w:iCs/>
          <w:color w:val="000000"/>
        </w:rPr>
        <w:t>d</w:t>
      </w:r>
      <w:r w:rsidRPr="008C3E9A">
        <w:rPr>
          <w:bCs/>
          <w:i/>
          <w:iCs/>
          <w:color w:val="000000"/>
        </w:rPr>
        <w:t>isorders</w:t>
      </w:r>
    </w:p>
    <w:p w:rsidR="0002134C" w:rsidRPr="00600475" w:rsidRDefault="0002134C" w:rsidP="00173E07">
      <w:pPr>
        <w:autoSpaceDE w:val="0"/>
        <w:autoSpaceDN w:val="0"/>
        <w:adjustRightInd w:val="0"/>
        <w:ind w:right="-694"/>
        <w:rPr>
          <w:color w:val="000000"/>
        </w:rPr>
      </w:pPr>
      <w:r w:rsidRPr="00600475">
        <w:rPr>
          <w:color w:val="000000"/>
        </w:rPr>
        <w:t xml:space="preserve">Common </w:t>
      </w:r>
      <w:r w:rsidR="00446476">
        <w:rPr>
          <w:color w:val="000000"/>
        </w:rPr>
        <w:tab/>
      </w:r>
      <w:r w:rsidR="00446476">
        <w:rPr>
          <w:color w:val="000000"/>
        </w:rPr>
        <w:tab/>
      </w:r>
      <w:r w:rsidRPr="00600475">
        <w:rPr>
          <w:color w:val="000000"/>
        </w:rPr>
        <w:t>Insomnia, anxiety</w:t>
      </w:r>
    </w:p>
    <w:p w:rsidR="000D2AB0" w:rsidRDefault="000D2AB0" w:rsidP="00173E07">
      <w:pPr>
        <w:autoSpaceDE w:val="0"/>
        <w:autoSpaceDN w:val="0"/>
        <w:adjustRightInd w:val="0"/>
        <w:ind w:right="-694"/>
        <w:rPr>
          <w:bCs/>
          <w:i/>
          <w:iCs/>
          <w:color w:val="000000"/>
        </w:rPr>
      </w:pPr>
    </w:p>
    <w:p w:rsidR="0002134C" w:rsidRPr="008C3E9A" w:rsidRDefault="0002134C" w:rsidP="00173E07">
      <w:pPr>
        <w:autoSpaceDE w:val="0"/>
        <w:autoSpaceDN w:val="0"/>
        <w:adjustRightInd w:val="0"/>
        <w:ind w:right="-694"/>
        <w:rPr>
          <w:bCs/>
          <w:i/>
          <w:iCs/>
          <w:color w:val="000000"/>
        </w:rPr>
      </w:pPr>
      <w:r w:rsidRPr="008C3E9A">
        <w:rPr>
          <w:bCs/>
          <w:i/>
          <w:iCs/>
          <w:color w:val="000000"/>
        </w:rPr>
        <w:t xml:space="preserve">Nervous </w:t>
      </w:r>
      <w:r w:rsidR="00DB3471">
        <w:rPr>
          <w:bCs/>
          <w:i/>
          <w:iCs/>
          <w:color w:val="000000"/>
        </w:rPr>
        <w:t>s</w:t>
      </w:r>
      <w:r w:rsidRPr="008C3E9A">
        <w:rPr>
          <w:bCs/>
          <w:i/>
          <w:iCs/>
          <w:color w:val="000000"/>
        </w:rPr>
        <w:t xml:space="preserve">ystem </w:t>
      </w:r>
      <w:r w:rsidR="00DB3471">
        <w:rPr>
          <w:bCs/>
          <w:i/>
          <w:iCs/>
          <w:color w:val="000000"/>
        </w:rPr>
        <w:t>d</w:t>
      </w:r>
      <w:r w:rsidRPr="008C3E9A">
        <w:rPr>
          <w:bCs/>
          <w:i/>
          <w:iCs/>
          <w:color w:val="000000"/>
        </w:rPr>
        <w:t>isorders</w:t>
      </w:r>
    </w:p>
    <w:p w:rsidR="0002134C" w:rsidRPr="00600475" w:rsidRDefault="0002134C" w:rsidP="00446476">
      <w:pPr>
        <w:autoSpaceDE w:val="0"/>
        <w:autoSpaceDN w:val="0"/>
        <w:adjustRightInd w:val="0"/>
        <w:ind w:left="2160" w:right="-694" w:hanging="2160"/>
        <w:rPr>
          <w:color w:val="000000"/>
        </w:rPr>
      </w:pPr>
      <w:r w:rsidRPr="00600475">
        <w:rPr>
          <w:color w:val="000000"/>
        </w:rPr>
        <w:lastRenderedPageBreak/>
        <w:t xml:space="preserve">Common </w:t>
      </w:r>
      <w:r w:rsidR="00446476">
        <w:rPr>
          <w:color w:val="000000"/>
        </w:rPr>
        <w:tab/>
      </w:r>
      <w:r w:rsidRPr="00600475">
        <w:rPr>
          <w:color w:val="000000"/>
        </w:rPr>
        <w:t>Neuropathy peripheral</w:t>
      </w:r>
      <w:r w:rsidRPr="00B23632">
        <w:rPr>
          <w:color w:val="000000"/>
          <w:vertAlign w:val="superscript"/>
        </w:rPr>
        <w:t>1</w:t>
      </w:r>
      <w:r w:rsidRPr="00600475">
        <w:rPr>
          <w:color w:val="000000"/>
        </w:rPr>
        <w:t>, headache, dizziness, paraesthesia</w:t>
      </w:r>
      <w:r w:rsidRPr="00B23632">
        <w:rPr>
          <w:color w:val="000000"/>
          <w:vertAlign w:val="superscript"/>
        </w:rPr>
        <w:t>1</w:t>
      </w:r>
      <w:r w:rsidRPr="00600475">
        <w:rPr>
          <w:color w:val="000000"/>
        </w:rPr>
        <w:t xml:space="preserve">, </w:t>
      </w:r>
      <w:proofErr w:type="spellStart"/>
      <w:r w:rsidRPr="00600475">
        <w:rPr>
          <w:color w:val="000000"/>
        </w:rPr>
        <w:t>hypoaesthesia</w:t>
      </w:r>
      <w:proofErr w:type="spellEnd"/>
    </w:p>
    <w:p w:rsidR="0002134C" w:rsidRPr="00600475" w:rsidRDefault="0002134C" w:rsidP="00173E07">
      <w:pPr>
        <w:autoSpaceDE w:val="0"/>
        <w:autoSpaceDN w:val="0"/>
        <w:adjustRightInd w:val="0"/>
        <w:ind w:right="-694"/>
        <w:rPr>
          <w:color w:val="000000"/>
        </w:rPr>
      </w:pPr>
      <w:r w:rsidRPr="00600475">
        <w:rPr>
          <w:color w:val="000000"/>
        </w:rPr>
        <w:t xml:space="preserve">Uncommon </w:t>
      </w:r>
      <w:r w:rsidR="00446476">
        <w:rPr>
          <w:color w:val="000000"/>
        </w:rPr>
        <w:tab/>
      </w:r>
      <w:r w:rsidR="00446476">
        <w:rPr>
          <w:color w:val="000000"/>
        </w:rPr>
        <w:tab/>
      </w:r>
      <w:r w:rsidRPr="00600475">
        <w:rPr>
          <w:color w:val="000000"/>
        </w:rPr>
        <w:t>Syncope, memory impairment</w:t>
      </w:r>
    </w:p>
    <w:p w:rsidR="00A3326A" w:rsidRDefault="00A3326A" w:rsidP="00173E07">
      <w:pPr>
        <w:autoSpaceDE w:val="0"/>
        <w:autoSpaceDN w:val="0"/>
        <w:adjustRightInd w:val="0"/>
        <w:ind w:right="-694"/>
        <w:rPr>
          <w:b/>
          <w:bCs/>
          <w:i/>
          <w:iCs/>
          <w:color w:val="000000"/>
        </w:rPr>
      </w:pPr>
    </w:p>
    <w:p w:rsidR="0002134C" w:rsidRPr="008C3E9A" w:rsidRDefault="0002134C" w:rsidP="00173E07">
      <w:pPr>
        <w:autoSpaceDE w:val="0"/>
        <w:autoSpaceDN w:val="0"/>
        <w:adjustRightInd w:val="0"/>
        <w:ind w:right="-694"/>
        <w:rPr>
          <w:bCs/>
          <w:i/>
          <w:iCs/>
          <w:color w:val="000000"/>
        </w:rPr>
      </w:pPr>
      <w:r w:rsidRPr="008C3E9A">
        <w:rPr>
          <w:bCs/>
          <w:i/>
          <w:iCs/>
          <w:color w:val="000000"/>
        </w:rPr>
        <w:t xml:space="preserve">Eye </w:t>
      </w:r>
      <w:r w:rsidR="00DB3471">
        <w:rPr>
          <w:bCs/>
          <w:i/>
          <w:iCs/>
          <w:color w:val="000000"/>
        </w:rPr>
        <w:t>d</w:t>
      </w:r>
      <w:r w:rsidRPr="008C3E9A">
        <w:rPr>
          <w:bCs/>
          <w:i/>
          <w:iCs/>
          <w:color w:val="000000"/>
        </w:rPr>
        <w:t>isorders</w:t>
      </w:r>
    </w:p>
    <w:p w:rsidR="0002134C" w:rsidRPr="00600475" w:rsidRDefault="0002134C" w:rsidP="00446476">
      <w:pPr>
        <w:autoSpaceDE w:val="0"/>
        <w:autoSpaceDN w:val="0"/>
        <w:adjustRightInd w:val="0"/>
        <w:ind w:left="2160" w:right="-694" w:hanging="2160"/>
        <w:rPr>
          <w:color w:val="000000"/>
        </w:rPr>
      </w:pPr>
      <w:r w:rsidRPr="00600475">
        <w:rPr>
          <w:color w:val="000000"/>
        </w:rPr>
        <w:t xml:space="preserve">Common </w:t>
      </w:r>
      <w:r w:rsidR="00446476">
        <w:rPr>
          <w:color w:val="000000"/>
        </w:rPr>
        <w:tab/>
      </w:r>
      <w:r w:rsidRPr="00600475">
        <w:rPr>
          <w:color w:val="000000"/>
        </w:rPr>
        <w:t>Vision blurred, eye irritation</w:t>
      </w:r>
      <w:r w:rsidRPr="00446476">
        <w:rPr>
          <w:color w:val="000000"/>
          <w:vertAlign w:val="superscript"/>
        </w:rPr>
        <w:t>1</w:t>
      </w:r>
      <w:r w:rsidRPr="00600475">
        <w:rPr>
          <w:color w:val="000000"/>
        </w:rPr>
        <w:t>, lacrimation increased, ocular hyperaemia</w:t>
      </w:r>
      <w:r w:rsidRPr="00446476">
        <w:rPr>
          <w:color w:val="000000"/>
          <w:vertAlign w:val="superscript"/>
        </w:rPr>
        <w:t>1</w:t>
      </w:r>
      <w:r w:rsidRPr="00600475">
        <w:rPr>
          <w:color w:val="000000"/>
        </w:rPr>
        <w:t>, eye pruritus</w:t>
      </w:r>
      <w:r w:rsidRPr="00446476">
        <w:rPr>
          <w:color w:val="000000"/>
          <w:vertAlign w:val="superscript"/>
        </w:rPr>
        <w:t>1</w:t>
      </w:r>
    </w:p>
    <w:p w:rsidR="0002134C" w:rsidRPr="00600475" w:rsidRDefault="0002134C" w:rsidP="00173E07">
      <w:pPr>
        <w:autoSpaceDE w:val="0"/>
        <w:autoSpaceDN w:val="0"/>
        <w:adjustRightInd w:val="0"/>
        <w:ind w:right="-694"/>
        <w:rPr>
          <w:color w:val="000000"/>
        </w:rPr>
      </w:pPr>
      <w:r w:rsidRPr="00600475">
        <w:rPr>
          <w:color w:val="000000"/>
        </w:rPr>
        <w:t xml:space="preserve">Uncommon </w:t>
      </w:r>
      <w:r w:rsidR="00446476">
        <w:rPr>
          <w:color w:val="000000"/>
        </w:rPr>
        <w:tab/>
      </w:r>
      <w:r w:rsidR="00446476">
        <w:rPr>
          <w:color w:val="000000"/>
        </w:rPr>
        <w:tab/>
      </w:r>
      <w:r w:rsidRPr="00600475">
        <w:rPr>
          <w:color w:val="000000"/>
        </w:rPr>
        <w:t xml:space="preserve">Visual acuity reduced, uveitis, </w:t>
      </w:r>
      <w:proofErr w:type="spellStart"/>
      <w:r w:rsidRPr="00600475">
        <w:rPr>
          <w:color w:val="000000"/>
        </w:rPr>
        <w:t>photopsia</w:t>
      </w:r>
      <w:proofErr w:type="spellEnd"/>
      <w:r w:rsidRPr="00600475">
        <w:rPr>
          <w:color w:val="000000"/>
        </w:rPr>
        <w:t>, eyelid ptosis, conjunctivitis</w:t>
      </w:r>
    </w:p>
    <w:p w:rsidR="00A3326A" w:rsidRDefault="00A3326A" w:rsidP="00173E07">
      <w:pPr>
        <w:autoSpaceDE w:val="0"/>
        <w:autoSpaceDN w:val="0"/>
        <w:adjustRightInd w:val="0"/>
        <w:ind w:right="-694"/>
        <w:rPr>
          <w:b/>
          <w:bCs/>
          <w:i/>
          <w:iCs/>
          <w:color w:val="000000"/>
        </w:rPr>
      </w:pPr>
    </w:p>
    <w:p w:rsidR="0002134C" w:rsidRPr="008C3E9A" w:rsidRDefault="0002134C" w:rsidP="00173E07">
      <w:pPr>
        <w:autoSpaceDE w:val="0"/>
        <w:autoSpaceDN w:val="0"/>
        <w:adjustRightInd w:val="0"/>
        <w:ind w:right="-694"/>
        <w:rPr>
          <w:bCs/>
          <w:i/>
          <w:iCs/>
          <w:color w:val="000000"/>
        </w:rPr>
      </w:pPr>
      <w:r w:rsidRPr="008C3E9A">
        <w:rPr>
          <w:bCs/>
          <w:i/>
          <w:iCs/>
          <w:color w:val="000000"/>
        </w:rPr>
        <w:t xml:space="preserve">Ear and </w:t>
      </w:r>
      <w:r w:rsidR="00DB3471">
        <w:rPr>
          <w:bCs/>
          <w:i/>
          <w:iCs/>
          <w:color w:val="000000"/>
        </w:rPr>
        <w:t>l</w:t>
      </w:r>
      <w:r w:rsidRPr="008C3E9A">
        <w:rPr>
          <w:bCs/>
          <w:i/>
          <w:iCs/>
          <w:color w:val="000000"/>
        </w:rPr>
        <w:t xml:space="preserve">abyrinth </w:t>
      </w:r>
      <w:r w:rsidR="00DB3471">
        <w:rPr>
          <w:bCs/>
          <w:i/>
          <w:iCs/>
          <w:color w:val="000000"/>
        </w:rPr>
        <w:t>d</w:t>
      </w:r>
      <w:r w:rsidRPr="008C3E9A">
        <w:rPr>
          <w:bCs/>
          <w:i/>
          <w:iCs/>
          <w:color w:val="000000"/>
        </w:rPr>
        <w:t>isorders</w:t>
      </w:r>
    </w:p>
    <w:p w:rsidR="0002134C" w:rsidRPr="00600475" w:rsidRDefault="0002134C" w:rsidP="00173E07">
      <w:pPr>
        <w:autoSpaceDE w:val="0"/>
        <w:autoSpaceDN w:val="0"/>
        <w:adjustRightInd w:val="0"/>
        <w:ind w:right="-694"/>
        <w:rPr>
          <w:color w:val="000000"/>
        </w:rPr>
      </w:pPr>
      <w:r w:rsidRPr="00600475">
        <w:rPr>
          <w:color w:val="000000"/>
        </w:rPr>
        <w:t xml:space="preserve">Common </w:t>
      </w:r>
      <w:r w:rsidR="00446476">
        <w:rPr>
          <w:color w:val="000000"/>
        </w:rPr>
        <w:tab/>
      </w:r>
      <w:r w:rsidR="00446476">
        <w:rPr>
          <w:color w:val="000000"/>
        </w:rPr>
        <w:tab/>
      </w:r>
      <w:r w:rsidRPr="00600475">
        <w:rPr>
          <w:color w:val="000000"/>
        </w:rPr>
        <w:t>Tinnitus</w:t>
      </w:r>
    </w:p>
    <w:p w:rsidR="0002134C" w:rsidRPr="00600475" w:rsidRDefault="0002134C" w:rsidP="00173E07">
      <w:pPr>
        <w:autoSpaceDE w:val="0"/>
        <w:autoSpaceDN w:val="0"/>
        <w:adjustRightInd w:val="0"/>
        <w:ind w:right="-694"/>
        <w:rPr>
          <w:color w:val="000000"/>
        </w:rPr>
      </w:pPr>
      <w:r w:rsidRPr="00600475">
        <w:rPr>
          <w:color w:val="000000"/>
        </w:rPr>
        <w:t xml:space="preserve">Uncommon </w:t>
      </w:r>
      <w:r w:rsidR="00446476">
        <w:rPr>
          <w:color w:val="000000"/>
        </w:rPr>
        <w:tab/>
      </w:r>
      <w:r w:rsidR="00446476">
        <w:rPr>
          <w:color w:val="000000"/>
        </w:rPr>
        <w:tab/>
      </w:r>
      <w:r w:rsidRPr="00600475">
        <w:rPr>
          <w:color w:val="000000"/>
        </w:rPr>
        <w:t xml:space="preserve">Deafness, vertigo, </w:t>
      </w:r>
      <w:proofErr w:type="spellStart"/>
      <w:r w:rsidRPr="00600475">
        <w:rPr>
          <w:color w:val="000000"/>
        </w:rPr>
        <w:t>hypoacusis</w:t>
      </w:r>
      <w:proofErr w:type="spellEnd"/>
    </w:p>
    <w:p w:rsidR="00A3326A" w:rsidRDefault="00A3326A" w:rsidP="00173E07">
      <w:pPr>
        <w:autoSpaceDE w:val="0"/>
        <w:autoSpaceDN w:val="0"/>
        <w:adjustRightInd w:val="0"/>
        <w:ind w:right="-694"/>
        <w:rPr>
          <w:b/>
          <w:bCs/>
          <w:i/>
          <w:iCs/>
          <w:color w:val="000000"/>
        </w:rPr>
      </w:pPr>
    </w:p>
    <w:p w:rsidR="0002134C" w:rsidRPr="008C3E9A" w:rsidRDefault="0002134C" w:rsidP="00173E07">
      <w:pPr>
        <w:autoSpaceDE w:val="0"/>
        <w:autoSpaceDN w:val="0"/>
        <w:adjustRightInd w:val="0"/>
        <w:ind w:right="-694"/>
        <w:rPr>
          <w:bCs/>
          <w:i/>
          <w:iCs/>
          <w:color w:val="000000"/>
        </w:rPr>
      </w:pPr>
      <w:r w:rsidRPr="008C3E9A">
        <w:rPr>
          <w:bCs/>
          <w:i/>
          <w:iCs/>
          <w:color w:val="000000"/>
        </w:rPr>
        <w:t xml:space="preserve">Cardiac </w:t>
      </w:r>
      <w:r w:rsidR="00DB3471">
        <w:rPr>
          <w:bCs/>
          <w:i/>
          <w:iCs/>
          <w:color w:val="000000"/>
        </w:rPr>
        <w:t>d</w:t>
      </w:r>
      <w:r w:rsidRPr="008C3E9A">
        <w:rPr>
          <w:bCs/>
          <w:i/>
          <w:iCs/>
          <w:color w:val="000000"/>
        </w:rPr>
        <w:t>isorders</w:t>
      </w:r>
    </w:p>
    <w:p w:rsidR="0002134C" w:rsidRPr="00600475" w:rsidRDefault="0002134C" w:rsidP="00173E07">
      <w:pPr>
        <w:autoSpaceDE w:val="0"/>
        <w:autoSpaceDN w:val="0"/>
        <w:adjustRightInd w:val="0"/>
        <w:ind w:right="-694"/>
        <w:rPr>
          <w:color w:val="000000"/>
        </w:rPr>
      </w:pPr>
      <w:r w:rsidRPr="00600475">
        <w:rPr>
          <w:color w:val="000000"/>
        </w:rPr>
        <w:t xml:space="preserve">Common </w:t>
      </w:r>
      <w:r w:rsidR="00446476">
        <w:rPr>
          <w:color w:val="000000"/>
        </w:rPr>
        <w:tab/>
      </w:r>
      <w:r w:rsidR="00446476">
        <w:rPr>
          <w:color w:val="000000"/>
        </w:rPr>
        <w:tab/>
      </w:r>
      <w:r w:rsidRPr="00600475">
        <w:rPr>
          <w:color w:val="000000"/>
        </w:rPr>
        <w:t>Tachycardia</w:t>
      </w:r>
      <w:r w:rsidRPr="00446476">
        <w:rPr>
          <w:color w:val="000000"/>
          <w:vertAlign w:val="superscript"/>
        </w:rPr>
        <w:t>1</w:t>
      </w:r>
    </w:p>
    <w:p w:rsidR="0002134C" w:rsidRPr="00600475" w:rsidRDefault="0002134C" w:rsidP="00173E07">
      <w:pPr>
        <w:autoSpaceDE w:val="0"/>
        <w:autoSpaceDN w:val="0"/>
        <w:adjustRightInd w:val="0"/>
        <w:ind w:right="-694"/>
        <w:rPr>
          <w:color w:val="000000"/>
        </w:rPr>
      </w:pPr>
      <w:r w:rsidRPr="00600475">
        <w:rPr>
          <w:color w:val="000000"/>
        </w:rPr>
        <w:t xml:space="preserve">Uncommon </w:t>
      </w:r>
      <w:r w:rsidR="00446476">
        <w:rPr>
          <w:color w:val="000000"/>
        </w:rPr>
        <w:tab/>
      </w:r>
      <w:r w:rsidR="00446476">
        <w:rPr>
          <w:color w:val="000000"/>
        </w:rPr>
        <w:tab/>
      </w:r>
      <w:r w:rsidRPr="00600475">
        <w:rPr>
          <w:color w:val="000000"/>
        </w:rPr>
        <w:t>Cardio-respiratory arrest, cardiomegaly</w:t>
      </w:r>
    </w:p>
    <w:p w:rsidR="00A3326A" w:rsidRDefault="00A3326A" w:rsidP="00173E07">
      <w:pPr>
        <w:autoSpaceDE w:val="0"/>
        <w:autoSpaceDN w:val="0"/>
        <w:adjustRightInd w:val="0"/>
        <w:ind w:right="-694"/>
        <w:rPr>
          <w:b/>
          <w:bCs/>
          <w:i/>
          <w:iCs/>
          <w:color w:val="000000"/>
        </w:rPr>
      </w:pPr>
    </w:p>
    <w:p w:rsidR="0002134C" w:rsidRPr="008C3E9A" w:rsidRDefault="0002134C" w:rsidP="00173E07">
      <w:pPr>
        <w:autoSpaceDE w:val="0"/>
        <w:autoSpaceDN w:val="0"/>
        <w:adjustRightInd w:val="0"/>
        <w:ind w:right="-694"/>
        <w:rPr>
          <w:bCs/>
          <w:i/>
          <w:iCs/>
          <w:color w:val="000000"/>
        </w:rPr>
      </w:pPr>
      <w:r w:rsidRPr="008C3E9A">
        <w:rPr>
          <w:bCs/>
          <w:i/>
          <w:iCs/>
          <w:color w:val="000000"/>
        </w:rPr>
        <w:t xml:space="preserve">Vascular </w:t>
      </w:r>
      <w:r w:rsidR="00DB3471">
        <w:rPr>
          <w:bCs/>
          <w:i/>
          <w:iCs/>
          <w:color w:val="000000"/>
        </w:rPr>
        <w:t>d</w:t>
      </w:r>
      <w:r w:rsidRPr="008C3E9A">
        <w:rPr>
          <w:bCs/>
          <w:i/>
          <w:iCs/>
          <w:color w:val="000000"/>
        </w:rPr>
        <w:t>isorders</w:t>
      </w:r>
    </w:p>
    <w:p w:rsidR="0002134C" w:rsidRPr="00600475" w:rsidRDefault="0002134C" w:rsidP="00173E07">
      <w:pPr>
        <w:autoSpaceDE w:val="0"/>
        <w:autoSpaceDN w:val="0"/>
        <w:adjustRightInd w:val="0"/>
        <w:ind w:right="-694"/>
        <w:rPr>
          <w:color w:val="000000"/>
        </w:rPr>
      </w:pPr>
      <w:r w:rsidRPr="00600475">
        <w:rPr>
          <w:color w:val="000000"/>
        </w:rPr>
        <w:t xml:space="preserve">Common </w:t>
      </w:r>
      <w:r w:rsidR="00446476">
        <w:rPr>
          <w:color w:val="000000"/>
        </w:rPr>
        <w:tab/>
      </w:r>
      <w:r w:rsidR="00446476">
        <w:rPr>
          <w:color w:val="000000"/>
        </w:rPr>
        <w:tab/>
      </w:r>
      <w:r w:rsidRPr="00600475">
        <w:rPr>
          <w:color w:val="000000"/>
        </w:rPr>
        <w:t>Hypotension</w:t>
      </w:r>
    </w:p>
    <w:p w:rsidR="0002134C" w:rsidRPr="00600475" w:rsidRDefault="0002134C" w:rsidP="00173E07">
      <w:pPr>
        <w:autoSpaceDE w:val="0"/>
        <w:autoSpaceDN w:val="0"/>
        <w:adjustRightInd w:val="0"/>
        <w:ind w:right="-694"/>
        <w:rPr>
          <w:color w:val="000000"/>
        </w:rPr>
      </w:pPr>
      <w:r w:rsidRPr="00600475">
        <w:rPr>
          <w:color w:val="000000"/>
        </w:rPr>
        <w:t xml:space="preserve">Uncommon </w:t>
      </w:r>
      <w:r w:rsidR="00446476">
        <w:rPr>
          <w:color w:val="000000"/>
        </w:rPr>
        <w:tab/>
      </w:r>
      <w:r w:rsidR="00446476">
        <w:rPr>
          <w:color w:val="000000"/>
        </w:rPr>
        <w:tab/>
      </w:r>
      <w:r w:rsidRPr="00600475">
        <w:rPr>
          <w:color w:val="000000"/>
        </w:rPr>
        <w:t>Venous thrombosis</w:t>
      </w:r>
      <w:r w:rsidRPr="00446476">
        <w:rPr>
          <w:color w:val="000000"/>
          <w:vertAlign w:val="superscript"/>
        </w:rPr>
        <w:t>1</w:t>
      </w:r>
    </w:p>
    <w:p w:rsidR="00A3326A" w:rsidRDefault="00A3326A" w:rsidP="00173E07">
      <w:pPr>
        <w:autoSpaceDE w:val="0"/>
        <w:autoSpaceDN w:val="0"/>
        <w:adjustRightInd w:val="0"/>
        <w:ind w:right="-694"/>
        <w:rPr>
          <w:b/>
          <w:bCs/>
          <w:i/>
          <w:iCs/>
          <w:color w:val="000000"/>
        </w:rPr>
      </w:pPr>
    </w:p>
    <w:p w:rsidR="0002134C" w:rsidRPr="008C3E9A" w:rsidRDefault="0002134C" w:rsidP="00173E07">
      <w:pPr>
        <w:autoSpaceDE w:val="0"/>
        <w:autoSpaceDN w:val="0"/>
        <w:adjustRightInd w:val="0"/>
        <w:ind w:right="-694"/>
        <w:rPr>
          <w:bCs/>
          <w:i/>
          <w:iCs/>
          <w:color w:val="000000"/>
        </w:rPr>
      </w:pPr>
      <w:r w:rsidRPr="008C3E9A">
        <w:rPr>
          <w:bCs/>
          <w:i/>
          <w:iCs/>
          <w:color w:val="000000"/>
        </w:rPr>
        <w:t xml:space="preserve">Respiratory, </w:t>
      </w:r>
      <w:r w:rsidR="00DB3471">
        <w:rPr>
          <w:bCs/>
          <w:i/>
          <w:iCs/>
          <w:color w:val="000000"/>
        </w:rPr>
        <w:t>t</w:t>
      </w:r>
      <w:r w:rsidRPr="008C3E9A">
        <w:rPr>
          <w:bCs/>
          <w:i/>
          <w:iCs/>
          <w:color w:val="000000"/>
        </w:rPr>
        <w:t xml:space="preserve">horacic and </w:t>
      </w:r>
      <w:r w:rsidR="00DB3471">
        <w:rPr>
          <w:bCs/>
          <w:i/>
          <w:iCs/>
          <w:color w:val="000000"/>
        </w:rPr>
        <w:t>m</w:t>
      </w:r>
      <w:r w:rsidRPr="008C3E9A">
        <w:rPr>
          <w:bCs/>
          <w:i/>
          <w:iCs/>
          <w:color w:val="000000"/>
        </w:rPr>
        <w:t xml:space="preserve">ediastinal </w:t>
      </w:r>
      <w:r w:rsidR="00DB3471">
        <w:rPr>
          <w:bCs/>
          <w:i/>
          <w:iCs/>
          <w:color w:val="000000"/>
        </w:rPr>
        <w:t>d</w:t>
      </w:r>
      <w:r w:rsidRPr="008C3E9A">
        <w:rPr>
          <w:bCs/>
          <w:i/>
          <w:iCs/>
          <w:color w:val="000000"/>
        </w:rPr>
        <w:t>isorders</w:t>
      </w:r>
    </w:p>
    <w:p w:rsidR="0002134C" w:rsidRPr="00600475" w:rsidRDefault="0002134C" w:rsidP="00173E07">
      <w:pPr>
        <w:autoSpaceDE w:val="0"/>
        <w:autoSpaceDN w:val="0"/>
        <w:adjustRightInd w:val="0"/>
        <w:ind w:right="-694"/>
        <w:rPr>
          <w:color w:val="000000"/>
        </w:rPr>
      </w:pPr>
      <w:r w:rsidRPr="00600475">
        <w:rPr>
          <w:color w:val="000000"/>
        </w:rPr>
        <w:t xml:space="preserve">Very common </w:t>
      </w:r>
      <w:r w:rsidR="00446476">
        <w:rPr>
          <w:color w:val="000000"/>
        </w:rPr>
        <w:tab/>
      </w:r>
      <w:r w:rsidR="00446476">
        <w:rPr>
          <w:color w:val="000000"/>
        </w:rPr>
        <w:tab/>
      </w:r>
      <w:r w:rsidRPr="00600475">
        <w:rPr>
          <w:color w:val="000000"/>
        </w:rPr>
        <w:t>Epistaxis</w:t>
      </w:r>
    </w:p>
    <w:p w:rsidR="0002134C" w:rsidRPr="00600475" w:rsidRDefault="0002134C" w:rsidP="00446476">
      <w:pPr>
        <w:autoSpaceDE w:val="0"/>
        <w:autoSpaceDN w:val="0"/>
        <w:adjustRightInd w:val="0"/>
        <w:ind w:left="2160" w:right="-694" w:hanging="2160"/>
        <w:rPr>
          <w:color w:val="000000"/>
        </w:rPr>
      </w:pPr>
      <w:r w:rsidRPr="00600475">
        <w:rPr>
          <w:color w:val="000000"/>
        </w:rPr>
        <w:t xml:space="preserve">Common </w:t>
      </w:r>
      <w:r w:rsidR="00446476">
        <w:rPr>
          <w:color w:val="000000"/>
        </w:rPr>
        <w:tab/>
      </w:r>
      <w:r w:rsidRPr="00600475">
        <w:rPr>
          <w:color w:val="000000"/>
        </w:rPr>
        <w:t>Pleural effusion, dyspnoea, cough</w:t>
      </w:r>
      <w:r w:rsidRPr="00446476">
        <w:rPr>
          <w:color w:val="000000"/>
          <w:vertAlign w:val="superscript"/>
        </w:rPr>
        <w:t>1</w:t>
      </w:r>
      <w:r w:rsidRPr="00600475">
        <w:rPr>
          <w:color w:val="000000"/>
        </w:rPr>
        <w:t xml:space="preserve">, </w:t>
      </w:r>
      <w:proofErr w:type="spellStart"/>
      <w:r w:rsidRPr="00600475">
        <w:rPr>
          <w:color w:val="000000"/>
        </w:rPr>
        <w:t>pharyngolaryngeal</w:t>
      </w:r>
      <w:proofErr w:type="spellEnd"/>
      <w:r w:rsidRPr="00600475">
        <w:rPr>
          <w:color w:val="000000"/>
        </w:rPr>
        <w:t xml:space="preserve"> pain, dysphonia</w:t>
      </w:r>
    </w:p>
    <w:p w:rsidR="0002134C" w:rsidRPr="00600475" w:rsidRDefault="0002134C" w:rsidP="00446476">
      <w:pPr>
        <w:autoSpaceDE w:val="0"/>
        <w:autoSpaceDN w:val="0"/>
        <w:adjustRightInd w:val="0"/>
        <w:ind w:left="2160" w:right="-694" w:hanging="2160"/>
        <w:rPr>
          <w:color w:val="000000"/>
        </w:rPr>
      </w:pPr>
      <w:r w:rsidRPr="00600475">
        <w:rPr>
          <w:color w:val="000000"/>
        </w:rPr>
        <w:t xml:space="preserve">Uncommon </w:t>
      </w:r>
      <w:r w:rsidR="00446476">
        <w:rPr>
          <w:color w:val="000000"/>
        </w:rPr>
        <w:tab/>
      </w:r>
      <w:r w:rsidRPr="00600475">
        <w:rPr>
          <w:color w:val="000000"/>
        </w:rPr>
        <w:t>Pneumonitis, pulmonary embolism, hypoxia, pulmonary congestion, pleuritic pain</w:t>
      </w:r>
    </w:p>
    <w:p w:rsidR="00A3326A" w:rsidRDefault="00A3326A" w:rsidP="00173E07">
      <w:pPr>
        <w:autoSpaceDE w:val="0"/>
        <w:autoSpaceDN w:val="0"/>
        <w:adjustRightInd w:val="0"/>
        <w:ind w:right="-694"/>
        <w:rPr>
          <w:b/>
          <w:bCs/>
          <w:i/>
          <w:iCs/>
          <w:color w:val="000000"/>
        </w:rPr>
      </w:pPr>
    </w:p>
    <w:p w:rsidR="0002134C" w:rsidRPr="008C3E9A" w:rsidRDefault="0002134C" w:rsidP="00173E07">
      <w:pPr>
        <w:autoSpaceDE w:val="0"/>
        <w:autoSpaceDN w:val="0"/>
        <w:adjustRightInd w:val="0"/>
        <w:ind w:right="-694"/>
        <w:rPr>
          <w:bCs/>
          <w:i/>
          <w:iCs/>
          <w:color w:val="000000"/>
        </w:rPr>
      </w:pPr>
      <w:r w:rsidRPr="008C3E9A">
        <w:rPr>
          <w:bCs/>
          <w:i/>
          <w:iCs/>
          <w:color w:val="000000"/>
        </w:rPr>
        <w:t xml:space="preserve">Gastrointestinal </w:t>
      </w:r>
      <w:r w:rsidR="00DB3471">
        <w:rPr>
          <w:bCs/>
          <w:i/>
          <w:iCs/>
          <w:color w:val="000000"/>
        </w:rPr>
        <w:t>d</w:t>
      </w:r>
      <w:r w:rsidRPr="008C3E9A">
        <w:rPr>
          <w:bCs/>
          <w:i/>
          <w:iCs/>
          <w:color w:val="000000"/>
        </w:rPr>
        <w:t>isorders</w:t>
      </w:r>
    </w:p>
    <w:p w:rsidR="0002134C" w:rsidRPr="00600475" w:rsidRDefault="0002134C" w:rsidP="00173E07">
      <w:pPr>
        <w:autoSpaceDE w:val="0"/>
        <w:autoSpaceDN w:val="0"/>
        <w:adjustRightInd w:val="0"/>
        <w:ind w:right="-694"/>
        <w:rPr>
          <w:color w:val="000000"/>
        </w:rPr>
      </w:pPr>
      <w:r w:rsidRPr="00600475">
        <w:rPr>
          <w:color w:val="000000"/>
        </w:rPr>
        <w:t xml:space="preserve">Very common </w:t>
      </w:r>
      <w:r w:rsidR="00446476">
        <w:rPr>
          <w:color w:val="000000"/>
        </w:rPr>
        <w:tab/>
      </w:r>
      <w:r w:rsidR="00446476">
        <w:rPr>
          <w:color w:val="000000"/>
        </w:rPr>
        <w:tab/>
      </w:r>
      <w:r w:rsidRPr="00600475">
        <w:rPr>
          <w:color w:val="000000"/>
        </w:rPr>
        <w:t>Mucosal inflammation</w:t>
      </w:r>
      <w:r w:rsidRPr="00446476">
        <w:rPr>
          <w:color w:val="000000"/>
          <w:vertAlign w:val="superscript"/>
        </w:rPr>
        <w:t>1</w:t>
      </w:r>
      <w:r w:rsidRPr="00600475">
        <w:rPr>
          <w:color w:val="000000"/>
        </w:rPr>
        <w:t>, vomiting, diarrhoea, nausea</w:t>
      </w:r>
      <w:r w:rsidRPr="00DB3471">
        <w:rPr>
          <w:color w:val="000000"/>
          <w:vertAlign w:val="superscript"/>
        </w:rPr>
        <w:t>1</w:t>
      </w:r>
      <w:r w:rsidRPr="00600475">
        <w:rPr>
          <w:color w:val="000000"/>
        </w:rPr>
        <w:t>, constipation</w:t>
      </w:r>
    </w:p>
    <w:p w:rsidR="0002134C" w:rsidRPr="00600475" w:rsidRDefault="0002134C" w:rsidP="00446476">
      <w:pPr>
        <w:autoSpaceDE w:val="0"/>
        <w:autoSpaceDN w:val="0"/>
        <w:adjustRightInd w:val="0"/>
        <w:ind w:left="2160" w:right="-694" w:hanging="2160"/>
        <w:rPr>
          <w:color w:val="000000"/>
        </w:rPr>
      </w:pPr>
      <w:r w:rsidRPr="00600475">
        <w:rPr>
          <w:color w:val="000000"/>
        </w:rPr>
        <w:t xml:space="preserve">Common </w:t>
      </w:r>
      <w:r w:rsidR="00446476">
        <w:rPr>
          <w:color w:val="000000"/>
        </w:rPr>
        <w:tab/>
      </w:r>
      <w:r w:rsidRPr="00600475">
        <w:rPr>
          <w:color w:val="000000"/>
        </w:rPr>
        <w:t>Abdominal pain</w:t>
      </w:r>
      <w:r w:rsidRPr="00446476">
        <w:rPr>
          <w:color w:val="000000"/>
          <w:vertAlign w:val="superscript"/>
        </w:rPr>
        <w:t>1</w:t>
      </w:r>
      <w:r w:rsidRPr="00600475">
        <w:rPr>
          <w:color w:val="000000"/>
        </w:rPr>
        <w:t>, odynophagia</w:t>
      </w:r>
      <w:r w:rsidRPr="00B23632">
        <w:rPr>
          <w:color w:val="000000"/>
          <w:vertAlign w:val="superscript"/>
        </w:rPr>
        <w:t>1</w:t>
      </w:r>
      <w:r w:rsidRPr="00600475">
        <w:rPr>
          <w:color w:val="000000"/>
        </w:rPr>
        <w:t>, oral pain, dyspepsia</w:t>
      </w:r>
      <w:r w:rsidRPr="00DB3471">
        <w:rPr>
          <w:color w:val="000000"/>
          <w:vertAlign w:val="superscript"/>
        </w:rPr>
        <w:t>1</w:t>
      </w:r>
      <w:r w:rsidRPr="00600475">
        <w:rPr>
          <w:color w:val="000000"/>
        </w:rPr>
        <w:t>, rectal haemorrhage</w:t>
      </w:r>
      <w:r w:rsidRPr="00446476">
        <w:rPr>
          <w:color w:val="000000"/>
          <w:vertAlign w:val="superscript"/>
        </w:rPr>
        <w:t>1</w:t>
      </w:r>
      <w:r w:rsidRPr="00600475">
        <w:rPr>
          <w:color w:val="000000"/>
        </w:rPr>
        <w:t>,</w:t>
      </w:r>
      <w:r w:rsidR="00446476">
        <w:rPr>
          <w:color w:val="000000"/>
        </w:rPr>
        <w:tab/>
      </w:r>
      <w:r w:rsidRPr="00600475">
        <w:rPr>
          <w:color w:val="000000"/>
        </w:rPr>
        <w:t>dry mouth</w:t>
      </w:r>
      <w:r w:rsidRPr="00446476">
        <w:rPr>
          <w:color w:val="000000"/>
          <w:vertAlign w:val="superscript"/>
        </w:rPr>
        <w:t>1</w:t>
      </w:r>
    </w:p>
    <w:p w:rsidR="0002134C" w:rsidRPr="00600475" w:rsidRDefault="0002134C" w:rsidP="00173E07">
      <w:pPr>
        <w:autoSpaceDE w:val="0"/>
        <w:autoSpaceDN w:val="0"/>
        <w:adjustRightInd w:val="0"/>
        <w:ind w:right="-694"/>
        <w:rPr>
          <w:color w:val="000000"/>
        </w:rPr>
      </w:pPr>
      <w:r w:rsidRPr="00600475">
        <w:rPr>
          <w:color w:val="000000"/>
        </w:rPr>
        <w:t xml:space="preserve">Uncommon </w:t>
      </w:r>
      <w:r w:rsidR="00446476">
        <w:rPr>
          <w:color w:val="000000"/>
        </w:rPr>
        <w:tab/>
      </w:r>
      <w:r w:rsidR="00446476">
        <w:rPr>
          <w:color w:val="000000"/>
        </w:rPr>
        <w:tab/>
      </w:r>
      <w:r w:rsidRPr="00600475">
        <w:rPr>
          <w:color w:val="000000"/>
        </w:rPr>
        <w:t>Pancreatitis</w:t>
      </w:r>
    </w:p>
    <w:p w:rsidR="00A3326A" w:rsidRDefault="00A3326A" w:rsidP="00173E07">
      <w:pPr>
        <w:autoSpaceDE w:val="0"/>
        <w:autoSpaceDN w:val="0"/>
        <w:adjustRightInd w:val="0"/>
        <w:ind w:right="-694"/>
        <w:rPr>
          <w:b/>
          <w:bCs/>
          <w:i/>
          <w:iCs/>
          <w:color w:val="000000"/>
        </w:rPr>
      </w:pPr>
    </w:p>
    <w:p w:rsidR="0002134C" w:rsidRPr="008C3E9A" w:rsidRDefault="0002134C" w:rsidP="00173E07">
      <w:pPr>
        <w:autoSpaceDE w:val="0"/>
        <w:autoSpaceDN w:val="0"/>
        <w:adjustRightInd w:val="0"/>
        <w:ind w:right="-694"/>
        <w:rPr>
          <w:bCs/>
          <w:i/>
          <w:iCs/>
          <w:color w:val="000000"/>
        </w:rPr>
      </w:pPr>
      <w:r w:rsidRPr="008C3E9A">
        <w:rPr>
          <w:bCs/>
          <w:i/>
          <w:iCs/>
          <w:color w:val="000000"/>
        </w:rPr>
        <w:t xml:space="preserve">Hepatobiliary </w:t>
      </w:r>
      <w:r w:rsidR="00DB3471">
        <w:rPr>
          <w:bCs/>
          <w:i/>
          <w:iCs/>
          <w:color w:val="000000"/>
        </w:rPr>
        <w:t>d</w:t>
      </w:r>
      <w:r w:rsidRPr="008C3E9A">
        <w:rPr>
          <w:bCs/>
          <w:i/>
          <w:iCs/>
          <w:color w:val="000000"/>
        </w:rPr>
        <w:t>isorders</w:t>
      </w:r>
    </w:p>
    <w:p w:rsidR="0002134C" w:rsidRPr="00600475" w:rsidRDefault="0002134C" w:rsidP="00173E07">
      <w:pPr>
        <w:autoSpaceDE w:val="0"/>
        <w:autoSpaceDN w:val="0"/>
        <w:adjustRightInd w:val="0"/>
        <w:ind w:right="-694"/>
        <w:rPr>
          <w:color w:val="000000"/>
        </w:rPr>
      </w:pPr>
      <w:r w:rsidRPr="00600475">
        <w:rPr>
          <w:color w:val="000000"/>
        </w:rPr>
        <w:t xml:space="preserve">Common </w:t>
      </w:r>
      <w:r w:rsidR="00A3326A">
        <w:rPr>
          <w:color w:val="000000"/>
        </w:rPr>
        <w:tab/>
      </w:r>
      <w:r w:rsidR="00A3326A">
        <w:rPr>
          <w:color w:val="000000"/>
        </w:rPr>
        <w:tab/>
      </w:r>
      <w:r w:rsidRPr="00600475">
        <w:rPr>
          <w:color w:val="000000"/>
        </w:rPr>
        <w:t>Hepatosplenomegaly</w:t>
      </w:r>
      <w:r w:rsidRPr="00A3326A">
        <w:rPr>
          <w:color w:val="000000"/>
          <w:vertAlign w:val="superscript"/>
        </w:rPr>
        <w:t>1</w:t>
      </w:r>
      <w:r w:rsidRPr="00600475">
        <w:rPr>
          <w:color w:val="000000"/>
        </w:rPr>
        <w:t>, hyperbilirubinaemia</w:t>
      </w:r>
      <w:r w:rsidRPr="00A3326A">
        <w:rPr>
          <w:color w:val="000000"/>
          <w:vertAlign w:val="superscript"/>
        </w:rPr>
        <w:t>1</w:t>
      </w:r>
    </w:p>
    <w:p w:rsidR="0002134C" w:rsidRPr="00600475" w:rsidRDefault="0002134C" w:rsidP="00173E07">
      <w:pPr>
        <w:autoSpaceDE w:val="0"/>
        <w:autoSpaceDN w:val="0"/>
        <w:adjustRightInd w:val="0"/>
        <w:ind w:right="-694"/>
        <w:rPr>
          <w:color w:val="000000"/>
        </w:rPr>
      </w:pPr>
      <w:r w:rsidRPr="00600475">
        <w:rPr>
          <w:color w:val="000000"/>
        </w:rPr>
        <w:t xml:space="preserve">Uncommon </w:t>
      </w:r>
      <w:r w:rsidR="00A3326A">
        <w:rPr>
          <w:color w:val="000000"/>
        </w:rPr>
        <w:tab/>
      </w:r>
      <w:r w:rsidR="00A3326A">
        <w:rPr>
          <w:color w:val="000000"/>
        </w:rPr>
        <w:tab/>
      </w:r>
      <w:r w:rsidRPr="00600475">
        <w:rPr>
          <w:color w:val="000000"/>
        </w:rPr>
        <w:t>Cholangitis</w:t>
      </w:r>
    </w:p>
    <w:p w:rsidR="0002134C" w:rsidRPr="00600475" w:rsidRDefault="0002134C" w:rsidP="00173E07">
      <w:pPr>
        <w:autoSpaceDE w:val="0"/>
        <w:autoSpaceDN w:val="0"/>
        <w:adjustRightInd w:val="0"/>
        <w:ind w:right="-694"/>
        <w:rPr>
          <w:color w:val="000000"/>
        </w:rPr>
      </w:pPr>
    </w:p>
    <w:p w:rsidR="0002134C" w:rsidRPr="008C3E9A" w:rsidRDefault="00DB3471" w:rsidP="00173E07">
      <w:pPr>
        <w:autoSpaceDE w:val="0"/>
        <w:autoSpaceDN w:val="0"/>
        <w:adjustRightInd w:val="0"/>
        <w:ind w:right="-694"/>
        <w:rPr>
          <w:bCs/>
          <w:i/>
          <w:iCs/>
          <w:color w:val="000000"/>
        </w:rPr>
      </w:pPr>
      <w:r>
        <w:rPr>
          <w:bCs/>
          <w:i/>
          <w:iCs/>
          <w:color w:val="000000"/>
        </w:rPr>
        <w:t>Skin and s</w:t>
      </w:r>
      <w:r w:rsidR="0002134C" w:rsidRPr="008C3E9A">
        <w:rPr>
          <w:bCs/>
          <w:i/>
          <w:iCs/>
          <w:color w:val="000000"/>
        </w:rPr>
        <w:t xml:space="preserve">ubcutaneous </w:t>
      </w:r>
      <w:r>
        <w:rPr>
          <w:bCs/>
          <w:i/>
          <w:iCs/>
          <w:color w:val="000000"/>
        </w:rPr>
        <w:t>t</w:t>
      </w:r>
      <w:r w:rsidR="0002134C" w:rsidRPr="008C3E9A">
        <w:rPr>
          <w:bCs/>
          <w:i/>
          <w:iCs/>
          <w:color w:val="000000"/>
        </w:rPr>
        <w:t xml:space="preserve">issue </w:t>
      </w:r>
      <w:r>
        <w:rPr>
          <w:bCs/>
          <w:i/>
          <w:iCs/>
          <w:color w:val="000000"/>
        </w:rPr>
        <w:t>d</w:t>
      </w:r>
      <w:r w:rsidR="0002134C" w:rsidRPr="008C3E9A">
        <w:rPr>
          <w:bCs/>
          <w:i/>
          <w:iCs/>
          <w:color w:val="000000"/>
        </w:rPr>
        <w:t>isorders</w:t>
      </w:r>
    </w:p>
    <w:p w:rsidR="0002134C" w:rsidRPr="00600475" w:rsidRDefault="0002134C" w:rsidP="00173E07">
      <w:pPr>
        <w:autoSpaceDE w:val="0"/>
        <w:autoSpaceDN w:val="0"/>
        <w:adjustRightInd w:val="0"/>
        <w:ind w:right="-694"/>
        <w:rPr>
          <w:color w:val="000000"/>
        </w:rPr>
      </w:pPr>
      <w:r w:rsidRPr="00600475">
        <w:rPr>
          <w:color w:val="000000"/>
        </w:rPr>
        <w:t xml:space="preserve">Very common </w:t>
      </w:r>
      <w:r w:rsidR="00A3326A">
        <w:rPr>
          <w:color w:val="000000"/>
        </w:rPr>
        <w:tab/>
      </w:r>
      <w:r w:rsidR="00A3326A">
        <w:rPr>
          <w:color w:val="000000"/>
        </w:rPr>
        <w:tab/>
      </w:r>
      <w:r w:rsidRPr="00600475">
        <w:rPr>
          <w:color w:val="000000"/>
        </w:rPr>
        <w:t>Rash</w:t>
      </w:r>
      <w:r w:rsidRPr="00A3326A">
        <w:rPr>
          <w:color w:val="000000"/>
          <w:vertAlign w:val="superscript"/>
        </w:rPr>
        <w:t>1</w:t>
      </w:r>
    </w:p>
    <w:p w:rsidR="0002134C" w:rsidRPr="00600475" w:rsidRDefault="0002134C" w:rsidP="00A3326A">
      <w:pPr>
        <w:autoSpaceDE w:val="0"/>
        <w:autoSpaceDN w:val="0"/>
        <w:adjustRightInd w:val="0"/>
        <w:ind w:left="2160" w:right="-694" w:hanging="2160"/>
        <w:rPr>
          <w:color w:val="000000"/>
        </w:rPr>
      </w:pPr>
      <w:r w:rsidRPr="00600475">
        <w:rPr>
          <w:color w:val="000000"/>
        </w:rPr>
        <w:t xml:space="preserve">Common </w:t>
      </w:r>
      <w:r w:rsidR="00A3326A">
        <w:rPr>
          <w:color w:val="000000"/>
        </w:rPr>
        <w:tab/>
      </w:r>
      <w:r w:rsidRPr="00600475">
        <w:rPr>
          <w:color w:val="000000"/>
        </w:rPr>
        <w:t>Skin ulcer</w:t>
      </w:r>
      <w:r w:rsidRPr="00A3326A">
        <w:rPr>
          <w:color w:val="000000"/>
          <w:vertAlign w:val="superscript"/>
        </w:rPr>
        <w:t>1</w:t>
      </w:r>
      <w:r w:rsidRPr="00600475">
        <w:rPr>
          <w:color w:val="000000"/>
        </w:rPr>
        <w:t>, skin lesion</w:t>
      </w:r>
      <w:r w:rsidRPr="00A3326A">
        <w:rPr>
          <w:color w:val="000000"/>
          <w:vertAlign w:val="superscript"/>
        </w:rPr>
        <w:t>1</w:t>
      </w:r>
      <w:r w:rsidRPr="00600475">
        <w:rPr>
          <w:color w:val="000000"/>
        </w:rPr>
        <w:t xml:space="preserve">, </w:t>
      </w:r>
      <w:proofErr w:type="spellStart"/>
      <w:r w:rsidR="00616BA9">
        <w:rPr>
          <w:color w:val="000000"/>
        </w:rPr>
        <w:t>urticaria</w:t>
      </w:r>
      <w:proofErr w:type="spellEnd"/>
      <w:r w:rsidRPr="00600475">
        <w:rPr>
          <w:color w:val="000000"/>
        </w:rPr>
        <w:t>, pruritus</w:t>
      </w:r>
      <w:r w:rsidRPr="00A3326A">
        <w:rPr>
          <w:color w:val="000000"/>
          <w:vertAlign w:val="superscript"/>
        </w:rPr>
        <w:t>1</w:t>
      </w:r>
      <w:r w:rsidRPr="00600475">
        <w:rPr>
          <w:color w:val="000000"/>
        </w:rPr>
        <w:t>, skin haemorrhage</w:t>
      </w:r>
      <w:r w:rsidRPr="00A3326A">
        <w:rPr>
          <w:color w:val="000000"/>
          <w:vertAlign w:val="superscript"/>
        </w:rPr>
        <w:t>1</w:t>
      </w:r>
      <w:r w:rsidRPr="00600475">
        <w:rPr>
          <w:color w:val="000000"/>
        </w:rPr>
        <w:t>, periorbital oedema,</w:t>
      </w:r>
      <w:r w:rsidR="00A3326A">
        <w:rPr>
          <w:color w:val="000000"/>
        </w:rPr>
        <w:t xml:space="preserve"> </w:t>
      </w:r>
      <w:r w:rsidRPr="00600475">
        <w:rPr>
          <w:color w:val="000000"/>
        </w:rPr>
        <w:t>erythema</w:t>
      </w:r>
      <w:r w:rsidRPr="00E36F11">
        <w:rPr>
          <w:color w:val="000000"/>
          <w:vertAlign w:val="superscript"/>
        </w:rPr>
        <w:t>1</w:t>
      </w:r>
      <w:r w:rsidRPr="00600475">
        <w:rPr>
          <w:color w:val="000000"/>
        </w:rPr>
        <w:t>, alopecia, blister</w:t>
      </w:r>
      <w:r w:rsidR="00E36F11">
        <w:rPr>
          <w:color w:val="000000"/>
        </w:rPr>
        <w:t>s</w:t>
      </w:r>
      <w:r w:rsidRPr="00600475">
        <w:rPr>
          <w:color w:val="000000"/>
        </w:rPr>
        <w:t>, dry skin</w:t>
      </w:r>
    </w:p>
    <w:p w:rsidR="0002134C" w:rsidRPr="00600475" w:rsidRDefault="0002134C" w:rsidP="00173E07">
      <w:pPr>
        <w:autoSpaceDE w:val="0"/>
        <w:autoSpaceDN w:val="0"/>
        <w:adjustRightInd w:val="0"/>
        <w:ind w:right="-694"/>
        <w:rPr>
          <w:color w:val="000000"/>
        </w:rPr>
      </w:pPr>
      <w:r w:rsidRPr="00600475">
        <w:rPr>
          <w:color w:val="000000"/>
        </w:rPr>
        <w:t xml:space="preserve">Uncommon </w:t>
      </w:r>
      <w:r w:rsidR="00A3326A">
        <w:rPr>
          <w:color w:val="000000"/>
        </w:rPr>
        <w:tab/>
      </w:r>
      <w:r w:rsidR="00A3326A">
        <w:rPr>
          <w:color w:val="000000"/>
        </w:rPr>
        <w:tab/>
      </w:r>
      <w:r w:rsidRPr="00600475">
        <w:rPr>
          <w:color w:val="000000"/>
        </w:rPr>
        <w:t>Skin exfoliation, skin toxicity, night sweats</w:t>
      </w:r>
    </w:p>
    <w:p w:rsidR="00A3326A" w:rsidRDefault="00A3326A" w:rsidP="00173E07">
      <w:pPr>
        <w:autoSpaceDE w:val="0"/>
        <w:autoSpaceDN w:val="0"/>
        <w:adjustRightInd w:val="0"/>
        <w:ind w:right="-694"/>
        <w:rPr>
          <w:b/>
          <w:bCs/>
          <w:i/>
          <w:iCs/>
          <w:color w:val="000000"/>
        </w:rPr>
      </w:pPr>
    </w:p>
    <w:p w:rsidR="0002134C" w:rsidRPr="008C3E9A" w:rsidRDefault="0002134C" w:rsidP="00173E07">
      <w:pPr>
        <w:autoSpaceDE w:val="0"/>
        <w:autoSpaceDN w:val="0"/>
        <w:adjustRightInd w:val="0"/>
        <w:ind w:right="-694"/>
        <w:rPr>
          <w:bCs/>
          <w:i/>
          <w:iCs/>
          <w:color w:val="000000"/>
        </w:rPr>
      </w:pPr>
      <w:r w:rsidRPr="008C3E9A">
        <w:rPr>
          <w:bCs/>
          <w:i/>
          <w:iCs/>
          <w:color w:val="000000"/>
        </w:rPr>
        <w:t xml:space="preserve">Musculoskeletal and </w:t>
      </w:r>
      <w:r w:rsidR="00DB3471">
        <w:rPr>
          <w:bCs/>
          <w:i/>
          <w:iCs/>
          <w:color w:val="000000"/>
        </w:rPr>
        <w:t>c</w:t>
      </w:r>
      <w:r w:rsidRPr="008C3E9A">
        <w:rPr>
          <w:bCs/>
          <w:i/>
          <w:iCs/>
          <w:color w:val="000000"/>
        </w:rPr>
        <w:t xml:space="preserve">onnective </w:t>
      </w:r>
      <w:r w:rsidR="00DB3471">
        <w:rPr>
          <w:bCs/>
          <w:i/>
          <w:iCs/>
          <w:color w:val="000000"/>
        </w:rPr>
        <w:t>t</w:t>
      </w:r>
      <w:r w:rsidRPr="008C3E9A">
        <w:rPr>
          <w:bCs/>
          <w:i/>
          <w:iCs/>
          <w:color w:val="000000"/>
        </w:rPr>
        <w:t xml:space="preserve">issue </w:t>
      </w:r>
      <w:r w:rsidR="00DB3471">
        <w:rPr>
          <w:bCs/>
          <w:i/>
          <w:iCs/>
          <w:color w:val="000000"/>
        </w:rPr>
        <w:t>d</w:t>
      </w:r>
      <w:r w:rsidRPr="008C3E9A">
        <w:rPr>
          <w:bCs/>
          <w:i/>
          <w:iCs/>
          <w:color w:val="000000"/>
        </w:rPr>
        <w:t>isorders</w:t>
      </w:r>
    </w:p>
    <w:p w:rsidR="0002134C" w:rsidRPr="00600475" w:rsidRDefault="0002134C" w:rsidP="00173E07">
      <w:pPr>
        <w:autoSpaceDE w:val="0"/>
        <w:autoSpaceDN w:val="0"/>
        <w:adjustRightInd w:val="0"/>
        <w:ind w:right="-694"/>
        <w:rPr>
          <w:color w:val="000000"/>
        </w:rPr>
      </w:pPr>
      <w:r w:rsidRPr="00600475">
        <w:rPr>
          <w:color w:val="000000"/>
        </w:rPr>
        <w:t xml:space="preserve">Very Common </w:t>
      </w:r>
      <w:r w:rsidR="00A3326A">
        <w:rPr>
          <w:color w:val="000000"/>
        </w:rPr>
        <w:tab/>
      </w:r>
      <w:r w:rsidRPr="00600475">
        <w:rPr>
          <w:color w:val="000000"/>
        </w:rPr>
        <w:t>Musculoskeletal pain</w:t>
      </w:r>
      <w:r w:rsidRPr="00DB3471">
        <w:rPr>
          <w:color w:val="000000"/>
          <w:vertAlign w:val="superscript"/>
        </w:rPr>
        <w:t>1</w:t>
      </w:r>
    </w:p>
    <w:p w:rsidR="0002134C" w:rsidRPr="00600475" w:rsidRDefault="0002134C" w:rsidP="00173E07">
      <w:pPr>
        <w:autoSpaceDE w:val="0"/>
        <w:autoSpaceDN w:val="0"/>
        <w:adjustRightInd w:val="0"/>
        <w:ind w:right="-694"/>
        <w:rPr>
          <w:color w:val="000000"/>
        </w:rPr>
      </w:pPr>
      <w:r w:rsidRPr="00600475">
        <w:rPr>
          <w:color w:val="000000"/>
        </w:rPr>
        <w:t xml:space="preserve">Common </w:t>
      </w:r>
      <w:r w:rsidR="00A3326A">
        <w:rPr>
          <w:color w:val="000000"/>
        </w:rPr>
        <w:tab/>
      </w:r>
      <w:r w:rsidR="00A3326A">
        <w:rPr>
          <w:color w:val="000000"/>
        </w:rPr>
        <w:tab/>
      </w:r>
      <w:r w:rsidRPr="00600475">
        <w:rPr>
          <w:color w:val="000000"/>
        </w:rPr>
        <w:t>Back pain, neck pain, arthralgia</w:t>
      </w:r>
      <w:r w:rsidRPr="00DB3471">
        <w:rPr>
          <w:color w:val="000000"/>
          <w:vertAlign w:val="superscript"/>
        </w:rPr>
        <w:t>1</w:t>
      </w:r>
      <w:r w:rsidRPr="00600475">
        <w:rPr>
          <w:color w:val="000000"/>
        </w:rPr>
        <w:t>, myalgia, muscle spasms</w:t>
      </w:r>
    </w:p>
    <w:p w:rsidR="0002134C" w:rsidRPr="00600475" w:rsidRDefault="0002134C" w:rsidP="00173E07">
      <w:pPr>
        <w:autoSpaceDE w:val="0"/>
        <w:autoSpaceDN w:val="0"/>
        <w:adjustRightInd w:val="0"/>
        <w:ind w:right="-694"/>
        <w:rPr>
          <w:color w:val="000000"/>
        </w:rPr>
      </w:pPr>
      <w:r w:rsidRPr="00600475">
        <w:rPr>
          <w:color w:val="000000"/>
        </w:rPr>
        <w:t xml:space="preserve">Uncommon </w:t>
      </w:r>
      <w:r w:rsidR="00A3326A">
        <w:rPr>
          <w:color w:val="000000"/>
        </w:rPr>
        <w:tab/>
      </w:r>
      <w:r w:rsidR="00A3326A">
        <w:rPr>
          <w:color w:val="000000"/>
        </w:rPr>
        <w:tab/>
      </w:r>
      <w:proofErr w:type="spellStart"/>
      <w:r w:rsidRPr="00600475">
        <w:rPr>
          <w:color w:val="000000"/>
        </w:rPr>
        <w:t>Costochondritis</w:t>
      </w:r>
      <w:proofErr w:type="spellEnd"/>
      <w:r w:rsidRPr="00600475">
        <w:rPr>
          <w:color w:val="000000"/>
        </w:rPr>
        <w:t>, joint swelling</w:t>
      </w:r>
    </w:p>
    <w:p w:rsidR="00A3326A" w:rsidRPr="008C3E9A" w:rsidRDefault="00A3326A" w:rsidP="00173E07">
      <w:pPr>
        <w:autoSpaceDE w:val="0"/>
        <w:autoSpaceDN w:val="0"/>
        <w:adjustRightInd w:val="0"/>
        <w:ind w:right="-694"/>
        <w:rPr>
          <w:bCs/>
          <w:i/>
          <w:iCs/>
          <w:color w:val="000000"/>
        </w:rPr>
      </w:pPr>
    </w:p>
    <w:p w:rsidR="0002134C" w:rsidRPr="008C3E9A" w:rsidRDefault="0002134C" w:rsidP="00173E07">
      <w:pPr>
        <w:autoSpaceDE w:val="0"/>
        <w:autoSpaceDN w:val="0"/>
        <w:adjustRightInd w:val="0"/>
        <w:ind w:right="-694"/>
        <w:rPr>
          <w:bCs/>
          <w:i/>
          <w:iCs/>
          <w:color w:val="000000"/>
        </w:rPr>
      </w:pPr>
      <w:r w:rsidRPr="008C3E9A">
        <w:rPr>
          <w:bCs/>
          <w:i/>
          <w:iCs/>
          <w:color w:val="000000"/>
        </w:rPr>
        <w:t xml:space="preserve">Renal and </w:t>
      </w:r>
      <w:r w:rsidR="00DB3471">
        <w:rPr>
          <w:bCs/>
          <w:i/>
          <w:iCs/>
          <w:color w:val="000000"/>
        </w:rPr>
        <w:t>u</w:t>
      </w:r>
      <w:r w:rsidRPr="008C3E9A">
        <w:rPr>
          <w:bCs/>
          <w:i/>
          <w:iCs/>
          <w:color w:val="000000"/>
        </w:rPr>
        <w:t xml:space="preserve">rinary </w:t>
      </w:r>
      <w:r w:rsidR="00DB3471">
        <w:rPr>
          <w:bCs/>
          <w:i/>
          <w:iCs/>
          <w:color w:val="000000"/>
        </w:rPr>
        <w:t>d</w:t>
      </w:r>
      <w:r w:rsidRPr="008C3E9A">
        <w:rPr>
          <w:bCs/>
          <w:i/>
          <w:iCs/>
          <w:color w:val="000000"/>
        </w:rPr>
        <w:t>isorders</w:t>
      </w:r>
    </w:p>
    <w:p w:rsidR="0002134C" w:rsidRPr="00600475" w:rsidRDefault="0002134C" w:rsidP="00173E07">
      <w:pPr>
        <w:autoSpaceDE w:val="0"/>
        <w:autoSpaceDN w:val="0"/>
        <w:adjustRightInd w:val="0"/>
        <w:ind w:right="-694"/>
        <w:rPr>
          <w:color w:val="000000"/>
        </w:rPr>
      </w:pPr>
      <w:r w:rsidRPr="00600475">
        <w:rPr>
          <w:color w:val="000000"/>
        </w:rPr>
        <w:t xml:space="preserve">Uncommon </w:t>
      </w:r>
      <w:r w:rsidR="00A3326A">
        <w:rPr>
          <w:color w:val="000000"/>
        </w:rPr>
        <w:tab/>
      </w:r>
      <w:r w:rsidR="00A3326A">
        <w:rPr>
          <w:color w:val="000000"/>
        </w:rPr>
        <w:tab/>
      </w:r>
      <w:r w:rsidRPr="00600475">
        <w:rPr>
          <w:color w:val="000000"/>
        </w:rPr>
        <w:t>Renal failure</w:t>
      </w:r>
    </w:p>
    <w:p w:rsidR="00A3326A" w:rsidRDefault="00A3326A" w:rsidP="00173E07">
      <w:pPr>
        <w:autoSpaceDE w:val="0"/>
        <w:autoSpaceDN w:val="0"/>
        <w:adjustRightInd w:val="0"/>
        <w:ind w:right="-694"/>
        <w:rPr>
          <w:b/>
          <w:bCs/>
          <w:i/>
          <w:iCs/>
          <w:color w:val="000000"/>
        </w:rPr>
      </w:pPr>
    </w:p>
    <w:p w:rsidR="0002134C" w:rsidRPr="008C3E9A" w:rsidRDefault="00DB3471" w:rsidP="00173E07">
      <w:pPr>
        <w:autoSpaceDE w:val="0"/>
        <w:autoSpaceDN w:val="0"/>
        <w:adjustRightInd w:val="0"/>
        <w:ind w:right="-694"/>
        <w:rPr>
          <w:bCs/>
          <w:i/>
          <w:iCs/>
          <w:color w:val="000000"/>
        </w:rPr>
      </w:pPr>
      <w:r>
        <w:rPr>
          <w:bCs/>
          <w:i/>
          <w:iCs/>
          <w:color w:val="000000"/>
        </w:rPr>
        <w:t>General disorders and a</w:t>
      </w:r>
      <w:r w:rsidR="0002134C" w:rsidRPr="008C3E9A">
        <w:rPr>
          <w:bCs/>
          <w:i/>
          <w:iCs/>
          <w:color w:val="000000"/>
        </w:rPr>
        <w:t xml:space="preserve">dministration </w:t>
      </w:r>
      <w:r>
        <w:rPr>
          <w:bCs/>
          <w:i/>
          <w:iCs/>
          <w:color w:val="000000"/>
        </w:rPr>
        <w:t>s</w:t>
      </w:r>
      <w:r w:rsidR="0002134C" w:rsidRPr="008C3E9A">
        <w:rPr>
          <w:bCs/>
          <w:i/>
          <w:iCs/>
          <w:color w:val="000000"/>
        </w:rPr>
        <w:t xml:space="preserve">ite </w:t>
      </w:r>
      <w:r>
        <w:rPr>
          <w:bCs/>
          <w:i/>
          <w:iCs/>
          <w:color w:val="000000"/>
        </w:rPr>
        <w:t>c</w:t>
      </w:r>
      <w:r w:rsidR="0002134C" w:rsidRPr="008C3E9A">
        <w:rPr>
          <w:bCs/>
          <w:i/>
          <w:iCs/>
          <w:color w:val="000000"/>
        </w:rPr>
        <w:t>onditions</w:t>
      </w:r>
    </w:p>
    <w:p w:rsidR="0002134C" w:rsidRPr="00600475" w:rsidRDefault="0002134C" w:rsidP="00173E07">
      <w:pPr>
        <w:autoSpaceDE w:val="0"/>
        <w:autoSpaceDN w:val="0"/>
        <w:adjustRightInd w:val="0"/>
        <w:ind w:right="-694"/>
        <w:rPr>
          <w:color w:val="000000"/>
        </w:rPr>
      </w:pPr>
      <w:r w:rsidRPr="00600475">
        <w:rPr>
          <w:color w:val="000000"/>
        </w:rPr>
        <w:t xml:space="preserve">Very common </w:t>
      </w:r>
      <w:r w:rsidR="00A3326A">
        <w:rPr>
          <w:color w:val="000000"/>
        </w:rPr>
        <w:tab/>
      </w:r>
      <w:r w:rsidR="00A3326A">
        <w:rPr>
          <w:color w:val="000000"/>
        </w:rPr>
        <w:tab/>
      </w:r>
      <w:r w:rsidRPr="00600475">
        <w:rPr>
          <w:color w:val="000000"/>
        </w:rPr>
        <w:t>Pyrexia, peripheral oedema</w:t>
      </w:r>
      <w:r w:rsidRPr="00DB3471">
        <w:rPr>
          <w:color w:val="000000"/>
          <w:vertAlign w:val="superscript"/>
        </w:rPr>
        <w:t>1</w:t>
      </w:r>
      <w:r w:rsidRPr="00600475">
        <w:rPr>
          <w:color w:val="000000"/>
        </w:rPr>
        <w:t>, fatigue</w:t>
      </w:r>
    </w:p>
    <w:p w:rsidR="0002134C" w:rsidRPr="00600475" w:rsidRDefault="0002134C" w:rsidP="00173E07">
      <w:pPr>
        <w:autoSpaceDE w:val="0"/>
        <w:autoSpaceDN w:val="0"/>
        <w:adjustRightInd w:val="0"/>
        <w:ind w:right="-694"/>
        <w:rPr>
          <w:color w:val="000000"/>
        </w:rPr>
      </w:pPr>
      <w:r w:rsidRPr="00600475">
        <w:rPr>
          <w:color w:val="000000"/>
        </w:rPr>
        <w:t xml:space="preserve">Common </w:t>
      </w:r>
      <w:r w:rsidR="00A3326A">
        <w:rPr>
          <w:color w:val="000000"/>
        </w:rPr>
        <w:tab/>
      </w:r>
      <w:r w:rsidR="00A3326A">
        <w:rPr>
          <w:color w:val="000000"/>
        </w:rPr>
        <w:tab/>
      </w:r>
      <w:r w:rsidRPr="00600475">
        <w:rPr>
          <w:color w:val="000000"/>
        </w:rPr>
        <w:t>Influenza</w:t>
      </w:r>
      <w:r w:rsidR="00E36F11">
        <w:rPr>
          <w:color w:val="000000"/>
        </w:rPr>
        <w:t>-</w:t>
      </w:r>
      <w:r w:rsidRPr="00600475">
        <w:rPr>
          <w:color w:val="000000"/>
        </w:rPr>
        <w:t>like illness, chest pain, chills, pain</w:t>
      </w:r>
      <w:r w:rsidRPr="00DB3471">
        <w:rPr>
          <w:color w:val="000000"/>
          <w:vertAlign w:val="superscript"/>
        </w:rPr>
        <w:t>1</w:t>
      </w:r>
      <w:r w:rsidRPr="00600475">
        <w:rPr>
          <w:color w:val="000000"/>
        </w:rPr>
        <w:t>, asthenia, face oedema</w:t>
      </w:r>
    </w:p>
    <w:p w:rsidR="0002134C" w:rsidRPr="00600475" w:rsidRDefault="0002134C" w:rsidP="00173E07">
      <w:pPr>
        <w:autoSpaceDE w:val="0"/>
        <w:autoSpaceDN w:val="0"/>
        <w:adjustRightInd w:val="0"/>
        <w:ind w:right="-694"/>
        <w:rPr>
          <w:color w:val="000000"/>
        </w:rPr>
      </w:pPr>
      <w:r w:rsidRPr="00600475">
        <w:rPr>
          <w:color w:val="000000"/>
        </w:rPr>
        <w:t xml:space="preserve">Uncommon </w:t>
      </w:r>
      <w:r w:rsidR="00A3326A">
        <w:rPr>
          <w:color w:val="000000"/>
        </w:rPr>
        <w:tab/>
      </w:r>
      <w:r w:rsidR="00A3326A">
        <w:rPr>
          <w:color w:val="000000"/>
        </w:rPr>
        <w:tab/>
      </w:r>
      <w:r w:rsidRPr="00600475">
        <w:rPr>
          <w:color w:val="000000"/>
        </w:rPr>
        <w:t>Infusion</w:t>
      </w:r>
      <w:r w:rsidR="00E36F11">
        <w:rPr>
          <w:color w:val="000000"/>
        </w:rPr>
        <w:t>-</w:t>
      </w:r>
      <w:r w:rsidRPr="00600475">
        <w:rPr>
          <w:color w:val="000000"/>
        </w:rPr>
        <w:t>related reaction</w:t>
      </w:r>
    </w:p>
    <w:p w:rsidR="00A3326A" w:rsidRDefault="00A3326A" w:rsidP="00173E07">
      <w:pPr>
        <w:autoSpaceDE w:val="0"/>
        <w:autoSpaceDN w:val="0"/>
        <w:adjustRightInd w:val="0"/>
        <w:ind w:right="-694"/>
        <w:rPr>
          <w:b/>
          <w:bCs/>
          <w:i/>
          <w:iCs/>
          <w:color w:val="000000"/>
        </w:rPr>
      </w:pPr>
    </w:p>
    <w:p w:rsidR="0002134C" w:rsidRPr="008C3E9A" w:rsidRDefault="0002134C" w:rsidP="00173E07">
      <w:pPr>
        <w:autoSpaceDE w:val="0"/>
        <w:autoSpaceDN w:val="0"/>
        <w:adjustRightInd w:val="0"/>
        <w:ind w:right="-694"/>
        <w:rPr>
          <w:bCs/>
          <w:i/>
          <w:iCs/>
          <w:color w:val="000000"/>
        </w:rPr>
      </w:pPr>
      <w:r w:rsidRPr="008C3E9A">
        <w:rPr>
          <w:bCs/>
          <w:i/>
          <w:iCs/>
          <w:color w:val="000000"/>
        </w:rPr>
        <w:t>Investigations</w:t>
      </w:r>
    </w:p>
    <w:p w:rsidR="0002134C" w:rsidRPr="00600475" w:rsidRDefault="0002134C" w:rsidP="00173E07">
      <w:pPr>
        <w:autoSpaceDE w:val="0"/>
        <w:autoSpaceDN w:val="0"/>
        <w:adjustRightInd w:val="0"/>
        <w:ind w:right="-694"/>
        <w:rPr>
          <w:color w:val="000000"/>
        </w:rPr>
      </w:pPr>
      <w:r w:rsidRPr="00600475">
        <w:rPr>
          <w:color w:val="000000"/>
        </w:rPr>
        <w:t xml:space="preserve">Very common </w:t>
      </w:r>
      <w:r w:rsidR="00A3326A">
        <w:rPr>
          <w:color w:val="000000"/>
        </w:rPr>
        <w:tab/>
      </w:r>
      <w:r w:rsidR="00A3326A">
        <w:rPr>
          <w:color w:val="000000"/>
        </w:rPr>
        <w:tab/>
      </w:r>
      <w:r w:rsidRPr="00600475">
        <w:rPr>
          <w:color w:val="000000"/>
        </w:rPr>
        <w:t>Liver function test abnormal</w:t>
      </w:r>
      <w:r w:rsidRPr="00DB3471">
        <w:rPr>
          <w:color w:val="000000"/>
          <w:vertAlign w:val="superscript"/>
        </w:rPr>
        <w:t>1</w:t>
      </w:r>
    </w:p>
    <w:p w:rsidR="0002134C" w:rsidRPr="00600475" w:rsidRDefault="0002134C" w:rsidP="00173E07">
      <w:pPr>
        <w:autoSpaceDE w:val="0"/>
        <w:autoSpaceDN w:val="0"/>
        <w:adjustRightInd w:val="0"/>
        <w:ind w:right="-694"/>
        <w:rPr>
          <w:color w:val="000000"/>
        </w:rPr>
      </w:pPr>
      <w:r w:rsidRPr="00600475">
        <w:rPr>
          <w:color w:val="000000"/>
        </w:rPr>
        <w:t xml:space="preserve">Common </w:t>
      </w:r>
      <w:r w:rsidR="00A3326A">
        <w:rPr>
          <w:color w:val="000000"/>
        </w:rPr>
        <w:tab/>
      </w:r>
      <w:r w:rsidR="00A3326A">
        <w:rPr>
          <w:color w:val="000000"/>
        </w:rPr>
        <w:tab/>
      </w:r>
      <w:r w:rsidRPr="00600475">
        <w:rPr>
          <w:color w:val="000000"/>
        </w:rPr>
        <w:t>Blood creatinine increased</w:t>
      </w:r>
      <w:r w:rsidRPr="00DB3471">
        <w:rPr>
          <w:color w:val="000000"/>
          <w:vertAlign w:val="superscript"/>
        </w:rPr>
        <w:t>1</w:t>
      </w:r>
      <w:r w:rsidRPr="00600475">
        <w:rPr>
          <w:color w:val="000000"/>
        </w:rPr>
        <w:t>, weight decreased</w:t>
      </w:r>
    </w:p>
    <w:p w:rsidR="0002134C" w:rsidRPr="00600475" w:rsidRDefault="0002134C" w:rsidP="00173E07">
      <w:pPr>
        <w:autoSpaceDE w:val="0"/>
        <w:autoSpaceDN w:val="0"/>
        <w:adjustRightInd w:val="0"/>
        <w:ind w:right="-694"/>
        <w:rPr>
          <w:color w:val="000000"/>
        </w:rPr>
      </w:pPr>
      <w:r w:rsidRPr="00600475">
        <w:rPr>
          <w:color w:val="000000"/>
        </w:rPr>
        <w:t xml:space="preserve">Uncommon </w:t>
      </w:r>
      <w:r w:rsidR="00A3326A">
        <w:rPr>
          <w:color w:val="000000"/>
        </w:rPr>
        <w:tab/>
      </w:r>
      <w:r w:rsidR="00A3326A">
        <w:rPr>
          <w:color w:val="000000"/>
        </w:rPr>
        <w:tab/>
      </w:r>
      <w:r w:rsidRPr="00600475">
        <w:rPr>
          <w:color w:val="000000"/>
        </w:rPr>
        <w:t>Ejection fraction decreased</w:t>
      </w:r>
    </w:p>
    <w:p w:rsidR="00A3326A" w:rsidRDefault="00A3326A" w:rsidP="00173E07">
      <w:pPr>
        <w:autoSpaceDE w:val="0"/>
        <w:autoSpaceDN w:val="0"/>
        <w:adjustRightInd w:val="0"/>
        <w:ind w:right="-694"/>
        <w:rPr>
          <w:b/>
          <w:bCs/>
          <w:i/>
          <w:iCs/>
          <w:color w:val="000000"/>
        </w:rPr>
      </w:pPr>
    </w:p>
    <w:p w:rsidR="0002134C" w:rsidRPr="008C3E9A" w:rsidRDefault="0002134C" w:rsidP="00173E07">
      <w:pPr>
        <w:autoSpaceDE w:val="0"/>
        <w:autoSpaceDN w:val="0"/>
        <w:adjustRightInd w:val="0"/>
        <w:ind w:right="-694"/>
        <w:rPr>
          <w:bCs/>
          <w:i/>
          <w:iCs/>
          <w:color w:val="000000"/>
        </w:rPr>
      </w:pPr>
      <w:r w:rsidRPr="008C3E9A">
        <w:rPr>
          <w:bCs/>
          <w:i/>
          <w:iCs/>
          <w:color w:val="000000"/>
        </w:rPr>
        <w:t xml:space="preserve">Injury, </w:t>
      </w:r>
      <w:r w:rsidR="00DB3471">
        <w:rPr>
          <w:bCs/>
          <w:i/>
          <w:iCs/>
          <w:color w:val="000000"/>
        </w:rPr>
        <w:t>p</w:t>
      </w:r>
      <w:r w:rsidRPr="008C3E9A">
        <w:rPr>
          <w:bCs/>
          <w:i/>
          <w:iCs/>
          <w:color w:val="000000"/>
        </w:rPr>
        <w:t xml:space="preserve">oisoning, and </w:t>
      </w:r>
      <w:r w:rsidR="00DB3471">
        <w:rPr>
          <w:bCs/>
          <w:i/>
          <w:iCs/>
          <w:color w:val="000000"/>
        </w:rPr>
        <w:t>p</w:t>
      </w:r>
      <w:r w:rsidRPr="008C3E9A">
        <w:rPr>
          <w:bCs/>
          <w:i/>
          <w:iCs/>
          <w:color w:val="000000"/>
        </w:rPr>
        <w:t xml:space="preserve">rocedural </w:t>
      </w:r>
      <w:r w:rsidR="00DB3471">
        <w:rPr>
          <w:bCs/>
          <w:i/>
          <w:iCs/>
          <w:color w:val="000000"/>
        </w:rPr>
        <w:t>c</w:t>
      </w:r>
      <w:r w:rsidRPr="008C3E9A">
        <w:rPr>
          <w:bCs/>
          <w:i/>
          <w:iCs/>
          <w:color w:val="000000"/>
        </w:rPr>
        <w:t>omplications</w:t>
      </w:r>
    </w:p>
    <w:p w:rsidR="0002134C" w:rsidRDefault="0002134C" w:rsidP="002C2486">
      <w:pPr>
        <w:autoSpaceDE w:val="0"/>
        <w:autoSpaceDN w:val="0"/>
        <w:adjustRightInd w:val="0"/>
        <w:ind w:right="-694"/>
        <w:rPr>
          <w:color w:val="000000"/>
        </w:rPr>
      </w:pPr>
      <w:r w:rsidRPr="00600475">
        <w:rPr>
          <w:color w:val="000000"/>
        </w:rPr>
        <w:t xml:space="preserve">Common </w:t>
      </w:r>
      <w:r w:rsidR="00A3326A">
        <w:rPr>
          <w:color w:val="000000"/>
        </w:rPr>
        <w:tab/>
      </w:r>
      <w:r w:rsidR="00A3326A">
        <w:rPr>
          <w:color w:val="000000"/>
        </w:rPr>
        <w:tab/>
      </w:r>
      <w:r w:rsidRPr="00600475">
        <w:rPr>
          <w:color w:val="000000"/>
        </w:rPr>
        <w:t>Contusion</w:t>
      </w:r>
    </w:p>
    <w:p w:rsidR="007570F0" w:rsidRDefault="007570F0" w:rsidP="00173E07">
      <w:pPr>
        <w:autoSpaceDE w:val="0"/>
        <w:autoSpaceDN w:val="0"/>
        <w:adjustRightInd w:val="0"/>
        <w:ind w:right="-694"/>
        <w:rPr>
          <w:color w:val="000000"/>
          <w:sz w:val="20"/>
          <w:szCs w:val="20"/>
        </w:rPr>
      </w:pPr>
    </w:p>
    <w:p w:rsidR="0002134C" w:rsidRPr="00A3326A" w:rsidRDefault="0002134C" w:rsidP="00173E07">
      <w:pPr>
        <w:autoSpaceDE w:val="0"/>
        <w:autoSpaceDN w:val="0"/>
        <w:adjustRightInd w:val="0"/>
        <w:ind w:right="-694"/>
        <w:rPr>
          <w:color w:val="000000"/>
          <w:sz w:val="20"/>
          <w:szCs w:val="20"/>
        </w:rPr>
      </w:pPr>
      <w:r w:rsidRPr="007570F0">
        <w:rPr>
          <w:color w:val="000000"/>
          <w:sz w:val="20"/>
          <w:szCs w:val="20"/>
          <w:vertAlign w:val="superscript"/>
        </w:rPr>
        <w:t>1</w:t>
      </w:r>
      <w:r w:rsidRPr="00A3326A">
        <w:rPr>
          <w:color w:val="000000"/>
          <w:sz w:val="20"/>
          <w:szCs w:val="20"/>
        </w:rPr>
        <w:t xml:space="preserve"> Closely-related adverse event terms were coded to the same lowest-level term in order to present the</w:t>
      </w:r>
      <w:r w:rsidR="00A3326A" w:rsidRPr="00A3326A">
        <w:rPr>
          <w:color w:val="000000"/>
          <w:sz w:val="20"/>
          <w:szCs w:val="20"/>
        </w:rPr>
        <w:t xml:space="preserve"> </w:t>
      </w:r>
      <w:r w:rsidRPr="00A3326A">
        <w:rPr>
          <w:color w:val="000000"/>
          <w:sz w:val="20"/>
          <w:szCs w:val="20"/>
        </w:rPr>
        <w:t>event in a uniform manner</w:t>
      </w:r>
    </w:p>
    <w:p w:rsidR="00C46341" w:rsidRDefault="00C46341" w:rsidP="00173E07">
      <w:pPr>
        <w:autoSpaceDE w:val="0"/>
        <w:autoSpaceDN w:val="0"/>
        <w:adjustRightInd w:val="0"/>
        <w:ind w:right="-694"/>
        <w:rPr>
          <w:color w:val="000000"/>
        </w:rPr>
      </w:pPr>
    </w:p>
    <w:p w:rsidR="0002134C" w:rsidRPr="002C2486" w:rsidRDefault="00597A81" w:rsidP="00173E07">
      <w:pPr>
        <w:autoSpaceDE w:val="0"/>
        <w:autoSpaceDN w:val="0"/>
        <w:adjustRightInd w:val="0"/>
        <w:ind w:right="-694"/>
        <w:rPr>
          <w:color w:val="000000"/>
          <w:u w:val="single"/>
        </w:rPr>
      </w:pPr>
      <w:r>
        <w:rPr>
          <w:color w:val="000000"/>
          <w:u w:val="single"/>
        </w:rPr>
        <w:t>D</w:t>
      </w:r>
      <w:r w:rsidR="004047BB" w:rsidRPr="002C2486">
        <w:rPr>
          <w:color w:val="000000"/>
          <w:u w:val="single"/>
        </w:rPr>
        <w:t xml:space="preserve">escription of </w:t>
      </w:r>
      <w:r>
        <w:rPr>
          <w:color w:val="000000"/>
          <w:u w:val="single"/>
        </w:rPr>
        <w:t xml:space="preserve">selected </w:t>
      </w:r>
      <w:r w:rsidR="0002134C" w:rsidRPr="002C2486">
        <w:rPr>
          <w:color w:val="000000"/>
          <w:u w:val="single"/>
        </w:rPr>
        <w:t>adverse reactions</w:t>
      </w:r>
      <w:r w:rsidR="00D20008" w:rsidRPr="002C2486">
        <w:rPr>
          <w:color w:val="000000"/>
          <w:u w:val="single"/>
        </w:rPr>
        <w:t xml:space="preserve"> </w:t>
      </w:r>
    </w:p>
    <w:p w:rsidR="00B16927" w:rsidRDefault="00B16927" w:rsidP="00173E07">
      <w:pPr>
        <w:autoSpaceDE w:val="0"/>
        <w:autoSpaceDN w:val="0"/>
        <w:adjustRightInd w:val="0"/>
        <w:ind w:right="-694"/>
        <w:rPr>
          <w:i/>
          <w:color w:val="000000"/>
        </w:rPr>
      </w:pPr>
      <w:r>
        <w:rPr>
          <w:i/>
          <w:color w:val="000000"/>
        </w:rPr>
        <w:t xml:space="preserve">Gastrointestinal Disorders </w:t>
      </w:r>
    </w:p>
    <w:p w:rsidR="00B16927" w:rsidRDefault="00B50672" w:rsidP="00173E07">
      <w:pPr>
        <w:autoSpaceDE w:val="0"/>
        <w:autoSpaceDN w:val="0"/>
        <w:adjustRightInd w:val="0"/>
        <w:ind w:right="-694"/>
        <w:rPr>
          <w:color w:val="000000"/>
        </w:rPr>
      </w:pPr>
      <w:r>
        <w:rPr>
          <w:color w:val="000000"/>
        </w:rPr>
        <w:t>M</w:t>
      </w:r>
      <w:r w:rsidRPr="00600475">
        <w:rPr>
          <w:color w:val="000000"/>
        </w:rPr>
        <w:t>ucosal inflammation</w:t>
      </w:r>
      <w:r>
        <w:rPr>
          <w:color w:val="000000"/>
        </w:rPr>
        <w:t xml:space="preserve"> occurred in </w:t>
      </w:r>
      <w:r w:rsidR="004467A6">
        <w:rPr>
          <w:color w:val="000000"/>
        </w:rPr>
        <w:t>68%</w:t>
      </w:r>
      <w:r w:rsidR="002C2486">
        <w:rPr>
          <w:color w:val="000000"/>
        </w:rPr>
        <w:t xml:space="preserve"> </w:t>
      </w:r>
      <w:r w:rsidR="0002134C" w:rsidRPr="00600475">
        <w:rPr>
          <w:color w:val="000000"/>
        </w:rPr>
        <w:t>of patients</w:t>
      </w:r>
      <w:r w:rsidR="002C2486">
        <w:rPr>
          <w:color w:val="000000"/>
        </w:rPr>
        <w:t xml:space="preserve">,18% with </w:t>
      </w:r>
      <w:r w:rsidR="008C3E9A">
        <w:rPr>
          <w:color w:val="000000"/>
        </w:rPr>
        <w:t>G</w:t>
      </w:r>
      <w:r w:rsidR="0002134C" w:rsidRPr="00600475">
        <w:rPr>
          <w:color w:val="000000"/>
        </w:rPr>
        <w:t xml:space="preserve">rade 3 and </w:t>
      </w:r>
      <w:r w:rsidR="002C2486">
        <w:rPr>
          <w:color w:val="000000"/>
        </w:rPr>
        <w:t>4% with Grade 4</w:t>
      </w:r>
      <w:r w:rsidR="0002134C" w:rsidRPr="00600475">
        <w:rPr>
          <w:color w:val="000000"/>
        </w:rPr>
        <w:t xml:space="preserve"> </w:t>
      </w:r>
      <w:r w:rsidR="004047BB">
        <w:rPr>
          <w:color w:val="000000"/>
        </w:rPr>
        <w:t>reactions</w:t>
      </w:r>
      <w:r w:rsidR="002C2486">
        <w:rPr>
          <w:color w:val="000000"/>
        </w:rPr>
        <w:t xml:space="preserve">, classified in </w:t>
      </w:r>
      <w:r w:rsidR="004047BB">
        <w:rPr>
          <w:color w:val="000000"/>
        </w:rPr>
        <w:t>accord</w:t>
      </w:r>
      <w:r w:rsidR="002C2486">
        <w:rPr>
          <w:color w:val="000000"/>
        </w:rPr>
        <w:t>ance with</w:t>
      </w:r>
      <w:r w:rsidR="004047BB">
        <w:rPr>
          <w:color w:val="000000"/>
        </w:rPr>
        <w:t xml:space="preserve"> the </w:t>
      </w:r>
      <w:r w:rsidR="004047BB" w:rsidRPr="00600475">
        <w:rPr>
          <w:color w:val="000000"/>
        </w:rPr>
        <w:t>National Cancer</w:t>
      </w:r>
      <w:r w:rsidR="004047BB">
        <w:rPr>
          <w:color w:val="000000"/>
        </w:rPr>
        <w:t xml:space="preserve"> </w:t>
      </w:r>
      <w:r w:rsidR="004047BB" w:rsidRPr="00600475">
        <w:rPr>
          <w:color w:val="000000"/>
        </w:rPr>
        <w:t>Institute-Common Terminology Criteria</w:t>
      </w:r>
      <w:r w:rsidR="00DC6FFE">
        <w:rPr>
          <w:color w:val="000000"/>
        </w:rPr>
        <w:t xml:space="preserve"> (NCI-CTC)</w:t>
      </w:r>
      <w:r w:rsidR="0002134C" w:rsidRPr="00600475">
        <w:rPr>
          <w:color w:val="000000"/>
        </w:rPr>
        <w:t xml:space="preserve">. </w:t>
      </w:r>
      <w:r w:rsidR="00D20008">
        <w:rPr>
          <w:color w:val="000000"/>
        </w:rPr>
        <w:t xml:space="preserve"> </w:t>
      </w:r>
      <w:r w:rsidR="002C2486">
        <w:rPr>
          <w:color w:val="000000"/>
        </w:rPr>
        <w:t xml:space="preserve">Most patients </w:t>
      </w:r>
      <w:r w:rsidR="002C2486" w:rsidRPr="00600475">
        <w:rPr>
          <w:color w:val="000000"/>
        </w:rPr>
        <w:t xml:space="preserve">for whom the dose was modified </w:t>
      </w:r>
      <w:r w:rsidR="002C2486">
        <w:t>r</w:t>
      </w:r>
      <w:r w:rsidR="0002134C" w:rsidRPr="00600475">
        <w:rPr>
          <w:color w:val="000000"/>
        </w:rPr>
        <w:t>ecover</w:t>
      </w:r>
      <w:r w:rsidR="002C2486">
        <w:rPr>
          <w:color w:val="000000"/>
        </w:rPr>
        <w:t xml:space="preserve">ed to </w:t>
      </w:r>
      <w:r w:rsidR="00E36F11">
        <w:rPr>
          <w:color w:val="000000"/>
        </w:rPr>
        <w:t>mucosal inflammation</w:t>
      </w:r>
      <w:r w:rsidR="00DC6FFE">
        <w:rPr>
          <w:color w:val="000000"/>
        </w:rPr>
        <w:t xml:space="preserve"> equal to, or</w:t>
      </w:r>
      <w:r w:rsidR="00E36F11">
        <w:rPr>
          <w:color w:val="000000"/>
        </w:rPr>
        <w:t xml:space="preserve"> </w:t>
      </w:r>
      <w:r w:rsidR="004047BB">
        <w:rPr>
          <w:color w:val="000000"/>
        </w:rPr>
        <w:t>below</w:t>
      </w:r>
      <w:r w:rsidR="00DC6FFE">
        <w:rPr>
          <w:color w:val="000000"/>
        </w:rPr>
        <w:t>,</w:t>
      </w:r>
      <w:r w:rsidR="004047BB">
        <w:rPr>
          <w:color w:val="000000"/>
        </w:rPr>
        <w:t xml:space="preserve"> </w:t>
      </w:r>
      <w:r w:rsidR="0002134C" w:rsidRPr="00600475">
        <w:rPr>
          <w:color w:val="000000"/>
        </w:rPr>
        <w:t>Grade 1</w:t>
      </w:r>
      <w:r w:rsidR="002C2486">
        <w:rPr>
          <w:color w:val="000000"/>
        </w:rPr>
        <w:t xml:space="preserve"> (see </w:t>
      </w:r>
      <w:r w:rsidR="007A7DB2">
        <w:rPr>
          <w:b/>
          <w:color w:val="000000"/>
        </w:rPr>
        <w:t xml:space="preserve">DOSAGE AND </w:t>
      </w:r>
      <w:r w:rsidR="007A7DB2" w:rsidRPr="007A7DB2">
        <w:rPr>
          <w:b/>
          <w:color w:val="000000"/>
        </w:rPr>
        <w:t>ADMINISTRATION</w:t>
      </w:r>
      <w:r w:rsidR="007A7DB2">
        <w:rPr>
          <w:color w:val="000000"/>
        </w:rPr>
        <w:t xml:space="preserve">, </w:t>
      </w:r>
      <w:r w:rsidR="002C2486" w:rsidRPr="007A7DB2">
        <w:t>Table</w:t>
      </w:r>
      <w:r w:rsidR="002C2486" w:rsidRPr="00D20008">
        <w:t xml:space="preserve"> </w:t>
      </w:r>
      <w:r w:rsidR="00DA45B8">
        <w:t>2</w:t>
      </w:r>
      <w:r w:rsidR="002C2486">
        <w:t>, below)</w:t>
      </w:r>
      <w:r w:rsidR="0002134C" w:rsidRPr="00600475">
        <w:rPr>
          <w:color w:val="000000"/>
        </w:rPr>
        <w:t>.</w:t>
      </w:r>
      <w:r w:rsidR="004047BB">
        <w:rPr>
          <w:color w:val="000000"/>
        </w:rPr>
        <w:t xml:space="preserve">  </w:t>
      </w:r>
    </w:p>
    <w:p w:rsidR="0020550C" w:rsidRDefault="0020550C" w:rsidP="00173E07">
      <w:pPr>
        <w:autoSpaceDE w:val="0"/>
        <w:autoSpaceDN w:val="0"/>
        <w:adjustRightInd w:val="0"/>
        <w:ind w:right="-694"/>
        <w:rPr>
          <w:color w:val="000000"/>
        </w:rPr>
      </w:pPr>
    </w:p>
    <w:p w:rsidR="00B16927" w:rsidRDefault="00B16927" w:rsidP="00173E07">
      <w:pPr>
        <w:autoSpaceDE w:val="0"/>
        <w:autoSpaceDN w:val="0"/>
        <w:adjustRightInd w:val="0"/>
        <w:ind w:right="-694"/>
        <w:rPr>
          <w:i/>
          <w:color w:val="000000"/>
        </w:rPr>
      </w:pPr>
      <w:r>
        <w:rPr>
          <w:i/>
          <w:color w:val="000000"/>
        </w:rPr>
        <w:t xml:space="preserve">Blood Disorders </w:t>
      </w:r>
    </w:p>
    <w:p w:rsidR="004F054C" w:rsidRDefault="0002134C" w:rsidP="00173E07">
      <w:pPr>
        <w:autoSpaceDE w:val="0"/>
        <w:autoSpaceDN w:val="0"/>
        <w:adjustRightInd w:val="0"/>
        <w:ind w:right="-694"/>
        <w:rPr>
          <w:color w:val="000000"/>
        </w:rPr>
      </w:pPr>
      <w:proofErr w:type="spellStart"/>
      <w:r w:rsidRPr="00600475">
        <w:rPr>
          <w:color w:val="000000"/>
        </w:rPr>
        <w:t>Myelosuppression</w:t>
      </w:r>
      <w:proofErr w:type="spellEnd"/>
      <w:r w:rsidRPr="00600475">
        <w:rPr>
          <w:color w:val="000000"/>
        </w:rPr>
        <w:t xml:space="preserve"> </w:t>
      </w:r>
      <w:r w:rsidR="002C2486">
        <w:rPr>
          <w:color w:val="000000"/>
        </w:rPr>
        <w:t xml:space="preserve">was a </w:t>
      </w:r>
      <w:r w:rsidRPr="00600475">
        <w:rPr>
          <w:color w:val="000000"/>
        </w:rPr>
        <w:t>very common</w:t>
      </w:r>
      <w:r w:rsidR="00B50672">
        <w:rPr>
          <w:color w:val="000000"/>
        </w:rPr>
        <w:t xml:space="preserve">ly observed </w:t>
      </w:r>
      <w:r w:rsidR="002C2486">
        <w:rPr>
          <w:color w:val="000000"/>
        </w:rPr>
        <w:t>adverse reaction</w:t>
      </w:r>
      <w:r w:rsidRPr="00600475">
        <w:rPr>
          <w:color w:val="000000"/>
        </w:rPr>
        <w:t>.</w:t>
      </w:r>
      <w:r w:rsidR="004047BB">
        <w:rPr>
          <w:color w:val="000000"/>
        </w:rPr>
        <w:t xml:space="preserve">  </w:t>
      </w:r>
    </w:p>
    <w:p w:rsidR="004F054C" w:rsidRDefault="004F054C" w:rsidP="00173E07">
      <w:pPr>
        <w:autoSpaceDE w:val="0"/>
        <w:autoSpaceDN w:val="0"/>
        <w:adjustRightInd w:val="0"/>
        <w:ind w:right="-694"/>
        <w:rPr>
          <w:color w:val="000000"/>
        </w:rPr>
      </w:pPr>
    </w:p>
    <w:p w:rsidR="004F054C" w:rsidRDefault="004F054C" w:rsidP="00173E07">
      <w:pPr>
        <w:autoSpaceDE w:val="0"/>
        <w:autoSpaceDN w:val="0"/>
        <w:adjustRightInd w:val="0"/>
        <w:ind w:right="-694"/>
        <w:rPr>
          <w:color w:val="000000"/>
        </w:rPr>
      </w:pPr>
      <w:r>
        <w:rPr>
          <w:color w:val="000000"/>
        </w:rPr>
        <w:t xml:space="preserve">Thrombocytopenia occurred in </w:t>
      </w:r>
      <w:r w:rsidR="002C2486" w:rsidRPr="00600475">
        <w:rPr>
          <w:color w:val="000000"/>
        </w:rPr>
        <w:t>40% of patients</w:t>
      </w:r>
      <w:r w:rsidR="004467A6">
        <w:rPr>
          <w:color w:val="000000"/>
        </w:rPr>
        <w:t>, 14%</w:t>
      </w:r>
      <w:r w:rsidR="004047BB">
        <w:rPr>
          <w:color w:val="000000"/>
        </w:rPr>
        <w:t xml:space="preserve"> with </w:t>
      </w:r>
      <w:r w:rsidR="0002134C" w:rsidRPr="00600475">
        <w:rPr>
          <w:color w:val="000000"/>
        </w:rPr>
        <w:t xml:space="preserve">Grade 3 </w:t>
      </w:r>
      <w:r w:rsidR="004467A6">
        <w:rPr>
          <w:color w:val="000000"/>
        </w:rPr>
        <w:t xml:space="preserve">and 17% with Grade </w:t>
      </w:r>
      <w:r w:rsidR="0002134C" w:rsidRPr="00600475">
        <w:rPr>
          <w:color w:val="000000"/>
        </w:rPr>
        <w:t xml:space="preserve">4 </w:t>
      </w:r>
      <w:r w:rsidR="004467A6">
        <w:rPr>
          <w:color w:val="000000"/>
        </w:rPr>
        <w:t>reactions.</w:t>
      </w:r>
      <w:r w:rsidR="0002134C" w:rsidRPr="00600475">
        <w:rPr>
          <w:color w:val="000000"/>
        </w:rPr>
        <w:t xml:space="preserve"> </w:t>
      </w:r>
      <w:r w:rsidR="00D20008">
        <w:rPr>
          <w:color w:val="000000"/>
        </w:rPr>
        <w:t xml:space="preserve"> </w:t>
      </w:r>
      <w:r w:rsidR="004467A6">
        <w:rPr>
          <w:color w:val="000000"/>
        </w:rPr>
        <w:t>P</w:t>
      </w:r>
      <w:r w:rsidR="0002134C" w:rsidRPr="00600475">
        <w:rPr>
          <w:color w:val="000000"/>
        </w:rPr>
        <w:t>latelet count</w:t>
      </w:r>
      <w:r w:rsidR="004467A6">
        <w:rPr>
          <w:color w:val="000000"/>
        </w:rPr>
        <w:t xml:space="preserve"> r</w:t>
      </w:r>
      <w:r w:rsidR="004467A6" w:rsidRPr="00600475">
        <w:rPr>
          <w:color w:val="000000"/>
        </w:rPr>
        <w:t xml:space="preserve">ecovery </w:t>
      </w:r>
      <w:r w:rsidR="0002134C" w:rsidRPr="00600475">
        <w:rPr>
          <w:color w:val="000000"/>
        </w:rPr>
        <w:t xml:space="preserve">usually occurred </w:t>
      </w:r>
      <w:r w:rsidR="004047BB">
        <w:rPr>
          <w:color w:val="000000"/>
        </w:rPr>
        <w:t xml:space="preserve">after </w:t>
      </w:r>
      <w:r w:rsidR="0002134C" w:rsidRPr="00600475">
        <w:rPr>
          <w:color w:val="000000"/>
        </w:rPr>
        <w:t>treatment</w:t>
      </w:r>
      <w:r w:rsidR="004467A6">
        <w:rPr>
          <w:color w:val="000000"/>
        </w:rPr>
        <w:t xml:space="preserve"> was</w:t>
      </w:r>
      <w:r w:rsidR="00DC6FFE">
        <w:rPr>
          <w:color w:val="000000"/>
        </w:rPr>
        <w:t xml:space="preserve"> omitted or</w:t>
      </w:r>
      <w:r w:rsidR="004467A6">
        <w:rPr>
          <w:color w:val="000000"/>
        </w:rPr>
        <w:t xml:space="preserve"> ceased</w:t>
      </w:r>
      <w:r w:rsidR="0002134C" w:rsidRPr="00600475">
        <w:rPr>
          <w:color w:val="000000"/>
        </w:rPr>
        <w:t xml:space="preserve">. </w:t>
      </w:r>
      <w:r w:rsidR="004047BB">
        <w:rPr>
          <w:color w:val="000000"/>
        </w:rPr>
        <w:t xml:space="preserve"> </w:t>
      </w:r>
      <w:r w:rsidR="0002134C" w:rsidRPr="00600475">
        <w:rPr>
          <w:color w:val="000000"/>
        </w:rPr>
        <w:t>Bleeding complications</w:t>
      </w:r>
      <w:r w:rsidR="00056C7F">
        <w:rPr>
          <w:color w:val="000000"/>
        </w:rPr>
        <w:t xml:space="preserve"> </w:t>
      </w:r>
      <w:r w:rsidR="004467A6">
        <w:rPr>
          <w:color w:val="000000"/>
        </w:rPr>
        <w:t>(</w:t>
      </w:r>
      <w:r w:rsidR="0002134C" w:rsidRPr="00600475">
        <w:rPr>
          <w:color w:val="000000"/>
        </w:rPr>
        <w:t>coincident with low platelet counts</w:t>
      </w:r>
      <w:r w:rsidR="004467A6">
        <w:rPr>
          <w:color w:val="000000"/>
        </w:rPr>
        <w:t>)</w:t>
      </w:r>
      <w:r w:rsidR="0002134C" w:rsidRPr="00600475">
        <w:rPr>
          <w:color w:val="000000"/>
        </w:rPr>
        <w:t xml:space="preserve"> were </w:t>
      </w:r>
      <w:r w:rsidR="00B16927">
        <w:rPr>
          <w:color w:val="000000"/>
        </w:rPr>
        <w:t>generally</w:t>
      </w:r>
      <w:r w:rsidR="00B16927" w:rsidRPr="00600475">
        <w:rPr>
          <w:color w:val="000000"/>
        </w:rPr>
        <w:t xml:space="preserve"> </w:t>
      </w:r>
      <w:r w:rsidR="0002134C" w:rsidRPr="00600475">
        <w:rPr>
          <w:color w:val="000000"/>
        </w:rPr>
        <w:t xml:space="preserve">mild and </w:t>
      </w:r>
      <w:r w:rsidR="00B16927">
        <w:rPr>
          <w:color w:val="000000"/>
        </w:rPr>
        <w:t xml:space="preserve">predominantly </w:t>
      </w:r>
      <w:r w:rsidR="0002134C" w:rsidRPr="00600475">
        <w:rPr>
          <w:color w:val="000000"/>
        </w:rPr>
        <w:t>presented</w:t>
      </w:r>
      <w:r w:rsidR="00056C7F">
        <w:rPr>
          <w:color w:val="000000"/>
        </w:rPr>
        <w:t xml:space="preserve"> </w:t>
      </w:r>
      <w:r w:rsidR="0002134C" w:rsidRPr="00600475">
        <w:rPr>
          <w:color w:val="000000"/>
        </w:rPr>
        <w:t>clinically as epistaxis.</w:t>
      </w:r>
      <w:r w:rsidR="004047BB">
        <w:rPr>
          <w:color w:val="000000"/>
        </w:rPr>
        <w:t xml:space="preserve">  </w:t>
      </w:r>
    </w:p>
    <w:p w:rsidR="004F054C" w:rsidRDefault="004F054C" w:rsidP="00173E07">
      <w:pPr>
        <w:autoSpaceDE w:val="0"/>
        <w:autoSpaceDN w:val="0"/>
        <w:adjustRightInd w:val="0"/>
        <w:ind w:right="-694"/>
        <w:rPr>
          <w:color w:val="000000"/>
        </w:rPr>
      </w:pPr>
    </w:p>
    <w:p w:rsidR="004F054C" w:rsidRDefault="004F054C" w:rsidP="00173E07">
      <w:pPr>
        <w:autoSpaceDE w:val="0"/>
        <w:autoSpaceDN w:val="0"/>
        <w:adjustRightInd w:val="0"/>
        <w:ind w:right="-694"/>
        <w:rPr>
          <w:color w:val="000000"/>
        </w:rPr>
      </w:pPr>
      <w:r>
        <w:rPr>
          <w:color w:val="000000"/>
        </w:rPr>
        <w:t xml:space="preserve">Neutropenia occurred in </w:t>
      </w:r>
      <w:r w:rsidR="004467A6">
        <w:rPr>
          <w:color w:val="000000"/>
        </w:rPr>
        <w:t>24% of patients</w:t>
      </w:r>
      <w:r w:rsidR="004047BB">
        <w:rPr>
          <w:color w:val="000000"/>
        </w:rPr>
        <w:t xml:space="preserve">, </w:t>
      </w:r>
      <w:r w:rsidR="004467A6">
        <w:rPr>
          <w:color w:val="000000"/>
        </w:rPr>
        <w:t xml:space="preserve">14% </w:t>
      </w:r>
      <w:r w:rsidR="004047BB">
        <w:rPr>
          <w:color w:val="000000"/>
        </w:rPr>
        <w:t>with</w:t>
      </w:r>
      <w:r w:rsidR="00D20008">
        <w:rPr>
          <w:color w:val="000000"/>
        </w:rPr>
        <w:t xml:space="preserve"> </w:t>
      </w:r>
      <w:r w:rsidR="0002134C" w:rsidRPr="00600475">
        <w:rPr>
          <w:color w:val="000000"/>
        </w:rPr>
        <w:t xml:space="preserve">Grade 3 </w:t>
      </w:r>
      <w:r w:rsidR="004467A6">
        <w:rPr>
          <w:color w:val="000000"/>
        </w:rPr>
        <w:t xml:space="preserve">reactions </w:t>
      </w:r>
      <w:r w:rsidR="0002134C" w:rsidRPr="00600475">
        <w:rPr>
          <w:color w:val="000000"/>
        </w:rPr>
        <w:t xml:space="preserve">and </w:t>
      </w:r>
      <w:r w:rsidR="004467A6">
        <w:rPr>
          <w:color w:val="000000"/>
        </w:rPr>
        <w:t xml:space="preserve">7% with Grade </w:t>
      </w:r>
      <w:r w:rsidR="0002134C" w:rsidRPr="00600475">
        <w:rPr>
          <w:color w:val="000000"/>
        </w:rPr>
        <w:t xml:space="preserve">4 reactions. </w:t>
      </w:r>
      <w:r w:rsidR="00D20008">
        <w:rPr>
          <w:color w:val="000000"/>
        </w:rPr>
        <w:t xml:space="preserve"> </w:t>
      </w:r>
      <w:r w:rsidR="0002134C" w:rsidRPr="00600475">
        <w:rPr>
          <w:color w:val="000000"/>
        </w:rPr>
        <w:t xml:space="preserve">Infection complications </w:t>
      </w:r>
      <w:r w:rsidR="004467A6">
        <w:rPr>
          <w:color w:val="000000"/>
        </w:rPr>
        <w:t>(</w:t>
      </w:r>
      <w:r w:rsidR="0002134C" w:rsidRPr="00600475">
        <w:rPr>
          <w:color w:val="000000"/>
        </w:rPr>
        <w:t>coincident with low neutrophil counts</w:t>
      </w:r>
      <w:r w:rsidR="004467A6">
        <w:rPr>
          <w:color w:val="000000"/>
        </w:rPr>
        <w:t>)</w:t>
      </w:r>
      <w:r w:rsidR="0002134C" w:rsidRPr="00600475">
        <w:rPr>
          <w:color w:val="000000"/>
        </w:rPr>
        <w:t xml:space="preserve"> were</w:t>
      </w:r>
      <w:r w:rsidR="00056C7F">
        <w:rPr>
          <w:color w:val="000000"/>
        </w:rPr>
        <w:t xml:space="preserve"> </w:t>
      </w:r>
      <w:r w:rsidR="0002134C" w:rsidRPr="00600475">
        <w:rPr>
          <w:color w:val="000000"/>
        </w:rPr>
        <w:t>mostly Grade 1-2 in severity.</w:t>
      </w:r>
      <w:r w:rsidR="004047BB">
        <w:rPr>
          <w:color w:val="000000"/>
        </w:rPr>
        <w:t xml:space="preserve"> </w:t>
      </w:r>
      <w:r w:rsidR="004467A6">
        <w:rPr>
          <w:color w:val="000000"/>
        </w:rPr>
        <w:t xml:space="preserve"> </w:t>
      </w:r>
    </w:p>
    <w:p w:rsidR="004F054C" w:rsidRDefault="004F054C" w:rsidP="00173E07">
      <w:pPr>
        <w:autoSpaceDE w:val="0"/>
        <w:autoSpaceDN w:val="0"/>
        <w:adjustRightInd w:val="0"/>
        <w:ind w:right="-694"/>
        <w:rPr>
          <w:color w:val="000000"/>
        </w:rPr>
      </w:pPr>
    </w:p>
    <w:p w:rsidR="00A37C94" w:rsidRDefault="004F054C" w:rsidP="00173E07">
      <w:pPr>
        <w:autoSpaceDE w:val="0"/>
        <w:autoSpaceDN w:val="0"/>
        <w:adjustRightInd w:val="0"/>
        <w:ind w:right="-694"/>
        <w:rPr>
          <w:color w:val="000000"/>
        </w:rPr>
      </w:pPr>
      <w:r>
        <w:rPr>
          <w:color w:val="000000"/>
        </w:rPr>
        <w:t>A</w:t>
      </w:r>
      <w:r w:rsidR="00B50672">
        <w:rPr>
          <w:color w:val="000000"/>
        </w:rPr>
        <w:t>naem</w:t>
      </w:r>
      <w:r>
        <w:rPr>
          <w:color w:val="000000"/>
        </w:rPr>
        <w:t xml:space="preserve">ia occurred in </w:t>
      </w:r>
      <w:r w:rsidR="004467A6">
        <w:rPr>
          <w:color w:val="000000"/>
        </w:rPr>
        <w:t>32% of patients, 14% with</w:t>
      </w:r>
      <w:r w:rsidR="0002134C" w:rsidRPr="00600475">
        <w:rPr>
          <w:color w:val="000000"/>
        </w:rPr>
        <w:t xml:space="preserve"> Grade 3 and </w:t>
      </w:r>
      <w:r w:rsidR="004467A6">
        <w:rPr>
          <w:color w:val="000000"/>
        </w:rPr>
        <w:t xml:space="preserve">2% with Grade </w:t>
      </w:r>
      <w:r w:rsidR="0002134C" w:rsidRPr="00600475">
        <w:rPr>
          <w:color w:val="000000"/>
        </w:rPr>
        <w:t>4 reactions</w:t>
      </w:r>
      <w:r w:rsidR="004467A6">
        <w:rPr>
          <w:color w:val="000000"/>
        </w:rPr>
        <w:t>.</w:t>
      </w:r>
      <w:r w:rsidR="0002134C" w:rsidRPr="00600475">
        <w:rPr>
          <w:color w:val="000000"/>
        </w:rPr>
        <w:t xml:space="preserve"> </w:t>
      </w:r>
      <w:r>
        <w:rPr>
          <w:color w:val="000000"/>
        </w:rPr>
        <w:t xml:space="preserve"> Other c</w:t>
      </w:r>
      <w:r w:rsidR="0002134C" w:rsidRPr="00600475">
        <w:rPr>
          <w:color w:val="000000"/>
        </w:rPr>
        <w:t xml:space="preserve">ommon </w:t>
      </w:r>
      <w:r w:rsidR="004467A6" w:rsidRPr="00600475">
        <w:rPr>
          <w:color w:val="000000"/>
        </w:rPr>
        <w:t xml:space="preserve">hematologic </w:t>
      </w:r>
      <w:r w:rsidR="004047BB" w:rsidRPr="00600475">
        <w:rPr>
          <w:color w:val="000000"/>
        </w:rPr>
        <w:t xml:space="preserve">Grade 3 and 4 </w:t>
      </w:r>
      <w:proofErr w:type="spellStart"/>
      <w:r w:rsidR="00DC6FFE">
        <w:rPr>
          <w:color w:val="000000"/>
        </w:rPr>
        <w:t>haematologic</w:t>
      </w:r>
      <w:proofErr w:type="spellEnd"/>
      <w:r w:rsidR="00DC6FFE">
        <w:rPr>
          <w:color w:val="000000"/>
        </w:rPr>
        <w:t xml:space="preserve"> </w:t>
      </w:r>
      <w:r w:rsidR="004467A6" w:rsidRPr="00600475">
        <w:rPr>
          <w:color w:val="000000"/>
        </w:rPr>
        <w:t xml:space="preserve">reactions </w:t>
      </w:r>
      <w:r w:rsidR="004467A6">
        <w:rPr>
          <w:color w:val="000000"/>
        </w:rPr>
        <w:t xml:space="preserve">included </w:t>
      </w:r>
      <w:r w:rsidR="0002134C" w:rsidRPr="00600475">
        <w:rPr>
          <w:color w:val="000000"/>
        </w:rPr>
        <w:t>febrile</w:t>
      </w:r>
      <w:r w:rsidR="00056C7F">
        <w:rPr>
          <w:color w:val="000000"/>
        </w:rPr>
        <w:t xml:space="preserve"> </w:t>
      </w:r>
      <w:r w:rsidR="0002134C" w:rsidRPr="00600475">
        <w:rPr>
          <w:color w:val="000000"/>
        </w:rPr>
        <w:t xml:space="preserve">neutropenia, pancytopenia and </w:t>
      </w:r>
      <w:proofErr w:type="spellStart"/>
      <w:r w:rsidR="0002134C" w:rsidRPr="00600475">
        <w:rPr>
          <w:color w:val="000000"/>
        </w:rPr>
        <w:t>leucopenia</w:t>
      </w:r>
      <w:proofErr w:type="spellEnd"/>
      <w:r w:rsidR="0002134C" w:rsidRPr="00600475">
        <w:rPr>
          <w:color w:val="000000"/>
        </w:rPr>
        <w:t>.</w:t>
      </w:r>
      <w:r w:rsidR="004047BB">
        <w:rPr>
          <w:color w:val="000000"/>
        </w:rPr>
        <w:t xml:space="preserve">  </w:t>
      </w:r>
    </w:p>
    <w:p w:rsidR="00A37C94" w:rsidRDefault="00A37C94" w:rsidP="00173E07">
      <w:pPr>
        <w:autoSpaceDE w:val="0"/>
        <w:autoSpaceDN w:val="0"/>
        <w:adjustRightInd w:val="0"/>
        <w:ind w:right="-694"/>
        <w:rPr>
          <w:color w:val="000000"/>
        </w:rPr>
      </w:pPr>
    </w:p>
    <w:p w:rsidR="00A37C94" w:rsidRPr="0020550C" w:rsidRDefault="0020550C" w:rsidP="00173E07">
      <w:pPr>
        <w:autoSpaceDE w:val="0"/>
        <w:autoSpaceDN w:val="0"/>
        <w:adjustRightInd w:val="0"/>
        <w:ind w:right="-694"/>
        <w:rPr>
          <w:i/>
          <w:color w:val="000000"/>
        </w:rPr>
      </w:pPr>
      <w:r>
        <w:rPr>
          <w:i/>
          <w:color w:val="000000"/>
        </w:rPr>
        <w:t>Other Grade 3 and 4 adverse reactions</w:t>
      </w:r>
    </w:p>
    <w:p w:rsidR="0002134C" w:rsidRPr="00600475" w:rsidRDefault="0002134C" w:rsidP="00173E07">
      <w:pPr>
        <w:autoSpaceDE w:val="0"/>
        <w:autoSpaceDN w:val="0"/>
        <w:adjustRightInd w:val="0"/>
        <w:ind w:right="-694"/>
        <w:rPr>
          <w:color w:val="000000"/>
        </w:rPr>
      </w:pPr>
      <w:r w:rsidRPr="00600475">
        <w:rPr>
          <w:color w:val="000000"/>
        </w:rPr>
        <w:t xml:space="preserve">Other </w:t>
      </w:r>
      <w:r w:rsidR="004467A6">
        <w:rPr>
          <w:color w:val="000000"/>
        </w:rPr>
        <w:t>common G</w:t>
      </w:r>
      <w:r w:rsidRPr="00600475">
        <w:rPr>
          <w:color w:val="000000"/>
        </w:rPr>
        <w:t>rade 3 and 4 adverse reactions included skin ulcer</w:t>
      </w:r>
      <w:r w:rsidR="007570F0">
        <w:rPr>
          <w:color w:val="000000"/>
        </w:rPr>
        <w:t>s</w:t>
      </w:r>
      <w:r w:rsidRPr="00600475">
        <w:rPr>
          <w:color w:val="000000"/>
        </w:rPr>
        <w:t>, infection</w:t>
      </w:r>
      <w:r w:rsidR="00E36F11">
        <w:rPr>
          <w:color w:val="000000"/>
        </w:rPr>
        <w:t>s</w:t>
      </w:r>
      <w:r w:rsidRPr="00600475">
        <w:rPr>
          <w:color w:val="000000"/>
        </w:rPr>
        <w:t>, anorexia, dyspnoea,</w:t>
      </w:r>
      <w:r w:rsidR="00056C7F">
        <w:rPr>
          <w:color w:val="000000"/>
        </w:rPr>
        <w:t xml:space="preserve"> </w:t>
      </w:r>
      <w:r w:rsidRPr="00600475">
        <w:rPr>
          <w:color w:val="000000"/>
        </w:rPr>
        <w:t>vomiting, nausea, pain, and fatigue.</w:t>
      </w:r>
    </w:p>
    <w:p w:rsidR="00832C9C" w:rsidRDefault="00832C9C" w:rsidP="00173E07">
      <w:pPr>
        <w:autoSpaceDE w:val="0"/>
        <w:autoSpaceDN w:val="0"/>
        <w:adjustRightInd w:val="0"/>
        <w:ind w:right="-694"/>
        <w:rPr>
          <w:i/>
          <w:color w:val="000000"/>
        </w:rPr>
      </w:pPr>
    </w:p>
    <w:p w:rsidR="0020550C" w:rsidRPr="0020550C" w:rsidRDefault="0020550C" w:rsidP="00173E07">
      <w:pPr>
        <w:autoSpaceDE w:val="0"/>
        <w:autoSpaceDN w:val="0"/>
        <w:adjustRightInd w:val="0"/>
        <w:ind w:right="-694"/>
        <w:rPr>
          <w:i/>
          <w:color w:val="000000"/>
        </w:rPr>
      </w:pPr>
      <w:r>
        <w:rPr>
          <w:i/>
          <w:color w:val="000000"/>
        </w:rPr>
        <w:lastRenderedPageBreak/>
        <w:t>Investigations</w:t>
      </w:r>
    </w:p>
    <w:p w:rsidR="0002134C" w:rsidRDefault="0002134C" w:rsidP="00173E07">
      <w:pPr>
        <w:autoSpaceDE w:val="0"/>
        <w:autoSpaceDN w:val="0"/>
        <w:adjustRightInd w:val="0"/>
        <w:ind w:right="-694"/>
        <w:rPr>
          <w:color w:val="000000"/>
        </w:rPr>
      </w:pPr>
      <w:r w:rsidRPr="00600475">
        <w:rPr>
          <w:color w:val="000000"/>
        </w:rPr>
        <w:t>Elevated liver enzymes were the most frequently reported clinical chemistry laboratory abnormality.</w:t>
      </w:r>
      <w:r w:rsidR="00056C7F">
        <w:rPr>
          <w:color w:val="000000"/>
        </w:rPr>
        <w:t xml:space="preserve"> </w:t>
      </w:r>
      <w:r w:rsidR="00D20008">
        <w:rPr>
          <w:color w:val="000000"/>
        </w:rPr>
        <w:t xml:space="preserve"> </w:t>
      </w:r>
      <w:r w:rsidRPr="00600475">
        <w:rPr>
          <w:color w:val="000000"/>
        </w:rPr>
        <w:t xml:space="preserve">Clinically significant abnormalities were </w:t>
      </w:r>
      <w:r w:rsidR="001E22A4">
        <w:rPr>
          <w:color w:val="000000"/>
        </w:rPr>
        <w:t>those ≥</w:t>
      </w:r>
      <w:r w:rsidR="00F62D06">
        <w:rPr>
          <w:color w:val="000000"/>
        </w:rPr>
        <w:t xml:space="preserve"> </w:t>
      </w:r>
      <w:r w:rsidR="008C3E9A">
        <w:rPr>
          <w:color w:val="000000"/>
        </w:rPr>
        <w:t>G</w:t>
      </w:r>
      <w:r w:rsidRPr="00600475">
        <w:rPr>
          <w:color w:val="000000"/>
        </w:rPr>
        <w:t>rade 2</w:t>
      </w:r>
      <w:r w:rsidR="007570F0">
        <w:rPr>
          <w:color w:val="000000"/>
        </w:rPr>
        <w:t>,</w:t>
      </w:r>
      <w:r w:rsidR="008C3E9A">
        <w:rPr>
          <w:color w:val="000000"/>
        </w:rPr>
        <w:t xml:space="preserve"> </w:t>
      </w:r>
      <w:r w:rsidRPr="00600475">
        <w:rPr>
          <w:color w:val="000000"/>
        </w:rPr>
        <w:t xml:space="preserve">per </w:t>
      </w:r>
      <w:r w:rsidR="007570F0" w:rsidRPr="00600475">
        <w:rPr>
          <w:color w:val="000000"/>
        </w:rPr>
        <w:t>N</w:t>
      </w:r>
      <w:r w:rsidR="001E22A4">
        <w:rPr>
          <w:color w:val="000000"/>
        </w:rPr>
        <w:t>I CTCAE</w:t>
      </w:r>
      <w:r w:rsidRPr="00600475">
        <w:rPr>
          <w:color w:val="000000"/>
        </w:rPr>
        <w:t xml:space="preserve"> and</w:t>
      </w:r>
      <w:r w:rsidR="001E22A4">
        <w:rPr>
          <w:color w:val="000000"/>
        </w:rPr>
        <w:t xml:space="preserve"> that</w:t>
      </w:r>
      <w:r w:rsidRPr="00600475">
        <w:rPr>
          <w:color w:val="000000"/>
        </w:rPr>
        <w:t xml:space="preserve"> represent</w:t>
      </w:r>
      <w:r w:rsidR="008C3E9A">
        <w:rPr>
          <w:color w:val="000000"/>
        </w:rPr>
        <w:t>ed</w:t>
      </w:r>
      <w:r w:rsidRPr="00600475">
        <w:rPr>
          <w:color w:val="000000"/>
        </w:rPr>
        <w:t xml:space="preserve"> a shift</w:t>
      </w:r>
      <w:r w:rsidR="00A3326A">
        <w:rPr>
          <w:color w:val="000000"/>
        </w:rPr>
        <w:t xml:space="preserve"> </w:t>
      </w:r>
      <w:r w:rsidRPr="00600475">
        <w:rPr>
          <w:color w:val="000000"/>
        </w:rPr>
        <w:t xml:space="preserve">of </w:t>
      </w:r>
      <w:r w:rsidR="001E22A4">
        <w:rPr>
          <w:color w:val="000000"/>
        </w:rPr>
        <w:t>≥</w:t>
      </w:r>
      <w:r w:rsidR="00F62D06">
        <w:rPr>
          <w:color w:val="000000"/>
        </w:rPr>
        <w:t xml:space="preserve"> </w:t>
      </w:r>
      <w:r w:rsidRPr="00600475">
        <w:rPr>
          <w:color w:val="000000"/>
        </w:rPr>
        <w:t>1 grade</w:t>
      </w:r>
      <w:r w:rsidR="008C3E9A">
        <w:rPr>
          <w:color w:val="000000"/>
        </w:rPr>
        <w:t xml:space="preserve"> </w:t>
      </w:r>
      <w:r w:rsidRPr="00600475">
        <w:rPr>
          <w:color w:val="000000"/>
        </w:rPr>
        <w:t xml:space="preserve">from the baseline value. </w:t>
      </w:r>
      <w:r w:rsidR="00D20008">
        <w:rPr>
          <w:color w:val="000000"/>
        </w:rPr>
        <w:t xml:space="preserve"> </w:t>
      </w:r>
      <w:r w:rsidRPr="00600475">
        <w:rPr>
          <w:color w:val="000000"/>
        </w:rPr>
        <w:t xml:space="preserve">Nineteen </w:t>
      </w:r>
      <w:r w:rsidR="00820CD4">
        <w:rPr>
          <w:color w:val="000000"/>
        </w:rPr>
        <w:t xml:space="preserve">(17%) and 18 (16%) </w:t>
      </w:r>
      <w:r w:rsidRPr="00600475">
        <w:rPr>
          <w:color w:val="000000"/>
        </w:rPr>
        <w:t xml:space="preserve">patients had increased AST </w:t>
      </w:r>
      <w:r w:rsidR="00820CD4">
        <w:rPr>
          <w:color w:val="000000"/>
        </w:rPr>
        <w:t xml:space="preserve">and ALT </w:t>
      </w:r>
      <w:r w:rsidRPr="00600475">
        <w:rPr>
          <w:color w:val="000000"/>
        </w:rPr>
        <w:t>values</w:t>
      </w:r>
      <w:r w:rsidR="00820CD4">
        <w:rPr>
          <w:color w:val="000000"/>
        </w:rPr>
        <w:t>, respectively,</w:t>
      </w:r>
      <w:r w:rsidRPr="00600475">
        <w:rPr>
          <w:color w:val="000000"/>
        </w:rPr>
        <w:t xml:space="preserve"> that </w:t>
      </w:r>
      <w:r w:rsidR="00820CD4">
        <w:rPr>
          <w:color w:val="000000"/>
        </w:rPr>
        <w:t>were considered</w:t>
      </w:r>
      <w:r w:rsidRPr="00600475">
        <w:rPr>
          <w:color w:val="000000"/>
        </w:rPr>
        <w:t xml:space="preserve"> clinically significant</w:t>
      </w:r>
      <w:r w:rsidR="00820CD4">
        <w:rPr>
          <w:color w:val="000000"/>
        </w:rPr>
        <w:t>.</w:t>
      </w:r>
      <w:r w:rsidRPr="00600475">
        <w:rPr>
          <w:color w:val="000000"/>
        </w:rPr>
        <w:t xml:space="preserve"> </w:t>
      </w:r>
    </w:p>
    <w:p w:rsidR="00F62D06" w:rsidRDefault="00F62D06" w:rsidP="00173E07">
      <w:pPr>
        <w:autoSpaceDE w:val="0"/>
        <w:autoSpaceDN w:val="0"/>
        <w:adjustRightInd w:val="0"/>
        <w:ind w:right="-694"/>
        <w:rPr>
          <w:color w:val="000000"/>
          <w:u w:val="single"/>
        </w:rPr>
      </w:pPr>
    </w:p>
    <w:p w:rsidR="0002134C" w:rsidRPr="002C2486" w:rsidRDefault="0002134C" w:rsidP="00173E07">
      <w:pPr>
        <w:autoSpaceDE w:val="0"/>
        <w:autoSpaceDN w:val="0"/>
        <w:adjustRightInd w:val="0"/>
        <w:ind w:right="-694"/>
        <w:rPr>
          <w:color w:val="000000"/>
          <w:u w:val="single"/>
        </w:rPr>
      </w:pPr>
      <w:r w:rsidRPr="002C2486">
        <w:rPr>
          <w:color w:val="000000"/>
          <w:u w:val="single"/>
        </w:rPr>
        <w:t>Post</w:t>
      </w:r>
      <w:r w:rsidR="00C56B10">
        <w:rPr>
          <w:color w:val="000000"/>
          <w:u w:val="single"/>
        </w:rPr>
        <w:t>-</w:t>
      </w:r>
      <w:r w:rsidRPr="002C2486">
        <w:rPr>
          <w:color w:val="000000"/>
          <w:u w:val="single"/>
        </w:rPr>
        <w:t>marketing</w:t>
      </w:r>
    </w:p>
    <w:p w:rsidR="009463B0" w:rsidRDefault="001E22A4" w:rsidP="00173E07">
      <w:pPr>
        <w:autoSpaceDE w:val="0"/>
        <w:autoSpaceDN w:val="0"/>
        <w:adjustRightInd w:val="0"/>
        <w:ind w:right="-694"/>
        <w:rPr>
          <w:b/>
          <w:bCs/>
          <w:color w:val="000000"/>
        </w:rPr>
      </w:pPr>
      <w:r w:rsidRPr="00600475">
        <w:rPr>
          <w:color w:val="000000"/>
        </w:rPr>
        <w:t>Toxic epidermal necrolysis</w:t>
      </w:r>
      <w:r>
        <w:rPr>
          <w:color w:val="000000"/>
        </w:rPr>
        <w:t>, a c</w:t>
      </w:r>
      <w:r w:rsidR="0002134C" w:rsidRPr="00600475">
        <w:rPr>
          <w:color w:val="000000"/>
        </w:rPr>
        <w:t>linically</w:t>
      </w:r>
      <w:r w:rsidR="00E36F11">
        <w:rPr>
          <w:color w:val="000000"/>
        </w:rPr>
        <w:t xml:space="preserve"> </w:t>
      </w:r>
      <w:r w:rsidR="0002134C" w:rsidRPr="00600475">
        <w:rPr>
          <w:color w:val="000000"/>
        </w:rPr>
        <w:t>significant adverse reaction</w:t>
      </w:r>
      <w:r>
        <w:rPr>
          <w:color w:val="000000"/>
        </w:rPr>
        <w:t>, was</w:t>
      </w:r>
      <w:r w:rsidR="0002134C" w:rsidRPr="00600475">
        <w:rPr>
          <w:color w:val="000000"/>
        </w:rPr>
        <w:t xml:space="preserve"> reported </w:t>
      </w:r>
      <w:r w:rsidR="00340652">
        <w:rPr>
          <w:color w:val="000000"/>
        </w:rPr>
        <w:t>during</w:t>
      </w:r>
      <w:r>
        <w:rPr>
          <w:color w:val="000000"/>
        </w:rPr>
        <w:t xml:space="preserve"> post-approval use.</w:t>
      </w:r>
      <w:r w:rsidR="00340652">
        <w:rPr>
          <w:color w:val="000000"/>
        </w:rPr>
        <w:tab/>
      </w:r>
      <w:r w:rsidR="00340652">
        <w:rPr>
          <w:color w:val="000000"/>
        </w:rPr>
        <w:tab/>
      </w:r>
    </w:p>
    <w:p w:rsidR="00340652" w:rsidRDefault="00340652" w:rsidP="009463B0">
      <w:pPr>
        <w:autoSpaceDE w:val="0"/>
        <w:autoSpaceDN w:val="0"/>
        <w:adjustRightInd w:val="0"/>
        <w:ind w:right="-694"/>
        <w:rPr>
          <w:b/>
          <w:bCs/>
          <w:color w:val="000000"/>
        </w:rPr>
      </w:pPr>
    </w:p>
    <w:p w:rsidR="009463B0" w:rsidRPr="00600475" w:rsidRDefault="009463B0" w:rsidP="009463B0">
      <w:pPr>
        <w:autoSpaceDE w:val="0"/>
        <w:autoSpaceDN w:val="0"/>
        <w:adjustRightInd w:val="0"/>
        <w:ind w:right="-694"/>
        <w:rPr>
          <w:b/>
          <w:bCs/>
          <w:color w:val="000000"/>
        </w:rPr>
      </w:pPr>
      <w:r>
        <w:rPr>
          <w:b/>
          <w:bCs/>
          <w:color w:val="000000"/>
        </w:rPr>
        <w:t>DOSAGE AND ADMINISTRATION</w:t>
      </w:r>
    </w:p>
    <w:p w:rsidR="004D33D4" w:rsidRPr="00600475" w:rsidRDefault="00AA1791" w:rsidP="009463B0">
      <w:pPr>
        <w:autoSpaceDE w:val="0"/>
        <w:autoSpaceDN w:val="0"/>
        <w:adjustRightInd w:val="0"/>
        <w:ind w:right="-694"/>
        <w:rPr>
          <w:color w:val="000000"/>
        </w:rPr>
      </w:pPr>
      <w:r>
        <w:rPr>
          <w:color w:val="000000"/>
        </w:rPr>
        <w:t>T</w:t>
      </w:r>
      <w:r w:rsidR="009463B0" w:rsidRPr="00600475">
        <w:rPr>
          <w:color w:val="000000"/>
        </w:rPr>
        <w:t xml:space="preserve">reatment should only be administered under the supervision of a </w:t>
      </w:r>
      <w:r w:rsidR="009463B0">
        <w:rPr>
          <w:color w:val="000000"/>
        </w:rPr>
        <w:t>p</w:t>
      </w:r>
      <w:r w:rsidR="009463B0" w:rsidRPr="00600475">
        <w:rPr>
          <w:color w:val="000000"/>
        </w:rPr>
        <w:t>hysician</w:t>
      </w:r>
      <w:r w:rsidR="009463B0">
        <w:rPr>
          <w:color w:val="000000"/>
        </w:rPr>
        <w:t xml:space="preserve"> </w:t>
      </w:r>
      <w:r w:rsidR="009463B0" w:rsidRPr="00600475">
        <w:rPr>
          <w:color w:val="000000"/>
        </w:rPr>
        <w:t>experienced in the use of anticancer chemotherapy.</w:t>
      </w:r>
      <w:r w:rsidR="00591788">
        <w:rPr>
          <w:color w:val="000000"/>
        </w:rPr>
        <w:t xml:space="preserve">  </w:t>
      </w:r>
      <w:r w:rsidR="004D33D4">
        <w:rPr>
          <w:color w:val="000000"/>
        </w:rPr>
        <w:t>FOLOTYN vials contain no antimicrobial preservative and are for use in one patient on one occasion only.</w:t>
      </w:r>
    </w:p>
    <w:p w:rsidR="00F62D06" w:rsidRDefault="00F62D06" w:rsidP="009463B0">
      <w:pPr>
        <w:autoSpaceDE w:val="0"/>
        <w:autoSpaceDN w:val="0"/>
        <w:adjustRightInd w:val="0"/>
        <w:ind w:right="-694"/>
        <w:rPr>
          <w:color w:val="000000"/>
          <w:u w:val="single"/>
        </w:rPr>
      </w:pPr>
    </w:p>
    <w:p w:rsidR="005F0F38" w:rsidRPr="00600475" w:rsidRDefault="005F0F38" w:rsidP="005F0F38">
      <w:pPr>
        <w:autoSpaceDE w:val="0"/>
        <w:autoSpaceDN w:val="0"/>
        <w:adjustRightInd w:val="0"/>
        <w:ind w:right="-694"/>
        <w:rPr>
          <w:i/>
          <w:iCs/>
          <w:color w:val="000000"/>
        </w:rPr>
      </w:pPr>
      <w:r w:rsidRPr="00600475">
        <w:rPr>
          <w:i/>
          <w:iCs/>
          <w:color w:val="000000"/>
        </w:rPr>
        <w:t>Premedication regimen</w:t>
      </w:r>
    </w:p>
    <w:p w:rsidR="005F0F38" w:rsidRDefault="005F0F38" w:rsidP="009463B0">
      <w:pPr>
        <w:autoSpaceDE w:val="0"/>
        <w:autoSpaceDN w:val="0"/>
        <w:adjustRightInd w:val="0"/>
        <w:ind w:right="-694"/>
        <w:rPr>
          <w:color w:val="000000"/>
        </w:rPr>
      </w:pPr>
      <w:r w:rsidRPr="00600475">
        <w:rPr>
          <w:color w:val="000000"/>
        </w:rPr>
        <w:t xml:space="preserve">Patients should take low-dose (1.0-1.25 mg) oral folic acid on a daily basis. </w:t>
      </w:r>
      <w:r>
        <w:rPr>
          <w:color w:val="000000"/>
        </w:rPr>
        <w:t xml:space="preserve"> </w:t>
      </w:r>
      <w:r w:rsidRPr="00600475">
        <w:rPr>
          <w:color w:val="000000"/>
        </w:rPr>
        <w:t xml:space="preserve">Folic acid should be initiated during the 10-day period preceding the first dose of FOLOTYN, and dosing should continue during the full course of therapy and for 30 days after the last dose of FOLOTYN. </w:t>
      </w:r>
      <w:r>
        <w:rPr>
          <w:color w:val="000000"/>
        </w:rPr>
        <w:t xml:space="preserve"> </w:t>
      </w:r>
      <w:r w:rsidRPr="00600475">
        <w:rPr>
          <w:color w:val="000000"/>
        </w:rPr>
        <w:t>Patients should also receive a vitamin B12 (1 mg) intramuscular injection no more than 10 weeks prior to the first dose of FOLOTYN and every 8-10 weeks thereafter. Subsequent vitamin B12 injections may be given the same</w:t>
      </w:r>
      <w:r>
        <w:rPr>
          <w:color w:val="000000"/>
        </w:rPr>
        <w:t xml:space="preserve"> day as treatment with FOLOTYN.</w:t>
      </w:r>
    </w:p>
    <w:p w:rsidR="005F0F38" w:rsidRDefault="005F0F38" w:rsidP="009463B0">
      <w:pPr>
        <w:autoSpaceDE w:val="0"/>
        <w:autoSpaceDN w:val="0"/>
        <w:adjustRightInd w:val="0"/>
        <w:ind w:right="-694"/>
        <w:rPr>
          <w:color w:val="000000"/>
        </w:rPr>
      </w:pPr>
    </w:p>
    <w:p w:rsidR="00F30D90" w:rsidRPr="008F0EA8" w:rsidRDefault="00F30D90" w:rsidP="00F30D90">
      <w:pPr>
        <w:autoSpaceDE w:val="0"/>
        <w:autoSpaceDN w:val="0"/>
        <w:adjustRightInd w:val="0"/>
        <w:ind w:right="-694"/>
        <w:rPr>
          <w:color w:val="000000"/>
          <w:u w:val="single"/>
        </w:rPr>
      </w:pPr>
      <w:r w:rsidRPr="008F0EA8">
        <w:rPr>
          <w:color w:val="000000"/>
          <w:u w:val="single"/>
        </w:rPr>
        <w:t>Dosage</w:t>
      </w:r>
    </w:p>
    <w:p w:rsidR="00F30D90" w:rsidRPr="00584E75" w:rsidRDefault="00F30D90" w:rsidP="00F30D90">
      <w:pPr>
        <w:autoSpaceDE w:val="0"/>
        <w:autoSpaceDN w:val="0"/>
        <w:adjustRightInd w:val="0"/>
        <w:ind w:right="-694"/>
        <w:rPr>
          <w:i/>
          <w:iCs/>
          <w:color w:val="000000"/>
        </w:rPr>
      </w:pPr>
      <w:r w:rsidRPr="00584E75">
        <w:rPr>
          <w:i/>
          <w:iCs/>
          <w:color w:val="000000"/>
        </w:rPr>
        <w:t>Adult</w:t>
      </w:r>
      <w:r>
        <w:rPr>
          <w:i/>
          <w:iCs/>
          <w:color w:val="000000"/>
        </w:rPr>
        <w:t>s</w:t>
      </w:r>
    </w:p>
    <w:p w:rsidR="009463B0" w:rsidRPr="00600475" w:rsidRDefault="009463B0" w:rsidP="009463B0">
      <w:pPr>
        <w:autoSpaceDE w:val="0"/>
        <w:autoSpaceDN w:val="0"/>
        <w:adjustRightInd w:val="0"/>
        <w:ind w:right="-694"/>
        <w:rPr>
          <w:color w:val="000000"/>
        </w:rPr>
      </w:pPr>
      <w:r w:rsidRPr="00600475">
        <w:rPr>
          <w:color w:val="000000"/>
        </w:rPr>
        <w:t xml:space="preserve">The recommended </w:t>
      </w:r>
      <w:r w:rsidR="00AA1791">
        <w:rPr>
          <w:color w:val="000000"/>
        </w:rPr>
        <w:t xml:space="preserve">starting </w:t>
      </w:r>
      <w:r w:rsidRPr="00600475">
        <w:rPr>
          <w:color w:val="000000"/>
        </w:rPr>
        <w:t>dose of FOLOTYN is 30 mg/m</w:t>
      </w:r>
      <w:r w:rsidRPr="00DB3471">
        <w:rPr>
          <w:color w:val="000000"/>
          <w:vertAlign w:val="superscript"/>
        </w:rPr>
        <w:t>2</w:t>
      </w:r>
      <w:r w:rsidRPr="00600475">
        <w:rPr>
          <w:color w:val="000000"/>
        </w:rPr>
        <w:t xml:space="preserve"> administered as an intravenous  infusion over 3-5 minutes, </w:t>
      </w:r>
      <w:r w:rsidR="00F502F2">
        <w:rPr>
          <w:color w:val="000000"/>
        </w:rPr>
        <w:t xml:space="preserve">once weekly for six (6) weeks, </w:t>
      </w:r>
      <w:r w:rsidR="00AA1791">
        <w:rPr>
          <w:color w:val="000000"/>
        </w:rPr>
        <w:t xml:space="preserve">followed by a </w:t>
      </w:r>
      <w:r w:rsidR="00F502F2">
        <w:rPr>
          <w:color w:val="000000"/>
        </w:rPr>
        <w:t>one (</w:t>
      </w:r>
      <w:r w:rsidR="00AA1791">
        <w:rPr>
          <w:color w:val="000000"/>
        </w:rPr>
        <w:t>1</w:t>
      </w:r>
      <w:r w:rsidR="00F502F2">
        <w:rPr>
          <w:color w:val="000000"/>
        </w:rPr>
        <w:t>)</w:t>
      </w:r>
      <w:r w:rsidR="00AA1791">
        <w:rPr>
          <w:color w:val="000000"/>
        </w:rPr>
        <w:t xml:space="preserve"> </w:t>
      </w:r>
      <w:r w:rsidRPr="00600475">
        <w:rPr>
          <w:color w:val="000000"/>
        </w:rPr>
        <w:t>week</w:t>
      </w:r>
      <w:r w:rsidR="00AA1791">
        <w:rPr>
          <w:color w:val="000000"/>
        </w:rPr>
        <w:t xml:space="preserve"> rest period (</w:t>
      </w:r>
      <w:r w:rsidRPr="00600475">
        <w:rPr>
          <w:color w:val="000000"/>
        </w:rPr>
        <w:t>7-week</w:t>
      </w:r>
      <w:r w:rsidR="00F502F2">
        <w:rPr>
          <w:color w:val="000000"/>
        </w:rPr>
        <w:t xml:space="preserve"> treatment</w:t>
      </w:r>
      <w:r w:rsidRPr="00600475">
        <w:rPr>
          <w:color w:val="000000"/>
        </w:rPr>
        <w:t xml:space="preserve"> cycle</w:t>
      </w:r>
      <w:r w:rsidR="00AA1791">
        <w:rPr>
          <w:color w:val="000000"/>
        </w:rPr>
        <w:t>),</w:t>
      </w:r>
      <w:r w:rsidRPr="00600475">
        <w:rPr>
          <w:color w:val="000000"/>
        </w:rPr>
        <w:t xml:space="preserve"> until progressive disease or unacceptable toxicity.</w:t>
      </w:r>
    </w:p>
    <w:p w:rsidR="009463B0" w:rsidRPr="00600475" w:rsidRDefault="009463B0" w:rsidP="009463B0">
      <w:pPr>
        <w:autoSpaceDE w:val="0"/>
        <w:autoSpaceDN w:val="0"/>
        <w:adjustRightInd w:val="0"/>
        <w:ind w:right="-694"/>
        <w:rPr>
          <w:i/>
          <w:iCs/>
          <w:color w:val="000000"/>
        </w:rPr>
      </w:pPr>
    </w:p>
    <w:p w:rsidR="009463B0" w:rsidRPr="00600475" w:rsidRDefault="009463B0" w:rsidP="009463B0">
      <w:pPr>
        <w:autoSpaceDE w:val="0"/>
        <w:autoSpaceDN w:val="0"/>
        <w:adjustRightInd w:val="0"/>
        <w:ind w:right="-694"/>
        <w:rPr>
          <w:i/>
          <w:iCs/>
          <w:color w:val="000000"/>
        </w:rPr>
      </w:pPr>
      <w:r w:rsidRPr="00600475">
        <w:rPr>
          <w:i/>
          <w:iCs/>
          <w:color w:val="000000"/>
        </w:rPr>
        <w:t>Monitoring</w:t>
      </w:r>
    </w:p>
    <w:p w:rsidR="009463B0" w:rsidRPr="00600475" w:rsidRDefault="009463B0" w:rsidP="009463B0">
      <w:pPr>
        <w:autoSpaceDE w:val="0"/>
        <w:autoSpaceDN w:val="0"/>
        <w:adjustRightInd w:val="0"/>
        <w:ind w:right="-694"/>
        <w:rPr>
          <w:color w:val="000000"/>
        </w:rPr>
      </w:pPr>
      <w:r w:rsidRPr="00600475">
        <w:rPr>
          <w:color w:val="000000"/>
        </w:rPr>
        <w:t xml:space="preserve">Full blood cell counts and severity of </w:t>
      </w:r>
      <w:proofErr w:type="spellStart"/>
      <w:r w:rsidRPr="00600475">
        <w:rPr>
          <w:color w:val="000000"/>
        </w:rPr>
        <w:t>mucositis</w:t>
      </w:r>
      <w:proofErr w:type="spellEnd"/>
      <w:r w:rsidRPr="00600475">
        <w:rPr>
          <w:color w:val="000000"/>
        </w:rPr>
        <w:t xml:space="preserve"> should be monitored weekly for all patients receiving FOLOTYN. </w:t>
      </w:r>
      <w:r w:rsidR="00DB3471">
        <w:rPr>
          <w:color w:val="000000"/>
        </w:rPr>
        <w:t xml:space="preserve"> </w:t>
      </w:r>
      <w:r w:rsidRPr="00600475">
        <w:rPr>
          <w:color w:val="000000"/>
        </w:rPr>
        <w:t xml:space="preserve">Serum chemistry tests, including renal and hepatic function, should be performed prior to the start of the first and fourth dose of a given cycle, or more often if required. </w:t>
      </w:r>
      <w:r w:rsidR="00DB3471">
        <w:rPr>
          <w:color w:val="000000"/>
        </w:rPr>
        <w:t xml:space="preserve"> </w:t>
      </w:r>
      <w:r w:rsidRPr="00600475">
        <w:rPr>
          <w:color w:val="000000"/>
        </w:rPr>
        <w:t xml:space="preserve">Prior to initiating any dose of FOLOTYN, </w:t>
      </w:r>
      <w:proofErr w:type="spellStart"/>
      <w:r w:rsidRPr="00600475">
        <w:rPr>
          <w:color w:val="000000"/>
        </w:rPr>
        <w:t>mucositis</w:t>
      </w:r>
      <w:proofErr w:type="spellEnd"/>
      <w:r w:rsidRPr="00600475">
        <w:rPr>
          <w:color w:val="000000"/>
        </w:rPr>
        <w:t xml:space="preserve"> should be </w:t>
      </w:r>
      <w:r w:rsidR="00B93542">
        <w:rPr>
          <w:color w:val="000000"/>
        </w:rPr>
        <w:t>≤</w:t>
      </w:r>
      <w:r w:rsidR="00F62D06">
        <w:rPr>
          <w:color w:val="000000"/>
        </w:rPr>
        <w:t xml:space="preserve"> </w:t>
      </w:r>
      <w:r w:rsidR="00DB3471">
        <w:rPr>
          <w:color w:val="000000"/>
        </w:rPr>
        <w:t>G</w:t>
      </w:r>
      <w:r w:rsidRPr="00600475">
        <w:rPr>
          <w:color w:val="000000"/>
        </w:rPr>
        <w:t xml:space="preserve">rade 1, absolute neutrophil count (ANC) should be </w:t>
      </w:r>
      <w:r w:rsidR="00B93542">
        <w:rPr>
          <w:color w:val="000000"/>
        </w:rPr>
        <w:t>≥</w:t>
      </w:r>
      <w:r w:rsidR="00F62D06">
        <w:rPr>
          <w:color w:val="000000"/>
        </w:rPr>
        <w:t xml:space="preserve"> </w:t>
      </w:r>
      <w:r w:rsidRPr="00600475">
        <w:rPr>
          <w:color w:val="000000"/>
        </w:rPr>
        <w:t>1,000/</w:t>
      </w:r>
      <w:r w:rsidR="00CF3CB8">
        <w:rPr>
          <w:color w:val="000000"/>
        </w:rPr>
        <w:t>µL</w:t>
      </w:r>
      <w:r w:rsidRPr="00600475">
        <w:rPr>
          <w:color w:val="000000"/>
        </w:rPr>
        <w:t xml:space="preserve">, and platelet count should be </w:t>
      </w:r>
      <w:r w:rsidR="00B93542">
        <w:rPr>
          <w:color w:val="000000"/>
        </w:rPr>
        <w:t>≥</w:t>
      </w:r>
      <w:r w:rsidR="00F62D06">
        <w:rPr>
          <w:color w:val="000000"/>
        </w:rPr>
        <w:t xml:space="preserve"> </w:t>
      </w:r>
      <w:r w:rsidRPr="00600475">
        <w:rPr>
          <w:color w:val="000000"/>
        </w:rPr>
        <w:t>100,000/</w:t>
      </w:r>
      <w:r>
        <w:rPr>
          <w:color w:val="000000"/>
        </w:rPr>
        <w:t>µ</w:t>
      </w:r>
      <w:r w:rsidRPr="00600475">
        <w:rPr>
          <w:color w:val="000000"/>
        </w:rPr>
        <w:t>L</w:t>
      </w:r>
      <w:r w:rsidR="00DB3471">
        <w:rPr>
          <w:color w:val="000000"/>
        </w:rPr>
        <w:t xml:space="preserve"> </w:t>
      </w:r>
      <w:r w:rsidRPr="00600475">
        <w:rPr>
          <w:color w:val="000000"/>
        </w:rPr>
        <w:t xml:space="preserve">for </w:t>
      </w:r>
      <w:r w:rsidR="00C56B10">
        <w:rPr>
          <w:color w:val="000000"/>
        </w:rPr>
        <w:t xml:space="preserve">the </w:t>
      </w:r>
      <w:r w:rsidRPr="00600475">
        <w:rPr>
          <w:color w:val="000000"/>
        </w:rPr>
        <w:t xml:space="preserve">first dose and </w:t>
      </w:r>
      <w:r w:rsidR="00B93542">
        <w:rPr>
          <w:color w:val="000000"/>
        </w:rPr>
        <w:t>≥</w:t>
      </w:r>
      <w:r w:rsidR="00F62D06">
        <w:rPr>
          <w:color w:val="000000"/>
        </w:rPr>
        <w:t xml:space="preserve"> </w:t>
      </w:r>
      <w:r w:rsidRPr="00600475">
        <w:rPr>
          <w:color w:val="000000"/>
        </w:rPr>
        <w:t>50,000/</w:t>
      </w:r>
      <w:r>
        <w:rPr>
          <w:color w:val="000000"/>
        </w:rPr>
        <w:t>µ</w:t>
      </w:r>
      <w:r w:rsidRPr="00600475">
        <w:rPr>
          <w:color w:val="000000"/>
        </w:rPr>
        <w:t>L</w:t>
      </w:r>
      <w:r w:rsidR="00DB3471">
        <w:rPr>
          <w:color w:val="000000"/>
        </w:rPr>
        <w:t xml:space="preserve"> </w:t>
      </w:r>
      <w:r w:rsidRPr="00600475">
        <w:rPr>
          <w:color w:val="000000"/>
        </w:rPr>
        <w:t>for all subsequent doses.</w:t>
      </w:r>
    </w:p>
    <w:p w:rsidR="009463B0" w:rsidRPr="00600475" w:rsidRDefault="009463B0" w:rsidP="009463B0">
      <w:pPr>
        <w:autoSpaceDE w:val="0"/>
        <w:autoSpaceDN w:val="0"/>
        <w:adjustRightInd w:val="0"/>
        <w:ind w:right="-694"/>
        <w:rPr>
          <w:color w:val="000000"/>
        </w:rPr>
      </w:pPr>
    </w:p>
    <w:p w:rsidR="00DB3471" w:rsidRPr="00DB3471" w:rsidRDefault="009463B0" w:rsidP="009463B0">
      <w:pPr>
        <w:autoSpaceDE w:val="0"/>
        <w:autoSpaceDN w:val="0"/>
        <w:adjustRightInd w:val="0"/>
        <w:ind w:right="-694"/>
        <w:rPr>
          <w:i/>
          <w:color w:val="000000"/>
        </w:rPr>
      </w:pPr>
      <w:r w:rsidRPr="00DB3471">
        <w:rPr>
          <w:i/>
          <w:color w:val="000000"/>
        </w:rPr>
        <w:t xml:space="preserve">Dose adjustments during treatment </w:t>
      </w:r>
    </w:p>
    <w:p w:rsidR="00DB3471" w:rsidRDefault="009463B0" w:rsidP="007570F0">
      <w:pPr>
        <w:autoSpaceDE w:val="0"/>
        <w:autoSpaceDN w:val="0"/>
        <w:adjustRightInd w:val="0"/>
        <w:ind w:right="-694"/>
        <w:rPr>
          <w:color w:val="000000"/>
        </w:rPr>
      </w:pPr>
      <w:r w:rsidRPr="00600475">
        <w:rPr>
          <w:color w:val="000000"/>
        </w:rPr>
        <w:t>Doses may be omitted or reduced</w:t>
      </w:r>
      <w:r w:rsidR="00DB3471">
        <w:rPr>
          <w:color w:val="000000"/>
        </w:rPr>
        <w:t>,</w:t>
      </w:r>
      <w:r w:rsidRPr="00600475">
        <w:rPr>
          <w:color w:val="000000"/>
        </w:rPr>
        <w:t xml:space="preserve"> based on patient tolerance. </w:t>
      </w:r>
      <w:r w:rsidR="00DB3471">
        <w:rPr>
          <w:color w:val="000000"/>
        </w:rPr>
        <w:t xml:space="preserve"> </w:t>
      </w:r>
      <w:r w:rsidRPr="00600475">
        <w:rPr>
          <w:color w:val="000000"/>
        </w:rPr>
        <w:t>Omitted doses should not be made up at the end of the cycle</w:t>
      </w:r>
      <w:r w:rsidR="00C56B10">
        <w:rPr>
          <w:color w:val="000000"/>
        </w:rPr>
        <w:t>. O</w:t>
      </w:r>
      <w:r w:rsidRPr="00600475">
        <w:rPr>
          <w:color w:val="000000"/>
        </w:rPr>
        <w:t>nce a dos</w:t>
      </w:r>
      <w:r w:rsidR="00DB3471">
        <w:rPr>
          <w:color w:val="000000"/>
        </w:rPr>
        <w:t>ag</w:t>
      </w:r>
      <w:r w:rsidRPr="00600475">
        <w:rPr>
          <w:color w:val="000000"/>
        </w:rPr>
        <w:t xml:space="preserve">e reduction occurs for toxicity, </w:t>
      </w:r>
      <w:r w:rsidR="00DB3471">
        <w:rPr>
          <w:color w:val="000000"/>
        </w:rPr>
        <w:t xml:space="preserve">the </w:t>
      </w:r>
      <w:r w:rsidRPr="00600475">
        <w:rPr>
          <w:color w:val="000000"/>
        </w:rPr>
        <w:t>do</w:t>
      </w:r>
      <w:r w:rsidR="00DB3471">
        <w:rPr>
          <w:color w:val="000000"/>
        </w:rPr>
        <w:t>sing should not be</w:t>
      </w:r>
      <w:r w:rsidRPr="00600475">
        <w:rPr>
          <w:color w:val="000000"/>
        </w:rPr>
        <w:t xml:space="preserve"> re-escalate</w:t>
      </w:r>
      <w:r w:rsidR="00DB3471">
        <w:rPr>
          <w:color w:val="000000"/>
        </w:rPr>
        <w:t>d</w:t>
      </w:r>
      <w:r w:rsidRPr="00600475">
        <w:rPr>
          <w:color w:val="000000"/>
        </w:rPr>
        <w:t xml:space="preserve">. </w:t>
      </w:r>
      <w:r w:rsidR="00DB3471">
        <w:rPr>
          <w:color w:val="000000"/>
        </w:rPr>
        <w:t xml:space="preserve"> </w:t>
      </w:r>
      <w:r w:rsidRPr="00600475">
        <w:rPr>
          <w:color w:val="000000"/>
        </w:rPr>
        <w:t xml:space="preserve">For dose modifications and omissions, use the guidelines in Tables 2, </w:t>
      </w:r>
      <w:r w:rsidR="00DA45B8">
        <w:rPr>
          <w:color w:val="000000"/>
        </w:rPr>
        <w:t xml:space="preserve">3 </w:t>
      </w:r>
      <w:r w:rsidRPr="00600475">
        <w:rPr>
          <w:color w:val="000000"/>
        </w:rPr>
        <w:t xml:space="preserve">and </w:t>
      </w:r>
      <w:r w:rsidR="00DA45B8">
        <w:rPr>
          <w:color w:val="000000"/>
        </w:rPr>
        <w:t>4</w:t>
      </w:r>
      <w:r w:rsidR="00DB3471">
        <w:rPr>
          <w:color w:val="000000"/>
        </w:rPr>
        <w:t>, below:</w:t>
      </w:r>
    </w:p>
    <w:p w:rsidR="00B50672" w:rsidRPr="00600475" w:rsidRDefault="0036239F" w:rsidP="004D2B64">
      <w:pPr>
        <w:pageBreakBefore/>
        <w:autoSpaceDE w:val="0"/>
        <w:autoSpaceDN w:val="0"/>
        <w:adjustRightInd w:val="0"/>
        <w:ind w:right="-335"/>
        <w:rPr>
          <w:b/>
          <w:bCs/>
          <w:color w:val="000000"/>
        </w:rPr>
      </w:pPr>
      <w:r>
        <w:rPr>
          <w:b/>
          <w:bCs/>
          <w:color w:val="000000"/>
        </w:rPr>
        <w:lastRenderedPageBreak/>
        <w:t xml:space="preserve">Table </w:t>
      </w:r>
      <w:r w:rsidR="00DA45B8">
        <w:rPr>
          <w:b/>
          <w:bCs/>
          <w:color w:val="000000"/>
        </w:rPr>
        <w:t>2</w:t>
      </w:r>
      <w:r w:rsidR="00584E75">
        <w:rPr>
          <w:b/>
          <w:bCs/>
          <w:color w:val="000000"/>
        </w:rPr>
        <w:t>:</w:t>
      </w:r>
      <w:r>
        <w:rPr>
          <w:b/>
          <w:bCs/>
          <w:color w:val="000000"/>
        </w:rPr>
        <w:t xml:space="preserve"> </w:t>
      </w:r>
      <w:r w:rsidR="00DA45B8">
        <w:rPr>
          <w:b/>
          <w:bCs/>
          <w:color w:val="000000"/>
        </w:rPr>
        <w:t xml:space="preserve"> </w:t>
      </w:r>
      <w:r>
        <w:rPr>
          <w:b/>
          <w:bCs/>
          <w:color w:val="000000"/>
        </w:rPr>
        <w:t>FOLOTYN dose m</w:t>
      </w:r>
      <w:r w:rsidR="009463B0" w:rsidRPr="00600475">
        <w:rPr>
          <w:b/>
          <w:bCs/>
          <w:color w:val="000000"/>
        </w:rPr>
        <w:t xml:space="preserve">odifications for </w:t>
      </w:r>
      <w:proofErr w:type="spellStart"/>
      <w:r>
        <w:rPr>
          <w:b/>
          <w:bCs/>
          <w:color w:val="000000"/>
        </w:rPr>
        <w:t>m</w:t>
      </w:r>
      <w:r w:rsidR="009463B0" w:rsidRPr="00600475">
        <w:rPr>
          <w:b/>
          <w:bCs/>
          <w:color w:val="000000"/>
        </w:rPr>
        <w:t>ucositis</w:t>
      </w:r>
      <w:proofErr w:type="spellEnd"/>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440"/>
        <w:gridCol w:w="3600"/>
      </w:tblGrid>
      <w:tr w:rsidR="009463B0" w:rsidRPr="005554C6">
        <w:tc>
          <w:tcPr>
            <w:tcW w:w="3888" w:type="dxa"/>
            <w:shd w:val="clear" w:color="auto" w:fill="auto"/>
          </w:tcPr>
          <w:p w:rsidR="009463B0" w:rsidRPr="005554C6" w:rsidRDefault="009463B0" w:rsidP="005554C6">
            <w:pPr>
              <w:autoSpaceDE w:val="0"/>
              <w:autoSpaceDN w:val="0"/>
              <w:adjustRightInd w:val="0"/>
              <w:ind w:right="-334"/>
              <w:rPr>
                <w:b/>
                <w:bCs/>
                <w:color w:val="000000"/>
              </w:rPr>
            </w:pPr>
            <w:proofErr w:type="spellStart"/>
            <w:r w:rsidRPr="005554C6">
              <w:rPr>
                <w:b/>
                <w:bCs/>
                <w:color w:val="000000"/>
              </w:rPr>
              <w:t>Mucositis</w:t>
            </w:r>
            <w:proofErr w:type="spellEnd"/>
            <w:r w:rsidRPr="005554C6">
              <w:rPr>
                <w:b/>
                <w:bCs/>
                <w:color w:val="000000"/>
              </w:rPr>
              <w:t xml:space="preserve"> </w:t>
            </w:r>
            <w:proofErr w:type="spellStart"/>
            <w:r w:rsidR="0036239F" w:rsidRPr="005554C6">
              <w:rPr>
                <w:b/>
                <w:bCs/>
                <w:color w:val="000000"/>
              </w:rPr>
              <w:t>g</w:t>
            </w:r>
            <w:r w:rsidRPr="005554C6">
              <w:rPr>
                <w:b/>
                <w:bCs/>
                <w:color w:val="000000"/>
              </w:rPr>
              <w:t>rade</w:t>
            </w:r>
            <w:r w:rsidRPr="005554C6">
              <w:rPr>
                <w:b/>
                <w:bCs/>
                <w:color w:val="000000"/>
                <w:vertAlign w:val="superscript"/>
              </w:rPr>
              <w:t>a</w:t>
            </w:r>
            <w:proofErr w:type="spellEnd"/>
            <w:r w:rsidRPr="005554C6">
              <w:rPr>
                <w:b/>
                <w:bCs/>
                <w:color w:val="000000"/>
              </w:rPr>
              <w:t xml:space="preserve"> on </w:t>
            </w:r>
            <w:r w:rsidR="0036239F" w:rsidRPr="005554C6">
              <w:rPr>
                <w:b/>
                <w:bCs/>
                <w:color w:val="000000"/>
              </w:rPr>
              <w:t>treatment</w:t>
            </w:r>
            <w:r w:rsidR="00340652" w:rsidRPr="005554C6">
              <w:rPr>
                <w:b/>
                <w:bCs/>
                <w:color w:val="000000"/>
              </w:rPr>
              <w:t xml:space="preserve"> day</w:t>
            </w:r>
          </w:p>
        </w:tc>
        <w:tc>
          <w:tcPr>
            <w:tcW w:w="1440" w:type="dxa"/>
            <w:shd w:val="clear" w:color="auto" w:fill="auto"/>
          </w:tcPr>
          <w:p w:rsidR="009463B0" w:rsidRPr="005554C6" w:rsidRDefault="009463B0" w:rsidP="005554C6">
            <w:pPr>
              <w:autoSpaceDE w:val="0"/>
              <w:autoSpaceDN w:val="0"/>
              <w:adjustRightInd w:val="0"/>
              <w:ind w:right="-334"/>
              <w:rPr>
                <w:b/>
                <w:bCs/>
                <w:color w:val="000000"/>
              </w:rPr>
            </w:pPr>
            <w:r w:rsidRPr="005554C6">
              <w:rPr>
                <w:b/>
                <w:bCs/>
                <w:color w:val="000000"/>
              </w:rPr>
              <w:t>Action</w:t>
            </w:r>
          </w:p>
        </w:tc>
        <w:tc>
          <w:tcPr>
            <w:tcW w:w="3600" w:type="dxa"/>
            <w:shd w:val="clear" w:color="auto" w:fill="auto"/>
          </w:tcPr>
          <w:p w:rsidR="009463B0" w:rsidRPr="005554C6" w:rsidRDefault="009463B0" w:rsidP="00C56B10">
            <w:pPr>
              <w:autoSpaceDE w:val="0"/>
              <w:autoSpaceDN w:val="0"/>
              <w:adjustRightInd w:val="0"/>
              <w:ind w:right="-334"/>
              <w:rPr>
                <w:b/>
                <w:bCs/>
                <w:color w:val="000000"/>
              </w:rPr>
            </w:pPr>
            <w:r w:rsidRPr="005554C6">
              <w:rPr>
                <w:b/>
                <w:bCs/>
                <w:color w:val="000000"/>
              </w:rPr>
              <w:t xml:space="preserve">Dose </w:t>
            </w:r>
            <w:r w:rsidR="00340652" w:rsidRPr="005554C6">
              <w:rPr>
                <w:b/>
                <w:bCs/>
                <w:color w:val="000000"/>
              </w:rPr>
              <w:t>up</w:t>
            </w:r>
            <w:r w:rsidRPr="005554C6">
              <w:rPr>
                <w:b/>
                <w:bCs/>
                <w:color w:val="000000"/>
              </w:rPr>
              <w:t>on recovery to</w:t>
            </w:r>
            <w:r w:rsidR="00340652" w:rsidRPr="005554C6">
              <w:rPr>
                <w:color w:val="000000"/>
              </w:rPr>
              <w:t xml:space="preserve"> </w:t>
            </w:r>
            <w:r w:rsidRPr="005554C6">
              <w:rPr>
                <w:color w:val="000000"/>
              </w:rPr>
              <w:t>≤</w:t>
            </w:r>
            <w:r w:rsidR="00F62D06">
              <w:rPr>
                <w:color w:val="000000"/>
              </w:rPr>
              <w:t xml:space="preserve"> </w:t>
            </w:r>
            <w:r w:rsidRPr="005554C6">
              <w:rPr>
                <w:b/>
                <w:bCs/>
                <w:color w:val="000000"/>
              </w:rPr>
              <w:t>Grade 1</w:t>
            </w:r>
          </w:p>
        </w:tc>
      </w:tr>
      <w:tr w:rsidR="009463B0" w:rsidRPr="005554C6">
        <w:tc>
          <w:tcPr>
            <w:tcW w:w="3888" w:type="dxa"/>
            <w:shd w:val="clear" w:color="auto" w:fill="auto"/>
          </w:tcPr>
          <w:p w:rsidR="009463B0" w:rsidRDefault="009463B0" w:rsidP="005554C6">
            <w:pPr>
              <w:ind w:right="-334"/>
            </w:pPr>
            <w:r w:rsidRPr="005554C6">
              <w:rPr>
                <w:color w:val="000000"/>
              </w:rPr>
              <w:t xml:space="preserve">Grade 2 </w:t>
            </w:r>
          </w:p>
        </w:tc>
        <w:tc>
          <w:tcPr>
            <w:tcW w:w="1440" w:type="dxa"/>
            <w:shd w:val="clear" w:color="auto" w:fill="auto"/>
          </w:tcPr>
          <w:p w:rsidR="009463B0" w:rsidRPr="005554C6" w:rsidRDefault="009463B0" w:rsidP="005554C6">
            <w:pPr>
              <w:autoSpaceDE w:val="0"/>
              <w:autoSpaceDN w:val="0"/>
              <w:adjustRightInd w:val="0"/>
              <w:ind w:right="-334"/>
              <w:rPr>
                <w:bCs/>
                <w:color w:val="000000"/>
              </w:rPr>
            </w:pPr>
            <w:r w:rsidRPr="005554C6">
              <w:rPr>
                <w:bCs/>
                <w:color w:val="000000"/>
              </w:rPr>
              <w:t>Omit dose</w:t>
            </w:r>
          </w:p>
        </w:tc>
        <w:tc>
          <w:tcPr>
            <w:tcW w:w="3600" w:type="dxa"/>
            <w:shd w:val="clear" w:color="auto" w:fill="auto"/>
          </w:tcPr>
          <w:p w:rsidR="009463B0" w:rsidRPr="005554C6" w:rsidRDefault="009463B0" w:rsidP="005554C6">
            <w:pPr>
              <w:autoSpaceDE w:val="0"/>
              <w:autoSpaceDN w:val="0"/>
              <w:adjustRightInd w:val="0"/>
              <w:ind w:right="-334"/>
              <w:rPr>
                <w:bCs/>
                <w:color w:val="000000"/>
              </w:rPr>
            </w:pPr>
            <w:r w:rsidRPr="005554C6">
              <w:rPr>
                <w:color w:val="000000"/>
              </w:rPr>
              <w:t>Continue prior dose</w:t>
            </w:r>
          </w:p>
        </w:tc>
      </w:tr>
      <w:tr w:rsidR="009463B0" w:rsidRPr="005554C6">
        <w:tc>
          <w:tcPr>
            <w:tcW w:w="3888" w:type="dxa"/>
            <w:shd w:val="clear" w:color="auto" w:fill="auto"/>
          </w:tcPr>
          <w:p w:rsidR="009463B0" w:rsidRDefault="009463B0" w:rsidP="005554C6">
            <w:pPr>
              <w:ind w:right="-334"/>
            </w:pPr>
            <w:r w:rsidRPr="005554C6">
              <w:rPr>
                <w:color w:val="000000"/>
              </w:rPr>
              <w:t>Grade 2 recurrence</w:t>
            </w:r>
          </w:p>
        </w:tc>
        <w:tc>
          <w:tcPr>
            <w:tcW w:w="1440" w:type="dxa"/>
            <w:shd w:val="clear" w:color="auto" w:fill="auto"/>
          </w:tcPr>
          <w:p w:rsidR="009463B0" w:rsidRDefault="009463B0" w:rsidP="005554C6">
            <w:pPr>
              <w:ind w:right="-334"/>
            </w:pPr>
            <w:r w:rsidRPr="005554C6">
              <w:rPr>
                <w:bCs/>
                <w:color w:val="000000"/>
              </w:rPr>
              <w:t>Omit dose</w:t>
            </w:r>
          </w:p>
        </w:tc>
        <w:tc>
          <w:tcPr>
            <w:tcW w:w="3600" w:type="dxa"/>
            <w:shd w:val="clear" w:color="auto" w:fill="auto"/>
          </w:tcPr>
          <w:p w:rsidR="009463B0" w:rsidRDefault="009463B0" w:rsidP="005554C6">
            <w:pPr>
              <w:ind w:right="-334"/>
            </w:pPr>
            <w:r w:rsidRPr="005554C6">
              <w:rPr>
                <w:color w:val="000000"/>
              </w:rPr>
              <w:t>20 mg/m</w:t>
            </w:r>
            <w:r w:rsidRPr="00C56B10">
              <w:rPr>
                <w:color w:val="000000"/>
                <w:vertAlign w:val="superscript"/>
              </w:rPr>
              <w:t>2</w:t>
            </w:r>
          </w:p>
        </w:tc>
      </w:tr>
      <w:tr w:rsidR="009463B0" w:rsidRPr="005554C6">
        <w:tc>
          <w:tcPr>
            <w:tcW w:w="3888" w:type="dxa"/>
            <w:shd w:val="clear" w:color="auto" w:fill="auto"/>
          </w:tcPr>
          <w:p w:rsidR="009463B0" w:rsidRPr="005554C6" w:rsidRDefault="009463B0" w:rsidP="005554C6">
            <w:pPr>
              <w:autoSpaceDE w:val="0"/>
              <w:autoSpaceDN w:val="0"/>
              <w:adjustRightInd w:val="0"/>
              <w:ind w:right="-334"/>
              <w:rPr>
                <w:bCs/>
                <w:color w:val="000000"/>
              </w:rPr>
            </w:pPr>
            <w:r w:rsidRPr="005554C6">
              <w:rPr>
                <w:bCs/>
                <w:color w:val="000000"/>
              </w:rPr>
              <w:t>Grade 3</w:t>
            </w:r>
          </w:p>
        </w:tc>
        <w:tc>
          <w:tcPr>
            <w:tcW w:w="1440" w:type="dxa"/>
            <w:shd w:val="clear" w:color="auto" w:fill="auto"/>
          </w:tcPr>
          <w:p w:rsidR="009463B0" w:rsidRDefault="009463B0" w:rsidP="005554C6">
            <w:pPr>
              <w:ind w:right="-334"/>
            </w:pPr>
            <w:r w:rsidRPr="005554C6">
              <w:rPr>
                <w:bCs/>
                <w:color w:val="000000"/>
              </w:rPr>
              <w:t>Omit dose</w:t>
            </w:r>
          </w:p>
        </w:tc>
        <w:tc>
          <w:tcPr>
            <w:tcW w:w="3600" w:type="dxa"/>
            <w:shd w:val="clear" w:color="auto" w:fill="auto"/>
          </w:tcPr>
          <w:p w:rsidR="009463B0" w:rsidRDefault="009463B0" w:rsidP="005554C6">
            <w:pPr>
              <w:ind w:right="-334"/>
            </w:pPr>
            <w:r w:rsidRPr="005554C6">
              <w:rPr>
                <w:color w:val="000000"/>
              </w:rPr>
              <w:t>20 mg/m</w:t>
            </w:r>
            <w:r w:rsidRPr="00C56B10">
              <w:rPr>
                <w:color w:val="000000"/>
                <w:vertAlign w:val="superscript"/>
              </w:rPr>
              <w:t>2</w:t>
            </w:r>
          </w:p>
        </w:tc>
      </w:tr>
      <w:tr w:rsidR="009463B0" w:rsidRPr="005554C6">
        <w:tc>
          <w:tcPr>
            <w:tcW w:w="3888" w:type="dxa"/>
            <w:shd w:val="clear" w:color="auto" w:fill="auto"/>
          </w:tcPr>
          <w:p w:rsidR="009463B0" w:rsidRPr="005554C6" w:rsidRDefault="009463B0" w:rsidP="005554C6">
            <w:pPr>
              <w:autoSpaceDE w:val="0"/>
              <w:autoSpaceDN w:val="0"/>
              <w:adjustRightInd w:val="0"/>
              <w:ind w:right="-334"/>
              <w:rPr>
                <w:bCs/>
                <w:color w:val="000000"/>
              </w:rPr>
            </w:pPr>
            <w:r w:rsidRPr="005554C6">
              <w:rPr>
                <w:bCs/>
                <w:color w:val="000000"/>
              </w:rPr>
              <w:t>Grade 4</w:t>
            </w:r>
          </w:p>
        </w:tc>
        <w:tc>
          <w:tcPr>
            <w:tcW w:w="1440" w:type="dxa"/>
            <w:shd w:val="clear" w:color="auto" w:fill="auto"/>
          </w:tcPr>
          <w:p w:rsidR="009463B0" w:rsidRDefault="009463B0" w:rsidP="005554C6">
            <w:pPr>
              <w:ind w:right="-334"/>
            </w:pPr>
            <w:r w:rsidRPr="005554C6">
              <w:rPr>
                <w:color w:val="000000"/>
              </w:rPr>
              <w:t>Stop therapy</w:t>
            </w:r>
          </w:p>
        </w:tc>
        <w:tc>
          <w:tcPr>
            <w:tcW w:w="3600" w:type="dxa"/>
            <w:shd w:val="clear" w:color="auto" w:fill="auto"/>
          </w:tcPr>
          <w:p w:rsidR="009463B0" w:rsidRPr="005554C6" w:rsidRDefault="00584E75" w:rsidP="005554C6">
            <w:pPr>
              <w:autoSpaceDE w:val="0"/>
              <w:autoSpaceDN w:val="0"/>
              <w:adjustRightInd w:val="0"/>
              <w:ind w:right="-334"/>
              <w:rPr>
                <w:bCs/>
                <w:color w:val="000000"/>
              </w:rPr>
            </w:pPr>
            <w:r>
              <w:rPr>
                <w:bCs/>
                <w:color w:val="000000"/>
              </w:rPr>
              <w:t>-</w:t>
            </w:r>
          </w:p>
        </w:tc>
      </w:tr>
    </w:tbl>
    <w:p w:rsidR="00340652" w:rsidRDefault="009463B0" w:rsidP="009463B0">
      <w:pPr>
        <w:autoSpaceDE w:val="0"/>
        <w:autoSpaceDN w:val="0"/>
        <w:adjustRightInd w:val="0"/>
        <w:ind w:right="-334"/>
        <w:rPr>
          <w:color w:val="000000"/>
          <w:sz w:val="20"/>
          <w:szCs w:val="20"/>
        </w:rPr>
      </w:pPr>
      <w:r w:rsidRPr="00600475">
        <w:rPr>
          <w:color w:val="000000"/>
          <w:sz w:val="20"/>
          <w:szCs w:val="20"/>
          <w:vertAlign w:val="superscript"/>
        </w:rPr>
        <w:t>a</w:t>
      </w:r>
      <w:r w:rsidRPr="00600475">
        <w:rPr>
          <w:color w:val="000000"/>
          <w:sz w:val="20"/>
          <w:szCs w:val="20"/>
        </w:rPr>
        <w:t xml:space="preserve"> Per National Cancer Institute-Common Terminology Criteria </w:t>
      </w:r>
      <w:r>
        <w:rPr>
          <w:color w:val="000000"/>
          <w:sz w:val="20"/>
          <w:szCs w:val="20"/>
        </w:rPr>
        <w:t>for Adverse Events (NCI CTCAE</w:t>
      </w:r>
      <w:r w:rsidRPr="00600475">
        <w:rPr>
          <w:color w:val="000000"/>
          <w:sz w:val="20"/>
          <w:szCs w:val="20"/>
        </w:rPr>
        <w:t>)</w:t>
      </w:r>
    </w:p>
    <w:p w:rsidR="004D33D4" w:rsidRDefault="004D33D4" w:rsidP="009463B0">
      <w:pPr>
        <w:autoSpaceDE w:val="0"/>
        <w:autoSpaceDN w:val="0"/>
        <w:adjustRightInd w:val="0"/>
        <w:ind w:right="-334"/>
        <w:rPr>
          <w:b/>
          <w:bCs/>
          <w:color w:val="000000"/>
        </w:rPr>
      </w:pPr>
    </w:p>
    <w:p w:rsidR="00B50672" w:rsidRPr="00600475" w:rsidRDefault="00DA45B8" w:rsidP="009463B0">
      <w:pPr>
        <w:autoSpaceDE w:val="0"/>
        <w:autoSpaceDN w:val="0"/>
        <w:adjustRightInd w:val="0"/>
        <w:ind w:right="-334"/>
        <w:rPr>
          <w:b/>
          <w:bCs/>
          <w:color w:val="000000"/>
        </w:rPr>
      </w:pPr>
      <w:r>
        <w:rPr>
          <w:b/>
          <w:bCs/>
          <w:color w:val="000000"/>
        </w:rPr>
        <w:t>Table 3</w:t>
      </w:r>
      <w:r w:rsidR="00584E75">
        <w:rPr>
          <w:b/>
          <w:bCs/>
          <w:color w:val="000000"/>
        </w:rPr>
        <w:t>:</w:t>
      </w:r>
      <w:r w:rsidR="0036239F">
        <w:rPr>
          <w:b/>
          <w:bCs/>
          <w:color w:val="000000"/>
        </w:rPr>
        <w:t xml:space="preserve"> FOLOTYN d</w:t>
      </w:r>
      <w:r w:rsidR="009463B0" w:rsidRPr="00600475">
        <w:rPr>
          <w:b/>
          <w:bCs/>
          <w:color w:val="000000"/>
        </w:rPr>
        <w:t>o</w:t>
      </w:r>
      <w:r w:rsidR="0036239F">
        <w:rPr>
          <w:b/>
          <w:bCs/>
          <w:color w:val="000000"/>
        </w:rPr>
        <w:t>se m</w:t>
      </w:r>
      <w:r w:rsidR="009463B0" w:rsidRPr="00600475">
        <w:rPr>
          <w:b/>
          <w:bCs/>
          <w:color w:val="000000"/>
        </w:rPr>
        <w:t xml:space="preserve">odifications for </w:t>
      </w:r>
      <w:r w:rsidR="0036239F">
        <w:rPr>
          <w:b/>
          <w:bCs/>
          <w:color w:val="000000"/>
        </w:rPr>
        <w:t>haematological t</w:t>
      </w:r>
      <w:r w:rsidR="009463B0" w:rsidRPr="00600475">
        <w:rPr>
          <w:b/>
          <w:bCs/>
          <w:color w:val="000000"/>
        </w:rPr>
        <w:t>oxicities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620"/>
        <w:gridCol w:w="2160"/>
        <w:gridCol w:w="2160"/>
      </w:tblGrid>
      <w:tr w:rsidR="009463B0" w:rsidRPr="005554C6">
        <w:tc>
          <w:tcPr>
            <w:tcW w:w="3168" w:type="dxa"/>
            <w:shd w:val="clear" w:color="auto" w:fill="auto"/>
          </w:tcPr>
          <w:p w:rsidR="009463B0" w:rsidRPr="005554C6" w:rsidRDefault="009463B0" w:rsidP="005554C6">
            <w:pPr>
              <w:autoSpaceDE w:val="0"/>
              <w:autoSpaceDN w:val="0"/>
              <w:adjustRightInd w:val="0"/>
              <w:ind w:right="-334"/>
              <w:rPr>
                <w:b/>
                <w:bCs/>
                <w:color w:val="000000"/>
              </w:rPr>
            </w:pPr>
            <w:r w:rsidRPr="005554C6">
              <w:rPr>
                <w:b/>
                <w:bCs/>
                <w:color w:val="000000"/>
              </w:rPr>
              <w:t xml:space="preserve">Blood </w:t>
            </w:r>
            <w:r w:rsidR="0036239F" w:rsidRPr="005554C6">
              <w:rPr>
                <w:b/>
                <w:bCs/>
                <w:color w:val="000000"/>
              </w:rPr>
              <w:t>c</w:t>
            </w:r>
            <w:r w:rsidRPr="005554C6">
              <w:rPr>
                <w:b/>
                <w:bCs/>
                <w:color w:val="000000"/>
              </w:rPr>
              <w:t>ount on</w:t>
            </w:r>
            <w:r w:rsidR="003D59C1" w:rsidRPr="005554C6">
              <w:rPr>
                <w:b/>
                <w:bCs/>
                <w:color w:val="000000"/>
              </w:rPr>
              <w:t xml:space="preserve"> t</w:t>
            </w:r>
            <w:r w:rsidRPr="005554C6">
              <w:rPr>
                <w:b/>
                <w:bCs/>
                <w:color w:val="000000"/>
              </w:rPr>
              <w:t>reatment</w:t>
            </w:r>
            <w:r w:rsidR="003D59C1" w:rsidRPr="005554C6">
              <w:rPr>
                <w:b/>
                <w:bCs/>
                <w:color w:val="000000"/>
              </w:rPr>
              <w:t xml:space="preserve"> day</w:t>
            </w:r>
          </w:p>
        </w:tc>
        <w:tc>
          <w:tcPr>
            <w:tcW w:w="1620" w:type="dxa"/>
            <w:shd w:val="clear" w:color="auto" w:fill="auto"/>
          </w:tcPr>
          <w:p w:rsidR="009463B0" w:rsidRPr="005554C6" w:rsidRDefault="003D59C1" w:rsidP="005554C6">
            <w:pPr>
              <w:autoSpaceDE w:val="0"/>
              <w:autoSpaceDN w:val="0"/>
              <w:adjustRightInd w:val="0"/>
              <w:ind w:right="-334"/>
              <w:rPr>
                <w:b/>
                <w:bCs/>
                <w:color w:val="000000"/>
              </w:rPr>
            </w:pPr>
            <w:r w:rsidRPr="005554C6">
              <w:rPr>
                <w:b/>
                <w:bCs/>
                <w:color w:val="000000"/>
              </w:rPr>
              <w:t xml:space="preserve">   </w:t>
            </w:r>
            <w:r w:rsidR="009463B0" w:rsidRPr="005554C6">
              <w:rPr>
                <w:b/>
                <w:bCs/>
                <w:color w:val="000000"/>
              </w:rPr>
              <w:t xml:space="preserve">Duration </w:t>
            </w:r>
            <w:r w:rsidR="0036239F" w:rsidRPr="005554C6">
              <w:rPr>
                <w:b/>
                <w:bCs/>
                <w:color w:val="000000"/>
              </w:rPr>
              <w:t>of</w:t>
            </w:r>
          </w:p>
          <w:p w:rsidR="009463B0" w:rsidRPr="005554C6" w:rsidRDefault="003D59C1" w:rsidP="005554C6">
            <w:pPr>
              <w:autoSpaceDE w:val="0"/>
              <w:autoSpaceDN w:val="0"/>
              <w:adjustRightInd w:val="0"/>
              <w:ind w:right="-334"/>
              <w:rPr>
                <w:b/>
                <w:bCs/>
                <w:color w:val="000000"/>
              </w:rPr>
            </w:pPr>
            <w:r w:rsidRPr="005554C6">
              <w:rPr>
                <w:b/>
                <w:bCs/>
                <w:color w:val="000000"/>
              </w:rPr>
              <w:t xml:space="preserve">   </w:t>
            </w:r>
            <w:r w:rsidR="009463B0" w:rsidRPr="005554C6">
              <w:rPr>
                <w:b/>
                <w:bCs/>
                <w:color w:val="000000"/>
              </w:rPr>
              <w:t>toxicity</w:t>
            </w:r>
          </w:p>
        </w:tc>
        <w:tc>
          <w:tcPr>
            <w:tcW w:w="2160" w:type="dxa"/>
            <w:shd w:val="clear" w:color="auto" w:fill="auto"/>
          </w:tcPr>
          <w:p w:rsidR="009463B0" w:rsidRPr="005554C6" w:rsidRDefault="003D59C1" w:rsidP="005554C6">
            <w:pPr>
              <w:autoSpaceDE w:val="0"/>
              <w:autoSpaceDN w:val="0"/>
              <w:adjustRightInd w:val="0"/>
              <w:ind w:right="-334"/>
              <w:rPr>
                <w:b/>
                <w:bCs/>
                <w:color w:val="000000"/>
              </w:rPr>
            </w:pPr>
            <w:r w:rsidRPr="005554C6">
              <w:rPr>
                <w:b/>
                <w:bCs/>
                <w:color w:val="000000"/>
              </w:rPr>
              <w:t xml:space="preserve">         </w:t>
            </w:r>
            <w:r w:rsidR="009463B0" w:rsidRPr="005554C6">
              <w:rPr>
                <w:b/>
                <w:bCs/>
                <w:color w:val="000000"/>
              </w:rPr>
              <w:t>Action</w:t>
            </w:r>
          </w:p>
        </w:tc>
        <w:tc>
          <w:tcPr>
            <w:tcW w:w="2160" w:type="dxa"/>
            <w:shd w:val="clear" w:color="auto" w:fill="auto"/>
          </w:tcPr>
          <w:p w:rsidR="009463B0" w:rsidRPr="005554C6" w:rsidRDefault="003D59C1" w:rsidP="005554C6">
            <w:pPr>
              <w:autoSpaceDE w:val="0"/>
              <w:autoSpaceDN w:val="0"/>
              <w:adjustRightInd w:val="0"/>
              <w:ind w:right="-334"/>
              <w:rPr>
                <w:b/>
                <w:bCs/>
                <w:color w:val="000000"/>
              </w:rPr>
            </w:pPr>
            <w:r w:rsidRPr="005554C6">
              <w:rPr>
                <w:b/>
                <w:bCs/>
                <w:color w:val="000000"/>
              </w:rPr>
              <w:t xml:space="preserve"> </w:t>
            </w:r>
            <w:r w:rsidR="009463B0" w:rsidRPr="005554C6">
              <w:rPr>
                <w:b/>
                <w:bCs/>
                <w:color w:val="000000"/>
              </w:rPr>
              <w:t>Dose upon restart</w:t>
            </w:r>
          </w:p>
        </w:tc>
      </w:tr>
      <w:tr w:rsidR="009463B0" w:rsidRPr="005554C6">
        <w:tc>
          <w:tcPr>
            <w:tcW w:w="3168" w:type="dxa"/>
            <w:vMerge w:val="restart"/>
            <w:shd w:val="clear" w:color="auto" w:fill="auto"/>
          </w:tcPr>
          <w:p w:rsidR="009463B0" w:rsidRPr="005554C6" w:rsidRDefault="009463B0" w:rsidP="005554C6">
            <w:pPr>
              <w:autoSpaceDE w:val="0"/>
              <w:autoSpaceDN w:val="0"/>
              <w:adjustRightInd w:val="0"/>
              <w:ind w:right="-334"/>
              <w:rPr>
                <w:bCs/>
                <w:color w:val="000000"/>
              </w:rPr>
            </w:pPr>
            <w:r w:rsidRPr="005554C6">
              <w:rPr>
                <w:color w:val="000000"/>
              </w:rPr>
              <w:t>Platelet</w:t>
            </w:r>
            <w:r w:rsidR="00EB5F8C">
              <w:rPr>
                <w:color w:val="000000"/>
              </w:rPr>
              <w:t>s</w:t>
            </w:r>
            <w:r w:rsidRPr="005554C6">
              <w:rPr>
                <w:color w:val="000000"/>
              </w:rPr>
              <w:t xml:space="preserve"> &lt; 50,000/µL</w:t>
            </w:r>
          </w:p>
        </w:tc>
        <w:tc>
          <w:tcPr>
            <w:tcW w:w="1620" w:type="dxa"/>
            <w:shd w:val="clear" w:color="auto" w:fill="auto"/>
          </w:tcPr>
          <w:p w:rsidR="009463B0" w:rsidRPr="005554C6" w:rsidRDefault="009463B0" w:rsidP="005554C6">
            <w:pPr>
              <w:autoSpaceDE w:val="0"/>
              <w:autoSpaceDN w:val="0"/>
              <w:adjustRightInd w:val="0"/>
              <w:ind w:right="-334"/>
              <w:rPr>
                <w:bCs/>
                <w:color w:val="000000"/>
              </w:rPr>
            </w:pPr>
            <w:r w:rsidRPr="005554C6">
              <w:rPr>
                <w:bCs/>
                <w:color w:val="000000"/>
              </w:rPr>
              <w:t>1 week</w:t>
            </w:r>
          </w:p>
        </w:tc>
        <w:tc>
          <w:tcPr>
            <w:tcW w:w="2160" w:type="dxa"/>
            <w:shd w:val="clear" w:color="auto" w:fill="auto"/>
          </w:tcPr>
          <w:p w:rsidR="009463B0" w:rsidRPr="005554C6" w:rsidRDefault="009463B0" w:rsidP="005554C6">
            <w:pPr>
              <w:autoSpaceDE w:val="0"/>
              <w:autoSpaceDN w:val="0"/>
              <w:adjustRightInd w:val="0"/>
              <w:ind w:right="-334"/>
              <w:rPr>
                <w:bCs/>
                <w:color w:val="000000"/>
              </w:rPr>
            </w:pPr>
            <w:r w:rsidRPr="005554C6">
              <w:rPr>
                <w:bCs/>
                <w:color w:val="000000"/>
              </w:rPr>
              <w:t>Omit dose</w:t>
            </w:r>
          </w:p>
        </w:tc>
        <w:tc>
          <w:tcPr>
            <w:tcW w:w="2160" w:type="dxa"/>
            <w:shd w:val="clear" w:color="auto" w:fill="auto"/>
          </w:tcPr>
          <w:p w:rsidR="009463B0" w:rsidRPr="005554C6" w:rsidRDefault="009463B0" w:rsidP="005554C6">
            <w:pPr>
              <w:autoSpaceDE w:val="0"/>
              <w:autoSpaceDN w:val="0"/>
              <w:adjustRightInd w:val="0"/>
              <w:ind w:right="-334"/>
              <w:rPr>
                <w:bCs/>
                <w:color w:val="000000"/>
              </w:rPr>
            </w:pPr>
            <w:r w:rsidRPr="005554C6">
              <w:rPr>
                <w:color w:val="000000"/>
              </w:rPr>
              <w:t>Continue prior dose</w:t>
            </w:r>
          </w:p>
        </w:tc>
      </w:tr>
      <w:tr w:rsidR="009463B0" w:rsidRPr="005554C6">
        <w:tc>
          <w:tcPr>
            <w:tcW w:w="3168" w:type="dxa"/>
            <w:vMerge/>
            <w:shd w:val="clear" w:color="auto" w:fill="auto"/>
          </w:tcPr>
          <w:p w:rsidR="009463B0" w:rsidRPr="005554C6" w:rsidRDefault="009463B0" w:rsidP="005554C6">
            <w:pPr>
              <w:autoSpaceDE w:val="0"/>
              <w:autoSpaceDN w:val="0"/>
              <w:adjustRightInd w:val="0"/>
              <w:ind w:right="-334"/>
              <w:rPr>
                <w:bCs/>
                <w:color w:val="000000"/>
              </w:rPr>
            </w:pPr>
          </w:p>
        </w:tc>
        <w:tc>
          <w:tcPr>
            <w:tcW w:w="1620" w:type="dxa"/>
            <w:shd w:val="clear" w:color="auto" w:fill="auto"/>
          </w:tcPr>
          <w:p w:rsidR="009463B0" w:rsidRPr="005554C6" w:rsidRDefault="009463B0" w:rsidP="005554C6">
            <w:pPr>
              <w:autoSpaceDE w:val="0"/>
              <w:autoSpaceDN w:val="0"/>
              <w:adjustRightInd w:val="0"/>
              <w:ind w:right="-334"/>
              <w:rPr>
                <w:bCs/>
                <w:color w:val="000000"/>
              </w:rPr>
            </w:pPr>
            <w:r w:rsidRPr="005554C6">
              <w:rPr>
                <w:bCs/>
                <w:color w:val="000000"/>
              </w:rPr>
              <w:t>2 weeks</w:t>
            </w:r>
          </w:p>
        </w:tc>
        <w:tc>
          <w:tcPr>
            <w:tcW w:w="2160" w:type="dxa"/>
            <w:shd w:val="clear" w:color="auto" w:fill="auto"/>
          </w:tcPr>
          <w:p w:rsidR="009463B0" w:rsidRPr="005554C6" w:rsidRDefault="009463B0" w:rsidP="005554C6">
            <w:pPr>
              <w:autoSpaceDE w:val="0"/>
              <w:autoSpaceDN w:val="0"/>
              <w:adjustRightInd w:val="0"/>
              <w:ind w:right="-334"/>
              <w:rPr>
                <w:bCs/>
                <w:color w:val="000000"/>
              </w:rPr>
            </w:pPr>
            <w:r w:rsidRPr="005554C6">
              <w:rPr>
                <w:bCs/>
                <w:color w:val="000000"/>
              </w:rPr>
              <w:t>Omit dose</w:t>
            </w:r>
          </w:p>
        </w:tc>
        <w:tc>
          <w:tcPr>
            <w:tcW w:w="2160" w:type="dxa"/>
            <w:shd w:val="clear" w:color="auto" w:fill="auto"/>
          </w:tcPr>
          <w:p w:rsidR="009463B0" w:rsidRPr="005554C6" w:rsidRDefault="009463B0" w:rsidP="005554C6">
            <w:pPr>
              <w:autoSpaceDE w:val="0"/>
              <w:autoSpaceDN w:val="0"/>
              <w:adjustRightInd w:val="0"/>
              <w:ind w:right="-334"/>
              <w:rPr>
                <w:bCs/>
                <w:color w:val="000000"/>
              </w:rPr>
            </w:pPr>
            <w:r w:rsidRPr="005554C6">
              <w:rPr>
                <w:color w:val="000000"/>
              </w:rPr>
              <w:t>20 mg/m</w:t>
            </w:r>
            <w:r w:rsidRPr="00EB5F8C">
              <w:rPr>
                <w:color w:val="000000"/>
                <w:vertAlign w:val="superscript"/>
              </w:rPr>
              <w:t>2</w:t>
            </w:r>
          </w:p>
        </w:tc>
      </w:tr>
      <w:tr w:rsidR="009463B0" w:rsidRPr="005554C6">
        <w:tc>
          <w:tcPr>
            <w:tcW w:w="3168" w:type="dxa"/>
            <w:vMerge/>
            <w:shd w:val="clear" w:color="auto" w:fill="auto"/>
          </w:tcPr>
          <w:p w:rsidR="009463B0" w:rsidRPr="005554C6" w:rsidRDefault="009463B0" w:rsidP="005554C6">
            <w:pPr>
              <w:autoSpaceDE w:val="0"/>
              <w:autoSpaceDN w:val="0"/>
              <w:adjustRightInd w:val="0"/>
              <w:ind w:right="-334"/>
              <w:rPr>
                <w:bCs/>
                <w:color w:val="000000"/>
              </w:rPr>
            </w:pPr>
          </w:p>
        </w:tc>
        <w:tc>
          <w:tcPr>
            <w:tcW w:w="1620" w:type="dxa"/>
            <w:shd w:val="clear" w:color="auto" w:fill="auto"/>
          </w:tcPr>
          <w:p w:rsidR="009463B0" w:rsidRPr="005554C6" w:rsidRDefault="009463B0" w:rsidP="005554C6">
            <w:pPr>
              <w:autoSpaceDE w:val="0"/>
              <w:autoSpaceDN w:val="0"/>
              <w:adjustRightInd w:val="0"/>
              <w:ind w:right="-334"/>
              <w:rPr>
                <w:bCs/>
                <w:color w:val="000000"/>
              </w:rPr>
            </w:pPr>
            <w:r w:rsidRPr="005554C6">
              <w:rPr>
                <w:bCs/>
                <w:color w:val="000000"/>
              </w:rPr>
              <w:t>3 weeks</w:t>
            </w:r>
          </w:p>
        </w:tc>
        <w:tc>
          <w:tcPr>
            <w:tcW w:w="2160" w:type="dxa"/>
            <w:shd w:val="clear" w:color="auto" w:fill="auto"/>
          </w:tcPr>
          <w:p w:rsidR="009463B0" w:rsidRPr="005554C6" w:rsidRDefault="009463B0" w:rsidP="005554C6">
            <w:pPr>
              <w:autoSpaceDE w:val="0"/>
              <w:autoSpaceDN w:val="0"/>
              <w:adjustRightInd w:val="0"/>
              <w:ind w:right="-334"/>
              <w:rPr>
                <w:bCs/>
                <w:color w:val="000000"/>
              </w:rPr>
            </w:pPr>
            <w:r w:rsidRPr="005554C6">
              <w:rPr>
                <w:bCs/>
                <w:color w:val="000000"/>
              </w:rPr>
              <w:t>Stop therapy</w:t>
            </w:r>
          </w:p>
        </w:tc>
        <w:tc>
          <w:tcPr>
            <w:tcW w:w="2160" w:type="dxa"/>
            <w:shd w:val="clear" w:color="auto" w:fill="auto"/>
          </w:tcPr>
          <w:p w:rsidR="009463B0" w:rsidRPr="005554C6" w:rsidRDefault="00584E75" w:rsidP="005554C6">
            <w:pPr>
              <w:autoSpaceDE w:val="0"/>
              <w:autoSpaceDN w:val="0"/>
              <w:adjustRightInd w:val="0"/>
              <w:ind w:right="-334"/>
              <w:rPr>
                <w:bCs/>
                <w:color w:val="000000"/>
              </w:rPr>
            </w:pPr>
            <w:r>
              <w:rPr>
                <w:bCs/>
                <w:color w:val="000000"/>
              </w:rPr>
              <w:t>-</w:t>
            </w:r>
          </w:p>
        </w:tc>
      </w:tr>
      <w:tr w:rsidR="009463B0" w:rsidRPr="005554C6">
        <w:tc>
          <w:tcPr>
            <w:tcW w:w="3168" w:type="dxa"/>
            <w:shd w:val="clear" w:color="auto" w:fill="auto"/>
          </w:tcPr>
          <w:p w:rsidR="009463B0" w:rsidRPr="005554C6" w:rsidRDefault="009463B0" w:rsidP="005554C6">
            <w:pPr>
              <w:autoSpaceDE w:val="0"/>
              <w:autoSpaceDN w:val="0"/>
              <w:adjustRightInd w:val="0"/>
              <w:ind w:right="-334"/>
              <w:rPr>
                <w:color w:val="000000"/>
              </w:rPr>
            </w:pPr>
            <w:r w:rsidRPr="005554C6">
              <w:rPr>
                <w:color w:val="000000"/>
              </w:rPr>
              <w:t>ANC 500-1,000/µL and no</w:t>
            </w:r>
          </w:p>
          <w:p w:rsidR="009463B0" w:rsidRPr="005554C6" w:rsidRDefault="009463B0" w:rsidP="005554C6">
            <w:pPr>
              <w:autoSpaceDE w:val="0"/>
              <w:autoSpaceDN w:val="0"/>
              <w:adjustRightInd w:val="0"/>
              <w:ind w:right="-334"/>
              <w:rPr>
                <w:bCs/>
                <w:color w:val="000000"/>
              </w:rPr>
            </w:pPr>
            <w:r w:rsidRPr="005554C6">
              <w:rPr>
                <w:color w:val="000000"/>
              </w:rPr>
              <w:t>fever</w:t>
            </w:r>
          </w:p>
        </w:tc>
        <w:tc>
          <w:tcPr>
            <w:tcW w:w="1620" w:type="dxa"/>
            <w:shd w:val="clear" w:color="auto" w:fill="auto"/>
          </w:tcPr>
          <w:p w:rsidR="009463B0" w:rsidRPr="005554C6" w:rsidRDefault="009463B0" w:rsidP="005554C6">
            <w:pPr>
              <w:autoSpaceDE w:val="0"/>
              <w:autoSpaceDN w:val="0"/>
              <w:adjustRightInd w:val="0"/>
              <w:ind w:right="-334"/>
              <w:rPr>
                <w:bCs/>
                <w:color w:val="000000"/>
              </w:rPr>
            </w:pPr>
            <w:r w:rsidRPr="005554C6">
              <w:rPr>
                <w:bCs/>
                <w:color w:val="000000"/>
              </w:rPr>
              <w:t>1 week</w:t>
            </w:r>
          </w:p>
        </w:tc>
        <w:tc>
          <w:tcPr>
            <w:tcW w:w="2160" w:type="dxa"/>
            <w:shd w:val="clear" w:color="auto" w:fill="auto"/>
          </w:tcPr>
          <w:p w:rsidR="009463B0" w:rsidRPr="005554C6" w:rsidRDefault="009463B0" w:rsidP="005554C6">
            <w:pPr>
              <w:autoSpaceDE w:val="0"/>
              <w:autoSpaceDN w:val="0"/>
              <w:adjustRightInd w:val="0"/>
              <w:ind w:right="-334"/>
              <w:rPr>
                <w:bCs/>
                <w:color w:val="000000"/>
              </w:rPr>
            </w:pPr>
            <w:r w:rsidRPr="005554C6">
              <w:rPr>
                <w:bCs/>
                <w:color w:val="000000"/>
              </w:rPr>
              <w:t>Omit dose</w:t>
            </w:r>
          </w:p>
        </w:tc>
        <w:tc>
          <w:tcPr>
            <w:tcW w:w="2160" w:type="dxa"/>
            <w:shd w:val="clear" w:color="auto" w:fill="auto"/>
          </w:tcPr>
          <w:p w:rsidR="009463B0" w:rsidRPr="005554C6" w:rsidRDefault="009463B0" w:rsidP="005554C6">
            <w:pPr>
              <w:autoSpaceDE w:val="0"/>
              <w:autoSpaceDN w:val="0"/>
              <w:adjustRightInd w:val="0"/>
              <w:ind w:right="-334"/>
              <w:rPr>
                <w:bCs/>
                <w:color w:val="000000"/>
              </w:rPr>
            </w:pPr>
            <w:r w:rsidRPr="005554C6">
              <w:rPr>
                <w:color w:val="000000"/>
              </w:rPr>
              <w:t>Continue prior dose</w:t>
            </w:r>
          </w:p>
        </w:tc>
      </w:tr>
      <w:tr w:rsidR="009463B0" w:rsidRPr="005554C6">
        <w:tc>
          <w:tcPr>
            <w:tcW w:w="3168" w:type="dxa"/>
            <w:vMerge w:val="restart"/>
            <w:shd w:val="clear" w:color="auto" w:fill="auto"/>
          </w:tcPr>
          <w:p w:rsidR="009463B0" w:rsidRPr="005554C6" w:rsidRDefault="009463B0" w:rsidP="005554C6">
            <w:pPr>
              <w:autoSpaceDE w:val="0"/>
              <w:autoSpaceDN w:val="0"/>
              <w:adjustRightInd w:val="0"/>
              <w:ind w:right="-334"/>
              <w:rPr>
                <w:color w:val="000000"/>
              </w:rPr>
            </w:pPr>
            <w:r w:rsidRPr="005554C6">
              <w:rPr>
                <w:color w:val="000000"/>
              </w:rPr>
              <w:t xml:space="preserve">ANC 500-1,000/µL with </w:t>
            </w:r>
          </w:p>
          <w:p w:rsidR="00A04CB4" w:rsidRDefault="009463B0" w:rsidP="005554C6">
            <w:pPr>
              <w:autoSpaceDE w:val="0"/>
              <w:autoSpaceDN w:val="0"/>
              <w:adjustRightInd w:val="0"/>
              <w:ind w:right="-334"/>
              <w:rPr>
                <w:color w:val="000000"/>
              </w:rPr>
            </w:pPr>
            <w:r w:rsidRPr="005554C6">
              <w:rPr>
                <w:color w:val="000000"/>
              </w:rPr>
              <w:t xml:space="preserve">fever </w:t>
            </w:r>
          </w:p>
          <w:p w:rsidR="009463B0" w:rsidRPr="005554C6" w:rsidRDefault="009463B0" w:rsidP="005554C6">
            <w:pPr>
              <w:autoSpaceDE w:val="0"/>
              <w:autoSpaceDN w:val="0"/>
              <w:adjustRightInd w:val="0"/>
              <w:ind w:right="-334"/>
              <w:rPr>
                <w:color w:val="000000"/>
              </w:rPr>
            </w:pPr>
            <w:r w:rsidRPr="005554C6">
              <w:rPr>
                <w:color w:val="000000"/>
              </w:rPr>
              <w:t xml:space="preserve">or </w:t>
            </w:r>
          </w:p>
          <w:p w:rsidR="009463B0" w:rsidRPr="005554C6" w:rsidRDefault="009463B0" w:rsidP="005554C6">
            <w:pPr>
              <w:autoSpaceDE w:val="0"/>
              <w:autoSpaceDN w:val="0"/>
              <w:adjustRightInd w:val="0"/>
              <w:ind w:right="-334"/>
              <w:rPr>
                <w:color w:val="000000"/>
              </w:rPr>
            </w:pPr>
            <w:r w:rsidRPr="005554C6">
              <w:rPr>
                <w:color w:val="000000"/>
              </w:rPr>
              <w:t>ANC &lt; 500/µL</w:t>
            </w:r>
          </w:p>
          <w:p w:rsidR="009463B0" w:rsidRPr="005554C6" w:rsidRDefault="009463B0" w:rsidP="005554C6">
            <w:pPr>
              <w:autoSpaceDE w:val="0"/>
              <w:autoSpaceDN w:val="0"/>
              <w:adjustRightInd w:val="0"/>
              <w:ind w:right="-334"/>
              <w:rPr>
                <w:bCs/>
                <w:color w:val="000000"/>
              </w:rPr>
            </w:pPr>
          </w:p>
        </w:tc>
        <w:tc>
          <w:tcPr>
            <w:tcW w:w="1620" w:type="dxa"/>
            <w:shd w:val="clear" w:color="auto" w:fill="auto"/>
          </w:tcPr>
          <w:p w:rsidR="009463B0" w:rsidRPr="005554C6" w:rsidRDefault="009463B0" w:rsidP="005554C6">
            <w:pPr>
              <w:autoSpaceDE w:val="0"/>
              <w:autoSpaceDN w:val="0"/>
              <w:adjustRightInd w:val="0"/>
              <w:ind w:right="-334"/>
              <w:rPr>
                <w:bCs/>
                <w:color w:val="000000"/>
              </w:rPr>
            </w:pPr>
            <w:r w:rsidRPr="005554C6">
              <w:rPr>
                <w:bCs/>
                <w:color w:val="000000"/>
              </w:rPr>
              <w:t>1 week</w:t>
            </w:r>
          </w:p>
        </w:tc>
        <w:tc>
          <w:tcPr>
            <w:tcW w:w="2160" w:type="dxa"/>
            <w:shd w:val="clear" w:color="auto" w:fill="auto"/>
          </w:tcPr>
          <w:p w:rsidR="00EB5F8C" w:rsidRDefault="009463B0" w:rsidP="005554C6">
            <w:pPr>
              <w:autoSpaceDE w:val="0"/>
              <w:autoSpaceDN w:val="0"/>
              <w:adjustRightInd w:val="0"/>
              <w:ind w:right="-334"/>
              <w:rPr>
                <w:bCs/>
                <w:color w:val="000000"/>
              </w:rPr>
            </w:pPr>
            <w:r w:rsidRPr="005554C6">
              <w:rPr>
                <w:bCs/>
                <w:color w:val="000000"/>
              </w:rPr>
              <w:t xml:space="preserve">Omit dose, </w:t>
            </w:r>
          </w:p>
          <w:p w:rsidR="009463B0" w:rsidRPr="005554C6" w:rsidRDefault="00EB5F8C" w:rsidP="005554C6">
            <w:pPr>
              <w:autoSpaceDE w:val="0"/>
              <w:autoSpaceDN w:val="0"/>
              <w:adjustRightInd w:val="0"/>
              <w:ind w:right="-334"/>
              <w:rPr>
                <w:color w:val="000000"/>
              </w:rPr>
            </w:pPr>
            <w:r>
              <w:rPr>
                <w:bCs/>
                <w:color w:val="000000"/>
              </w:rPr>
              <w:t>administer</w:t>
            </w:r>
          </w:p>
          <w:p w:rsidR="009463B0" w:rsidRPr="005554C6" w:rsidRDefault="009463B0" w:rsidP="005554C6">
            <w:pPr>
              <w:autoSpaceDE w:val="0"/>
              <w:autoSpaceDN w:val="0"/>
              <w:adjustRightInd w:val="0"/>
              <w:ind w:right="-334"/>
              <w:rPr>
                <w:bCs/>
                <w:color w:val="000000"/>
              </w:rPr>
            </w:pPr>
            <w:r w:rsidRPr="005554C6">
              <w:rPr>
                <w:color w:val="000000"/>
              </w:rPr>
              <w:t>G-CSF or GM-CSF support</w:t>
            </w:r>
          </w:p>
        </w:tc>
        <w:tc>
          <w:tcPr>
            <w:tcW w:w="2160" w:type="dxa"/>
            <w:shd w:val="clear" w:color="auto" w:fill="auto"/>
          </w:tcPr>
          <w:p w:rsidR="009463B0" w:rsidRPr="005554C6" w:rsidRDefault="009463B0" w:rsidP="005554C6">
            <w:pPr>
              <w:autoSpaceDE w:val="0"/>
              <w:autoSpaceDN w:val="0"/>
              <w:adjustRightInd w:val="0"/>
              <w:ind w:right="-334"/>
              <w:rPr>
                <w:color w:val="000000"/>
              </w:rPr>
            </w:pPr>
            <w:r w:rsidRPr="005554C6">
              <w:rPr>
                <w:color w:val="000000"/>
              </w:rPr>
              <w:t>Continue prior dose</w:t>
            </w:r>
          </w:p>
          <w:p w:rsidR="009463B0" w:rsidRPr="005554C6" w:rsidRDefault="009463B0" w:rsidP="005554C6">
            <w:pPr>
              <w:autoSpaceDE w:val="0"/>
              <w:autoSpaceDN w:val="0"/>
              <w:adjustRightInd w:val="0"/>
              <w:ind w:right="-334"/>
              <w:rPr>
                <w:color w:val="000000"/>
              </w:rPr>
            </w:pPr>
            <w:r w:rsidRPr="005554C6">
              <w:rPr>
                <w:color w:val="000000"/>
              </w:rPr>
              <w:t xml:space="preserve"> with G-CSF or</w:t>
            </w:r>
          </w:p>
          <w:p w:rsidR="009463B0" w:rsidRPr="005554C6" w:rsidRDefault="009463B0" w:rsidP="005554C6">
            <w:pPr>
              <w:autoSpaceDE w:val="0"/>
              <w:autoSpaceDN w:val="0"/>
              <w:adjustRightInd w:val="0"/>
              <w:ind w:right="-334"/>
              <w:rPr>
                <w:bCs/>
                <w:color w:val="000000"/>
              </w:rPr>
            </w:pPr>
            <w:r w:rsidRPr="005554C6">
              <w:rPr>
                <w:color w:val="000000"/>
              </w:rPr>
              <w:t>GM-CSF support</w:t>
            </w:r>
          </w:p>
        </w:tc>
      </w:tr>
      <w:tr w:rsidR="009463B0" w:rsidRPr="005554C6">
        <w:tc>
          <w:tcPr>
            <w:tcW w:w="3168" w:type="dxa"/>
            <w:vMerge/>
            <w:shd w:val="clear" w:color="auto" w:fill="auto"/>
          </w:tcPr>
          <w:p w:rsidR="009463B0" w:rsidRPr="005554C6" w:rsidRDefault="009463B0" w:rsidP="005554C6">
            <w:pPr>
              <w:autoSpaceDE w:val="0"/>
              <w:autoSpaceDN w:val="0"/>
              <w:adjustRightInd w:val="0"/>
              <w:ind w:right="-334"/>
              <w:rPr>
                <w:bCs/>
                <w:color w:val="000000"/>
              </w:rPr>
            </w:pPr>
          </w:p>
        </w:tc>
        <w:tc>
          <w:tcPr>
            <w:tcW w:w="1620" w:type="dxa"/>
            <w:shd w:val="clear" w:color="auto" w:fill="auto"/>
          </w:tcPr>
          <w:p w:rsidR="009463B0" w:rsidRPr="005554C6" w:rsidRDefault="009463B0" w:rsidP="005554C6">
            <w:pPr>
              <w:autoSpaceDE w:val="0"/>
              <w:autoSpaceDN w:val="0"/>
              <w:adjustRightInd w:val="0"/>
              <w:ind w:right="-334"/>
              <w:rPr>
                <w:color w:val="000000"/>
              </w:rPr>
            </w:pPr>
            <w:r w:rsidRPr="005554C6">
              <w:rPr>
                <w:color w:val="000000"/>
              </w:rPr>
              <w:t>2 weeks or</w:t>
            </w:r>
          </w:p>
          <w:p w:rsidR="009463B0" w:rsidRPr="005554C6" w:rsidRDefault="009463B0" w:rsidP="005554C6">
            <w:pPr>
              <w:autoSpaceDE w:val="0"/>
              <w:autoSpaceDN w:val="0"/>
              <w:adjustRightInd w:val="0"/>
              <w:ind w:right="-334"/>
              <w:rPr>
                <w:bCs/>
                <w:color w:val="000000"/>
              </w:rPr>
            </w:pPr>
            <w:r w:rsidRPr="005554C6">
              <w:rPr>
                <w:color w:val="000000"/>
              </w:rPr>
              <w:t>recurrence</w:t>
            </w:r>
          </w:p>
        </w:tc>
        <w:tc>
          <w:tcPr>
            <w:tcW w:w="2160" w:type="dxa"/>
            <w:shd w:val="clear" w:color="auto" w:fill="auto"/>
          </w:tcPr>
          <w:p w:rsidR="00EB5F8C" w:rsidRDefault="009463B0" w:rsidP="005554C6">
            <w:pPr>
              <w:autoSpaceDE w:val="0"/>
              <w:autoSpaceDN w:val="0"/>
              <w:adjustRightInd w:val="0"/>
              <w:ind w:right="-334"/>
              <w:rPr>
                <w:color w:val="000000"/>
              </w:rPr>
            </w:pPr>
            <w:r w:rsidRPr="005554C6">
              <w:rPr>
                <w:color w:val="000000"/>
              </w:rPr>
              <w:t xml:space="preserve">Omit dose, </w:t>
            </w:r>
          </w:p>
          <w:p w:rsidR="009463B0" w:rsidRPr="005554C6" w:rsidRDefault="00EB5F8C" w:rsidP="005554C6">
            <w:pPr>
              <w:autoSpaceDE w:val="0"/>
              <w:autoSpaceDN w:val="0"/>
              <w:adjustRightInd w:val="0"/>
              <w:ind w:right="-334"/>
              <w:rPr>
                <w:color w:val="000000"/>
              </w:rPr>
            </w:pPr>
            <w:r>
              <w:rPr>
                <w:color w:val="000000"/>
              </w:rPr>
              <w:t>administer</w:t>
            </w:r>
            <w:r w:rsidRPr="005554C6">
              <w:rPr>
                <w:color w:val="000000"/>
              </w:rPr>
              <w:t xml:space="preserve"> </w:t>
            </w:r>
          </w:p>
          <w:p w:rsidR="009463B0" w:rsidRPr="005554C6" w:rsidRDefault="009463B0" w:rsidP="005554C6">
            <w:pPr>
              <w:autoSpaceDE w:val="0"/>
              <w:autoSpaceDN w:val="0"/>
              <w:adjustRightInd w:val="0"/>
              <w:ind w:right="-334"/>
              <w:rPr>
                <w:color w:val="000000"/>
              </w:rPr>
            </w:pPr>
            <w:r w:rsidRPr="005554C6">
              <w:rPr>
                <w:color w:val="000000"/>
              </w:rPr>
              <w:t>-CSF</w:t>
            </w:r>
          </w:p>
          <w:p w:rsidR="009463B0" w:rsidRPr="005554C6" w:rsidRDefault="0075264E" w:rsidP="005554C6">
            <w:pPr>
              <w:autoSpaceDE w:val="0"/>
              <w:autoSpaceDN w:val="0"/>
              <w:adjustRightInd w:val="0"/>
              <w:ind w:right="-334"/>
              <w:rPr>
                <w:bCs/>
                <w:color w:val="000000"/>
              </w:rPr>
            </w:pPr>
            <w:r w:rsidRPr="005554C6">
              <w:rPr>
                <w:color w:val="000000"/>
              </w:rPr>
              <w:t xml:space="preserve">G-CSF or GM </w:t>
            </w:r>
            <w:r w:rsidR="009463B0" w:rsidRPr="005554C6">
              <w:rPr>
                <w:color w:val="000000"/>
              </w:rPr>
              <w:t>support</w:t>
            </w:r>
          </w:p>
        </w:tc>
        <w:tc>
          <w:tcPr>
            <w:tcW w:w="2160" w:type="dxa"/>
            <w:shd w:val="clear" w:color="auto" w:fill="auto"/>
          </w:tcPr>
          <w:p w:rsidR="009463B0" w:rsidRPr="005554C6" w:rsidRDefault="009463B0" w:rsidP="005554C6">
            <w:pPr>
              <w:autoSpaceDE w:val="0"/>
              <w:autoSpaceDN w:val="0"/>
              <w:adjustRightInd w:val="0"/>
              <w:ind w:right="-334"/>
              <w:rPr>
                <w:color w:val="000000"/>
              </w:rPr>
            </w:pPr>
            <w:r w:rsidRPr="005554C6">
              <w:rPr>
                <w:color w:val="000000"/>
              </w:rPr>
              <w:t>20 mg/m</w:t>
            </w:r>
            <w:r w:rsidRPr="00EB5F8C">
              <w:rPr>
                <w:color w:val="000000"/>
                <w:vertAlign w:val="superscript"/>
              </w:rPr>
              <w:t>2</w:t>
            </w:r>
            <w:r w:rsidRPr="005554C6">
              <w:rPr>
                <w:color w:val="000000"/>
              </w:rPr>
              <w:t xml:space="preserve"> with </w:t>
            </w:r>
          </w:p>
          <w:p w:rsidR="009463B0" w:rsidRPr="005554C6" w:rsidRDefault="009463B0" w:rsidP="005554C6">
            <w:pPr>
              <w:autoSpaceDE w:val="0"/>
              <w:autoSpaceDN w:val="0"/>
              <w:adjustRightInd w:val="0"/>
              <w:ind w:right="-334"/>
              <w:rPr>
                <w:color w:val="000000"/>
              </w:rPr>
            </w:pPr>
            <w:r w:rsidRPr="005554C6">
              <w:rPr>
                <w:color w:val="000000"/>
              </w:rPr>
              <w:t>G-CSF or GM-CSF</w:t>
            </w:r>
          </w:p>
          <w:p w:rsidR="009463B0" w:rsidRPr="005554C6" w:rsidRDefault="009463B0" w:rsidP="005554C6">
            <w:pPr>
              <w:autoSpaceDE w:val="0"/>
              <w:autoSpaceDN w:val="0"/>
              <w:adjustRightInd w:val="0"/>
              <w:ind w:right="-334"/>
              <w:rPr>
                <w:bCs/>
                <w:color w:val="000000"/>
              </w:rPr>
            </w:pPr>
            <w:r w:rsidRPr="005554C6">
              <w:rPr>
                <w:bCs/>
                <w:color w:val="000000"/>
              </w:rPr>
              <w:t>support</w:t>
            </w:r>
          </w:p>
        </w:tc>
      </w:tr>
      <w:tr w:rsidR="009463B0" w:rsidRPr="005554C6">
        <w:tc>
          <w:tcPr>
            <w:tcW w:w="3168" w:type="dxa"/>
            <w:vMerge/>
            <w:shd w:val="clear" w:color="auto" w:fill="auto"/>
          </w:tcPr>
          <w:p w:rsidR="009463B0" w:rsidRPr="005554C6" w:rsidRDefault="009463B0" w:rsidP="005554C6">
            <w:pPr>
              <w:autoSpaceDE w:val="0"/>
              <w:autoSpaceDN w:val="0"/>
              <w:adjustRightInd w:val="0"/>
              <w:ind w:right="-334"/>
              <w:rPr>
                <w:bCs/>
                <w:color w:val="000000"/>
              </w:rPr>
            </w:pPr>
          </w:p>
        </w:tc>
        <w:tc>
          <w:tcPr>
            <w:tcW w:w="1620" w:type="dxa"/>
            <w:shd w:val="clear" w:color="auto" w:fill="auto"/>
          </w:tcPr>
          <w:p w:rsidR="009463B0" w:rsidRPr="005554C6" w:rsidRDefault="009463B0" w:rsidP="005554C6">
            <w:pPr>
              <w:autoSpaceDE w:val="0"/>
              <w:autoSpaceDN w:val="0"/>
              <w:adjustRightInd w:val="0"/>
              <w:ind w:right="-334"/>
              <w:rPr>
                <w:color w:val="000000"/>
              </w:rPr>
            </w:pPr>
            <w:r w:rsidRPr="005554C6">
              <w:rPr>
                <w:color w:val="000000"/>
              </w:rPr>
              <w:t>3 weeks or</w:t>
            </w:r>
            <w:r w:rsidR="003D59C1" w:rsidRPr="005554C6">
              <w:rPr>
                <w:color w:val="000000"/>
              </w:rPr>
              <w:t xml:space="preserve"> </w:t>
            </w:r>
          </w:p>
          <w:p w:rsidR="009463B0" w:rsidRPr="005554C6" w:rsidRDefault="009463B0" w:rsidP="005554C6">
            <w:pPr>
              <w:autoSpaceDE w:val="0"/>
              <w:autoSpaceDN w:val="0"/>
              <w:adjustRightInd w:val="0"/>
              <w:ind w:right="-334"/>
              <w:rPr>
                <w:bCs/>
                <w:color w:val="000000"/>
              </w:rPr>
            </w:pPr>
            <w:r w:rsidRPr="005554C6">
              <w:rPr>
                <w:color w:val="000000"/>
              </w:rPr>
              <w:t>2nd recurrence</w:t>
            </w:r>
          </w:p>
        </w:tc>
        <w:tc>
          <w:tcPr>
            <w:tcW w:w="2160" w:type="dxa"/>
            <w:shd w:val="clear" w:color="auto" w:fill="auto"/>
          </w:tcPr>
          <w:p w:rsidR="009463B0" w:rsidRPr="005554C6" w:rsidRDefault="009463B0" w:rsidP="005554C6">
            <w:pPr>
              <w:autoSpaceDE w:val="0"/>
              <w:autoSpaceDN w:val="0"/>
              <w:adjustRightInd w:val="0"/>
              <w:ind w:right="-334"/>
              <w:rPr>
                <w:bCs/>
                <w:color w:val="000000"/>
              </w:rPr>
            </w:pPr>
            <w:r w:rsidRPr="005554C6">
              <w:rPr>
                <w:color w:val="000000"/>
              </w:rPr>
              <w:t>Stop therapy</w:t>
            </w:r>
          </w:p>
        </w:tc>
        <w:tc>
          <w:tcPr>
            <w:tcW w:w="2160" w:type="dxa"/>
            <w:shd w:val="clear" w:color="auto" w:fill="auto"/>
          </w:tcPr>
          <w:p w:rsidR="009463B0" w:rsidRPr="005554C6" w:rsidRDefault="00584E75" w:rsidP="005554C6">
            <w:pPr>
              <w:autoSpaceDE w:val="0"/>
              <w:autoSpaceDN w:val="0"/>
              <w:adjustRightInd w:val="0"/>
              <w:ind w:right="-334"/>
              <w:rPr>
                <w:bCs/>
                <w:color w:val="000000"/>
              </w:rPr>
            </w:pPr>
            <w:r>
              <w:rPr>
                <w:bCs/>
                <w:color w:val="000000"/>
              </w:rPr>
              <w:t>-</w:t>
            </w:r>
          </w:p>
        </w:tc>
      </w:tr>
    </w:tbl>
    <w:p w:rsidR="009463B0" w:rsidRPr="00E901AA" w:rsidRDefault="009463B0" w:rsidP="009463B0">
      <w:pPr>
        <w:autoSpaceDE w:val="0"/>
        <w:autoSpaceDN w:val="0"/>
        <w:adjustRightInd w:val="0"/>
        <w:ind w:right="-334"/>
        <w:rPr>
          <w:color w:val="000000"/>
        </w:rPr>
      </w:pPr>
      <w:r w:rsidRPr="00F0282C">
        <w:rPr>
          <w:color w:val="000000"/>
          <w:sz w:val="20"/>
          <w:szCs w:val="20"/>
        </w:rPr>
        <w:t>G-CSF= granulocyte colony-stimulating factor</w:t>
      </w:r>
    </w:p>
    <w:p w:rsidR="009463B0" w:rsidRPr="00F0282C" w:rsidRDefault="009463B0" w:rsidP="009463B0">
      <w:pPr>
        <w:autoSpaceDE w:val="0"/>
        <w:autoSpaceDN w:val="0"/>
        <w:adjustRightInd w:val="0"/>
        <w:ind w:right="-334"/>
        <w:rPr>
          <w:color w:val="000000"/>
          <w:sz w:val="20"/>
          <w:szCs w:val="20"/>
        </w:rPr>
      </w:pPr>
      <w:r w:rsidRPr="00F0282C">
        <w:rPr>
          <w:color w:val="000000"/>
          <w:sz w:val="20"/>
          <w:szCs w:val="20"/>
        </w:rPr>
        <w:t>GM-CSF = granulocyte-macrophage colony-stimulating factor</w:t>
      </w:r>
    </w:p>
    <w:p w:rsidR="000D2AB0" w:rsidRDefault="000D2AB0" w:rsidP="009463B0">
      <w:pPr>
        <w:autoSpaceDE w:val="0"/>
        <w:autoSpaceDN w:val="0"/>
        <w:adjustRightInd w:val="0"/>
        <w:ind w:right="-334"/>
        <w:rPr>
          <w:b/>
          <w:bCs/>
          <w:color w:val="000000"/>
        </w:rPr>
      </w:pPr>
    </w:p>
    <w:p w:rsidR="00584E75" w:rsidRPr="00600475" w:rsidRDefault="00DA45B8" w:rsidP="009463B0">
      <w:pPr>
        <w:autoSpaceDE w:val="0"/>
        <w:autoSpaceDN w:val="0"/>
        <w:adjustRightInd w:val="0"/>
        <w:ind w:right="-334"/>
        <w:rPr>
          <w:b/>
          <w:bCs/>
          <w:color w:val="000000"/>
        </w:rPr>
      </w:pPr>
      <w:r>
        <w:rPr>
          <w:b/>
          <w:bCs/>
          <w:color w:val="000000"/>
        </w:rPr>
        <w:t>Table 4</w:t>
      </w:r>
      <w:r w:rsidR="00584E75">
        <w:rPr>
          <w:b/>
          <w:bCs/>
          <w:color w:val="000000"/>
        </w:rPr>
        <w:t>:</w:t>
      </w:r>
      <w:r w:rsidR="0036239F">
        <w:rPr>
          <w:b/>
          <w:bCs/>
          <w:color w:val="000000"/>
        </w:rPr>
        <w:t xml:space="preserve"> FOLOTYN dose m</w:t>
      </w:r>
      <w:r w:rsidR="009463B0" w:rsidRPr="00600475">
        <w:rPr>
          <w:b/>
          <w:bCs/>
          <w:color w:val="000000"/>
        </w:rPr>
        <w:t xml:space="preserve">odifications for </w:t>
      </w:r>
      <w:r w:rsidR="0036239F">
        <w:rPr>
          <w:b/>
          <w:bCs/>
          <w:color w:val="000000"/>
        </w:rPr>
        <w:t>a</w:t>
      </w:r>
      <w:r w:rsidR="009463B0" w:rsidRPr="00600475">
        <w:rPr>
          <w:b/>
          <w:bCs/>
          <w:color w:val="000000"/>
        </w:rPr>
        <w:t xml:space="preserve">ll </w:t>
      </w:r>
      <w:r w:rsidR="0036239F">
        <w:rPr>
          <w:b/>
          <w:bCs/>
          <w:color w:val="000000"/>
        </w:rPr>
        <w:t>o</w:t>
      </w:r>
      <w:r w:rsidR="009463B0" w:rsidRPr="00600475">
        <w:rPr>
          <w:b/>
          <w:bCs/>
          <w:color w:val="000000"/>
        </w:rPr>
        <w:t xml:space="preserve">ther </w:t>
      </w:r>
      <w:r w:rsidR="0036239F">
        <w:rPr>
          <w:b/>
          <w:bCs/>
          <w:color w:val="000000"/>
        </w:rPr>
        <w:t>t</w:t>
      </w:r>
      <w:r w:rsidR="009463B0" w:rsidRPr="00600475">
        <w:rPr>
          <w:b/>
          <w:bCs/>
          <w:color w:val="000000"/>
        </w:rPr>
        <w:t xml:space="preserve">reatment-related </w:t>
      </w:r>
      <w:r w:rsidR="0036239F">
        <w:rPr>
          <w:b/>
          <w:bCs/>
          <w:color w:val="000000"/>
        </w:rPr>
        <w:t>t</w:t>
      </w:r>
      <w:r w:rsidR="009463B0" w:rsidRPr="00600475">
        <w:rPr>
          <w:b/>
          <w:bCs/>
          <w:color w:val="000000"/>
        </w:rPr>
        <w:t>oxicities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440"/>
        <w:gridCol w:w="3600"/>
      </w:tblGrid>
      <w:tr w:rsidR="009463B0" w:rsidRPr="005554C6">
        <w:tc>
          <w:tcPr>
            <w:tcW w:w="4068" w:type="dxa"/>
            <w:shd w:val="clear" w:color="auto" w:fill="auto"/>
          </w:tcPr>
          <w:p w:rsidR="009463B0" w:rsidRPr="005554C6" w:rsidRDefault="009463B0" w:rsidP="005554C6">
            <w:pPr>
              <w:autoSpaceDE w:val="0"/>
              <w:autoSpaceDN w:val="0"/>
              <w:adjustRightInd w:val="0"/>
              <w:ind w:right="-334"/>
              <w:rPr>
                <w:color w:val="000000"/>
              </w:rPr>
            </w:pPr>
            <w:r w:rsidRPr="005554C6">
              <w:rPr>
                <w:b/>
                <w:bCs/>
                <w:color w:val="000000"/>
              </w:rPr>
              <w:t xml:space="preserve">Toxicity </w:t>
            </w:r>
            <w:proofErr w:type="spellStart"/>
            <w:r w:rsidR="0036239F" w:rsidRPr="005554C6">
              <w:rPr>
                <w:b/>
                <w:bCs/>
                <w:color w:val="000000"/>
              </w:rPr>
              <w:t>g</w:t>
            </w:r>
            <w:r w:rsidRPr="005554C6">
              <w:rPr>
                <w:b/>
                <w:bCs/>
                <w:color w:val="000000"/>
              </w:rPr>
              <w:t>rade</w:t>
            </w:r>
            <w:r w:rsidRPr="005554C6">
              <w:rPr>
                <w:color w:val="000000"/>
                <w:vertAlign w:val="superscript"/>
              </w:rPr>
              <w:t>a</w:t>
            </w:r>
            <w:proofErr w:type="spellEnd"/>
            <w:r w:rsidRPr="005554C6">
              <w:rPr>
                <w:color w:val="000000"/>
              </w:rPr>
              <w:t xml:space="preserve"> </w:t>
            </w:r>
            <w:r w:rsidRPr="005554C6">
              <w:rPr>
                <w:b/>
                <w:bCs/>
                <w:color w:val="000000"/>
              </w:rPr>
              <w:t xml:space="preserve">on </w:t>
            </w:r>
            <w:r w:rsidR="0036239F" w:rsidRPr="005554C6">
              <w:rPr>
                <w:b/>
                <w:bCs/>
                <w:color w:val="000000"/>
              </w:rPr>
              <w:t>t</w:t>
            </w:r>
            <w:r w:rsidRPr="005554C6">
              <w:rPr>
                <w:b/>
                <w:bCs/>
                <w:color w:val="000000"/>
              </w:rPr>
              <w:t>reatment</w:t>
            </w:r>
            <w:r w:rsidR="003D59C1" w:rsidRPr="005554C6">
              <w:rPr>
                <w:b/>
                <w:bCs/>
                <w:color w:val="000000"/>
              </w:rPr>
              <w:t xml:space="preserve"> day</w:t>
            </w:r>
          </w:p>
        </w:tc>
        <w:tc>
          <w:tcPr>
            <w:tcW w:w="1440" w:type="dxa"/>
            <w:shd w:val="clear" w:color="auto" w:fill="auto"/>
          </w:tcPr>
          <w:p w:rsidR="009463B0" w:rsidRPr="005554C6" w:rsidRDefault="009463B0" w:rsidP="005554C6">
            <w:pPr>
              <w:autoSpaceDE w:val="0"/>
              <w:autoSpaceDN w:val="0"/>
              <w:adjustRightInd w:val="0"/>
              <w:ind w:right="-334"/>
              <w:rPr>
                <w:color w:val="000000"/>
              </w:rPr>
            </w:pPr>
            <w:r w:rsidRPr="005554C6">
              <w:rPr>
                <w:b/>
                <w:bCs/>
                <w:color w:val="000000"/>
              </w:rPr>
              <w:t xml:space="preserve">     Action</w:t>
            </w:r>
          </w:p>
        </w:tc>
        <w:tc>
          <w:tcPr>
            <w:tcW w:w="3600" w:type="dxa"/>
            <w:shd w:val="clear" w:color="auto" w:fill="auto"/>
          </w:tcPr>
          <w:p w:rsidR="009463B0" w:rsidRPr="005554C6" w:rsidRDefault="009463B0" w:rsidP="00EB5F8C">
            <w:pPr>
              <w:autoSpaceDE w:val="0"/>
              <w:autoSpaceDN w:val="0"/>
              <w:adjustRightInd w:val="0"/>
              <w:ind w:right="-334"/>
              <w:rPr>
                <w:color w:val="000000"/>
              </w:rPr>
            </w:pPr>
            <w:r w:rsidRPr="005554C6">
              <w:rPr>
                <w:b/>
                <w:bCs/>
                <w:color w:val="000000"/>
              </w:rPr>
              <w:t>Dose upon recovery to</w:t>
            </w:r>
            <w:r w:rsidR="003D59C1" w:rsidRPr="005554C6">
              <w:rPr>
                <w:color w:val="000000"/>
              </w:rPr>
              <w:t xml:space="preserve"> </w:t>
            </w:r>
            <w:r w:rsidRPr="005554C6">
              <w:rPr>
                <w:color w:val="000000"/>
              </w:rPr>
              <w:t>≤</w:t>
            </w:r>
            <w:r w:rsidR="00B5650F">
              <w:rPr>
                <w:color w:val="000000"/>
              </w:rPr>
              <w:t xml:space="preserve"> </w:t>
            </w:r>
            <w:r w:rsidRPr="005554C6">
              <w:rPr>
                <w:b/>
                <w:bCs/>
                <w:color w:val="000000"/>
              </w:rPr>
              <w:t>Grade 2</w:t>
            </w:r>
          </w:p>
        </w:tc>
      </w:tr>
      <w:tr w:rsidR="009463B0" w:rsidRPr="005554C6">
        <w:tc>
          <w:tcPr>
            <w:tcW w:w="4068" w:type="dxa"/>
            <w:shd w:val="clear" w:color="auto" w:fill="auto"/>
          </w:tcPr>
          <w:p w:rsidR="009463B0" w:rsidRPr="005554C6" w:rsidRDefault="009463B0" w:rsidP="005554C6">
            <w:pPr>
              <w:autoSpaceDE w:val="0"/>
              <w:autoSpaceDN w:val="0"/>
              <w:adjustRightInd w:val="0"/>
              <w:ind w:right="-334"/>
              <w:rPr>
                <w:color w:val="000000"/>
              </w:rPr>
            </w:pPr>
            <w:r w:rsidRPr="005554C6">
              <w:rPr>
                <w:color w:val="000000"/>
              </w:rPr>
              <w:t>Grade 3</w:t>
            </w:r>
          </w:p>
        </w:tc>
        <w:tc>
          <w:tcPr>
            <w:tcW w:w="1440" w:type="dxa"/>
            <w:shd w:val="clear" w:color="auto" w:fill="auto"/>
          </w:tcPr>
          <w:p w:rsidR="009463B0" w:rsidRPr="005554C6" w:rsidRDefault="009463B0" w:rsidP="005554C6">
            <w:pPr>
              <w:autoSpaceDE w:val="0"/>
              <w:autoSpaceDN w:val="0"/>
              <w:adjustRightInd w:val="0"/>
              <w:ind w:right="-334"/>
              <w:rPr>
                <w:color w:val="000000"/>
              </w:rPr>
            </w:pPr>
            <w:r w:rsidRPr="005554C6">
              <w:rPr>
                <w:color w:val="000000"/>
              </w:rPr>
              <w:t>Omit dose</w:t>
            </w:r>
          </w:p>
        </w:tc>
        <w:tc>
          <w:tcPr>
            <w:tcW w:w="3600" w:type="dxa"/>
            <w:shd w:val="clear" w:color="auto" w:fill="auto"/>
          </w:tcPr>
          <w:p w:rsidR="009463B0" w:rsidRPr="005554C6" w:rsidRDefault="009463B0" w:rsidP="005554C6">
            <w:pPr>
              <w:autoSpaceDE w:val="0"/>
              <w:autoSpaceDN w:val="0"/>
              <w:adjustRightInd w:val="0"/>
              <w:ind w:right="-334"/>
              <w:rPr>
                <w:color w:val="000000"/>
              </w:rPr>
            </w:pPr>
            <w:r w:rsidRPr="005554C6">
              <w:rPr>
                <w:color w:val="000000"/>
              </w:rPr>
              <w:t>20 mg/m</w:t>
            </w:r>
            <w:r w:rsidRPr="00EB5F8C">
              <w:rPr>
                <w:color w:val="000000"/>
                <w:vertAlign w:val="superscript"/>
              </w:rPr>
              <w:t>2</w:t>
            </w:r>
          </w:p>
        </w:tc>
      </w:tr>
      <w:tr w:rsidR="009463B0" w:rsidRPr="005554C6">
        <w:tc>
          <w:tcPr>
            <w:tcW w:w="4068" w:type="dxa"/>
            <w:shd w:val="clear" w:color="auto" w:fill="auto"/>
          </w:tcPr>
          <w:p w:rsidR="009463B0" w:rsidRPr="005554C6" w:rsidRDefault="009463B0" w:rsidP="005554C6">
            <w:pPr>
              <w:autoSpaceDE w:val="0"/>
              <w:autoSpaceDN w:val="0"/>
              <w:adjustRightInd w:val="0"/>
              <w:ind w:right="-334"/>
              <w:rPr>
                <w:color w:val="000000"/>
              </w:rPr>
            </w:pPr>
            <w:r w:rsidRPr="005554C6">
              <w:rPr>
                <w:color w:val="000000"/>
              </w:rPr>
              <w:t>Grade 4</w:t>
            </w:r>
          </w:p>
        </w:tc>
        <w:tc>
          <w:tcPr>
            <w:tcW w:w="1440" w:type="dxa"/>
            <w:shd w:val="clear" w:color="auto" w:fill="auto"/>
          </w:tcPr>
          <w:p w:rsidR="009463B0" w:rsidRPr="005554C6" w:rsidRDefault="009463B0" w:rsidP="005554C6">
            <w:pPr>
              <w:autoSpaceDE w:val="0"/>
              <w:autoSpaceDN w:val="0"/>
              <w:adjustRightInd w:val="0"/>
              <w:ind w:right="-334"/>
              <w:rPr>
                <w:color w:val="000000"/>
              </w:rPr>
            </w:pPr>
            <w:r w:rsidRPr="005554C6">
              <w:rPr>
                <w:color w:val="000000"/>
              </w:rPr>
              <w:t>Stop therapy</w:t>
            </w:r>
          </w:p>
        </w:tc>
        <w:tc>
          <w:tcPr>
            <w:tcW w:w="3600" w:type="dxa"/>
            <w:shd w:val="clear" w:color="auto" w:fill="auto"/>
          </w:tcPr>
          <w:p w:rsidR="009463B0" w:rsidRPr="005554C6" w:rsidRDefault="009463B0" w:rsidP="005554C6">
            <w:pPr>
              <w:autoSpaceDE w:val="0"/>
              <w:autoSpaceDN w:val="0"/>
              <w:adjustRightInd w:val="0"/>
              <w:ind w:right="-334"/>
              <w:rPr>
                <w:color w:val="000000"/>
              </w:rPr>
            </w:pPr>
          </w:p>
        </w:tc>
      </w:tr>
    </w:tbl>
    <w:p w:rsidR="009463B0" w:rsidRDefault="009463B0" w:rsidP="009463B0">
      <w:pPr>
        <w:autoSpaceDE w:val="0"/>
        <w:autoSpaceDN w:val="0"/>
        <w:adjustRightInd w:val="0"/>
        <w:ind w:right="-334"/>
        <w:rPr>
          <w:color w:val="000000"/>
        </w:rPr>
      </w:pPr>
      <w:r w:rsidRPr="0054286B">
        <w:rPr>
          <w:color w:val="000000"/>
          <w:sz w:val="20"/>
          <w:szCs w:val="20"/>
          <w:vertAlign w:val="superscript"/>
        </w:rPr>
        <w:t xml:space="preserve">a </w:t>
      </w:r>
      <w:r w:rsidRPr="0054286B">
        <w:rPr>
          <w:color w:val="000000"/>
          <w:sz w:val="20"/>
          <w:szCs w:val="20"/>
        </w:rPr>
        <w:t>Per National Cancer Institute-Common Terminology Criteria for Adverse Events (NCI CTCAE</w:t>
      </w:r>
      <w:r w:rsidRPr="00600475">
        <w:rPr>
          <w:color w:val="000000"/>
        </w:rPr>
        <w:t>)</w:t>
      </w:r>
    </w:p>
    <w:p w:rsidR="00E14353" w:rsidRPr="00D36B42" w:rsidRDefault="00E14353" w:rsidP="009463B0">
      <w:pPr>
        <w:autoSpaceDE w:val="0"/>
        <w:autoSpaceDN w:val="0"/>
        <w:adjustRightInd w:val="0"/>
        <w:ind w:right="-694"/>
        <w:rPr>
          <w:i/>
          <w:color w:val="000000"/>
        </w:rPr>
      </w:pPr>
      <w:r w:rsidRPr="00D36B42">
        <w:rPr>
          <w:i/>
          <w:color w:val="000000"/>
        </w:rPr>
        <w:t xml:space="preserve">Patients with hepatic impairment </w:t>
      </w:r>
    </w:p>
    <w:p w:rsidR="00832C9C" w:rsidRDefault="00832C9C" w:rsidP="00E14353">
      <w:pPr>
        <w:autoSpaceDE w:val="0"/>
        <w:autoSpaceDN w:val="0"/>
        <w:adjustRightInd w:val="0"/>
        <w:ind w:right="-694"/>
        <w:rPr>
          <w:color w:val="000000"/>
        </w:rPr>
      </w:pPr>
    </w:p>
    <w:p w:rsidR="00E14353" w:rsidRDefault="00E14353" w:rsidP="00E14353">
      <w:pPr>
        <w:autoSpaceDE w:val="0"/>
        <w:autoSpaceDN w:val="0"/>
        <w:adjustRightInd w:val="0"/>
        <w:ind w:right="-694"/>
        <w:rPr>
          <w:color w:val="000000"/>
        </w:rPr>
      </w:pPr>
      <w:r>
        <w:rPr>
          <w:color w:val="000000"/>
        </w:rPr>
        <w:t xml:space="preserve">FOLOTYN has not been </w:t>
      </w:r>
      <w:r w:rsidR="00BC6066">
        <w:rPr>
          <w:color w:val="000000"/>
        </w:rPr>
        <w:t xml:space="preserve">formally </w:t>
      </w:r>
      <w:r>
        <w:rPr>
          <w:color w:val="000000"/>
        </w:rPr>
        <w:t>studied in patients with hepatic impairmen</w:t>
      </w:r>
      <w:r w:rsidRPr="00600475">
        <w:rPr>
          <w:color w:val="000000"/>
        </w:rPr>
        <w:t>t</w:t>
      </w:r>
      <w:r>
        <w:rPr>
          <w:color w:val="000000"/>
        </w:rPr>
        <w:t xml:space="preserve">, and caution is advised when administering </w:t>
      </w:r>
      <w:proofErr w:type="spellStart"/>
      <w:r>
        <w:rPr>
          <w:color w:val="000000"/>
        </w:rPr>
        <w:t>pralatrexate</w:t>
      </w:r>
      <w:proofErr w:type="spellEnd"/>
      <w:r>
        <w:rPr>
          <w:color w:val="000000"/>
        </w:rPr>
        <w:t xml:space="preserve"> to this patient group</w:t>
      </w:r>
      <w:r w:rsidRPr="00600475">
        <w:rPr>
          <w:color w:val="000000"/>
        </w:rPr>
        <w:t>.</w:t>
      </w:r>
      <w:r>
        <w:rPr>
          <w:color w:val="000000"/>
        </w:rPr>
        <w:t xml:space="preserve">  </w:t>
      </w:r>
      <w:r w:rsidR="00BC6066">
        <w:rPr>
          <w:color w:val="000000"/>
        </w:rPr>
        <w:t xml:space="preserve">Patients with the following laboratory values were excluded from the </w:t>
      </w:r>
      <w:proofErr w:type="spellStart"/>
      <w:r w:rsidR="00BC6066">
        <w:rPr>
          <w:color w:val="000000"/>
        </w:rPr>
        <w:t>pralatrexate</w:t>
      </w:r>
      <w:proofErr w:type="spellEnd"/>
      <w:r w:rsidR="00BC6066">
        <w:rPr>
          <w:color w:val="000000"/>
        </w:rPr>
        <w:t xml:space="preserve"> lymphoma clinical studies: total bilirubin &gt;</w:t>
      </w:r>
      <w:r w:rsidR="00B5650F">
        <w:rPr>
          <w:color w:val="000000"/>
        </w:rPr>
        <w:t xml:space="preserve"> </w:t>
      </w:r>
      <w:r w:rsidR="00BC6066">
        <w:rPr>
          <w:color w:val="000000"/>
        </w:rPr>
        <w:t>1.5 mg/</w:t>
      </w:r>
      <w:proofErr w:type="spellStart"/>
      <w:r w:rsidR="00F9110F">
        <w:rPr>
          <w:color w:val="000000"/>
        </w:rPr>
        <w:t>dL</w:t>
      </w:r>
      <w:proofErr w:type="spellEnd"/>
      <w:r w:rsidR="00BC6066">
        <w:rPr>
          <w:color w:val="000000"/>
        </w:rPr>
        <w:t xml:space="preserve">; aspartate aminotransferase (AST) or alanine aminotransferase (ALT)   &gt; 2.5 x upper limit of normal (ULN); and AST or ALT &gt; 5 x ULN if documented hepatic involvement with lymphoma.  </w:t>
      </w:r>
      <w:r w:rsidRPr="00600475">
        <w:rPr>
          <w:color w:val="000000"/>
        </w:rPr>
        <w:t>Liver function test abnormalities have been observed after FOLOTYN</w:t>
      </w:r>
      <w:r>
        <w:rPr>
          <w:color w:val="000000"/>
        </w:rPr>
        <w:t xml:space="preserve"> </w:t>
      </w:r>
      <w:r w:rsidRPr="00600475">
        <w:rPr>
          <w:color w:val="000000"/>
        </w:rPr>
        <w:t>administration</w:t>
      </w:r>
      <w:r w:rsidR="008F0EA8">
        <w:rPr>
          <w:color w:val="000000"/>
        </w:rPr>
        <w:t xml:space="preserve"> and are</w:t>
      </w:r>
      <w:r>
        <w:rPr>
          <w:color w:val="000000"/>
        </w:rPr>
        <w:t xml:space="preserve"> usually </w:t>
      </w:r>
      <w:r w:rsidR="008F0EA8">
        <w:rPr>
          <w:color w:val="000000"/>
        </w:rPr>
        <w:t xml:space="preserve">not cause for </w:t>
      </w:r>
      <w:r>
        <w:rPr>
          <w:color w:val="000000"/>
        </w:rPr>
        <w:t xml:space="preserve">modification of treatment.  </w:t>
      </w:r>
      <w:r w:rsidR="008F0EA8">
        <w:rPr>
          <w:color w:val="000000"/>
        </w:rPr>
        <w:t>Persistent</w:t>
      </w:r>
      <w:r>
        <w:rPr>
          <w:color w:val="000000"/>
        </w:rPr>
        <w:t xml:space="preserve"> liver function</w:t>
      </w:r>
      <w:r w:rsidR="00F9110F">
        <w:rPr>
          <w:color w:val="000000"/>
        </w:rPr>
        <w:t xml:space="preserve"> test</w:t>
      </w:r>
      <w:r>
        <w:rPr>
          <w:color w:val="000000"/>
        </w:rPr>
        <w:t xml:space="preserve"> abnormalities may </w:t>
      </w:r>
      <w:r w:rsidR="008F0EA8">
        <w:rPr>
          <w:color w:val="000000"/>
        </w:rPr>
        <w:t xml:space="preserve">be </w:t>
      </w:r>
      <w:r w:rsidRPr="00600475">
        <w:rPr>
          <w:color w:val="000000"/>
        </w:rPr>
        <w:t>indicat</w:t>
      </w:r>
      <w:r w:rsidR="008F0EA8">
        <w:rPr>
          <w:color w:val="000000"/>
        </w:rPr>
        <w:t>ors of</w:t>
      </w:r>
      <w:r w:rsidRPr="00600475">
        <w:rPr>
          <w:color w:val="000000"/>
        </w:rPr>
        <w:t xml:space="preserve"> liver toxicity and require evaluation. </w:t>
      </w:r>
      <w:r>
        <w:rPr>
          <w:color w:val="000000"/>
        </w:rPr>
        <w:t xml:space="preserve"> L</w:t>
      </w:r>
      <w:r w:rsidRPr="00600475">
        <w:rPr>
          <w:color w:val="000000"/>
        </w:rPr>
        <w:t>iver function</w:t>
      </w:r>
      <w:r w:rsidRPr="00B9123C">
        <w:rPr>
          <w:color w:val="000000"/>
        </w:rPr>
        <w:t xml:space="preserve"> </w:t>
      </w:r>
      <w:r w:rsidRPr="00600475">
        <w:rPr>
          <w:color w:val="000000"/>
        </w:rPr>
        <w:t>monitor</w:t>
      </w:r>
      <w:r>
        <w:rPr>
          <w:color w:val="000000"/>
        </w:rPr>
        <w:t>ing during treatment</w:t>
      </w:r>
      <w:r w:rsidRPr="00600475">
        <w:rPr>
          <w:color w:val="000000"/>
        </w:rPr>
        <w:t xml:space="preserve"> is</w:t>
      </w:r>
      <w:r>
        <w:rPr>
          <w:color w:val="000000"/>
        </w:rPr>
        <w:t xml:space="preserve"> </w:t>
      </w:r>
      <w:r w:rsidRPr="00600475">
        <w:rPr>
          <w:color w:val="000000"/>
        </w:rPr>
        <w:t>recommended</w:t>
      </w:r>
      <w:r>
        <w:rPr>
          <w:color w:val="000000"/>
        </w:rPr>
        <w:t>.</w:t>
      </w:r>
    </w:p>
    <w:p w:rsidR="00E14353" w:rsidRDefault="00E14353" w:rsidP="009463B0">
      <w:pPr>
        <w:autoSpaceDE w:val="0"/>
        <w:autoSpaceDN w:val="0"/>
        <w:adjustRightInd w:val="0"/>
        <w:ind w:right="-694"/>
        <w:rPr>
          <w:i/>
          <w:color w:val="000000"/>
        </w:rPr>
      </w:pPr>
    </w:p>
    <w:p w:rsidR="004D2B64" w:rsidRDefault="004D2B64" w:rsidP="009463B0">
      <w:pPr>
        <w:autoSpaceDE w:val="0"/>
        <w:autoSpaceDN w:val="0"/>
        <w:adjustRightInd w:val="0"/>
        <w:ind w:right="-694"/>
        <w:rPr>
          <w:i/>
          <w:color w:val="000000"/>
        </w:rPr>
      </w:pPr>
    </w:p>
    <w:p w:rsidR="00E14353" w:rsidRPr="00D36B42" w:rsidRDefault="00E14353" w:rsidP="009463B0">
      <w:pPr>
        <w:autoSpaceDE w:val="0"/>
        <w:autoSpaceDN w:val="0"/>
        <w:adjustRightInd w:val="0"/>
        <w:ind w:right="-694"/>
        <w:rPr>
          <w:i/>
          <w:color w:val="000000"/>
        </w:rPr>
      </w:pPr>
      <w:r w:rsidRPr="00D36B42">
        <w:rPr>
          <w:i/>
          <w:color w:val="000000"/>
        </w:rPr>
        <w:lastRenderedPageBreak/>
        <w:t>Patients with renal impairment</w:t>
      </w:r>
    </w:p>
    <w:p w:rsidR="00E14353" w:rsidRPr="00600475" w:rsidRDefault="00E14353" w:rsidP="00E14353">
      <w:pPr>
        <w:autoSpaceDE w:val="0"/>
        <w:autoSpaceDN w:val="0"/>
        <w:adjustRightInd w:val="0"/>
        <w:ind w:right="-694"/>
        <w:rPr>
          <w:color w:val="000000"/>
        </w:rPr>
      </w:pPr>
      <w:r w:rsidRPr="00600475">
        <w:rPr>
          <w:color w:val="000000"/>
        </w:rPr>
        <w:t xml:space="preserve">FOLOTYN has not been </w:t>
      </w:r>
      <w:r w:rsidR="00BC6066">
        <w:rPr>
          <w:color w:val="000000"/>
        </w:rPr>
        <w:t xml:space="preserve">formally </w:t>
      </w:r>
      <w:r w:rsidRPr="00600475">
        <w:rPr>
          <w:color w:val="000000"/>
        </w:rPr>
        <w:t>studied in patients with moderate to severe renal impairment</w:t>
      </w:r>
      <w:r>
        <w:rPr>
          <w:color w:val="000000"/>
        </w:rPr>
        <w:t>, and c</w:t>
      </w:r>
      <w:r w:rsidRPr="00600475">
        <w:rPr>
          <w:color w:val="000000"/>
        </w:rPr>
        <w:t>aution is advised</w:t>
      </w:r>
      <w:r>
        <w:rPr>
          <w:color w:val="000000"/>
        </w:rPr>
        <w:t xml:space="preserve"> </w:t>
      </w:r>
      <w:r w:rsidRPr="00600475">
        <w:rPr>
          <w:color w:val="000000"/>
        </w:rPr>
        <w:t xml:space="preserve">when administering </w:t>
      </w:r>
      <w:proofErr w:type="spellStart"/>
      <w:r w:rsidRPr="00600475">
        <w:rPr>
          <w:color w:val="000000"/>
        </w:rPr>
        <w:t>pralatrexate</w:t>
      </w:r>
      <w:proofErr w:type="spellEnd"/>
      <w:r w:rsidRPr="00600475">
        <w:rPr>
          <w:color w:val="000000"/>
        </w:rPr>
        <w:t xml:space="preserve"> to patients with </w:t>
      </w:r>
      <w:r>
        <w:rPr>
          <w:color w:val="000000"/>
        </w:rPr>
        <w:t>a</w:t>
      </w:r>
      <w:r w:rsidR="00F9110F">
        <w:rPr>
          <w:color w:val="000000"/>
        </w:rPr>
        <w:t>n estimated</w:t>
      </w:r>
      <w:r>
        <w:rPr>
          <w:color w:val="000000"/>
        </w:rPr>
        <w:t xml:space="preserve"> </w:t>
      </w:r>
      <w:r w:rsidRPr="00600475">
        <w:rPr>
          <w:color w:val="000000"/>
        </w:rPr>
        <w:t>glomerular filtration rate [</w:t>
      </w:r>
      <w:proofErr w:type="spellStart"/>
      <w:r w:rsidRPr="00600475">
        <w:rPr>
          <w:color w:val="000000"/>
        </w:rPr>
        <w:t>eGFR</w:t>
      </w:r>
      <w:proofErr w:type="spellEnd"/>
      <w:r w:rsidRPr="00600475">
        <w:rPr>
          <w:color w:val="000000"/>
        </w:rPr>
        <w:t>]</w:t>
      </w:r>
      <w:r>
        <w:rPr>
          <w:color w:val="000000"/>
        </w:rPr>
        <w:t xml:space="preserve"> of less than </w:t>
      </w:r>
      <w:r w:rsidRPr="00600475">
        <w:rPr>
          <w:color w:val="000000"/>
        </w:rPr>
        <w:t xml:space="preserve">60 mL/min. </w:t>
      </w:r>
      <w:r>
        <w:rPr>
          <w:color w:val="000000"/>
        </w:rPr>
        <w:t xml:space="preserve"> </w:t>
      </w:r>
      <w:r w:rsidR="000A25B4">
        <w:rPr>
          <w:color w:val="000000"/>
        </w:rPr>
        <w:t xml:space="preserve">Avoid FOLOTYN use in patients with end stage renal disease, including those undergoing dialysis, unless the potential benefit justifies the risk.  </w:t>
      </w:r>
      <w:r>
        <w:rPr>
          <w:color w:val="000000"/>
        </w:rPr>
        <w:t xml:space="preserve">Approximately </w:t>
      </w:r>
      <w:r w:rsidR="00BC6066">
        <w:rPr>
          <w:color w:val="000000"/>
        </w:rPr>
        <w:t>34%</w:t>
      </w:r>
      <w:r>
        <w:rPr>
          <w:color w:val="000000"/>
        </w:rPr>
        <w:t xml:space="preserve"> of </w:t>
      </w:r>
      <w:proofErr w:type="spellStart"/>
      <w:r w:rsidRPr="00600475">
        <w:rPr>
          <w:color w:val="000000"/>
        </w:rPr>
        <w:t>pralatrexate</w:t>
      </w:r>
      <w:proofErr w:type="spellEnd"/>
      <w:r>
        <w:rPr>
          <w:color w:val="000000"/>
        </w:rPr>
        <w:t xml:space="preserve"> i</w:t>
      </w:r>
      <w:r w:rsidRPr="00600475">
        <w:rPr>
          <w:color w:val="000000"/>
        </w:rPr>
        <w:t>s excreted unchanged in</w:t>
      </w:r>
      <w:r w:rsidR="00BC6066">
        <w:rPr>
          <w:color w:val="000000"/>
        </w:rPr>
        <w:t>to</w:t>
      </w:r>
      <w:r w:rsidRPr="00600475">
        <w:rPr>
          <w:color w:val="000000"/>
        </w:rPr>
        <w:t xml:space="preserve"> urine</w:t>
      </w:r>
      <w:r w:rsidR="00BC6066">
        <w:rPr>
          <w:color w:val="000000"/>
        </w:rPr>
        <w:t>.</w:t>
      </w:r>
      <w:r w:rsidRPr="00600475">
        <w:rPr>
          <w:color w:val="000000"/>
        </w:rPr>
        <w:t xml:space="preserve"> </w:t>
      </w:r>
      <w:r>
        <w:rPr>
          <w:color w:val="000000"/>
        </w:rPr>
        <w:t xml:space="preserve"> R</w:t>
      </w:r>
      <w:r w:rsidRPr="00600475">
        <w:rPr>
          <w:color w:val="000000"/>
        </w:rPr>
        <w:t>enal function</w:t>
      </w:r>
      <w:r w:rsidRPr="00B9123C">
        <w:rPr>
          <w:color w:val="000000"/>
        </w:rPr>
        <w:t xml:space="preserve"> </w:t>
      </w:r>
      <w:r w:rsidRPr="00600475">
        <w:rPr>
          <w:color w:val="000000"/>
        </w:rPr>
        <w:t>monitor</w:t>
      </w:r>
      <w:r>
        <w:rPr>
          <w:color w:val="000000"/>
        </w:rPr>
        <w:t>ing during treatment</w:t>
      </w:r>
      <w:r w:rsidRPr="00600475">
        <w:rPr>
          <w:color w:val="000000"/>
        </w:rPr>
        <w:t xml:space="preserve"> is</w:t>
      </w:r>
      <w:r>
        <w:rPr>
          <w:color w:val="000000"/>
        </w:rPr>
        <w:t xml:space="preserve"> </w:t>
      </w:r>
      <w:r w:rsidRPr="00600475">
        <w:rPr>
          <w:color w:val="000000"/>
        </w:rPr>
        <w:t>recommended.</w:t>
      </w:r>
    </w:p>
    <w:p w:rsidR="00E14353" w:rsidRDefault="00E14353" w:rsidP="009463B0">
      <w:pPr>
        <w:autoSpaceDE w:val="0"/>
        <w:autoSpaceDN w:val="0"/>
        <w:adjustRightInd w:val="0"/>
        <w:ind w:right="-694"/>
        <w:rPr>
          <w:i/>
          <w:color w:val="000000"/>
        </w:rPr>
      </w:pPr>
    </w:p>
    <w:p w:rsidR="008F0EA8" w:rsidRDefault="008F0EA8" w:rsidP="009463B0">
      <w:pPr>
        <w:autoSpaceDE w:val="0"/>
        <w:autoSpaceDN w:val="0"/>
        <w:adjustRightInd w:val="0"/>
        <w:ind w:right="-694"/>
        <w:rPr>
          <w:i/>
          <w:color w:val="000000"/>
        </w:rPr>
      </w:pPr>
      <w:r w:rsidRPr="00260381">
        <w:rPr>
          <w:i/>
          <w:color w:val="000000"/>
        </w:rPr>
        <w:t>Third space</w:t>
      </w:r>
      <w:r w:rsidR="00260381">
        <w:rPr>
          <w:i/>
          <w:color w:val="000000"/>
        </w:rPr>
        <w:t xml:space="preserve"> </w:t>
      </w:r>
      <w:r w:rsidRPr="00260381">
        <w:rPr>
          <w:i/>
          <w:color w:val="000000"/>
        </w:rPr>
        <w:t>fluid accumulation</w:t>
      </w:r>
    </w:p>
    <w:p w:rsidR="00260381" w:rsidRPr="00260381" w:rsidRDefault="00260381" w:rsidP="009463B0">
      <w:pPr>
        <w:autoSpaceDE w:val="0"/>
        <w:autoSpaceDN w:val="0"/>
        <w:adjustRightInd w:val="0"/>
        <w:ind w:right="-694"/>
        <w:rPr>
          <w:color w:val="000000"/>
        </w:rPr>
      </w:pPr>
      <w:r w:rsidRPr="00260381">
        <w:rPr>
          <w:color w:val="000000"/>
        </w:rPr>
        <w:t>The</w:t>
      </w:r>
      <w:r>
        <w:rPr>
          <w:color w:val="000000"/>
        </w:rPr>
        <w:t xml:space="preserve"> effect of third space compartment fluid accumulation (e.g. pleural effusions, ascites, significant peripheral oedema) is unknown.  In patients with clinically significant third space fluid, consideration should be given to draining the effusion prior to initiation of treatment with </w:t>
      </w:r>
      <w:proofErr w:type="spellStart"/>
      <w:r>
        <w:rPr>
          <w:color w:val="000000"/>
        </w:rPr>
        <w:t>pralatrexate</w:t>
      </w:r>
      <w:proofErr w:type="spellEnd"/>
      <w:r>
        <w:rPr>
          <w:color w:val="000000"/>
        </w:rPr>
        <w:t xml:space="preserve">. </w:t>
      </w:r>
      <w:r w:rsidRPr="00260381">
        <w:rPr>
          <w:color w:val="000000"/>
        </w:rPr>
        <w:t xml:space="preserve"> </w:t>
      </w:r>
    </w:p>
    <w:p w:rsidR="004D33D4" w:rsidRDefault="004D33D4" w:rsidP="009463B0">
      <w:pPr>
        <w:autoSpaceDE w:val="0"/>
        <w:autoSpaceDN w:val="0"/>
        <w:adjustRightInd w:val="0"/>
        <w:ind w:right="-694"/>
        <w:rPr>
          <w:i/>
          <w:color w:val="000000"/>
        </w:rPr>
      </w:pPr>
    </w:p>
    <w:p w:rsidR="00E14353" w:rsidRPr="00D36B42" w:rsidRDefault="00E14353" w:rsidP="009463B0">
      <w:pPr>
        <w:autoSpaceDE w:val="0"/>
        <w:autoSpaceDN w:val="0"/>
        <w:adjustRightInd w:val="0"/>
        <w:ind w:right="-694"/>
        <w:rPr>
          <w:i/>
          <w:color w:val="000000"/>
        </w:rPr>
      </w:pPr>
      <w:r w:rsidRPr="00D36B42">
        <w:rPr>
          <w:i/>
          <w:color w:val="000000"/>
        </w:rPr>
        <w:t>Elderly patients</w:t>
      </w:r>
    </w:p>
    <w:p w:rsidR="00E14353" w:rsidRPr="00600475" w:rsidRDefault="008F0EA8" w:rsidP="00E14353">
      <w:pPr>
        <w:autoSpaceDE w:val="0"/>
        <w:autoSpaceDN w:val="0"/>
        <w:adjustRightInd w:val="0"/>
        <w:ind w:right="-694"/>
        <w:rPr>
          <w:color w:val="000000"/>
        </w:rPr>
      </w:pPr>
      <w:r>
        <w:rPr>
          <w:color w:val="000000"/>
        </w:rPr>
        <w:t>No overall differences in efficacy and safety were observed in patients based on age (&lt;</w:t>
      </w:r>
      <w:r w:rsidR="00B5650F">
        <w:rPr>
          <w:color w:val="000000"/>
        </w:rPr>
        <w:t xml:space="preserve"> </w:t>
      </w:r>
      <w:r>
        <w:rPr>
          <w:color w:val="000000"/>
        </w:rPr>
        <w:t>65 years compared with ≥</w:t>
      </w:r>
      <w:r w:rsidR="00B5650F">
        <w:rPr>
          <w:color w:val="000000"/>
        </w:rPr>
        <w:t xml:space="preserve"> </w:t>
      </w:r>
      <w:r>
        <w:rPr>
          <w:color w:val="000000"/>
        </w:rPr>
        <w:t>65 years).  N</w:t>
      </w:r>
      <w:r w:rsidR="00E14353" w:rsidRPr="00600475">
        <w:rPr>
          <w:color w:val="000000"/>
        </w:rPr>
        <w:t>o dose adjustment is required</w:t>
      </w:r>
      <w:r w:rsidRPr="008F0EA8">
        <w:rPr>
          <w:color w:val="000000"/>
        </w:rPr>
        <w:t xml:space="preserve"> </w:t>
      </w:r>
      <w:r>
        <w:rPr>
          <w:color w:val="000000"/>
        </w:rPr>
        <w:t>in elderly patients with</w:t>
      </w:r>
      <w:r w:rsidRPr="00600475">
        <w:rPr>
          <w:color w:val="000000"/>
        </w:rPr>
        <w:t xml:space="preserve"> normal renal</w:t>
      </w:r>
      <w:r>
        <w:rPr>
          <w:color w:val="000000"/>
        </w:rPr>
        <w:t xml:space="preserve"> function</w:t>
      </w:r>
      <w:r w:rsidR="00E14353" w:rsidRPr="00600475">
        <w:rPr>
          <w:color w:val="000000"/>
        </w:rPr>
        <w:t>.</w:t>
      </w:r>
      <w:r w:rsidR="00E14353" w:rsidRPr="0056163C">
        <w:rPr>
          <w:color w:val="000000"/>
        </w:rPr>
        <w:t xml:space="preserve"> </w:t>
      </w:r>
      <w:r w:rsidR="00E14353">
        <w:rPr>
          <w:color w:val="000000"/>
        </w:rPr>
        <w:t xml:space="preserve"> In patients with </w:t>
      </w:r>
      <w:r w:rsidR="00E14353" w:rsidRPr="00600475">
        <w:rPr>
          <w:color w:val="000000"/>
        </w:rPr>
        <w:t xml:space="preserve">age-related </w:t>
      </w:r>
      <w:r w:rsidR="00E14353">
        <w:rPr>
          <w:color w:val="000000"/>
        </w:rPr>
        <w:t xml:space="preserve">renal impairment, the dose should be reduced because of the possibility of </w:t>
      </w:r>
      <w:r w:rsidR="00E14353" w:rsidRPr="00600475">
        <w:rPr>
          <w:color w:val="000000"/>
        </w:rPr>
        <w:t>increase</w:t>
      </w:r>
      <w:r w:rsidR="00E14353">
        <w:rPr>
          <w:color w:val="000000"/>
        </w:rPr>
        <w:t>d</w:t>
      </w:r>
      <w:r w:rsidR="00E14353" w:rsidRPr="00600475">
        <w:rPr>
          <w:color w:val="000000"/>
        </w:rPr>
        <w:t xml:space="preserve"> </w:t>
      </w:r>
      <w:proofErr w:type="spellStart"/>
      <w:r w:rsidR="00E14353">
        <w:rPr>
          <w:color w:val="000000"/>
        </w:rPr>
        <w:t>pralatrexate</w:t>
      </w:r>
      <w:proofErr w:type="spellEnd"/>
      <w:r w:rsidR="00E14353">
        <w:rPr>
          <w:color w:val="000000"/>
        </w:rPr>
        <w:t xml:space="preserve"> </w:t>
      </w:r>
      <w:r w:rsidR="00E14353" w:rsidRPr="00600475">
        <w:rPr>
          <w:color w:val="000000"/>
        </w:rPr>
        <w:t xml:space="preserve">plasma </w:t>
      </w:r>
      <w:r w:rsidR="00E14353">
        <w:rPr>
          <w:color w:val="000000"/>
        </w:rPr>
        <w:t xml:space="preserve">levels due to </w:t>
      </w:r>
      <w:r>
        <w:rPr>
          <w:color w:val="000000"/>
        </w:rPr>
        <w:t xml:space="preserve">decreased renal </w:t>
      </w:r>
      <w:r w:rsidR="00E14353">
        <w:rPr>
          <w:color w:val="000000"/>
        </w:rPr>
        <w:t>cl</w:t>
      </w:r>
      <w:r w:rsidR="00E14353" w:rsidRPr="00600475">
        <w:rPr>
          <w:color w:val="000000"/>
        </w:rPr>
        <w:t>earance</w:t>
      </w:r>
      <w:r w:rsidR="00E14353">
        <w:rPr>
          <w:color w:val="000000"/>
        </w:rPr>
        <w:t>.</w:t>
      </w:r>
    </w:p>
    <w:p w:rsidR="00E14353" w:rsidRDefault="00E14353" w:rsidP="009463B0">
      <w:pPr>
        <w:autoSpaceDE w:val="0"/>
        <w:autoSpaceDN w:val="0"/>
        <w:adjustRightInd w:val="0"/>
        <w:ind w:right="-694"/>
        <w:rPr>
          <w:i/>
          <w:color w:val="000000"/>
        </w:rPr>
      </w:pPr>
    </w:p>
    <w:p w:rsidR="00E14353" w:rsidRPr="00D36B42" w:rsidRDefault="00E14353" w:rsidP="009463B0">
      <w:pPr>
        <w:autoSpaceDE w:val="0"/>
        <w:autoSpaceDN w:val="0"/>
        <w:adjustRightInd w:val="0"/>
        <w:ind w:right="-694"/>
        <w:rPr>
          <w:i/>
          <w:color w:val="000000"/>
        </w:rPr>
      </w:pPr>
      <w:r w:rsidRPr="00D36B42">
        <w:rPr>
          <w:i/>
          <w:color w:val="000000"/>
        </w:rPr>
        <w:t>Paediatric patients</w:t>
      </w:r>
    </w:p>
    <w:p w:rsidR="00E14353" w:rsidRDefault="00E14353" w:rsidP="009463B0">
      <w:pPr>
        <w:autoSpaceDE w:val="0"/>
        <w:autoSpaceDN w:val="0"/>
        <w:adjustRightInd w:val="0"/>
        <w:ind w:right="-694"/>
        <w:rPr>
          <w:color w:val="000000"/>
        </w:rPr>
      </w:pPr>
      <w:r>
        <w:rPr>
          <w:color w:val="000000"/>
        </w:rPr>
        <w:t xml:space="preserve">Not recommended for </w:t>
      </w:r>
      <w:r w:rsidRPr="00600475">
        <w:rPr>
          <w:color w:val="000000"/>
        </w:rPr>
        <w:t xml:space="preserve">children </w:t>
      </w:r>
      <w:r>
        <w:rPr>
          <w:color w:val="000000"/>
        </w:rPr>
        <w:t>below</w:t>
      </w:r>
      <w:r w:rsidRPr="00600475">
        <w:rPr>
          <w:color w:val="000000"/>
        </w:rPr>
        <w:t xml:space="preserve"> 18 years</w:t>
      </w:r>
      <w:r>
        <w:rPr>
          <w:color w:val="000000"/>
        </w:rPr>
        <w:t xml:space="preserve">. </w:t>
      </w:r>
    </w:p>
    <w:p w:rsidR="00E14353" w:rsidRPr="00E14353" w:rsidRDefault="00E14353" w:rsidP="009463B0">
      <w:pPr>
        <w:autoSpaceDE w:val="0"/>
        <w:autoSpaceDN w:val="0"/>
        <w:adjustRightInd w:val="0"/>
        <w:ind w:right="-694"/>
        <w:rPr>
          <w:i/>
          <w:color w:val="000000"/>
        </w:rPr>
      </w:pPr>
    </w:p>
    <w:p w:rsidR="009463B0" w:rsidRPr="00DB3F47" w:rsidRDefault="009463B0" w:rsidP="009463B0">
      <w:pPr>
        <w:autoSpaceDE w:val="0"/>
        <w:autoSpaceDN w:val="0"/>
        <w:adjustRightInd w:val="0"/>
        <w:ind w:right="-694"/>
        <w:rPr>
          <w:color w:val="000000"/>
          <w:u w:val="single"/>
        </w:rPr>
      </w:pPr>
      <w:r w:rsidRPr="00DB3F47">
        <w:rPr>
          <w:color w:val="000000"/>
          <w:u w:val="single"/>
        </w:rPr>
        <w:t>Method of administration</w:t>
      </w:r>
    </w:p>
    <w:p w:rsidR="009463B0" w:rsidRPr="00600475" w:rsidRDefault="009463B0" w:rsidP="009463B0">
      <w:pPr>
        <w:autoSpaceDE w:val="0"/>
        <w:autoSpaceDN w:val="0"/>
        <w:adjustRightInd w:val="0"/>
        <w:ind w:right="-694"/>
        <w:rPr>
          <w:color w:val="000000"/>
        </w:rPr>
      </w:pPr>
      <w:r w:rsidRPr="00600475">
        <w:rPr>
          <w:color w:val="000000"/>
        </w:rPr>
        <w:t xml:space="preserve">FOLOTYN is administered undiluted as an intravenous infusion over 3-5 minutes. </w:t>
      </w:r>
      <w:r w:rsidR="007A3F26">
        <w:rPr>
          <w:color w:val="000000"/>
        </w:rPr>
        <w:t xml:space="preserve"> </w:t>
      </w:r>
      <w:r w:rsidRPr="00600475">
        <w:rPr>
          <w:color w:val="000000"/>
        </w:rPr>
        <w:t>The</w:t>
      </w:r>
    </w:p>
    <w:p w:rsidR="009463B0" w:rsidRDefault="009463B0" w:rsidP="009463B0">
      <w:pPr>
        <w:autoSpaceDE w:val="0"/>
        <w:autoSpaceDN w:val="0"/>
        <w:adjustRightInd w:val="0"/>
        <w:ind w:right="-694"/>
        <w:rPr>
          <w:color w:val="000000"/>
        </w:rPr>
      </w:pPr>
      <w:r w:rsidRPr="00600475">
        <w:rPr>
          <w:color w:val="000000"/>
        </w:rPr>
        <w:t>calculated dose of FOLOTYN should be aseptically withdrawn into a syringe and administered via the</w:t>
      </w:r>
      <w:r>
        <w:rPr>
          <w:color w:val="000000"/>
        </w:rPr>
        <w:t xml:space="preserve"> </w:t>
      </w:r>
      <w:r w:rsidRPr="00600475">
        <w:rPr>
          <w:color w:val="000000"/>
        </w:rPr>
        <w:t xml:space="preserve">side port of a free flowing sodium chloride </w:t>
      </w:r>
      <w:r w:rsidR="008F0EA8">
        <w:rPr>
          <w:color w:val="000000"/>
        </w:rPr>
        <w:t>9 mg/mL (0.9%) solution for injection intravenous</w:t>
      </w:r>
      <w:r w:rsidRPr="00600475">
        <w:rPr>
          <w:color w:val="000000"/>
        </w:rPr>
        <w:t xml:space="preserve"> line. </w:t>
      </w:r>
      <w:r w:rsidR="007A3F26">
        <w:rPr>
          <w:color w:val="000000"/>
        </w:rPr>
        <w:t xml:space="preserve"> </w:t>
      </w:r>
      <w:r w:rsidRPr="00600475">
        <w:rPr>
          <w:color w:val="000000"/>
        </w:rPr>
        <w:t>FOLOTYN must not be administered by</w:t>
      </w:r>
      <w:r>
        <w:rPr>
          <w:color w:val="000000"/>
        </w:rPr>
        <w:t xml:space="preserve"> </w:t>
      </w:r>
      <w:r w:rsidRPr="00600475">
        <w:rPr>
          <w:color w:val="000000"/>
        </w:rPr>
        <w:t>any other route of administration.</w:t>
      </w:r>
      <w:r w:rsidR="00493AA4">
        <w:rPr>
          <w:color w:val="000000"/>
        </w:rPr>
        <w:t xml:space="preserve">  </w:t>
      </w:r>
      <w:r w:rsidR="00FB2BBA">
        <w:rPr>
          <w:color w:val="000000"/>
        </w:rPr>
        <w:t xml:space="preserve">A vial can be used in one patient on one occasion only as FOLOTYN contains no antimicrobial preservatives.  </w:t>
      </w:r>
      <w:r w:rsidR="00493AA4">
        <w:rPr>
          <w:color w:val="000000"/>
        </w:rPr>
        <w:t>Once the vial is opened, the solution should be used immediately.</w:t>
      </w:r>
    </w:p>
    <w:p w:rsidR="00992DDC" w:rsidRDefault="00992DDC" w:rsidP="00596818">
      <w:pPr>
        <w:autoSpaceDE w:val="0"/>
        <w:autoSpaceDN w:val="0"/>
        <w:adjustRightInd w:val="0"/>
        <w:ind w:right="-694"/>
        <w:rPr>
          <w:color w:val="000000"/>
          <w:u w:val="single"/>
        </w:rPr>
      </w:pPr>
    </w:p>
    <w:p w:rsidR="00596818" w:rsidRDefault="00596818" w:rsidP="00596818">
      <w:pPr>
        <w:autoSpaceDE w:val="0"/>
        <w:autoSpaceDN w:val="0"/>
        <w:adjustRightInd w:val="0"/>
        <w:ind w:right="-694"/>
        <w:rPr>
          <w:color w:val="000000"/>
        </w:rPr>
      </w:pPr>
      <w:r w:rsidRPr="0056163C">
        <w:rPr>
          <w:color w:val="000000"/>
          <w:u w:val="single"/>
        </w:rPr>
        <w:t>Compatibility</w:t>
      </w:r>
    </w:p>
    <w:p w:rsidR="00385EAA" w:rsidRDefault="00596818" w:rsidP="00385EAA">
      <w:pPr>
        <w:autoSpaceDE w:val="0"/>
        <w:autoSpaceDN w:val="0"/>
        <w:adjustRightInd w:val="0"/>
        <w:ind w:right="-694"/>
        <w:rPr>
          <w:color w:val="000000"/>
          <w:u w:val="single"/>
        </w:rPr>
      </w:pPr>
      <w:r w:rsidRPr="00600475">
        <w:rPr>
          <w:color w:val="000000"/>
        </w:rPr>
        <w:t xml:space="preserve">In the absence of compatibility studies, </w:t>
      </w:r>
      <w:r>
        <w:rPr>
          <w:color w:val="000000"/>
        </w:rPr>
        <w:t xml:space="preserve">FOLOTYN </w:t>
      </w:r>
      <w:r w:rsidRPr="00600475">
        <w:rPr>
          <w:color w:val="000000"/>
        </w:rPr>
        <w:t>must not be mixed with other medicin</w:t>
      </w:r>
      <w:r>
        <w:rPr>
          <w:color w:val="000000"/>
        </w:rPr>
        <w:t>es</w:t>
      </w:r>
      <w:r w:rsidR="009B295D">
        <w:rPr>
          <w:color w:val="000000"/>
        </w:rPr>
        <w:t>.</w:t>
      </w:r>
    </w:p>
    <w:p w:rsidR="00B5650F" w:rsidRDefault="00B5650F" w:rsidP="005805E8">
      <w:pPr>
        <w:autoSpaceDE w:val="0"/>
        <w:autoSpaceDN w:val="0"/>
        <w:adjustRightInd w:val="0"/>
        <w:ind w:right="-694"/>
        <w:rPr>
          <w:bCs/>
          <w:color w:val="000000"/>
          <w:u w:val="single"/>
        </w:rPr>
      </w:pPr>
    </w:p>
    <w:p w:rsidR="005805E8" w:rsidRPr="0056163C" w:rsidRDefault="005805E8" w:rsidP="005805E8">
      <w:pPr>
        <w:autoSpaceDE w:val="0"/>
        <w:autoSpaceDN w:val="0"/>
        <w:adjustRightInd w:val="0"/>
        <w:ind w:right="-694"/>
        <w:rPr>
          <w:bCs/>
          <w:color w:val="000000"/>
          <w:u w:val="single"/>
        </w:rPr>
      </w:pPr>
      <w:r w:rsidRPr="0056163C">
        <w:rPr>
          <w:bCs/>
          <w:color w:val="000000"/>
          <w:u w:val="single"/>
        </w:rPr>
        <w:t xml:space="preserve">Special precautions for </w:t>
      </w:r>
      <w:r>
        <w:rPr>
          <w:bCs/>
          <w:color w:val="000000"/>
          <w:u w:val="single"/>
        </w:rPr>
        <w:t xml:space="preserve">handling and </w:t>
      </w:r>
      <w:r w:rsidRPr="0056163C">
        <w:rPr>
          <w:bCs/>
          <w:color w:val="000000"/>
          <w:u w:val="single"/>
        </w:rPr>
        <w:t>disposal</w:t>
      </w:r>
    </w:p>
    <w:p w:rsidR="00617A22" w:rsidRDefault="00B5650F" w:rsidP="00617A22">
      <w:pPr>
        <w:widowControl w:val="0"/>
        <w:rPr>
          <w:bCs/>
          <w:szCs w:val="22"/>
        </w:rPr>
      </w:pPr>
      <w:r>
        <w:rPr>
          <w:bCs/>
          <w:szCs w:val="22"/>
        </w:rPr>
        <w:t>FOLOTYN</w:t>
      </w:r>
      <w:r w:rsidR="00617A22" w:rsidRPr="005C3766">
        <w:rPr>
          <w:bCs/>
          <w:szCs w:val="22"/>
        </w:rPr>
        <w:t xml:space="preserve"> is a cytotoxic anticancer agent.  Caution should be exercised in handling, preparing, and administering of the solution.  The use of gloves and other protecti</w:t>
      </w:r>
      <w:r w:rsidR="00617A22">
        <w:rPr>
          <w:bCs/>
          <w:szCs w:val="22"/>
        </w:rPr>
        <w:t>ve clot</w:t>
      </w:r>
      <w:r>
        <w:rPr>
          <w:bCs/>
          <w:szCs w:val="22"/>
        </w:rPr>
        <w:t>hing is recommended.  If FOLOTYN</w:t>
      </w:r>
      <w:r w:rsidR="00617A22" w:rsidRPr="005C3766">
        <w:rPr>
          <w:bCs/>
          <w:szCs w:val="22"/>
        </w:rPr>
        <w:t xml:space="preserve"> comes in contact with the skin, immediately and thoroughly wash with soap and water.  If</w:t>
      </w:r>
      <w:r>
        <w:rPr>
          <w:bCs/>
          <w:szCs w:val="22"/>
        </w:rPr>
        <w:t> FOLOTYN</w:t>
      </w:r>
      <w:r w:rsidR="00617A22">
        <w:rPr>
          <w:bCs/>
          <w:szCs w:val="22"/>
        </w:rPr>
        <w:t xml:space="preserve"> </w:t>
      </w:r>
      <w:r w:rsidR="00617A22" w:rsidRPr="005C3766">
        <w:rPr>
          <w:bCs/>
          <w:szCs w:val="22"/>
        </w:rPr>
        <w:t>comes in contact with mucous membranes, flush thoroughly with water.</w:t>
      </w:r>
    </w:p>
    <w:p w:rsidR="00617A22" w:rsidRDefault="00617A22" w:rsidP="00617A22">
      <w:pPr>
        <w:widowControl w:val="0"/>
        <w:rPr>
          <w:noProof/>
          <w:szCs w:val="22"/>
        </w:rPr>
      </w:pPr>
    </w:p>
    <w:p w:rsidR="005805E8" w:rsidRPr="00600475" w:rsidRDefault="005805E8" w:rsidP="005805E8">
      <w:pPr>
        <w:autoSpaceDE w:val="0"/>
        <w:autoSpaceDN w:val="0"/>
        <w:adjustRightInd w:val="0"/>
        <w:ind w:right="-694"/>
        <w:rPr>
          <w:color w:val="000000"/>
        </w:rPr>
      </w:pPr>
      <w:r w:rsidRPr="00600475">
        <w:rPr>
          <w:color w:val="000000"/>
        </w:rPr>
        <w:t xml:space="preserve">FOLOTYN </w:t>
      </w:r>
      <w:r w:rsidR="00617A22">
        <w:rPr>
          <w:color w:val="000000"/>
        </w:rPr>
        <w:t xml:space="preserve">is a clear, yellow solution.  The </w:t>
      </w:r>
      <w:r w:rsidRPr="00600475">
        <w:rPr>
          <w:color w:val="000000"/>
        </w:rPr>
        <w:t>vials should be inspected visually for particulate</w:t>
      </w:r>
      <w:r>
        <w:rPr>
          <w:color w:val="000000"/>
        </w:rPr>
        <w:t xml:space="preserve"> </w:t>
      </w:r>
      <w:r w:rsidRPr="00600475">
        <w:rPr>
          <w:color w:val="000000"/>
        </w:rPr>
        <w:t>matter and discolouration prior to administration</w:t>
      </w:r>
      <w:r>
        <w:rPr>
          <w:color w:val="000000"/>
        </w:rPr>
        <w:t>, and the solution should be</w:t>
      </w:r>
      <w:r w:rsidRPr="00600475">
        <w:rPr>
          <w:color w:val="000000"/>
        </w:rPr>
        <w:t xml:space="preserve"> clear</w:t>
      </w:r>
      <w:r>
        <w:rPr>
          <w:color w:val="000000"/>
        </w:rPr>
        <w:t xml:space="preserve"> and</w:t>
      </w:r>
      <w:r w:rsidRPr="00600475">
        <w:rPr>
          <w:color w:val="000000"/>
        </w:rPr>
        <w:t xml:space="preserve"> yellow. </w:t>
      </w:r>
      <w:r>
        <w:rPr>
          <w:color w:val="000000"/>
        </w:rPr>
        <w:t xml:space="preserve"> V</w:t>
      </w:r>
      <w:r w:rsidRPr="00600475">
        <w:rPr>
          <w:color w:val="000000"/>
        </w:rPr>
        <w:t xml:space="preserve">ials </w:t>
      </w:r>
      <w:r>
        <w:rPr>
          <w:color w:val="000000"/>
        </w:rPr>
        <w:t xml:space="preserve">showing </w:t>
      </w:r>
      <w:r w:rsidRPr="00600475">
        <w:rPr>
          <w:color w:val="000000"/>
        </w:rPr>
        <w:t>particulate matter or</w:t>
      </w:r>
      <w:r>
        <w:rPr>
          <w:color w:val="000000"/>
        </w:rPr>
        <w:t xml:space="preserve"> </w:t>
      </w:r>
      <w:r w:rsidRPr="00600475">
        <w:rPr>
          <w:color w:val="000000"/>
        </w:rPr>
        <w:t>discolouration</w:t>
      </w:r>
      <w:r>
        <w:rPr>
          <w:color w:val="000000"/>
        </w:rPr>
        <w:t xml:space="preserve"> should not be used</w:t>
      </w:r>
      <w:r w:rsidRPr="00600475">
        <w:rPr>
          <w:color w:val="000000"/>
        </w:rPr>
        <w:t xml:space="preserve">. </w:t>
      </w:r>
      <w:r>
        <w:rPr>
          <w:color w:val="000000"/>
        </w:rPr>
        <w:t xml:space="preserve"> </w:t>
      </w:r>
      <w:r w:rsidRPr="00600475">
        <w:rPr>
          <w:color w:val="000000"/>
        </w:rPr>
        <w:t xml:space="preserve">FOLOTYN vials </w:t>
      </w:r>
      <w:r w:rsidR="00B5650F">
        <w:rPr>
          <w:color w:val="000000"/>
        </w:rPr>
        <w:t>contain no</w:t>
      </w:r>
      <w:r w:rsidR="00B32183">
        <w:rPr>
          <w:color w:val="000000"/>
        </w:rPr>
        <w:t xml:space="preserve"> antimicrobial</w:t>
      </w:r>
      <w:r w:rsidR="00B5650F">
        <w:rPr>
          <w:color w:val="000000"/>
        </w:rPr>
        <w:t xml:space="preserve"> preservatives and are for use </w:t>
      </w:r>
      <w:r w:rsidR="00B32183">
        <w:rPr>
          <w:color w:val="000000"/>
        </w:rPr>
        <w:t xml:space="preserve">in one patient on one occasion </w:t>
      </w:r>
      <w:r w:rsidR="00B5650F">
        <w:rPr>
          <w:color w:val="000000"/>
        </w:rPr>
        <w:lastRenderedPageBreak/>
        <w:t>only</w:t>
      </w:r>
      <w:r w:rsidRPr="00600475">
        <w:rPr>
          <w:color w:val="000000"/>
        </w:rPr>
        <w:t xml:space="preserve">. </w:t>
      </w:r>
      <w:r>
        <w:rPr>
          <w:color w:val="000000"/>
        </w:rPr>
        <w:t xml:space="preserve"> </w:t>
      </w:r>
      <w:r w:rsidR="00617A22">
        <w:rPr>
          <w:color w:val="000000"/>
        </w:rPr>
        <w:t>After withdrawal of the dose</w:t>
      </w:r>
      <w:r w:rsidR="00561E43">
        <w:rPr>
          <w:color w:val="000000"/>
        </w:rPr>
        <w:t>,</w:t>
      </w:r>
      <w:r w:rsidR="00617A22">
        <w:rPr>
          <w:color w:val="000000"/>
        </w:rPr>
        <w:t xml:space="preserve"> </w:t>
      </w:r>
      <w:r w:rsidR="00561E43">
        <w:rPr>
          <w:color w:val="000000"/>
        </w:rPr>
        <w:t>d</w:t>
      </w:r>
      <w:r w:rsidR="00617A22">
        <w:rPr>
          <w:color w:val="000000"/>
        </w:rPr>
        <w:t>iscard any unused portion left in the vial.  U</w:t>
      </w:r>
      <w:r w:rsidRPr="00600475">
        <w:rPr>
          <w:color w:val="000000"/>
        </w:rPr>
        <w:t xml:space="preserve">nused portions </w:t>
      </w:r>
      <w:r w:rsidR="00617A22">
        <w:rPr>
          <w:color w:val="000000"/>
        </w:rPr>
        <w:t>should not be saved</w:t>
      </w:r>
      <w:r w:rsidR="00561E43">
        <w:rPr>
          <w:color w:val="000000"/>
        </w:rPr>
        <w:t xml:space="preserve"> </w:t>
      </w:r>
      <w:r w:rsidRPr="00600475">
        <w:rPr>
          <w:color w:val="000000"/>
        </w:rPr>
        <w:t>for later</w:t>
      </w:r>
      <w:r>
        <w:rPr>
          <w:color w:val="000000"/>
        </w:rPr>
        <w:t xml:space="preserve"> </w:t>
      </w:r>
      <w:r w:rsidRPr="00600475">
        <w:rPr>
          <w:color w:val="000000"/>
        </w:rPr>
        <w:t>administration</w:t>
      </w:r>
      <w:r>
        <w:rPr>
          <w:color w:val="000000"/>
        </w:rPr>
        <w:t xml:space="preserve">. </w:t>
      </w:r>
      <w:r w:rsidR="00617A22">
        <w:rPr>
          <w:color w:val="000000"/>
        </w:rPr>
        <w:t xml:space="preserve"> Any unused product or </w:t>
      </w:r>
      <w:r w:rsidR="00561E43">
        <w:rPr>
          <w:color w:val="000000"/>
        </w:rPr>
        <w:t xml:space="preserve">waste </w:t>
      </w:r>
      <w:r w:rsidR="00617A22">
        <w:rPr>
          <w:color w:val="000000"/>
        </w:rPr>
        <w:t xml:space="preserve">materials should be </w:t>
      </w:r>
      <w:r>
        <w:rPr>
          <w:color w:val="000000"/>
        </w:rPr>
        <w:t>dispose</w:t>
      </w:r>
      <w:r w:rsidR="00617A22">
        <w:rPr>
          <w:color w:val="000000"/>
        </w:rPr>
        <w:t>d</w:t>
      </w:r>
      <w:r>
        <w:rPr>
          <w:color w:val="000000"/>
        </w:rPr>
        <w:t xml:space="preserve"> of </w:t>
      </w:r>
      <w:r w:rsidRPr="00600475">
        <w:rPr>
          <w:color w:val="000000"/>
        </w:rPr>
        <w:t>in accordance with local</w:t>
      </w:r>
      <w:r w:rsidR="00561E43">
        <w:rPr>
          <w:color w:val="000000"/>
        </w:rPr>
        <w:t xml:space="preserve"> hospital</w:t>
      </w:r>
      <w:r>
        <w:rPr>
          <w:color w:val="000000"/>
        </w:rPr>
        <w:t xml:space="preserve"> </w:t>
      </w:r>
      <w:r w:rsidRPr="00600475">
        <w:rPr>
          <w:color w:val="000000"/>
        </w:rPr>
        <w:t>requirements</w:t>
      </w:r>
      <w:r w:rsidR="00561E43">
        <w:rPr>
          <w:color w:val="000000"/>
        </w:rPr>
        <w:t xml:space="preserve"> for hazardous waste</w:t>
      </w:r>
      <w:r w:rsidRPr="00600475">
        <w:rPr>
          <w:color w:val="000000"/>
        </w:rPr>
        <w:t>.</w:t>
      </w:r>
    </w:p>
    <w:p w:rsidR="005D1B32" w:rsidRDefault="005D1B32" w:rsidP="00173E07">
      <w:pPr>
        <w:autoSpaceDE w:val="0"/>
        <w:autoSpaceDN w:val="0"/>
        <w:adjustRightInd w:val="0"/>
        <w:ind w:right="-694"/>
        <w:rPr>
          <w:b/>
          <w:bCs/>
          <w:color w:val="000000"/>
        </w:rPr>
      </w:pPr>
    </w:p>
    <w:p w:rsidR="0002134C" w:rsidRPr="00600475" w:rsidRDefault="00BE5ED7" w:rsidP="00173E07">
      <w:pPr>
        <w:autoSpaceDE w:val="0"/>
        <w:autoSpaceDN w:val="0"/>
        <w:adjustRightInd w:val="0"/>
        <w:ind w:right="-694"/>
        <w:rPr>
          <w:b/>
          <w:bCs/>
          <w:color w:val="000000"/>
        </w:rPr>
      </w:pPr>
      <w:r>
        <w:rPr>
          <w:b/>
          <w:bCs/>
          <w:color w:val="000000"/>
        </w:rPr>
        <w:t>OVERDOSAGE</w:t>
      </w:r>
    </w:p>
    <w:p w:rsidR="0002134C" w:rsidRDefault="000E6A8F" w:rsidP="00173E07">
      <w:pPr>
        <w:autoSpaceDE w:val="0"/>
        <w:autoSpaceDN w:val="0"/>
        <w:adjustRightInd w:val="0"/>
        <w:ind w:right="-694"/>
        <w:rPr>
          <w:color w:val="000000"/>
        </w:rPr>
      </w:pPr>
      <w:r w:rsidDel="000E6A8F">
        <w:rPr>
          <w:color w:val="000000"/>
        </w:rPr>
        <w:t xml:space="preserve"> </w:t>
      </w:r>
      <w:r w:rsidR="0002134C" w:rsidRPr="00600475">
        <w:rPr>
          <w:color w:val="000000"/>
        </w:rPr>
        <w:t xml:space="preserve">No specific information is available on the treatment of </w:t>
      </w:r>
      <w:proofErr w:type="spellStart"/>
      <w:r w:rsidR="007A3F26">
        <w:rPr>
          <w:color w:val="000000"/>
        </w:rPr>
        <w:t>pralatr</w:t>
      </w:r>
      <w:r w:rsidR="00DD6E54">
        <w:rPr>
          <w:color w:val="000000"/>
        </w:rPr>
        <w:t>e</w:t>
      </w:r>
      <w:r w:rsidR="007A3F26">
        <w:rPr>
          <w:color w:val="000000"/>
        </w:rPr>
        <w:t>xate</w:t>
      </w:r>
      <w:proofErr w:type="spellEnd"/>
      <w:r w:rsidR="007A3F26">
        <w:rPr>
          <w:color w:val="000000"/>
        </w:rPr>
        <w:t xml:space="preserve"> </w:t>
      </w:r>
      <w:proofErr w:type="spellStart"/>
      <w:r w:rsidR="007A3F26" w:rsidRPr="00600475">
        <w:rPr>
          <w:color w:val="000000"/>
        </w:rPr>
        <w:t>overdosage</w:t>
      </w:r>
      <w:proofErr w:type="spellEnd"/>
      <w:r w:rsidR="0002134C" w:rsidRPr="00600475">
        <w:rPr>
          <w:color w:val="000000"/>
        </w:rPr>
        <w:t xml:space="preserve">. </w:t>
      </w:r>
      <w:r w:rsidR="007A3F26">
        <w:rPr>
          <w:color w:val="000000"/>
        </w:rPr>
        <w:t xml:space="preserve"> G</w:t>
      </w:r>
      <w:r w:rsidR="0002134C" w:rsidRPr="00600475">
        <w:rPr>
          <w:color w:val="000000"/>
        </w:rPr>
        <w:t xml:space="preserve">eneral supportive measures should be instituted as deemed necessary. </w:t>
      </w:r>
      <w:r w:rsidR="007A3F26">
        <w:rPr>
          <w:color w:val="000000"/>
        </w:rPr>
        <w:t xml:space="preserve"> </w:t>
      </w:r>
      <w:r w:rsidR="0002134C" w:rsidRPr="00600475">
        <w:rPr>
          <w:color w:val="000000"/>
        </w:rPr>
        <w:t xml:space="preserve">Based on </w:t>
      </w:r>
      <w:r w:rsidR="00DD6E54">
        <w:rPr>
          <w:color w:val="000000"/>
        </w:rPr>
        <w:t xml:space="preserve">the </w:t>
      </w:r>
      <w:r w:rsidR="0002134C" w:rsidRPr="00600475">
        <w:rPr>
          <w:color w:val="000000"/>
        </w:rPr>
        <w:t>mechanism of action</w:t>
      </w:r>
      <w:r w:rsidR="00DD6E54" w:rsidRPr="00DD6E54">
        <w:rPr>
          <w:color w:val="000000"/>
        </w:rPr>
        <w:t xml:space="preserve"> </w:t>
      </w:r>
      <w:r w:rsidR="00DD6E54">
        <w:rPr>
          <w:color w:val="000000"/>
        </w:rPr>
        <w:t xml:space="preserve">of </w:t>
      </w:r>
      <w:proofErr w:type="spellStart"/>
      <w:r w:rsidR="00DD6E54" w:rsidRPr="00600475">
        <w:rPr>
          <w:color w:val="000000"/>
        </w:rPr>
        <w:t>pralatrexate</w:t>
      </w:r>
      <w:proofErr w:type="spellEnd"/>
      <w:r w:rsidR="007A3F26">
        <w:rPr>
          <w:color w:val="000000"/>
        </w:rPr>
        <w:t>,</w:t>
      </w:r>
      <w:r w:rsidR="0002134C" w:rsidRPr="00600475">
        <w:rPr>
          <w:color w:val="000000"/>
        </w:rPr>
        <w:t xml:space="preserve"> </w:t>
      </w:r>
      <w:r w:rsidR="00493AA4">
        <w:rPr>
          <w:color w:val="000000"/>
        </w:rPr>
        <w:t>and clinical exp</w:t>
      </w:r>
      <w:r w:rsidR="00112230">
        <w:rPr>
          <w:color w:val="000000"/>
        </w:rPr>
        <w:t xml:space="preserve">erience with other </w:t>
      </w:r>
      <w:proofErr w:type="spellStart"/>
      <w:r w:rsidR="00112230">
        <w:rPr>
          <w:color w:val="000000"/>
        </w:rPr>
        <w:t>antifolates</w:t>
      </w:r>
      <w:proofErr w:type="spellEnd"/>
      <w:r w:rsidR="00112230">
        <w:rPr>
          <w:color w:val="000000"/>
        </w:rPr>
        <w:t>,</w:t>
      </w:r>
      <w:r w:rsidR="0002134C" w:rsidRPr="00600475">
        <w:rPr>
          <w:color w:val="000000"/>
        </w:rPr>
        <w:t xml:space="preserve"> prompt </w:t>
      </w:r>
      <w:r w:rsidR="00A3326A">
        <w:rPr>
          <w:color w:val="000000"/>
        </w:rPr>
        <w:t>a</w:t>
      </w:r>
      <w:r w:rsidR="0002134C" w:rsidRPr="00600475">
        <w:rPr>
          <w:color w:val="000000"/>
        </w:rPr>
        <w:t xml:space="preserve">dministration of </w:t>
      </w:r>
      <w:proofErr w:type="spellStart"/>
      <w:r w:rsidR="0002134C" w:rsidRPr="00600475">
        <w:rPr>
          <w:color w:val="000000"/>
        </w:rPr>
        <w:t>leucovorin</w:t>
      </w:r>
      <w:proofErr w:type="spellEnd"/>
      <w:r w:rsidR="00493AA4">
        <w:rPr>
          <w:color w:val="000000"/>
        </w:rPr>
        <w:t>, adequate hydration and alkalinisation of the urine</w:t>
      </w:r>
      <w:r w:rsidR="005355F2">
        <w:rPr>
          <w:color w:val="000000"/>
        </w:rPr>
        <w:t xml:space="preserve"> </w:t>
      </w:r>
      <w:r w:rsidR="0002134C" w:rsidRPr="00600475">
        <w:rPr>
          <w:color w:val="000000"/>
        </w:rPr>
        <w:t>should be considered.</w:t>
      </w:r>
    </w:p>
    <w:p w:rsidR="00504F9A" w:rsidRDefault="00504F9A" w:rsidP="00173E07">
      <w:pPr>
        <w:autoSpaceDE w:val="0"/>
        <w:autoSpaceDN w:val="0"/>
        <w:adjustRightInd w:val="0"/>
        <w:ind w:right="-694"/>
        <w:rPr>
          <w:color w:val="000000"/>
        </w:rPr>
      </w:pPr>
    </w:p>
    <w:p w:rsidR="000E6A8F" w:rsidRDefault="000E6A8F" w:rsidP="000E6A8F">
      <w:pPr>
        <w:autoSpaceDE w:val="0"/>
        <w:autoSpaceDN w:val="0"/>
        <w:adjustRightInd w:val="0"/>
        <w:ind w:right="-694"/>
        <w:rPr>
          <w:color w:val="000000"/>
        </w:rPr>
      </w:pPr>
      <w:r w:rsidRPr="00112230">
        <w:rPr>
          <w:color w:val="000000"/>
        </w:rPr>
        <w:t xml:space="preserve">Experience with overdose of </w:t>
      </w:r>
      <w:proofErr w:type="spellStart"/>
      <w:r w:rsidRPr="00112230">
        <w:rPr>
          <w:color w:val="000000"/>
        </w:rPr>
        <w:t>pralatrexate</w:t>
      </w:r>
      <w:proofErr w:type="spellEnd"/>
      <w:r w:rsidRPr="00112230">
        <w:rPr>
          <w:color w:val="000000"/>
        </w:rPr>
        <w:t xml:space="preserve"> is very limited.  However, doses of more than ten times the prescribed starting dose of </w:t>
      </w:r>
      <w:proofErr w:type="spellStart"/>
      <w:r w:rsidRPr="00112230">
        <w:rPr>
          <w:color w:val="000000"/>
        </w:rPr>
        <w:t>pralatrexate</w:t>
      </w:r>
      <w:proofErr w:type="spellEnd"/>
      <w:r w:rsidRPr="00112230">
        <w:rPr>
          <w:color w:val="000000"/>
        </w:rPr>
        <w:t xml:space="preserve"> for the indication of relapsed or refractory PTCL have been administered in solid tumour clinical studies with a similar adverse event profile.  Anticipated symptoms of overdose might include increased severity and/or duration of mucosal inflammation and </w:t>
      </w:r>
      <w:proofErr w:type="spellStart"/>
      <w:r w:rsidRPr="00112230">
        <w:rPr>
          <w:color w:val="000000"/>
        </w:rPr>
        <w:t>myelosuppression</w:t>
      </w:r>
      <w:proofErr w:type="spellEnd"/>
      <w:r w:rsidRPr="00112230">
        <w:rPr>
          <w:color w:val="000000"/>
        </w:rPr>
        <w:t xml:space="preserve"> (primarily manifested by thrombocytopenia, </w:t>
      </w:r>
      <w:proofErr w:type="spellStart"/>
      <w:r w:rsidRPr="00112230">
        <w:rPr>
          <w:color w:val="000000"/>
        </w:rPr>
        <w:t>leucopenia</w:t>
      </w:r>
      <w:proofErr w:type="spellEnd"/>
      <w:r w:rsidRPr="00112230">
        <w:rPr>
          <w:color w:val="000000"/>
        </w:rPr>
        <w:t>, neutropenia and anaemia).</w:t>
      </w:r>
    </w:p>
    <w:p w:rsidR="000E6A8F" w:rsidRDefault="000E6A8F" w:rsidP="00173E07">
      <w:pPr>
        <w:autoSpaceDE w:val="0"/>
        <w:autoSpaceDN w:val="0"/>
        <w:adjustRightInd w:val="0"/>
        <w:ind w:right="-694"/>
        <w:rPr>
          <w:color w:val="000000"/>
        </w:rPr>
      </w:pPr>
    </w:p>
    <w:p w:rsidR="00504F9A" w:rsidRPr="00504F9A" w:rsidRDefault="00E36EB8" w:rsidP="00504F9A">
      <w:pPr>
        <w:ind w:right="43"/>
        <w:jc w:val="both"/>
      </w:pPr>
      <w:r>
        <w:t>For information on the management overdose, contact the Poison</w:t>
      </w:r>
      <w:r w:rsidR="009B295D">
        <w:t>s</w:t>
      </w:r>
      <w:r w:rsidR="00504F9A">
        <w:t xml:space="preserve"> Information Centre on 13 11 26</w:t>
      </w:r>
      <w:r>
        <w:t xml:space="preserve"> (</w:t>
      </w:r>
      <w:smartTag w:uri="urn:schemas-microsoft-com:office:smarttags" w:element="country-region">
        <w:smartTag w:uri="urn:schemas-microsoft-com:office:smarttags" w:element="place">
          <w:r>
            <w:t>Australia</w:t>
          </w:r>
        </w:smartTag>
      </w:smartTag>
      <w:r>
        <w:t xml:space="preserve">) </w:t>
      </w:r>
      <w:r w:rsidR="00504F9A">
        <w:t>for advice on managing overdose.</w:t>
      </w:r>
      <w:r>
        <w:t xml:space="preserve"> </w:t>
      </w:r>
    </w:p>
    <w:p w:rsidR="009463B0" w:rsidRDefault="009463B0" w:rsidP="00173E07">
      <w:pPr>
        <w:autoSpaceDE w:val="0"/>
        <w:autoSpaceDN w:val="0"/>
        <w:adjustRightInd w:val="0"/>
        <w:ind w:right="-694"/>
        <w:rPr>
          <w:b/>
          <w:bCs/>
          <w:color w:val="000000"/>
        </w:rPr>
      </w:pPr>
    </w:p>
    <w:p w:rsidR="00147EC9" w:rsidRDefault="00147EC9" w:rsidP="00173E07">
      <w:pPr>
        <w:autoSpaceDE w:val="0"/>
        <w:autoSpaceDN w:val="0"/>
        <w:adjustRightInd w:val="0"/>
        <w:ind w:right="-694"/>
        <w:rPr>
          <w:b/>
          <w:bCs/>
          <w:color w:val="000000"/>
        </w:rPr>
      </w:pPr>
      <w:r>
        <w:rPr>
          <w:b/>
          <w:bCs/>
          <w:color w:val="000000"/>
        </w:rPr>
        <w:t>PRESENTATION</w:t>
      </w:r>
      <w:r w:rsidR="00A254F9">
        <w:rPr>
          <w:b/>
          <w:bCs/>
          <w:color w:val="000000"/>
        </w:rPr>
        <w:t xml:space="preserve"> AND STORAGE CONDITIONS</w:t>
      </w:r>
    </w:p>
    <w:p w:rsidR="00A254F9" w:rsidRPr="00A254F9" w:rsidRDefault="00A254F9" w:rsidP="00147EC9">
      <w:pPr>
        <w:autoSpaceDE w:val="0"/>
        <w:autoSpaceDN w:val="0"/>
        <w:adjustRightInd w:val="0"/>
        <w:ind w:right="-694"/>
        <w:rPr>
          <w:color w:val="000000"/>
          <w:u w:val="single"/>
        </w:rPr>
      </w:pPr>
      <w:r>
        <w:rPr>
          <w:color w:val="000000"/>
          <w:u w:val="single"/>
        </w:rPr>
        <w:t>Presentation</w:t>
      </w:r>
    </w:p>
    <w:p w:rsidR="00EB0895" w:rsidRDefault="00FB7F1B" w:rsidP="00147EC9">
      <w:pPr>
        <w:autoSpaceDE w:val="0"/>
        <w:autoSpaceDN w:val="0"/>
        <w:adjustRightInd w:val="0"/>
        <w:ind w:right="-694"/>
        <w:rPr>
          <w:color w:val="000000"/>
        </w:rPr>
      </w:pPr>
      <w:r>
        <w:rPr>
          <w:color w:val="000000"/>
        </w:rPr>
        <w:t>FOLOTYN solution for infusion</w:t>
      </w:r>
      <w:r w:rsidRPr="00147EC9">
        <w:rPr>
          <w:color w:val="000000"/>
        </w:rPr>
        <w:t xml:space="preserve"> </w:t>
      </w:r>
      <w:r>
        <w:rPr>
          <w:color w:val="000000"/>
        </w:rPr>
        <w:t xml:space="preserve">is a </w:t>
      </w:r>
      <w:r w:rsidRPr="00447563">
        <w:t>preservative</w:t>
      </w:r>
      <w:r>
        <w:t>-</w:t>
      </w:r>
      <w:r w:rsidRPr="00447563">
        <w:t xml:space="preserve">free, sterile, isotonic, non-pyrogenic </w:t>
      </w:r>
      <w:r>
        <w:rPr>
          <w:color w:val="000000"/>
        </w:rPr>
        <w:t>c</w:t>
      </w:r>
      <w:r w:rsidRPr="00600475">
        <w:rPr>
          <w:color w:val="000000"/>
        </w:rPr>
        <w:t>lear yellow</w:t>
      </w:r>
      <w:r w:rsidRPr="008D4547">
        <w:t xml:space="preserve"> </w:t>
      </w:r>
      <w:r w:rsidRPr="00447563">
        <w:t>aqueous parenteral solution</w:t>
      </w:r>
      <w:r>
        <w:t xml:space="preserve">.  </w:t>
      </w:r>
      <w:r w:rsidR="00147EC9" w:rsidRPr="00600475">
        <w:rPr>
          <w:color w:val="000000"/>
        </w:rPr>
        <w:t xml:space="preserve">FOLOTYN is supplied in </w:t>
      </w:r>
      <w:r w:rsidR="001829C6">
        <w:rPr>
          <w:color w:val="000000"/>
        </w:rPr>
        <w:t xml:space="preserve">a </w:t>
      </w:r>
      <w:r w:rsidR="00266DB7">
        <w:rPr>
          <w:color w:val="000000"/>
        </w:rPr>
        <w:t xml:space="preserve">carton containing </w:t>
      </w:r>
      <w:r w:rsidR="00147EC9" w:rsidRPr="00600475">
        <w:rPr>
          <w:color w:val="000000"/>
        </w:rPr>
        <w:t>a clear glass</w:t>
      </w:r>
      <w:r>
        <w:rPr>
          <w:color w:val="000000"/>
        </w:rPr>
        <w:t>, single-use</w:t>
      </w:r>
      <w:r w:rsidR="00147EC9" w:rsidRPr="00600475">
        <w:rPr>
          <w:color w:val="000000"/>
        </w:rPr>
        <w:t xml:space="preserve"> </w:t>
      </w:r>
      <w:r w:rsidR="00266DB7">
        <w:rPr>
          <w:color w:val="000000"/>
        </w:rPr>
        <w:t xml:space="preserve">2 mL </w:t>
      </w:r>
      <w:r w:rsidR="00147EC9" w:rsidRPr="00600475">
        <w:rPr>
          <w:color w:val="000000"/>
        </w:rPr>
        <w:t xml:space="preserve">vial with a </w:t>
      </w:r>
      <w:proofErr w:type="spellStart"/>
      <w:r w:rsidR="001A0BE4">
        <w:rPr>
          <w:color w:val="000000"/>
        </w:rPr>
        <w:t>chloro</w:t>
      </w:r>
      <w:r w:rsidR="00147EC9" w:rsidRPr="00600475">
        <w:rPr>
          <w:color w:val="000000"/>
        </w:rPr>
        <w:t>butyl</w:t>
      </w:r>
      <w:proofErr w:type="spellEnd"/>
      <w:r w:rsidR="00147EC9" w:rsidRPr="00600475">
        <w:rPr>
          <w:color w:val="000000"/>
        </w:rPr>
        <w:t xml:space="preserve"> stopper covered with an aluminium flip-off</w:t>
      </w:r>
      <w:r w:rsidR="00147EC9">
        <w:rPr>
          <w:color w:val="000000"/>
        </w:rPr>
        <w:t xml:space="preserve"> </w:t>
      </w:r>
      <w:r w:rsidR="00147EC9" w:rsidRPr="00600475">
        <w:rPr>
          <w:color w:val="000000"/>
        </w:rPr>
        <w:t>seal.</w:t>
      </w:r>
      <w:r w:rsidR="00266DB7">
        <w:rPr>
          <w:color w:val="000000"/>
        </w:rPr>
        <w:t xml:space="preserve">  </w:t>
      </w:r>
    </w:p>
    <w:p w:rsidR="00FB7F1B" w:rsidRDefault="00FB7F1B" w:rsidP="00147EC9">
      <w:pPr>
        <w:autoSpaceDE w:val="0"/>
        <w:autoSpaceDN w:val="0"/>
        <w:adjustRightInd w:val="0"/>
        <w:ind w:right="-694"/>
      </w:pPr>
    </w:p>
    <w:p w:rsidR="00147EC9" w:rsidRDefault="00266DB7" w:rsidP="00147EC9">
      <w:pPr>
        <w:autoSpaceDE w:val="0"/>
        <w:autoSpaceDN w:val="0"/>
        <w:adjustRightInd w:val="0"/>
        <w:ind w:right="-694"/>
        <w:rPr>
          <w:color w:val="000000"/>
        </w:rPr>
      </w:pPr>
      <w:r w:rsidRPr="00600475">
        <w:rPr>
          <w:color w:val="000000"/>
        </w:rPr>
        <w:t xml:space="preserve">Each </w:t>
      </w:r>
      <w:r w:rsidR="00493AA4">
        <w:rPr>
          <w:color w:val="000000"/>
        </w:rPr>
        <w:t xml:space="preserve">1 </w:t>
      </w:r>
      <w:r w:rsidRPr="00600475">
        <w:rPr>
          <w:color w:val="000000"/>
        </w:rPr>
        <w:t>m</w:t>
      </w:r>
      <w:r w:rsidR="00493AA4">
        <w:rPr>
          <w:color w:val="000000"/>
        </w:rPr>
        <w:t>L</w:t>
      </w:r>
      <w:r w:rsidRPr="00600475">
        <w:rPr>
          <w:color w:val="000000"/>
        </w:rPr>
        <w:t xml:space="preserve"> </w:t>
      </w:r>
      <w:r w:rsidR="00467671">
        <w:rPr>
          <w:color w:val="000000"/>
        </w:rPr>
        <w:t xml:space="preserve">of solution </w:t>
      </w:r>
      <w:r w:rsidRPr="00600475">
        <w:rPr>
          <w:color w:val="000000"/>
        </w:rPr>
        <w:t xml:space="preserve">contains 20 mg of </w:t>
      </w:r>
      <w:proofErr w:type="spellStart"/>
      <w:r w:rsidRPr="00600475">
        <w:rPr>
          <w:color w:val="000000"/>
        </w:rPr>
        <w:t>pralatrexate</w:t>
      </w:r>
      <w:proofErr w:type="spellEnd"/>
      <w:r w:rsidR="00DD6E54">
        <w:rPr>
          <w:color w:val="000000"/>
        </w:rPr>
        <w:t>.  T</w:t>
      </w:r>
      <w:r>
        <w:rPr>
          <w:color w:val="000000"/>
        </w:rPr>
        <w:t xml:space="preserve">wo </w:t>
      </w:r>
      <w:r w:rsidR="009D606C">
        <w:rPr>
          <w:color w:val="000000"/>
        </w:rPr>
        <w:t>vial presentations</w:t>
      </w:r>
      <w:r>
        <w:rPr>
          <w:color w:val="000000"/>
        </w:rPr>
        <w:t xml:space="preserve"> are </w:t>
      </w:r>
      <w:r w:rsidR="00276EDB">
        <w:rPr>
          <w:color w:val="000000"/>
        </w:rPr>
        <w:t>registered</w:t>
      </w:r>
      <w:r>
        <w:rPr>
          <w:color w:val="000000"/>
        </w:rPr>
        <w:t>:</w:t>
      </w:r>
    </w:p>
    <w:p w:rsidR="00B5650F" w:rsidRPr="00600475" w:rsidRDefault="00B5650F" w:rsidP="00147EC9">
      <w:pPr>
        <w:autoSpaceDE w:val="0"/>
        <w:autoSpaceDN w:val="0"/>
        <w:adjustRightInd w:val="0"/>
        <w:ind w:right="-694"/>
        <w:rPr>
          <w:color w:val="000000"/>
        </w:rPr>
      </w:pPr>
    </w:p>
    <w:p w:rsidR="00147EC9" w:rsidRPr="00600475" w:rsidRDefault="00266DB7" w:rsidP="00147EC9">
      <w:pPr>
        <w:autoSpaceDE w:val="0"/>
        <w:autoSpaceDN w:val="0"/>
        <w:adjustRightInd w:val="0"/>
        <w:ind w:right="-694"/>
        <w:rPr>
          <w:color w:val="000000"/>
        </w:rPr>
      </w:pPr>
      <w:r w:rsidRPr="00266DB7">
        <w:rPr>
          <w:color w:val="000000"/>
          <w:u w:val="single"/>
        </w:rPr>
        <w:t>20 mg</w:t>
      </w:r>
      <w:r w:rsidR="00467671">
        <w:rPr>
          <w:color w:val="000000"/>
          <w:u w:val="single"/>
        </w:rPr>
        <w:t xml:space="preserve"> in </w:t>
      </w:r>
      <w:r w:rsidRPr="00266DB7">
        <w:rPr>
          <w:color w:val="000000"/>
          <w:u w:val="single"/>
        </w:rPr>
        <w:t>1 m</w:t>
      </w:r>
      <w:r w:rsidR="009D606C">
        <w:rPr>
          <w:color w:val="000000"/>
          <w:u w:val="single"/>
        </w:rPr>
        <w:t>L</w:t>
      </w:r>
      <w:r>
        <w:rPr>
          <w:color w:val="000000"/>
        </w:rPr>
        <w:t xml:space="preserve">: </w:t>
      </w:r>
      <w:r w:rsidR="00467671">
        <w:rPr>
          <w:color w:val="000000"/>
        </w:rPr>
        <w:t xml:space="preserve"> Each </w:t>
      </w:r>
      <w:r w:rsidR="009D606C">
        <w:rPr>
          <w:color w:val="000000"/>
        </w:rPr>
        <w:t>vial</w:t>
      </w:r>
      <w:r w:rsidR="00B5650F">
        <w:rPr>
          <w:color w:val="000000"/>
        </w:rPr>
        <w:t xml:space="preserve"> </w:t>
      </w:r>
      <w:r>
        <w:rPr>
          <w:color w:val="000000"/>
        </w:rPr>
        <w:t>contain</w:t>
      </w:r>
      <w:r w:rsidR="00DD6E54">
        <w:rPr>
          <w:color w:val="000000"/>
        </w:rPr>
        <w:t xml:space="preserve">s </w:t>
      </w:r>
      <w:r w:rsidR="00147EC9" w:rsidRPr="00600475">
        <w:rPr>
          <w:color w:val="000000"/>
        </w:rPr>
        <w:t xml:space="preserve">20 mg of </w:t>
      </w:r>
      <w:proofErr w:type="spellStart"/>
      <w:r w:rsidR="00147EC9" w:rsidRPr="00600475">
        <w:rPr>
          <w:color w:val="000000"/>
        </w:rPr>
        <w:t>pralatrexate</w:t>
      </w:r>
      <w:proofErr w:type="spellEnd"/>
      <w:r w:rsidR="00147EC9" w:rsidRPr="00600475">
        <w:rPr>
          <w:color w:val="000000"/>
        </w:rPr>
        <w:t xml:space="preserve"> in 1 m</w:t>
      </w:r>
      <w:r w:rsidR="009D606C">
        <w:rPr>
          <w:color w:val="000000"/>
        </w:rPr>
        <w:t>L</w:t>
      </w:r>
      <w:r w:rsidR="00147EC9" w:rsidRPr="00600475">
        <w:rPr>
          <w:color w:val="000000"/>
        </w:rPr>
        <w:t xml:space="preserve"> of solution</w:t>
      </w:r>
      <w:r w:rsidR="00EB0895">
        <w:rPr>
          <w:color w:val="000000"/>
        </w:rPr>
        <w:t xml:space="preserve">. </w:t>
      </w:r>
      <w:r w:rsidR="00467671">
        <w:rPr>
          <w:color w:val="000000"/>
        </w:rPr>
        <w:t xml:space="preserve"> </w:t>
      </w:r>
      <w:r w:rsidR="00EB0895">
        <w:rPr>
          <w:color w:val="000000"/>
        </w:rPr>
        <w:t xml:space="preserve">Pack size of 1 vial. </w:t>
      </w:r>
    </w:p>
    <w:p w:rsidR="00147EC9" w:rsidRPr="00600475" w:rsidRDefault="00266DB7" w:rsidP="00147EC9">
      <w:pPr>
        <w:autoSpaceDE w:val="0"/>
        <w:autoSpaceDN w:val="0"/>
        <w:adjustRightInd w:val="0"/>
        <w:ind w:right="-694"/>
        <w:rPr>
          <w:color w:val="000000"/>
        </w:rPr>
      </w:pPr>
      <w:r w:rsidRPr="00266DB7">
        <w:rPr>
          <w:color w:val="000000"/>
          <w:u w:val="single"/>
        </w:rPr>
        <w:t>40 mg</w:t>
      </w:r>
      <w:r w:rsidR="00467671">
        <w:rPr>
          <w:color w:val="000000"/>
          <w:u w:val="single"/>
        </w:rPr>
        <w:t xml:space="preserve"> in </w:t>
      </w:r>
      <w:r w:rsidRPr="00266DB7">
        <w:rPr>
          <w:color w:val="000000"/>
          <w:u w:val="single"/>
        </w:rPr>
        <w:t>2 m</w:t>
      </w:r>
      <w:r w:rsidR="009D606C">
        <w:rPr>
          <w:color w:val="000000"/>
          <w:u w:val="single"/>
        </w:rPr>
        <w:t>L</w:t>
      </w:r>
      <w:r>
        <w:rPr>
          <w:color w:val="000000"/>
        </w:rPr>
        <w:t xml:space="preserve">: </w:t>
      </w:r>
      <w:r w:rsidR="00467671">
        <w:rPr>
          <w:color w:val="000000"/>
        </w:rPr>
        <w:t xml:space="preserve"> Each </w:t>
      </w:r>
      <w:r w:rsidR="009D606C">
        <w:rPr>
          <w:color w:val="000000"/>
        </w:rPr>
        <w:t>vial</w:t>
      </w:r>
      <w:r w:rsidR="00147EC9" w:rsidRPr="00600475">
        <w:rPr>
          <w:color w:val="000000"/>
        </w:rPr>
        <w:t xml:space="preserve"> </w:t>
      </w:r>
      <w:r>
        <w:rPr>
          <w:color w:val="000000"/>
        </w:rPr>
        <w:t>contain</w:t>
      </w:r>
      <w:r w:rsidR="00DD6E54">
        <w:rPr>
          <w:color w:val="000000"/>
        </w:rPr>
        <w:t>s</w:t>
      </w:r>
      <w:r w:rsidR="00147EC9" w:rsidRPr="00600475">
        <w:rPr>
          <w:color w:val="000000"/>
        </w:rPr>
        <w:t xml:space="preserve"> 40 mg of </w:t>
      </w:r>
      <w:proofErr w:type="spellStart"/>
      <w:r w:rsidR="00147EC9" w:rsidRPr="00600475">
        <w:rPr>
          <w:color w:val="000000"/>
        </w:rPr>
        <w:t>pralatrexate</w:t>
      </w:r>
      <w:proofErr w:type="spellEnd"/>
      <w:r w:rsidR="00147EC9" w:rsidRPr="00600475">
        <w:rPr>
          <w:color w:val="000000"/>
        </w:rPr>
        <w:t xml:space="preserve"> in 2 m</w:t>
      </w:r>
      <w:r w:rsidR="009D606C">
        <w:rPr>
          <w:color w:val="000000"/>
        </w:rPr>
        <w:t>L</w:t>
      </w:r>
      <w:r w:rsidR="00147EC9" w:rsidRPr="00600475">
        <w:rPr>
          <w:color w:val="000000"/>
        </w:rPr>
        <w:t xml:space="preserve"> of </w:t>
      </w:r>
      <w:r>
        <w:rPr>
          <w:color w:val="000000"/>
        </w:rPr>
        <w:t>solution</w:t>
      </w:r>
      <w:r w:rsidR="00147EC9" w:rsidRPr="00600475">
        <w:rPr>
          <w:color w:val="000000"/>
        </w:rPr>
        <w:t>.</w:t>
      </w:r>
      <w:r w:rsidR="00EB0895">
        <w:rPr>
          <w:color w:val="000000"/>
        </w:rPr>
        <w:t xml:space="preserve"> </w:t>
      </w:r>
      <w:r w:rsidR="00467671">
        <w:rPr>
          <w:color w:val="000000"/>
        </w:rPr>
        <w:t xml:space="preserve"> </w:t>
      </w:r>
      <w:r w:rsidR="00EB0895">
        <w:rPr>
          <w:color w:val="000000"/>
        </w:rPr>
        <w:t xml:space="preserve">Pack size of 1 vial. </w:t>
      </w:r>
    </w:p>
    <w:p w:rsidR="00276EDB" w:rsidRDefault="00276EDB" w:rsidP="00173E07">
      <w:pPr>
        <w:autoSpaceDE w:val="0"/>
        <w:autoSpaceDN w:val="0"/>
        <w:adjustRightInd w:val="0"/>
        <w:ind w:right="-694"/>
        <w:rPr>
          <w:color w:val="000000"/>
          <w:u w:val="single"/>
        </w:rPr>
      </w:pPr>
    </w:p>
    <w:p w:rsidR="00DD6E54" w:rsidRDefault="00A254F9" w:rsidP="00173E07">
      <w:pPr>
        <w:autoSpaceDE w:val="0"/>
        <w:autoSpaceDN w:val="0"/>
        <w:adjustRightInd w:val="0"/>
        <w:ind w:right="-694"/>
        <w:rPr>
          <w:color w:val="000000"/>
          <w:u w:val="single"/>
        </w:rPr>
      </w:pPr>
      <w:r>
        <w:rPr>
          <w:color w:val="000000"/>
          <w:u w:val="single"/>
        </w:rPr>
        <w:t>Storage conditions</w:t>
      </w:r>
    </w:p>
    <w:p w:rsidR="00A254F9" w:rsidRDefault="00A254F9" w:rsidP="00A254F9">
      <w:pPr>
        <w:autoSpaceDE w:val="0"/>
        <w:autoSpaceDN w:val="0"/>
        <w:adjustRightInd w:val="0"/>
        <w:ind w:right="-694"/>
        <w:rPr>
          <w:color w:val="000000"/>
          <w:u w:val="single"/>
        </w:rPr>
      </w:pPr>
      <w:r w:rsidRPr="00600475">
        <w:rPr>
          <w:color w:val="000000"/>
        </w:rPr>
        <w:t>Store in a refrigerator (2</w:t>
      </w:r>
      <w:r>
        <w:rPr>
          <w:color w:val="000000"/>
          <w:vertAlign w:val="superscript"/>
        </w:rPr>
        <w:t>o</w:t>
      </w:r>
      <w:r w:rsidRPr="00600475">
        <w:rPr>
          <w:color w:val="000000"/>
        </w:rPr>
        <w:t>C</w:t>
      </w:r>
      <w:r w:rsidR="00F4378C">
        <w:rPr>
          <w:color w:val="000000"/>
        </w:rPr>
        <w:t xml:space="preserve"> </w:t>
      </w:r>
      <w:r w:rsidRPr="00600475">
        <w:rPr>
          <w:color w:val="000000"/>
        </w:rPr>
        <w:t>– 8</w:t>
      </w:r>
      <w:r>
        <w:rPr>
          <w:color w:val="000000"/>
          <w:vertAlign w:val="superscript"/>
        </w:rPr>
        <w:t>o</w:t>
      </w:r>
      <w:r w:rsidRPr="00600475">
        <w:rPr>
          <w:color w:val="000000"/>
        </w:rPr>
        <w:t>C).</w:t>
      </w:r>
      <w:r>
        <w:rPr>
          <w:color w:val="000000"/>
        </w:rPr>
        <w:t xml:space="preserve">  Keep the vial in its </w:t>
      </w:r>
      <w:r w:rsidR="00FB2BBA">
        <w:rPr>
          <w:color w:val="000000"/>
        </w:rPr>
        <w:t xml:space="preserve">outer </w:t>
      </w:r>
      <w:r w:rsidRPr="00600475">
        <w:rPr>
          <w:color w:val="000000"/>
        </w:rPr>
        <w:t>carton</w:t>
      </w:r>
      <w:r w:rsidR="009D606C">
        <w:rPr>
          <w:color w:val="000000"/>
        </w:rPr>
        <w:t xml:space="preserve"> </w:t>
      </w:r>
      <w:r w:rsidRPr="00600475">
        <w:rPr>
          <w:color w:val="000000"/>
        </w:rPr>
        <w:t xml:space="preserve">to protect </w:t>
      </w:r>
      <w:r>
        <w:rPr>
          <w:color w:val="000000"/>
        </w:rPr>
        <w:t xml:space="preserve">it </w:t>
      </w:r>
      <w:r w:rsidRPr="00600475">
        <w:rPr>
          <w:color w:val="000000"/>
        </w:rPr>
        <w:t>from light.</w:t>
      </w:r>
      <w:r w:rsidR="00970EB6">
        <w:rPr>
          <w:color w:val="000000"/>
        </w:rPr>
        <w:t xml:space="preserve">  </w:t>
      </w:r>
      <w:r w:rsidR="00112230">
        <w:rPr>
          <w:color w:val="000000"/>
        </w:rPr>
        <w:t>Unopen</w:t>
      </w:r>
      <w:r w:rsidR="009B295D">
        <w:rPr>
          <w:color w:val="000000"/>
        </w:rPr>
        <w:t>ed</w:t>
      </w:r>
      <w:r w:rsidR="00112230">
        <w:rPr>
          <w:color w:val="000000"/>
        </w:rPr>
        <w:t xml:space="preserve"> vials are stable if stored in the original carton</w:t>
      </w:r>
      <w:r w:rsidR="00FB2BBA">
        <w:rPr>
          <w:color w:val="000000"/>
        </w:rPr>
        <w:t xml:space="preserve"> for a single period </w:t>
      </w:r>
      <w:r w:rsidR="00112230">
        <w:rPr>
          <w:color w:val="000000"/>
        </w:rPr>
        <w:t>at up to 30</w:t>
      </w:r>
      <w:r w:rsidR="00112230" w:rsidRPr="00D36B42">
        <w:rPr>
          <w:color w:val="000000"/>
          <w:vertAlign w:val="superscript"/>
        </w:rPr>
        <w:t>o</w:t>
      </w:r>
      <w:r w:rsidR="00112230">
        <w:rPr>
          <w:color w:val="000000"/>
        </w:rPr>
        <w:t>C for 120 hours.  Any vials left at 30</w:t>
      </w:r>
      <w:r w:rsidR="00112230" w:rsidRPr="00D36B42">
        <w:rPr>
          <w:color w:val="000000"/>
          <w:vertAlign w:val="superscript"/>
        </w:rPr>
        <w:t>o</w:t>
      </w:r>
      <w:r w:rsidR="00112230">
        <w:rPr>
          <w:color w:val="000000"/>
        </w:rPr>
        <w:t>C for longer than 120 hours should be discarded</w:t>
      </w:r>
      <w:r>
        <w:rPr>
          <w:color w:val="000000"/>
        </w:rPr>
        <w:t>.</w:t>
      </w:r>
      <w:r w:rsidR="00970EB6">
        <w:rPr>
          <w:color w:val="000000"/>
        </w:rPr>
        <w:t xml:space="preserve">  </w:t>
      </w:r>
      <w:r>
        <w:rPr>
          <w:color w:val="000000"/>
        </w:rPr>
        <w:t>FOLOTYN</w:t>
      </w:r>
      <w:r w:rsidRPr="00600475">
        <w:rPr>
          <w:color w:val="000000"/>
        </w:rPr>
        <w:t xml:space="preserve"> should be used immediately</w:t>
      </w:r>
      <w:r w:rsidRPr="00DD6E54">
        <w:rPr>
          <w:color w:val="000000"/>
        </w:rPr>
        <w:t xml:space="preserve"> </w:t>
      </w:r>
      <w:r>
        <w:rPr>
          <w:color w:val="000000"/>
        </w:rPr>
        <w:t>a</w:t>
      </w:r>
      <w:r w:rsidRPr="00600475">
        <w:rPr>
          <w:color w:val="000000"/>
        </w:rPr>
        <w:t>fter opening the vial</w:t>
      </w:r>
      <w:r w:rsidR="00FB2BBA">
        <w:rPr>
          <w:color w:val="000000"/>
        </w:rPr>
        <w:t xml:space="preserve"> and any unused portion should be discarded</w:t>
      </w:r>
      <w:r w:rsidRPr="00600475">
        <w:rPr>
          <w:color w:val="000000"/>
        </w:rPr>
        <w:t>.</w:t>
      </w:r>
    </w:p>
    <w:p w:rsidR="00C73769" w:rsidRDefault="00C73769" w:rsidP="00173E07">
      <w:pPr>
        <w:autoSpaceDE w:val="0"/>
        <w:autoSpaceDN w:val="0"/>
        <w:adjustRightInd w:val="0"/>
        <w:ind w:right="-694"/>
        <w:rPr>
          <w:b/>
          <w:color w:val="000000"/>
        </w:rPr>
      </w:pPr>
    </w:p>
    <w:p w:rsidR="00FB7F1B" w:rsidRDefault="00FB7F1B" w:rsidP="00FB7F1B">
      <w:pPr>
        <w:autoSpaceDE w:val="0"/>
        <w:autoSpaceDN w:val="0"/>
        <w:adjustRightInd w:val="0"/>
        <w:ind w:right="-694"/>
        <w:rPr>
          <w:color w:val="000000"/>
        </w:rPr>
      </w:pPr>
      <w:r>
        <w:rPr>
          <w:b/>
          <w:bCs/>
          <w:color w:val="000000"/>
        </w:rPr>
        <w:t>NAME AND ADDRESS OF THE SPONSOR</w:t>
      </w:r>
    </w:p>
    <w:p w:rsidR="00FB7F1B" w:rsidRDefault="00FB7F1B" w:rsidP="00FB7F1B">
      <w:pPr>
        <w:autoSpaceDE w:val="0"/>
        <w:autoSpaceDN w:val="0"/>
        <w:adjustRightInd w:val="0"/>
        <w:ind w:right="-694"/>
        <w:rPr>
          <w:bCs/>
          <w:color w:val="000000"/>
        </w:rPr>
      </w:pPr>
      <w:r>
        <w:rPr>
          <w:bCs/>
          <w:color w:val="000000"/>
        </w:rPr>
        <w:t>Mundipharma Pty Limited</w:t>
      </w:r>
    </w:p>
    <w:p w:rsidR="00FB7F1B" w:rsidRDefault="00FB7F1B" w:rsidP="00FB7F1B">
      <w:pPr>
        <w:autoSpaceDE w:val="0"/>
        <w:autoSpaceDN w:val="0"/>
        <w:adjustRightInd w:val="0"/>
        <w:ind w:right="-694"/>
        <w:rPr>
          <w:bCs/>
          <w:color w:val="000000"/>
        </w:rPr>
      </w:pPr>
      <w:r>
        <w:rPr>
          <w:bCs/>
          <w:color w:val="000000"/>
        </w:rPr>
        <w:t>ABN 87 081 322 509</w:t>
      </w:r>
    </w:p>
    <w:p w:rsidR="00FB7F1B" w:rsidRDefault="00FB7F1B" w:rsidP="00FB7F1B">
      <w:pPr>
        <w:autoSpaceDE w:val="0"/>
        <w:autoSpaceDN w:val="0"/>
        <w:adjustRightInd w:val="0"/>
        <w:ind w:right="-694"/>
        <w:rPr>
          <w:bCs/>
          <w:color w:val="000000"/>
        </w:rPr>
      </w:pPr>
      <w:smartTag w:uri="urn:schemas-microsoft-com:office:smarttags" w:element="Street">
        <w:smartTag w:uri="urn:schemas-microsoft-com:office:smarttags" w:element="address">
          <w:r>
            <w:rPr>
              <w:bCs/>
              <w:color w:val="000000"/>
            </w:rPr>
            <w:t>50 Bridge Street</w:t>
          </w:r>
        </w:smartTag>
      </w:smartTag>
    </w:p>
    <w:p w:rsidR="00FB7F1B" w:rsidRPr="009463B0" w:rsidRDefault="00FB7F1B" w:rsidP="00FB7F1B">
      <w:pPr>
        <w:autoSpaceDE w:val="0"/>
        <w:autoSpaceDN w:val="0"/>
        <w:adjustRightInd w:val="0"/>
        <w:ind w:right="-694"/>
        <w:rPr>
          <w:bCs/>
          <w:color w:val="000000"/>
        </w:rPr>
      </w:pPr>
      <w:smartTag w:uri="urn:schemas-microsoft-com:office:smarttags" w:element="place">
        <w:smartTag w:uri="urn:schemas-microsoft-com:office:smarttags" w:element="City">
          <w:r>
            <w:rPr>
              <w:bCs/>
              <w:color w:val="000000"/>
            </w:rPr>
            <w:t>SYDNEY</w:t>
          </w:r>
        </w:smartTag>
      </w:smartTag>
      <w:r>
        <w:rPr>
          <w:bCs/>
          <w:color w:val="000000"/>
        </w:rPr>
        <w:t xml:space="preserve">  NSW  2000</w:t>
      </w:r>
    </w:p>
    <w:p w:rsidR="00FB7F1B" w:rsidRDefault="00FB7F1B" w:rsidP="00173E07">
      <w:pPr>
        <w:autoSpaceDE w:val="0"/>
        <w:autoSpaceDN w:val="0"/>
        <w:adjustRightInd w:val="0"/>
        <w:ind w:right="-694"/>
        <w:rPr>
          <w:b/>
          <w:color w:val="000000"/>
        </w:rPr>
      </w:pPr>
    </w:p>
    <w:p w:rsidR="00FB7F1B" w:rsidRDefault="00FB7F1B" w:rsidP="00173E07">
      <w:pPr>
        <w:autoSpaceDE w:val="0"/>
        <w:autoSpaceDN w:val="0"/>
        <w:adjustRightInd w:val="0"/>
        <w:ind w:right="-694"/>
        <w:rPr>
          <w:b/>
          <w:color w:val="000000"/>
        </w:rPr>
      </w:pPr>
    </w:p>
    <w:p w:rsidR="005355F2" w:rsidRDefault="009463B0" w:rsidP="00173E07">
      <w:pPr>
        <w:autoSpaceDE w:val="0"/>
        <w:autoSpaceDN w:val="0"/>
        <w:adjustRightInd w:val="0"/>
        <w:ind w:right="-694"/>
        <w:rPr>
          <w:color w:val="000000"/>
        </w:rPr>
      </w:pPr>
      <w:r w:rsidRPr="009463B0">
        <w:rPr>
          <w:b/>
          <w:color w:val="000000"/>
        </w:rPr>
        <w:t>POISON SCHEDULE</w:t>
      </w:r>
      <w:r w:rsidR="00FB7F1B">
        <w:rPr>
          <w:b/>
          <w:color w:val="000000"/>
        </w:rPr>
        <w:t xml:space="preserve"> OF THE MEDICINE</w:t>
      </w:r>
      <w:r>
        <w:rPr>
          <w:color w:val="000000"/>
        </w:rPr>
        <w:tab/>
        <w:t>S4</w:t>
      </w:r>
    </w:p>
    <w:p w:rsidR="009C088A" w:rsidRDefault="009C088A" w:rsidP="00173E07">
      <w:pPr>
        <w:autoSpaceDE w:val="0"/>
        <w:autoSpaceDN w:val="0"/>
        <w:adjustRightInd w:val="0"/>
        <w:ind w:right="-694"/>
        <w:rPr>
          <w:b/>
          <w:bCs/>
          <w:color w:val="000000"/>
        </w:rPr>
      </w:pPr>
    </w:p>
    <w:p w:rsidR="005355F2" w:rsidRDefault="0002134C" w:rsidP="00173E07">
      <w:pPr>
        <w:autoSpaceDE w:val="0"/>
        <w:autoSpaceDN w:val="0"/>
        <w:adjustRightInd w:val="0"/>
        <w:ind w:right="-694"/>
        <w:rPr>
          <w:color w:val="000000"/>
        </w:rPr>
      </w:pPr>
      <w:r w:rsidRPr="00600475">
        <w:rPr>
          <w:b/>
          <w:bCs/>
          <w:color w:val="000000"/>
        </w:rPr>
        <w:t>DATE</w:t>
      </w:r>
      <w:r w:rsidR="0096396A">
        <w:rPr>
          <w:b/>
          <w:bCs/>
          <w:color w:val="000000"/>
        </w:rPr>
        <w:t xml:space="preserve"> OF FIRST INCLUSION </w:t>
      </w:r>
      <w:r w:rsidR="00FB7F1B">
        <w:rPr>
          <w:b/>
          <w:bCs/>
          <w:color w:val="000000"/>
        </w:rPr>
        <w:t>IN THE</w:t>
      </w:r>
      <w:r w:rsidR="0096396A">
        <w:rPr>
          <w:b/>
          <w:bCs/>
          <w:color w:val="000000"/>
        </w:rPr>
        <w:t xml:space="preserve"> ARTG</w:t>
      </w:r>
      <w:r w:rsidRPr="00600475">
        <w:rPr>
          <w:b/>
          <w:bCs/>
          <w:color w:val="000000"/>
        </w:rPr>
        <w:t xml:space="preserve"> </w:t>
      </w:r>
      <w:r w:rsidR="00D05F86">
        <w:rPr>
          <w:color w:val="000000"/>
        </w:rPr>
        <w:tab/>
      </w:r>
      <w:r w:rsidR="00D05F86">
        <w:rPr>
          <w:color w:val="000000"/>
        </w:rPr>
        <w:tab/>
      </w:r>
      <w:r w:rsidR="005D1B32">
        <w:rPr>
          <w:color w:val="000000"/>
        </w:rPr>
        <w:t xml:space="preserve">26 February 2015 </w:t>
      </w:r>
    </w:p>
    <w:p w:rsidR="008614F5" w:rsidRDefault="008614F5" w:rsidP="00173E07">
      <w:pPr>
        <w:autoSpaceDE w:val="0"/>
        <w:autoSpaceDN w:val="0"/>
        <w:adjustRightInd w:val="0"/>
        <w:ind w:right="-694"/>
        <w:rPr>
          <w:b/>
          <w:bCs/>
          <w:color w:val="000000"/>
        </w:rPr>
      </w:pPr>
    </w:p>
    <w:p w:rsidR="005355F2" w:rsidRDefault="0002134C" w:rsidP="00173E07">
      <w:pPr>
        <w:autoSpaceDE w:val="0"/>
        <w:autoSpaceDN w:val="0"/>
        <w:adjustRightInd w:val="0"/>
        <w:ind w:right="-694"/>
        <w:rPr>
          <w:color w:val="000000"/>
        </w:rPr>
      </w:pPr>
      <w:r w:rsidRPr="00600475">
        <w:rPr>
          <w:b/>
          <w:bCs/>
          <w:color w:val="000000"/>
        </w:rPr>
        <w:t xml:space="preserve">DATE OF </w:t>
      </w:r>
      <w:r w:rsidR="0096396A">
        <w:rPr>
          <w:b/>
          <w:bCs/>
          <w:color w:val="000000"/>
        </w:rPr>
        <w:t xml:space="preserve">MOST RECENT </w:t>
      </w:r>
      <w:r w:rsidR="009463B0">
        <w:rPr>
          <w:b/>
          <w:bCs/>
          <w:color w:val="000000"/>
        </w:rPr>
        <w:t>AMENDMENT</w:t>
      </w:r>
      <w:r w:rsidR="005D1B32">
        <w:rPr>
          <w:color w:val="000000"/>
        </w:rPr>
        <w:tab/>
      </w:r>
      <w:r w:rsidR="005D1B32">
        <w:rPr>
          <w:color w:val="000000"/>
        </w:rPr>
        <w:tab/>
        <w:t>Not applicable</w:t>
      </w:r>
    </w:p>
    <w:p w:rsidR="005F0F38" w:rsidRDefault="005F0F38" w:rsidP="00173E07">
      <w:pPr>
        <w:autoSpaceDE w:val="0"/>
        <w:autoSpaceDN w:val="0"/>
        <w:adjustRightInd w:val="0"/>
        <w:ind w:right="-694"/>
        <w:rPr>
          <w:color w:val="000000"/>
        </w:rPr>
      </w:pPr>
    </w:p>
    <w:p w:rsidR="00BD1FC3" w:rsidRPr="005F0F38" w:rsidRDefault="005F0F38" w:rsidP="00173E07">
      <w:pPr>
        <w:autoSpaceDE w:val="0"/>
        <w:autoSpaceDN w:val="0"/>
        <w:adjustRightInd w:val="0"/>
        <w:ind w:right="-694"/>
        <w:rPr>
          <w:color w:val="000000"/>
        </w:rPr>
      </w:pPr>
      <w:r w:rsidRPr="005F0F38">
        <w:t xml:space="preserve">® FOLOTYN is a registered trade mark owned by </w:t>
      </w:r>
      <w:proofErr w:type="spellStart"/>
      <w:r w:rsidRPr="005F0F38">
        <w:t>Allos</w:t>
      </w:r>
      <w:proofErr w:type="spellEnd"/>
      <w:r w:rsidRPr="005F0F38">
        <w:t xml:space="preserve"> Therapeutics Inc. and used by Mundipharma as Authorised User</w:t>
      </w:r>
    </w:p>
    <w:sectPr w:rsidR="00BD1FC3" w:rsidRPr="005F0F38" w:rsidSect="004D2B6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84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E2C" w:rsidRDefault="000A3E2C">
      <w:r>
        <w:separator/>
      </w:r>
    </w:p>
  </w:endnote>
  <w:endnote w:type="continuationSeparator" w:id="0">
    <w:p w:rsidR="000A3E2C" w:rsidRDefault="000A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MS Mincho"/>
    <w:panose1 w:val="00000000000000000000"/>
    <w:charset w:val="00"/>
    <w:family w:val="roman"/>
    <w:notTrueType/>
    <w:pitch w:val="default"/>
    <w:sig w:usb0="00000003" w:usb1="08070000" w:usb2="00000010" w:usb3="00000000" w:csb0="0002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AB0" w:rsidRDefault="000D2AB0" w:rsidP="00C030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2AB0" w:rsidRDefault="000D2AB0" w:rsidP="0054286B">
    <w:pPr>
      <w:pStyle w:val="Footer"/>
      <w:ind w:right="360"/>
    </w:pPr>
  </w:p>
  <w:p w:rsidR="000D2AB0" w:rsidRDefault="000D2AB0"/>
  <w:p w:rsidR="000D2AB0" w:rsidRDefault="000D2AB0"/>
  <w:p w:rsidR="000D2AB0" w:rsidRDefault="000D2AB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AB0" w:rsidRPr="00DA45B8" w:rsidRDefault="000D2AB0" w:rsidP="00DA45B8">
    <w:pPr>
      <w:pStyle w:val="Footer"/>
      <w:framePr w:wrap="around" w:vAnchor="text" w:hAnchor="margin" w:xAlign="right" w:y="1"/>
      <w:pBdr>
        <w:top w:val="single" w:sz="4" w:space="1" w:color="auto"/>
      </w:pBdr>
      <w:rPr>
        <w:rStyle w:val="PageNumber"/>
        <w:sz w:val="20"/>
        <w:szCs w:val="20"/>
      </w:rPr>
    </w:pPr>
    <w:r w:rsidRPr="00DA45B8">
      <w:rPr>
        <w:rStyle w:val="PageNumber"/>
        <w:sz w:val="20"/>
        <w:szCs w:val="20"/>
      </w:rPr>
      <w:t xml:space="preserve">Page </w:t>
    </w:r>
    <w:r w:rsidRPr="00DA45B8">
      <w:rPr>
        <w:rStyle w:val="PageNumber"/>
        <w:sz w:val="20"/>
        <w:szCs w:val="20"/>
      </w:rPr>
      <w:fldChar w:fldCharType="begin"/>
    </w:r>
    <w:r w:rsidRPr="00DA45B8">
      <w:rPr>
        <w:rStyle w:val="PageNumber"/>
        <w:sz w:val="20"/>
        <w:szCs w:val="20"/>
      </w:rPr>
      <w:instrText xml:space="preserve"> PAGE </w:instrText>
    </w:r>
    <w:r w:rsidRPr="00DA45B8">
      <w:rPr>
        <w:rStyle w:val="PageNumber"/>
        <w:sz w:val="20"/>
        <w:szCs w:val="20"/>
      </w:rPr>
      <w:fldChar w:fldCharType="separate"/>
    </w:r>
    <w:r w:rsidR="006835D7">
      <w:rPr>
        <w:rStyle w:val="PageNumber"/>
        <w:noProof/>
        <w:sz w:val="20"/>
        <w:szCs w:val="20"/>
      </w:rPr>
      <w:t>17</w:t>
    </w:r>
    <w:r w:rsidRPr="00DA45B8">
      <w:rPr>
        <w:rStyle w:val="PageNumber"/>
        <w:sz w:val="20"/>
        <w:szCs w:val="20"/>
      </w:rPr>
      <w:fldChar w:fldCharType="end"/>
    </w:r>
    <w:r w:rsidRPr="00DA45B8">
      <w:rPr>
        <w:rStyle w:val="PageNumber"/>
        <w:sz w:val="20"/>
        <w:szCs w:val="20"/>
      </w:rPr>
      <w:t xml:space="preserve"> of </w:t>
    </w:r>
    <w:r w:rsidRPr="00DA45B8">
      <w:rPr>
        <w:rStyle w:val="PageNumber"/>
        <w:sz w:val="20"/>
        <w:szCs w:val="20"/>
      </w:rPr>
      <w:fldChar w:fldCharType="begin"/>
    </w:r>
    <w:r w:rsidRPr="00DA45B8">
      <w:rPr>
        <w:rStyle w:val="PageNumber"/>
        <w:sz w:val="20"/>
        <w:szCs w:val="20"/>
      </w:rPr>
      <w:instrText xml:space="preserve"> NUMPAGES </w:instrText>
    </w:r>
    <w:r w:rsidRPr="00DA45B8">
      <w:rPr>
        <w:rStyle w:val="PageNumber"/>
        <w:sz w:val="20"/>
        <w:szCs w:val="20"/>
      </w:rPr>
      <w:fldChar w:fldCharType="separate"/>
    </w:r>
    <w:r w:rsidR="006835D7">
      <w:rPr>
        <w:rStyle w:val="PageNumber"/>
        <w:noProof/>
        <w:sz w:val="20"/>
        <w:szCs w:val="20"/>
      </w:rPr>
      <w:t>17</w:t>
    </w:r>
    <w:r w:rsidRPr="00DA45B8">
      <w:rPr>
        <w:rStyle w:val="PageNumber"/>
        <w:sz w:val="20"/>
        <w:szCs w:val="20"/>
      </w:rPr>
      <w:fldChar w:fldCharType="end"/>
    </w:r>
    <w:r w:rsidRPr="00DA45B8">
      <w:rPr>
        <w:rStyle w:val="PageNumber"/>
        <w:sz w:val="20"/>
        <w:szCs w:val="20"/>
      </w:rPr>
      <w:t xml:space="preserve"> </w:t>
    </w:r>
  </w:p>
  <w:p w:rsidR="000D2AB0" w:rsidRPr="00DA45B8" w:rsidRDefault="000D2AB0" w:rsidP="00DA45B8">
    <w:pPr>
      <w:pStyle w:val="Footer"/>
      <w:pBdr>
        <w:top w:val="single" w:sz="4" w:space="1" w:color="auto"/>
      </w:pBdr>
      <w:ind w:right="360"/>
      <w:rPr>
        <w:sz w:val="20"/>
        <w:szCs w:val="20"/>
      </w:rPr>
    </w:pPr>
    <w:r w:rsidRPr="00DA45B8">
      <w:rPr>
        <w:sz w:val="20"/>
        <w:szCs w:val="20"/>
      </w:rPr>
      <w:t>FOLOTYN solution for infusion 20mg/mL P</w:t>
    </w:r>
    <w:r>
      <w:rPr>
        <w:sz w:val="20"/>
        <w:szCs w:val="20"/>
      </w:rPr>
      <w:t xml:space="preserve">roduct </w:t>
    </w:r>
    <w:r w:rsidRPr="00DA45B8">
      <w:rPr>
        <w:sz w:val="20"/>
        <w:szCs w:val="20"/>
      </w:rPr>
      <w:t>I</w:t>
    </w:r>
    <w:r>
      <w:rPr>
        <w:sz w:val="20"/>
        <w:szCs w:val="20"/>
      </w:rPr>
      <w:t>nformation</w:t>
    </w:r>
    <w:r w:rsidRPr="00DA45B8">
      <w:rPr>
        <w:sz w:val="20"/>
        <w:szCs w:val="20"/>
      </w:rPr>
      <w:t xml:space="preserve"> (</w:t>
    </w:r>
    <w:r w:rsidR="005D1B32">
      <w:rPr>
        <w:sz w:val="20"/>
        <w:szCs w:val="20"/>
      </w:rPr>
      <w:t>26 Feb 2015)</w:t>
    </w:r>
  </w:p>
  <w:p w:rsidR="000D2AB0" w:rsidRDefault="001C4780" w:rsidP="00965954">
    <w:pPr>
      <w:pStyle w:val="Footer"/>
      <w:ind w:right="360"/>
    </w:pPr>
    <w:r>
      <w:rPr>
        <w:sz w:val="20"/>
        <w:szCs w:val="20"/>
      </w:rPr>
      <w:t>m</w:t>
    </w:r>
    <w:r w:rsidRPr="00DA45B8">
      <w:rPr>
        <w:sz w:val="20"/>
        <w:szCs w:val="20"/>
      </w:rPr>
      <w:t>fpfolot</w:t>
    </w:r>
    <w:r>
      <w:rPr>
        <w:sz w:val="20"/>
        <w:szCs w:val="20"/>
      </w:rPr>
      <w:t>20215</w:t>
    </w:r>
  </w:p>
  <w:p w:rsidR="000D2AB0" w:rsidRDefault="000D2AB0"/>
  <w:p w:rsidR="000D2AB0" w:rsidRDefault="000D2AB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780" w:rsidRDefault="001C4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E2C" w:rsidRDefault="000A3E2C">
      <w:r>
        <w:separator/>
      </w:r>
    </w:p>
  </w:footnote>
  <w:footnote w:type="continuationSeparator" w:id="0">
    <w:p w:rsidR="000A3E2C" w:rsidRDefault="000A3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780" w:rsidRDefault="001C4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522"/>
    </w:tblGrid>
    <w:tr w:rsidR="004D2B64" w:rsidRPr="000B2145" w:rsidTr="00026D23">
      <w:trPr>
        <w:trHeight w:val="590"/>
      </w:trPr>
      <w:tc>
        <w:tcPr>
          <w:tcW w:w="8720" w:type="dxa"/>
          <w:shd w:val="clear" w:color="auto" w:fill="E4F2E0"/>
        </w:tcPr>
        <w:p w:rsidR="004D2B64" w:rsidRPr="000B2145" w:rsidRDefault="004D2B64" w:rsidP="004D2B64">
          <w:pPr>
            <w:pStyle w:val="Footer"/>
            <w:rPr>
              <w:b/>
              <w:sz w:val="18"/>
              <w:szCs w:val="18"/>
            </w:rPr>
          </w:pPr>
          <w:r w:rsidRPr="00EA0C3C">
            <w:rPr>
              <w:b/>
              <w:sz w:val="18"/>
              <w:szCs w:val="18"/>
            </w:rPr>
            <w:t>Attachment 1:</w:t>
          </w:r>
          <w:r>
            <w:rPr>
              <w:b/>
              <w:sz w:val="18"/>
              <w:szCs w:val="18"/>
            </w:rPr>
            <w:t xml:space="preserve"> </w:t>
          </w:r>
          <w:r w:rsidRPr="00FB753E">
            <w:rPr>
              <w:b/>
              <w:sz w:val="18"/>
              <w:szCs w:val="18"/>
            </w:rPr>
            <w:t>AusPAR Folotyn Pralatrexate Mundipharma Pty Ltd PM-2011-03153-3-4</w:t>
          </w:r>
          <w:r>
            <w:rPr>
              <w:b/>
              <w:sz w:val="18"/>
              <w:szCs w:val="18"/>
            </w:rPr>
            <w:t xml:space="preserve"> </w:t>
          </w:r>
          <w:r w:rsidRPr="00FB753E">
            <w:rPr>
              <w:b/>
              <w:sz w:val="18"/>
              <w:szCs w:val="18"/>
            </w:rPr>
            <w:t>Final 22 August 2013 Updated August 2017</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rsidR="001C4780" w:rsidRDefault="001C47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780" w:rsidRDefault="001C47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134C"/>
    <w:rsid w:val="0000031A"/>
    <w:rsid w:val="00000B0A"/>
    <w:rsid w:val="000020A9"/>
    <w:rsid w:val="00003036"/>
    <w:rsid w:val="00003E4F"/>
    <w:rsid w:val="000041E5"/>
    <w:rsid w:val="000049EE"/>
    <w:rsid w:val="00005653"/>
    <w:rsid w:val="00005D53"/>
    <w:rsid w:val="00006CB3"/>
    <w:rsid w:val="00006FE7"/>
    <w:rsid w:val="00007C6A"/>
    <w:rsid w:val="00007E8E"/>
    <w:rsid w:val="0001041C"/>
    <w:rsid w:val="0001065A"/>
    <w:rsid w:val="000108F3"/>
    <w:rsid w:val="00010DB1"/>
    <w:rsid w:val="00010E0B"/>
    <w:rsid w:val="000119A7"/>
    <w:rsid w:val="000119D8"/>
    <w:rsid w:val="00012A83"/>
    <w:rsid w:val="00012B2E"/>
    <w:rsid w:val="00012E19"/>
    <w:rsid w:val="00013176"/>
    <w:rsid w:val="00013955"/>
    <w:rsid w:val="00013B22"/>
    <w:rsid w:val="000143E3"/>
    <w:rsid w:val="00014826"/>
    <w:rsid w:val="00014944"/>
    <w:rsid w:val="00014BAF"/>
    <w:rsid w:val="000157F8"/>
    <w:rsid w:val="00015EF6"/>
    <w:rsid w:val="0001699D"/>
    <w:rsid w:val="00017174"/>
    <w:rsid w:val="0002104D"/>
    <w:rsid w:val="0002134C"/>
    <w:rsid w:val="0002196A"/>
    <w:rsid w:val="00021CBC"/>
    <w:rsid w:val="00022105"/>
    <w:rsid w:val="00022416"/>
    <w:rsid w:val="00022A1B"/>
    <w:rsid w:val="00022A88"/>
    <w:rsid w:val="000230F7"/>
    <w:rsid w:val="000231BF"/>
    <w:rsid w:val="000239E1"/>
    <w:rsid w:val="000254E1"/>
    <w:rsid w:val="00025FB7"/>
    <w:rsid w:val="000266DD"/>
    <w:rsid w:val="00026769"/>
    <w:rsid w:val="0002722F"/>
    <w:rsid w:val="00027B81"/>
    <w:rsid w:val="00027DA1"/>
    <w:rsid w:val="00030224"/>
    <w:rsid w:val="00030878"/>
    <w:rsid w:val="000317C2"/>
    <w:rsid w:val="00032108"/>
    <w:rsid w:val="00032CFF"/>
    <w:rsid w:val="000332F5"/>
    <w:rsid w:val="0003494D"/>
    <w:rsid w:val="00034C6A"/>
    <w:rsid w:val="000350CD"/>
    <w:rsid w:val="000359E0"/>
    <w:rsid w:val="00035E6A"/>
    <w:rsid w:val="0003604C"/>
    <w:rsid w:val="000363D4"/>
    <w:rsid w:val="0003677C"/>
    <w:rsid w:val="000367EC"/>
    <w:rsid w:val="00036EB1"/>
    <w:rsid w:val="0003720F"/>
    <w:rsid w:val="00037F18"/>
    <w:rsid w:val="000403D3"/>
    <w:rsid w:val="00041896"/>
    <w:rsid w:val="00041E5C"/>
    <w:rsid w:val="00041F48"/>
    <w:rsid w:val="00041F73"/>
    <w:rsid w:val="000422CA"/>
    <w:rsid w:val="00043F95"/>
    <w:rsid w:val="00044317"/>
    <w:rsid w:val="00044515"/>
    <w:rsid w:val="0004486A"/>
    <w:rsid w:val="00044FA8"/>
    <w:rsid w:val="00047243"/>
    <w:rsid w:val="00047970"/>
    <w:rsid w:val="00047DA3"/>
    <w:rsid w:val="00050324"/>
    <w:rsid w:val="00050FD7"/>
    <w:rsid w:val="0005106D"/>
    <w:rsid w:val="0005182C"/>
    <w:rsid w:val="00051936"/>
    <w:rsid w:val="00051ACE"/>
    <w:rsid w:val="00051B0E"/>
    <w:rsid w:val="00051D5A"/>
    <w:rsid w:val="00052EBB"/>
    <w:rsid w:val="00052F76"/>
    <w:rsid w:val="00054220"/>
    <w:rsid w:val="00054989"/>
    <w:rsid w:val="00054D78"/>
    <w:rsid w:val="000556A3"/>
    <w:rsid w:val="000564CC"/>
    <w:rsid w:val="00056780"/>
    <w:rsid w:val="000568A8"/>
    <w:rsid w:val="0005695E"/>
    <w:rsid w:val="00056C59"/>
    <w:rsid w:val="00056C7F"/>
    <w:rsid w:val="00057518"/>
    <w:rsid w:val="000600DF"/>
    <w:rsid w:val="00060EC7"/>
    <w:rsid w:val="00060F2D"/>
    <w:rsid w:val="00061656"/>
    <w:rsid w:val="00061CDB"/>
    <w:rsid w:val="000620FB"/>
    <w:rsid w:val="00062912"/>
    <w:rsid w:val="0006384B"/>
    <w:rsid w:val="00063A28"/>
    <w:rsid w:val="00063F84"/>
    <w:rsid w:val="0006409A"/>
    <w:rsid w:val="00064BEA"/>
    <w:rsid w:val="000658A7"/>
    <w:rsid w:val="00065A1C"/>
    <w:rsid w:val="0006606E"/>
    <w:rsid w:val="00067399"/>
    <w:rsid w:val="0006782B"/>
    <w:rsid w:val="00070BFB"/>
    <w:rsid w:val="00072D6A"/>
    <w:rsid w:val="00074A1C"/>
    <w:rsid w:val="00074AE5"/>
    <w:rsid w:val="0007525E"/>
    <w:rsid w:val="000757B5"/>
    <w:rsid w:val="00075972"/>
    <w:rsid w:val="0007711E"/>
    <w:rsid w:val="00077A71"/>
    <w:rsid w:val="000800B1"/>
    <w:rsid w:val="00081497"/>
    <w:rsid w:val="00081850"/>
    <w:rsid w:val="0008283A"/>
    <w:rsid w:val="00082B09"/>
    <w:rsid w:val="000830A6"/>
    <w:rsid w:val="0008357E"/>
    <w:rsid w:val="0008653A"/>
    <w:rsid w:val="0008678D"/>
    <w:rsid w:val="00086F59"/>
    <w:rsid w:val="000875B7"/>
    <w:rsid w:val="0008763E"/>
    <w:rsid w:val="00087B59"/>
    <w:rsid w:val="00087FFC"/>
    <w:rsid w:val="00090D11"/>
    <w:rsid w:val="000910A4"/>
    <w:rsid w:val="000914D2"/>
    <w:rsid w:val="00091AF0"/>
    <w:rsid w:val="00092329"/>
    <w:rsid w:val="00092C70"/>
    <w:rsid w:val="000933C0"/>
    <w:rsid w:val="00093890"/>
    <w:rsid w:val="000939BA"/>
    <w:rsid w:val="00093F7D"/>
    <w:rsid w:val="00094297"/>
    <w:rsid w:val="000979E8"/>
    <w:rsid w:val="000A0BA2"/>
    <w:rsid w:val="000A1023"/>
    <w:rsid w:val="000A1BE4"/>
    <w:rsid w:val="000A1F70"/>
    <w:rsid w:val="000A2235"/>
    <w:rsid w:val="000A25B4"/>
    <w:rsid w:val="000A2650"/>
    <w:rsid w:val="000A399F"/>
    <w:rsid w:val="000A3E2C"/>
    <w:rsid w:val="000A4949"/>
    <w:rsid w:val="000A4D37"/>
    <w:rsid w:val="000A5E62"/>
    <w:rsid w:val="000A6580"/>
    <w:rsid w:val="000A6634"/>
    <w:rsid w:val="000A756C"/>
    <w:rsid w:val="000B059D"/>
    <w:rsid w:val="000B07EC"/>
    <w:rsid w:val="000B0EFB"/>
    <w:rsid w:val="000B157C"/>
    <w:rsid w:val="000B1940"/>
    <w:rsid w:val="000B1FBD"/>
    <w:rsid w:val="000B22BD"/>
    <w:rsid w:val="000B240D"/>
    <w:rsid w:val="000B2488"/>
    <w:rsid w:val="000B2FBE"/>
    <w:rsid w:val="000B37AC"/>
    <w:rsid w:val="000B3912"/>
    <w:rsid w:val="000B3EFE"/>
    <w:rsid w:val="000B46BB"/>
    <w:rsid w:val="000B4B46"/>
    <w:rsid w:val="000B56A8"/>
    <w:rsid w:val="000B58F6"/>
    <w:rsid w:val="000B6433"/>
    <w:rsid w:val="000B7343"/>
    <w:rsid w:val="000B7F1E"/>
    <w:rsid w:val="000C07EA"/>
    <w:rsid w:val="000C13FE"/>
    <w:rsid w:val="000C2BC2"/>
    <w:rsid w:val="000C3B3A"/>
    <w:rsid w:val="000C6D32"/>
    <w:rsid w:val="000C6D42"/>
    <w:rsid w:val="000C7328"/>
    <w:rsid w:val="000C75CC"/>
    <w:rsid w:val="000D0372"/>
    <w:rsid w:val="000D058D"/>
    <w:rsid w:val="000D08F1"/>
    <w:rsid w:val="000D0C0D"/>
    <w:rsid w:val="000D1138"/>
    <w:rsid w:val="000D2AB0"/>
    <w:rsid w:val="000D3ED7"/>
    <w:rsid w:val="000D487D"/>
    <w:rsid w:val="000D5380"/>
    <w:rsid w:val="000D5407"/>
    <w:rsid w:val="000D5846"/>
    <w:rsid w:val="000D697D"/>
    <w:rsid w:val="000D71B1"/>
    <w:rsid w:val="000D752B"/>
    <w:rsid w:val="000D75A4"/>
    <w:rsid w:val="000D781B"/>
    <w:rsid w:val="000D781D"/>
    <w:rsid w:val="000E07FE"/>
    <w:rsid w:val="000E0AB8"/>
    <w:rsid w:val="000E0E75"/>
    <w:rsid w:val="000E1111"/>
    <w:rsid w:val="000E1D17"/>
    <w:rsid w:val="000E2363"/>
    <w:rsid w:val="000E359F"/>
    <w:rsid w:val="000E417E"/>
    <w:rsid w:val="000E41D9"/>
    <w:rsid w:val="000E509A"/>
    <w:rsid w:val="000E5770"/>
    <w:rsid w:val="000E5EA6"/>
    <w:rsid w:val="000E6A8F"/>
    <w:rsid w:val="000E6D0E"/>
    <w:rsid w:val="000E7088"/>
    <w:rsid w:val="000F041D"/>
    <w:rsid w:val="000F2D8B"/>
    <w:rsid w:val="000F2DDB"/>
    <w:rsid w:val="000F4818"/>
    <w:rsid w:val="000F4C1E"/>
    <w:rsid w:val="000F4F3E"/>
    <w:rsid w:val="000F592C"/>
    <w:rsid w:val="000F639D"/>
    <w:rsid w:val="000F6917"/>
    <w:rsid w:val="000F7D69"/>
    <w:rsid w:val="001001FE"/>
    <w:rsid w:val="00100AE7"/>
    <w:rsid w:val="0010156E"/>
    <w:rsid w:val="00102037"/>
    <w:rsid w:val="00102251"/>
    <w:rsid w:val="00102AC5"/>
    <w:rsid w:val="00103038"/>
    <w:rsid w:val="00103C27"/>
    <w:rsid w:val="00104224"/>
    <w:rsid w:val="001046A9"/>
    <w:rsid w:val="001047C8"/>
    <w:rsid w:val="00104CA5"/>
    <w:rsid w:val="00104F1C"/>
    <w:rsid w:val="00105AA6"/>
    <w:rsid w:val="00105BF6"/>
    <w:rsid w:val="0010642C"/>
    <w:rsid w:val="00106621"/>
    <w:rsid w:val="001066AF"/>
    <w:rsid w:val="00106880"/>
    <w:rsid w:val="00106B84"/>
    <w:rsid w:val="00107232"/>
    <w:rsid w:val="00107A6E"/>
    <w:rsid w:val="00107D31"/>
    <w:rsid w:val="00110EF0"/>
    <w:rsid w:val="001115C7"/>
    <w:rsid w:val="00111EED"/>
    <w:rsid w:val="00111F4B"/>
    <w:rsid w:val="00112230"/>
    <w:rsid w:val="001122D2"/>
    <w:rsid w:val="001126C1"/>
    <w:rsid w:val="00112762"/>
    <w:rsid w:val="00112C47"/>
    <w:rsid w:val="00113444"/>
    <w:rsid w:val="001134F0"/>
    <w:rsid w:val="00114A8B"/>
    <w:rsid w:val="00115480"/>
    <w:rsid w:val="00115810"/>
    <w:rsid w:val="00115FB0"/>
    <w:rsid w:val="001165D2"/>
    <w:rsid w:val="00116D6F"/>
    <w:rsid w:val="001179FD"/>
    <w:rsid w:val="00120326"/>
    <w:rsid w:val="00120418"/>
    <w:rsid w:val="00120C0C"/>
    <w:rsid w:val="001225C8"/>
    <w:rsid w:val="00122AA2"/>
    <w:rsid w:val="00124182"/>
    <w:rsid w:val="0012436F"/>
    <w:rsid w:val="00124853"/>
    <w:rsid w:val="00124ECF"/>
    <w:rsid w:val="00125032"/>
    <w:rsid w:val="00125CCE"/>
    <w:rsid w:val="001265A2"/>
    <w:rsid w:val="00126651"/>
    <w:rsid w:val="0012676A"/>
    <w:rsid w:val="00126B0A"/>
    <w:rsid w:val="00130538"/>
    <w:rsid w:val="00130D7D"/>
    <w:rsid w:val="0013315B"/>
    <w:rsid w:val="00133380"/>
    <w:rsid w:val="0013402B"/>
    <w:rsid w:val="00134328"/>
    <w:rsid w:val="00134770"/>
    <w:rsid w:val="00134B72"/>
    <w:rsid w:val="00134BF4"/>
    <w:rsid w:val="001355BE"/>
    <w:rsid w:val="00135B05"/>
    <w:rsid w:val="00136456"/>
    <w:rsid w:val="00136CE6"/>
    <w:rsid w:val="001373F2"/>
    <w:rsid w:val="001377B0"/>
    <w:rsid w:val="00137FA2"/>
    <w:rsid w:val="00140013"/>
    <w:rsid w:val="00140189"/>
    <w:rsid w:val="00140781"/>
    <w:rsid w:val="00141C0D"/>
    <w:rsid w:val="00141F03"/>
    <w:rsid w:val="001420E4"/>
    <w:rsid w:val="00143844"/>
    <w:rsid w:val="00143A07"/>
    <w:rsid w:val="00144112"/>
    <w:rsid w:val="00144360"/>
    <w:rsid w:val="0014495C"/>
    <w:rsid w:val="00144EAC"/>
    <w:rsid w:val="00144F45"/>
    <w:rsid w:val="001452D7"/>
    <w:rsid w:val="0014624B"/>
    <w:rsid w:val="00146776"/>
    <w:rsid w:val="00146840"/>
    <w:rsid w:val="00146DF0"/>
    <w:rsid w:val="00147EC9"/>
    <w:rsid w:val="00150C52"/>
    <w:rsid w:val="00150C53"/>
    <w:rsid w:val="00150DAD"/>
    <w:rsid w:val="00152951"/>
    <w:rsid w:val="00153544"/>
    <w:rsid w:val="00153695"/>
    <w:rsid w:val="00153F71"/>
    <w:rsid w:val="00154AEB"/>
    <w:rsid w:val="00154BA7"/>
    <w:rsid w:val="00155B36"/>
    <w:rsid w:val="00156309"/>
    <w:rsid w:val="0015688B"/>
    <w:rsid w:val="001574CD"/>
    <w:rsid w:val="00161066"/>
    <w:rsid w:val="001618EF"/>
    <w:rsid w:val="00161F43"/>
    <w:rsid w:val="0016207B"/>
    <w:rsid w:val="001628CF"/>
    <w:rsid w:val="00163501"/>
    <w:rsid w:val="00163628"/>
    <w:rsid w:val="00167457"/>
    <w:rsid w:val="00167880"/>
    <w:rsid w:val="00167F82"/>
    <w:rsid w:val="0017021F"/>
    <w:rsid w:val="0017034C"/>
    <w:rsid w:val="00170A27"/>
    <w:rsid w:val="00171225"/>
    <w:rsid w:val="001716D6"/>
    <w:rsid w:val="001720EA"/>
    <w:rsid w:val="00172242"/>
    <w:rsid w:val="00172343"/>
    <w:rsid w:val="001727A9"/>
    <w:rsid w:val="001737BB"/>
    <w:rsid w:val="00173E07"/>
    <w:rsid w:val="0017490F"/>
    <w:rsid w:val="00174D18"/>
    <w:rsid w:val="0017509B"/>
    <w:rsid w:val="001753D8"/>
    <w:rsid w:val="0017553A"/>
    <w:rsid w:val="00175809"/>
    <w:rsid w:val="001760DE"/>
    <w:rsid w:val="00176B7F"/>
    <w:rsid w:val="00176DAF"/>
    <w:rsid w:val="00180A22"/>
    <w:rsid w:val="0018127C"/>
    <w:rsid w:val="001829C6"/>
    <w:rsid w:val="001833A8"/>
    <w:rsid w:val="00183777"/>
    <w:rsid w:val="00183847"/>
    <w:rsid w:val="00184D7D"/>
    <w:rsid w:val="001859BA"/>
    <w:rsid w:val="00187D7D"/>
    <w:rsid w:val="00187EF7"/>
    <w:rsid w:val="00190A42"/>
    <w:rsid w:val="00191796"/>
    <w:rsid w:val="00192129"/>
    <w:rsid w:val="001921DA"/>
    <w:rsid w:val="00192C9B"/>
    <w:rsid w:val="00192E5B"/>
    <w:rsid w:val="00193654"/>
    <w:rsid w:val="00193C90"/>
    <w:rsid w:val="00193E51"/>
    <w:rsid w:val="00194334"/>
    <w:rsid w:val="00194F5E"/>
    <w:rsid w:val="00195288"/>
    <w:rsid w:val="00195417"/>
    <w:rsid w:val="001A0437"/>
    <w:rsid w:val="001A06EC"/>
    <w:rsid w:val="001A0853"/>
    <w:rsid w:val="001A08BA"/>
    <w:rsid w:val="001A09E8"/>
    <w:rsid w:val="001A0BE4"/>
    <w:rsid w:val="001A0C41"/>
    <w:rsid w:val="001A0CAB"/>
    <w:rsid w:val="001A1321"/>
    <w:rsid w:val="001A1761"/>
    <w:rsid w:val="001A1A1F"/>
    <w:rsid w:val="001A2231"/>
    <w:rsid w:val="001A39CA"/>
    <w:rsid w:val="001A3A4A"/>
    <w:rsid w:val="001A5BB2"/>
    <w:rsid w:val="001A606C"/>
    <w:rsid w:val="001A70AC"/>
    <w:rsid w:val="001A7B1A"/>
    <w:rsid w:val="001B029F"/>
    <w:rsid w:val="001B18EA"/>
    <w:rsid w:val="001B2214"/>
    <w:rsid w:val="001B2804"/>
    <w:rsid w:val="001B2E5E"/>
    <w:rsid w:val="001B35DE"/>
    <w:rsid w:val="001B3930"/>
    <w:rsid w:val="001B4217"/>
    <w:rsid w:val="001B4592"/>
    <w:rsid w:val="001B577F"/>
    <w:rsid w:val="001B673D"/>
    <w:rsid w:val="001B73DD"/>
    <w:rsid w:val="001B7E5D"/>
    <w:rsid w:val="001C00A2"/>
    <w:rsid w:val="001C03D5"/>
    <w:rsid w:val="001C06C1"/>
    <w:rsid w:val="001C10C6"/>
    <w:rsid w:val="001C1B44"/>
    <w:rsid w:val="001C2B2F"/>
    <w:rsid w:val="001C2C64"/>
    <w:rsid w:val="001C2F1D"/>
    <w:rsid w:val="001C344A"/>
    <w:rsid w:val="001C3AE1"/>
    <w:rsid w:val="001C4780"/>
    <w:rsid w:val="001C4949"/>
    <w:rsid w:val="001C561B"/>
    <w:rsid w:val="001C666B"/>
    <w:rsid w:val="001C7153"/>
    <w:rsid w:val="001C753C"/>
    <w:rsid w:val="001C75FA"/>
    <w:rsid w:val="001C7827"/>
    <w:rsid w:val="001C787C"/>
    <w:rsid w:val="001C78BA"/>
    <w:rsid w:val="001C7916"/>
    <w:rsid w:val="001C7F98"/>
    <w:rsid w:val="001D0660"/>
    <w:rsid w:val="001D0FA1"/>
    <w:rsid w:val="001D10AC"/>
    <w:rsid w:val="001D12EB"/>
    <w:rsid w:val="001D1471"/>
    <w:rsid w:val="001D17AA"/>
    <w:rsid w:val="001D17F0"/>
    <w:rsid w:val="001D192F"/>
    <w:rsid w:val="001D1EAD"/>
    <w:rsid w:val="001D20D3"/>
    <w:rsid w:val="001D215B"/>
    <w:rsid w:val="001D2FAF"/>
    <w:rsid w:val="001D382B"/>
    <w:rsid w:val="001D3EF7"/>
    <w:rsid w:val="001D45F2"/>
    <w:rsid w:val="001D5B77"/>
    <w:rsid w:val="001D5C34"/>
    <w:rsid w:val="001D6703"/>
    <w:rsid w:val="001D6E57"/>
    <w:rsid w:val="001D70F9"/>
    <w:rsid w:val="001D7411"/>
    <w:rsid w:val="001D7D8F"/>
    <w:rsid w:val="001D7F7C"/>
    <w:rsid w:val="001E0062"/>
    <w:rsid w:val="001E0613"/>
    <w:rsid w:val="001E08E1"/>
    <w:rsid w:val="001E0C08"/>
    <w:rsid w:val="001E0D04"/>
    <w:rsid w:val="001E0D90"/>
    <w:rsid w:val="001E1BFF"/>
    <w:rsid w:val="001E1E68"/>
    <w:rsid w:val="001E22A4"/>
    <w:rsid w:val="001E374D"/>
    <w:rsid w:val="001E3D1F"/>
    <w:rsid w:val="001E4061"/>
    <w:rsid w:val="001E4D18"/>
    <w:rsid w:val="001E54B0"/>
    <w:rsid w:val="001E653F"/>
    <w:rsid w:val="001E7323"/>
    <w:rsid w:val="001F01C6"/>
    <w:rsid w:val="001F0E13"/>
    <w:rsid w:val="001F108E"/>
    <w:rsid w:val="001F22D8"/>
    <w:rsid w:val="001F25BA"/>
    <w:rsid w:val="001F2EA5"/>
    <w:rsid w:val="001F3266"/>
    <w:rsid w:val="001F46CE"/>
    <w:rsid w:val="001F473E"/>
    <w:rsid w:val="001F477E"/>
    <w:rsid w:val="001F4B20"/>
    <w:rsid w:val="001F54B7"/>
    <w:rsid w:val="001F5DFD"/>
    <w:rsid w:val="001F62A1"/>
    <w:rsid w:val="001F6C05"/>
    <w:rsid w:val="001F77F8"/>
    <w:rsid w:val="001F7E70"/>
    <w:rsid w:val="0020059D"/>
    <w:rsid w:val="0020063B"/>
    <w:rsid w:val="00200808"/>
    <w:rsid w:val="00201F7E"/>
    <w:rsid w:val="00202E1A"/>
    <w:rsid w:val="0020355B"/>
    <w:rsid w:val="00204DF0"/>
    <w:rsid w:val="002053FA"/>
    <w:rsid w:val="0020550C"/>
    <w:rsid w:val="00205A65"/>
    <w:rsid w:val="00206104"/>
    <w:rsid w:val="00206B92"/>
    <w:rsid w:val="00206E55"/>
    <w:rsid w:val="00207091"/>
    <w:rsid w:val="00207C05"/>
    <w:rsid w:val="00207FF3"/>
    <w:rsid w:val="002103EA"/>
    <w:rsid w:val="002106FB"/>
    <w:rsid w:val="00210D45"/>
    <w:rsid w:val="0021157F"/>
    <w:rsid w:val="002127E9"/>
    <w:rsid w:val="00212BBA"/>
    <w:rsid w:val="002130CE"/>
    <w:rsid w:val="002131EC"/>
    <w:rsid w:val="00213B11"/>
    <w:rsid w:val="00213E6C"/>
    <w:rsid w:val="002143CC"/>
    <w:rsid w:val="00214452"/>
    <w:rsid w:val="0021476B"/>
    <w:rsid w:val="00214973"/>
    <w:rsid w:val="00215D19"/>
    <w:rsid w:val="00215D83"/>
    <w:rsid w:val="00217BBB"/>
    <w:rsid w:val="00217C26"/>
    <w:rsid w:val="00217F70"/>
    <w:rsid w:val="0022061D"/>
    <w:rsid w:val="00220750"/>
    <w:rsid w:val="00221328"/>
    <w:rsid w:val="00221559"/>
    <w:rsid w:val="002225B3"/>
    <w:rsid w:val="002226CF"/>
    <w:rsid w:val="002226FD"/>
    <w:rsid w:val="0022337E"/>
    <w:rsid w:val="002237DF"/>
    <w:rsid w:val="00223913"/>
    <w:rsid w:val="002245C4"/>
    <w:rsid w:val="00224CE3"/>
    <w:rsid w:val="00225692"/>
    <w:rsid w:val="002256D1"/>
    <w:rsid w:val="002257FB"/>
    <w:rsid w:val="00225975"/>
    <w:rsid w:val="00225EC8"/>
    <w:rsid w:val="00225F4C"/>
    <w:rsid w:val="00225F98"/>
    <w:rsid w:val="00226E5B"/>
    <w:rsid w:val="00227779"/>
    <w:rsid w:val="00230669"/>
    <w:rsid w:val="00231E54"/>
    <w:rsid w:val="00232056"/>
    <w:rsid w:val="00232512"/>
    <w:rsid w:val="002332CA"/>
    <w:rsid w:val="002336CD"/>
    <w:rsid w:val="00233733"/>
    <w:rsid w:val="00234024"/>
    <w:rsid w:val="002354FF"/>
    <w:rsid w:val="00236355"/>
    <w:rsid w:val="0023681B"/>
    <w:rsid w:val="0023790E"/>
    <w:rsid w:val="00237C9B"/>
    <w:rsid w:val="00237CDD"/>
    <w:rsid w:val="00237F2A"/>
    <w:rsid w:val="002408A6"/>
    <w:rsid w:val="002420BE"/>
    <w:rsid w:val="00242EF1"/>
    <w:rsid w:val="002434A2"/>
    <w:rsid w:val="002436BB"/>
    <w:rsid w:val="00244844"/>
    <w:rsid w:val="0024539B"/>
    <w:rsid w:val="002457DA"/>
    <w:rsid w:val="00245E41"/>
    <w:rsid w:val="00245FD2"/>
    <w:rsid w:val="0024640A"/>
    <w:rsid w:val="00247B1E"/>
    <w:rsid w:val="00247CC3"/>
    <w:rsid w:val="00247EC9"/>
    <w:rsid w:val="00247F14"/>
    <w:rsid w:val="00250037"/>
    <w:rsid w:val="00250148"/>
    <w:rsid w:val="00250760"/>
    <w:rsid w:val="0025204B"/>
    <w:rsid w:val="00252612"/>
    <w:rsid w:val="00253805"/>
    <w:rsid w:val="0025415B"/>
    <w:rsid w:val="002546A2"/>
    <w:rsid w:val="00254B88"/>
    <w:rsid w:val="0025612D"/>
    <w:rsid w:val="0025624F"/>
    <w:rsid w:val="00256C28"/>
    <w:rsid w:val="00256CF4"/>
    <w:rsid w:val="00260381"/>
    <w:rsid w:val="0026101A"/>
    <w:rsid w:val="002612DB"/>
    <w:rsid w:val="002616E4"/>
    <w:rsid w:val="00262254"/>
    <w:rsid w:val="002623B3"/>
    <w:rsid w:val="0026287F"/>
    <w:rsid w:val="0026348F"/>
    <w:rsid w:val="00263A43"/>
    <w:rsid w:val="00263FB5"/>
    <w:rsid w:val="002640E0"/>
    <w:rsid w:val="00264357"/>
    <w:rsid w:val="00264BF3"/>
    <w:rsid w:val="00265922"/>
    <w:rsid w:val="0026622B"/>
    <w:rsid w:val="00266519"/>
    <w:rsid w:val="002669DE"/>
    <w:rsid w:val="00266C01"/>
    <w:rsid w:val="00266D31"/>
    <w:rsid w:val="00266DB7"/>
    <w:rsid w:val="002673F7"/>
    <w:rsid w:val="00267ABB"/>
    <w:rsid w:val="00270180"/>
    <w:rsid w:val="0027095F"/>
    <w:rsid w:val="00270B78"/>
    <w:rsid w:val="00271621"/>
    <w:rsid w:val="00271B26"/>
    <w:rsid w:val="00271F54"/>
    <w:rsid w:val="00273C43"/>
    <w:rsid w:val="00274DC5"/>
    <w:rsid w:val="00275139"/>
    <w:rsid w:val="002752FF"/>
    <w:rsid w:val="00276EDB"/>
    <w:rsid w:val="0027723C"/>
    <w:rsid w:val="00277A1A"/>
    <w:rsid w:val="0028002B"/>
    <w:rsid w:val="002817D0"/>
    <w:rsid w:val="00281BF5"/>
    <w:rsid w:val="00284120"/>
    <w:rsid w:val="00284CB2"/>
    <w:rsid w:val="00284D72"/>
    <w:rsid w:val="00285402"/>
    <w:rsid w:val="002855D2"/>
    <w:rsid w:val="0028576F"/>
    <w:rsid w:val="002873BE"/>
    <w:rsid w:val="002875DB"/>
    <w:rsid w:val="00287D3E"/>
    <w:rsid w:val="0029067D"/>
    <w:rsid w:val="00290F0E"/>
    <w:rsid w:val="0029105F"/>
    <w:rsid w:val="002911CD"/>
    <w:rsid w:val="0029150F"/>
    <w:rsid w:val="00291E01"/>
    <w:rsid w:val="002921A5"/>
    <w:rsid w:val="002924EF"/>
    <w:rsid w:val="00292D41"/>
    <w:rsid w:val="00292FF5"/>
    <w:rsid w:val="002931B1"/>
    <w:rsid w:val="0029395C"/>
    <w:rsid w:val="00294999"/>
    <w:rsid w:val="00294ED8"/>
    <w:rsid w:val="002962AD"/>
    <w:rsid w:val="00296EC6"/>
    <w:rsid w:val="00297B37"/>
    <w:rsid w:val="00297D32"/>
    <w:rsid w:val="002A072A"/>
    <w:rsid w:val="002A0C71"/>
    <w:rsid w:val="002A0E9F"/>
    <w:rsid w:val="002A1A1B"/>
    <w:rsid w:val="002A1B4C"/>
    <w:rsid w:val="002A1C89"/>
    <w:rsid w:val="002A229B"/>
    <w:rsid w:val="002A2A6F"/>
    <w:rsid w:val="002A2A95"/>
    <w:rsid w:val="002A2E15"/>
    <w:rsid w:val="002A2E38"/>
    <w:rsid w:val="002A2F76"/>
    <w:rsid w:val="002A35C6"/>
    <w:rsid w:val="002A529C"/>
    <w:rsid w:val="002A52C5"/>
    <w:rsid w:val="002A5F6D"/>
    <w:rsid w:val="002A61AB"/>
    <w:rsid w:val="002A67BA"/>
    <w:rsid w:val="002A7383"/>
    <w:rsid w:val="002A73F3"/>
    <w:rsid w:val="002A744E"/>
    <w:rsid w:val="002B137C"/>
    <w:rsid w:val="002B14AE"/>
    <w:rsid w:val="002B1501"/>
    <w:rsid w:val="002B1770"/>
    <w:rsid w:val="002B1ED3"/>
    <w:rsid w:val="002B270D"/>
    <w:rsid w:val="002B326C"/>
    <w:rsid w:val="002B32E7"/>
    <w:rsid w:val="002B3685"/>
    <w:rsid w:val="002B3D1D"/>
    <w:rsid w:val="002B4A95"/>
    <w:rsid w:val="002B4B8B"/>
    <w:rsid w:val="002B503E"/>
    <w:rsid w:val="002B53B6"/>
    <w:rsid w:val="002B6812"/>
    <w:rsid w:val="002B6B92"/>
    <w:rsid w:val="002B7508"/>
    <w:rsid w:val="002B76ED"/>
    <w:rsid w:val="002C1AA1"/>
    <w:rsid w:val="002C1E0A"/>
    <w:rsid w:val="002C2486"/>
    <w:rsid w:val="002C271B"/>
    <w:rsid w:val="002C311D"/>
    <w:rsid w:val="002C35FC"/>
    <w:rsid w:val="002C39C8"/>
    <w:rsid w:val="002C533C"/>
    <w:rsid w:val="002C5DB1"/>
    <w:rsid w:val="002C5F28"/>
    <w:rsid w:val="002C6F82"/>
    <w:rsid w:val="002C7651"/>
    <w:rsid w:val="002C790D"/>
    <w:rsid w:val="002C79C6"/>
    <w:rsid w:val="002C7E9E"/>
    <w:rsid w:val="002D020F"/>
    <w:rsid w:val="002D0742"/>
    <w:rsid w:val="002D085B"/>
    <w:rsid w:val="002D09CA"/>
    <w:rsid w:val="002D0D19"/>
    <w:rsid w:val="002D14CD"/>
    <w:rsid w:val="002D2768"/>
    <w:rsid w:val="002D3231"/>
    <w:rsid w:val="002D3235"/>
    <w:rsid w:val="002D344D"/>
    <w:rsid w:val="002D3BBA"/>
    <w:rsid w:val="002D3EA6"/>
    <w:rsid w:val="002D51A6"/>
    <w:rsid w:val="002D5455"/>
    <w:rsid w:val="002D56A4"/>
    <w:rsid w:val="002D7066"/>
    <w:rsid w:val="002D736B"/>
    <w:rsid w:val="002D7979"/>
    <w:rsid w:val="002D7FB3"/>
    <w:rsid w:val="002E0421"/>
    <w:rsid w:val="002E0D44"/>
    <w:rsid w:val="002E0F7E"/>
    <w:rsid w:val="002E1319"/>
    <w:rsid w:val="002E1666"/>
    <w:rsid w:val="002E1DA4"/>
    <w:rsid w:val="002E208F"/>
    <w:rsid w:val="002E21F2"/>
    <w:rsid w:val="002E31A4"/>
    <w:rsid w:val="002E3BBD"/>
    <w:rsid w:val="002E4F7B"/>
    <w:rsid w:val="002E5E31"/>
    <w:rsid w:val="002E6B89"/>
    <w:rsid w:val="002E7A36"/>
    <w:rsid w:val="002E7AD5"/>
    <w:rsid w:val="002F0280"/>
    <w:rsid w:val="002F052A"/>
    <w:rsid w:val="002F0A22"/>
    <w:rsid w:val="002F0BEC"/>
    <w:rsid w:val="002F124F"/>
    <w:rsid w:val="002F2935"/>
    <w:rsid w:val="002F3EC2"/>
    <w:rsid w:val="002F53D2"/>
    <w:rsid w:val="002F5667"/>
    <w:rsid w:val="002F661A"/>
    <w:rsid w:val="002F7C00"/>
    <w:rsid w:val="002F7C50"/>
    <w:rsid w:val="0030052D"/>
    <w:rsid w:val="00301783"/>
    <w:rsid w:val="00301886"/>
    <w:rsid w:val="00302DFA"/>
    <w:rsid w:val="00302E2C"/>
    <w:rsid w:val="00303062"/>
    <w:rsid w:val="00304290"/>
    <w:rsid w:val="0030511D"/>
    <w:rsid w:val="00305193"/>
    <w:rsid w:val="00305862"/>
    <w:rsid w:val="00306017"/>
    <w:rsid w:val="00306D57"/>
    <w:rsid w:val="00307E73"/>
    <w:rsid w:val="00310219"/>
    <w:rsid w:val="00310D7F"/>
    <w:rsid w:val="0031116C"/>
    <w:rsid w:val="00311655"/>
    <w:rsid w:val="00311778"/>
    <w:rsid w:val="003126C5"/>
    <w:rsid w:val="00312A27"/>
    <w:rsid w:val="00314860"/>
    <w:rsid w:val="00314B6B"/>
    <w:rsid w:val="00314FC4"/>
    <w:rsid w:val="0031605D"/>
    <w:rsid w:val="003174A7"/>
    <w:rsid w:val="00317B6D"/>
    <w:rsid w:val="00320BB1"/>
    <w:rsid w:val="00321A6A"/>
    <w:rsid w:val="00321BFE"/>
    <w:rsid w:val="00321E91"/>
    <w:rsid w:val="00321EA5"/>
    <w:rsid w:val="00322C98"/>
    <w:rsid w:val="0032315D"/>
    <w:rsid w:val="00323ECD"/>
    <w:rsid w:val="003248C8"/>
    <w:rsid w:val="00325145"/>
    <w:rsid w:val="003251BF"/>
    <w:rsid w:val="00325B42"/>
    <w:rsid w:val="003263D4"/>
    <w:rsid w:val="00326500"/>
    <w:rsid w:val="003271FE"/>
    <w:rsid w:val="00327DDD"/>
    <w:rsid w:val="00330678"/>
    <w:rsid w:val="00330C60"/>
    <w:rsid w:val="00330D85"/>
    <w:rsid w:val="00331204"/>
    <w:rsid w:val="003329B5"/>
    <w:rsid w:val="00332B9B"/>
    <w:rsid w:val="00332F54"/>
    <w:rsid w:val="003334A9"/>
    <w:rsid w:val="00333CC9"/>
    <w:rsid w:val="00334FFC"/>
    <w:rsid w:val="00335405"/>
    <w:rsid w:val="00335560"/>
    <w:rsid w:val="00335C2D"/>
    <w:rsid w:val="00335FF5"/>
    <w:rsid w:val="00336EBC"/>
    <w:rsid w:val="003370CC"/>
    <w:rsid w:val="00337568"/>
    <w:rsid w:val="0033758A"/>
    <w:rsid w:val="00337637"/>
    <w:rsid w:val="00337DDB"/>
    <w:rsid w:val="00337FB8"/>
    <w:rsid w:val="00340652"/>
    <w:rsid w:val="00340847"/>
    <w:rsid w:val="003408DB"/>
    <w:rsid w:val="00340A2C"/>
    <w:rsid w:val="00340BD5"/>
    <w:rsid w:val="00341369"/>
    <w:rsid w:val="0034267E"/>
    <w:rsid w:val="00342E92"/>
    <w:rsid w:val="0034385C"/>
    <w:rsid w:val="003446BB"/>
    <w:rsid w:val="00344B38"/>
    <w:rsid w:val="00344CED"/>
    <w:rsid w:val="00345772"/>
    <w:rsid w:val="003468EC"/>
    <w:rsid w:val="00346B2F"/>
    <w:rsid w:val="00346D96"/>
    <w:rsid w:val="0034705C"/>
    <w:rsid w:val="00347E04"/>
    <w:rsid w:val="003501FD"/>
    <w:rsid w:val="00350AF7"/>
    <w:rsid w:val="00351E6D"/>
    <w:rsid w:val="00352DA2"/>
    <w:rsid w:val="00353935"/>
    <w:rsid w:val="003558C7"/>
    <w:rsid w:val="00355EA8"/>
    <w:rsid w:val="003568D7"/>
    <w:rsid w:val="00356C98"/>
    <w:rsid w:val="00356F55"/>
    <w:rsid w:val="00357B2C"/>
    <w:rsid w:val="00360D30"/>
    <w:rsid w:val="00360F02"/>
    <w:rsid w:val="00361771"/>
    <w:rsid w:val="00361F90"/>
    <w:rsid w:val="0036239F"/>
    <w:rsid w:val="003624F5"/>
    <w:rsid w:val="00362588"/>
    <w:rsid w:val="00362618"/>
    <w:rsid w:val="0036358D"/>
    <w:rsid w:val="003641AC"/>
    <w:rsid w:val="003643BD"/>
    <w:rsid w:val="003646AE"/>
    <w:rsid w:val="00364FE7"/>
    <w:rsid w:val="00365106"/>
    <w:rsid w:val="00365B0E"/>
    <w:rsid w:val="003663A8"/>
    <w:rsid w:val="0036696A"/>
    <w:rsid w:val="00367FDA"/>
    <w:rsid w:val="00370108"/>
    <w:rsid w:val="00373348"/>
    <w:rsid w:val="00373719"/>
    <w:rsid w:val="00373927"/>
    <w:rsid w:val="00373AAC"/>
    <w:rsid w:val="00373FE1"/>
    <w:rsid w:val="00374A4C"/>
    <w:rsid w:val="003757EF"/>
    <w:rsid w:val="00376886"/>
    <w:rsid w:val="003771F4"/>
    <w:rsid w:val="00377375"/>
    <w:rsid w:val="0037742A"/>
    <w:rsid w:val="00377CEC"/>
    <w:rsid w:val="00380D0F"/>
    <w:rsid w:val="00380E8D"/>
    <w:rsid w:val="0038204B"/>
    <w:rsid w:val="00382401"/>
    <w:rsid w:val="00383B44"/>
    <w:rsid w:val="003841A9"/>
    <w:rsid w:val="003850F8"/>
    <w:rsid w:val="003858E0"/>
    <w:rsid w:val="00385EAA"/>
    <w:rsid w:val="00386428"/>
    <w:rsid w:val="003873C1"/>
    <w:rsid w:val="00387AA8"/>
    <w:rsid w:val="0039086C"/>
    <w:rsid w:val="00391B8D"/>
    <w:rsid w:val="003924B4"/>
    <w:rsid w:val="0039338C"/>
    <w:rsid w:val="003934C4"/>
    <w:rsid w:val="003938A5"/>
    <w:rsid w:val="00393A8C"/>
    <w:rsid w:val="00393B92"/>
    <w:rsid w:val="003966DC"/>
    <w:rsid w:val="003967FC"/>
    <w:rsid w:val="0039694C"/>
    <w:rsid w:val="00396A89"/>
    <w:rsid w:val="00396E84"/>
    <w:rsid w:val="00396EA4"/>
    <w:rsid w:val="003A07FA"/>
    <w:rsid w:val="003A0842"/>
    <w:rsid w:val="003A0F2F"/>
    <w:rsid w:val="003A0F85"/>
    <w:rsid w:val="003A1378"/>
    <w:rsid w:val="003A17EC"/>
    <w:rsid w:val="003A194E"/>
    <w:rsid w:val="003A1959"/>
    <w:rsid w:val="003A2870"/>
    <w:rsid w:val="003A349C"/>
    <w:rsid w:val="003A396B"/>
    <w:rsid w:val="003A3D17"/>
    <w:rsid w:val="003A49F3"/>
    <w:rsid w:val="003A5110"/>
    <w:rsid w:val="003A6D56"/>
    <w:rsid w:val="003A7DCD"/>
    <w:rsid w:val="003A7F9E"/>
    <w:rsid w:val="003B0BCC"/>
    <w:rsid w:val="003B1349"/>
    <w:rsid w:val="003B176C"/>
    <w:rsid w:val="003B2524"/>
    <w:rsid w:val="003B318D"/>
    <w:rsid w:val="003B31C9"/>
    <w:rsid w:val="003B4019"/>
    <w:rsid w:val="003B4A35"/>
    <w:rsid w:val="003B5A32"/>
    <w:rsid w:val="003B5C8D"/>
    <w:rsid w:val="003B5F16"/>
    <w:rsid w:val="003B7487"/>
    <w:rsid w:val="003B7AAD"/>
    <w:rsid w:val="003B7D4E"/>
    <w:rsid w:val="003C0205"/>
    <w:rsid w:val="003C0326"/>
    <w:rsid w:val="003C0834"/>
    <w:rsid w:val="003C17CA"/>
    <w:rsid w:val="003C29A3"/>
    <w:rsid w:val="003C39EE"/>
    <w:rsid w:val="003C3E0F"/>
    <w:rsid w:val="003C5951"/>
    <w:rsid w:val="003C5C2D"/>
    <w:rsid w:val="003C608F"/>
    <w:rsid w:val="003C683F"/>
    <w:rsid w:val="003C6A8E"/>
    <w:rsid w:val="003C6F08"/>
    <w:rsid w:val="003C75A9"/>
    <w:rsid w:val="003C7B80"/>
    <w:rsid w:val="003D0BFC"/>
    <w:rsid w:val="003D0E0B"/>
    <w:rsid w:val="003D2551"/>
    <w:rsid w:val="003D26D8"/>
    <w:rsid w:val="003D27CF"/>
    <w:rsid w:val="003D2992"/>
    <w:rsid w:val="003D2F1F"/>
    <w:rsid w:val="003D318E"/>
    <w:rsid w:val="003D3A67"/>
    <w:rsid w:val="003D405D"/>
    <w:rsid w:val="003D4F26"/>
    <w:rsid w:val="003D59C1"/>
    <w:rsid w:val="003D66F9"/>
    <w:rsid w:val="003E024D"/>
    <w:rsid w:val="003E0A39"/>
    <w:rsid w:val="003E1675"/>
    <w:rsid w:val="003E1A3B"/>
    <w:rsid w:val="003E2F57"/>
    <w:rsid w:val="003E3EDA"/>
    <w:rsid w:val="003E455B"/>
    <w:rsid w:val="003E46F2"/>
    <w:rsid w:val="003E6541"/>
    <w:rsid w:val="003E68FA"/>
    <w:rsid w:val="003E755C"/>
    <w:rsid w:val="003E7D9F"/>
    <w:rsid w:val="003F01C7"/>
    <w:rsid w:val="003F0BB3"/>
    <w:rsid w:val="003F1324"/>
    <w:rsid w:val="003F1560"/>
    <w:rsid w:val="003F1930"/>
    <w:rsid w:val="003F1A94"/>
    <w:rsid w:val="003F1DB6"/>
    <w:rsid w:val="003F30FD"/>
    <w:rsid w:val="003F32A5"/>
    <w:rsid w:val="003F3621"/>
    <w:rsid w:val="003F4272"/>
    <w:rsid w:val="003F436C"/>
    <w:rsid w:val="003F4761"/>
    <w:rsid w:val="003F4BC6"/>
    <w:rsid w:val="003F55CB"/>
    <w:rsid w:val="003F573F"/>
    <w:rsid w:val="003F5AFD"/>
    <w:rsid w:val="003F5BED"/>
    <w:rsid w:val="003F5CAA"/>
    <w:rsid w:val="003F62AA"/>
    <w:rsid w:val="003F7035"/>
    <w:rsid w:val="003F781F"/>
    <w:rsid w:val="004000AA"/>
    <w:rsid w:val="0040083C"/>
    <w:rsid w:val="00400B4F"/>
    <w:rsid w:val="004012C1"/>
    <w:rsid w:val="00401449"/>
    <w:rsid w:val="00402ABB"/>
    <w:rsid w:val="00404357"/>
    <w:rsid w:val="00404564"/>
    <w:rsid w:val="004047BB"/>
    <w:rsid w:val="004057A2"/>
    <w:rsid w:val="00405F1B"/>
    <w:rsid w:val="00405FF8"/>
    <w:rsid w:val="00406358"/>
    <w:rsid w:val="004070B8"/>
    <w:rsid w:val="00407BDF"/>
    <w:rsid w:val="0041032A"/>
    <w:rsid w:val="0041068C"/>
    <w:rsid w:val="004107D6"/>
    <w:rsid w:val="004121E6"/>
    <w:rsid w:val="004126F0"/>
    <w:rsid w:val="004134A8"/>
    <w:rsid w:val="00413E86"/>
    <w:rsid w:val="004142E1"/>
    <w:rsid w:val="00414D2A"/>
    <w:rsid w:val="00414F03"/>
    <w:rsid w:val="004150BA"/>
    <w:rsid w:val="00415893"/>
    <w:rsid w:val="00415C4A"/>
    <w:rsid w:val="004167B7"/>
    <w:rsid w:val="00416A3C"/>
    <w:rsid w:val="00416D26"/>
    <w:rsid w:val="00416DDC"/>
    <w:rsid w:val="00417597"/>
    <w:rsid w:val="004214A4"/>
    <w:rsid w:val="00422936"/>
    <w:rsid w:val="00424DD2"/>
    <w:rsid w:val="00425380"/>
    <w:rsid w:val="00425989"/>
    <w:rsid w:val="00425F9C"/>
    <w:rsid w:val="004263E1"/>
    <w:rsid w:val="00427347"/>
    <w:rsid w:val="0042786F"/>
    <w:rsid w:val="00431B0B"/>
    <w:rsid w:val="004324A8"/>
    <w:rsid w:val="004327FD"/>
    <w:rsid w:val="00433440"/>
    <w:rsid w:val="0043444D"/>
    <w:rsid w:val="00434E17"/>
    <w:rsid w:val="004355E9"/>
    <w:rsid w:val="0043666D"/>
    <w:rsid w:val="00436B5A"/>
    <w:rsid w:val="004379A8"/>
    <w:rsid w:val="0044006E"/>
    <w:rsid w:val="00440831"/>
    <w:rsid w:val="004417B9"/>
    <w:rsid w:val="00442FD8"/>
    <w:rsid w:val="0044392B"/>
    <w:rsid w:val="00443E20"/>
    <w:rsid w:val="00443E61"/>
    <w:rsid w:val="004444AD"/>
    <w:rsid w:val="004449D6"/>
    <w:rsid w:val="00444D9D"/>
    <w:rsid w:val="00445516"/>
    <w:rsid w:val="00445B1B"/>
    <w:rsid w:val="00445E65"/>
    <w:rsid w:val="00446476"/>
    <w:rsid w:val="004467A6"/>
    <w:rsid w:val="00447563"/>
    <w:rsid w:val="0045050D"/>
    <w:rsid w:val="00450F76"/>
    <w:rsid w:val="00451FDA"/>
    <w:rsid w:val="00452973"/>
    <w:rsid w:val="00453BBE"/>
    <w:rsid w:val="0045516F"/>
    <w:rsid w:val="00456D04"/>
    <w:rsid w:val="00457765"/>
    <w:rsid w:val="00460471"/>
    <w:rsid w:val="00460B00"/>
    <w:rsid w:val="00460DD8"/>
    <w:rsid w:val="00463134"/>
    <w:rsid w:val="0046355C"/>
    <w:rsid w:val="004635C7"/>
    <w:rsid w:val="0046361A"/>
    <w:rsid w:val="00464298"/>
    <w:rsid w:val="004645D5"/>
    <w:rsid w:val="00464659"/>
    <w:rsid w:val="00465C19"/>
    <w:rsid w:val="00466450"/>
    <w:rsid w:val="00466977"/>
    <w:rsid w:val="00466F67"/>
    <w:rsid w:val="004670BC"/>
    <w:rsid w:val="0046761A"/>
    <w:rsid w:val="00467671"/>
    <w:rsid w:val="00467A26"/>
    <w:rsid w:val="00470869"/>
    <w:rsid w:val="00470EF2"/>
    <w:rsid w:val="004717EF"/>
    <w:rsid w:val="00472228"/>
    <w:rsid w:val="004727CF"/>
    <w:rsid w:val="00472E18"/>
    <w:rsid w:val="0047317D"/>
    <w:rsid w:val="0047370A"/>
    <w:rsid w:val="00473DC2"/>
    <w:rsid w:val="004743BB"/>
    <w:rsid w:val="004746AA"/>
    <w:rsid w:val="00475058"/>
    <w:rsid w:val="0047606E"/>
    <w:rsid w:val="0047635A"/>
    <w:rsid w:val="00476BC8"/>
    <w:rsid w:val="00476E95"/>
    <w:rsid w:val="00477026"/>
    <w:rsid w:val="004778D4"/>
    <w:rsid w:val="00477EA7"/>
    <w:rsid w:val="0048118E"/>
    <w:rsid w:val="00481A32"/>
    <w:rsid w:val="0048319B"/>
    <w:rsid w:val="00483835"/>
    <w:rsid w:val="00485301"/>
    <w:rsid w:val="004853D7"/>
    <w:rsid w:val="00485524"/>
    <w:rsid w:val="00485C04"/>
    <w:rsid w:val="00486637"/>
    <w:rsid w:val="00490481"/>
    <w:rsid w:val="0049070D"/>
    <w:rsid w:val="004907DE"/>
    <w:rsid w:val="004908B3"/>
    <w:rsid w:val="00491B00"/>
    <w:rsid w:val="00492AB3"/>
    <w:rsid w:val="00492B22"/>
    <w:rsid w:val="00492C04"/>
    <w:rsid w:val="00493295"/>
    <w:rsid w:val="0049358A"/>
    <w:rsid w:val="004936E6"/>
    <w:rsid w:val="00493AA4"/>
    <w:rsid w:val="0049455C"/>
    <w:rsid w:val="004947E9"/>
    <w:rsid w:val="00494C1E"/>
    <w:rsid w:val="00495E29"/>
    <w:rsid w:val="00496C38"/>
    <w:rsid w:val="00496F64"/>
    <w:rsid w:val="004972DE"/>
    <w:rsid w:val="00497433"/>
    <w:rsid w:val="00497579"/>
    <w:rsid w:val="00497CF7"/>
    <w:rsid w:val="004A006B"/>
    <w:rsid w:val="004A1456"/>
    <w:rsid w:val="004A1F1A"/>
    <w:rsid w:val="004A3D13"/>
    <w:rsid w:val="004A3DD7"/>
    <w:rsid w:val="004A43C9"/>
    <w:rsid w:val="004A46F7"/>
    <w:rsid w:val="004A4703"/>
    <w:rsid w:val="004A4B1B"/>
    <w:rsid w:val="004A62D5"/>
    <w:rsid w:val="004A65A6"/>
    <w:rsid w:val="004A6654"/>
    <w:rsid w:val="004A725B"/>
    <w:rsid w:val="004A747A"/>
    <w:rsid w:val="004A74B1"/>
    <w:rsid w:val="004A7E78"/>
    <w:rsid w:val="004B2476"/>
    <w:rsid w:val="004B3102"/>
    <w:rsid w:val="004B3394"/>
    <w:rsid w:val="004B376B"/>
    <w:rsid w:val="004B3842"/>
    <w:rsid w:val="004B3B05"/>
    <w:rsid w:val="004B4506"/>
    <w:rsid w:val="004B4B24"/>
    <w:rsid w:val="004B4FFE"/>
    <w:rsid w:val="004B58B5"/>
    <w:rsid w:val="004B5E68"/>
    <w:rsid w:val="004B65C7"/>
    <w:rsid w:val="004B6656"/>
    <w:rsid w:val="004B6972"/>
    <w:rsid w:val="004B6CC4"/>
    <w:rsid w:val="004B6D95"/>
    <w:rsid w:val="004B7873"/>
    <w:rsid w:val="004C0207"/>
    <w:rsid w:val="004C05CA"/>
    <w:rsid w:val="004C11CA"/>
    <w:rsid w:val="004C12DA"/>
    <w:rsid w:val="004C15D5"/>
    <w:rsid w:val="004C1709"/>
    <w:rsid w:val="004C17C7"/>
    <w:rsid w:val="004C1EEF"/>
    <w:rsid w:val="004C202F"/>
    <w:rsid w:val="004C250D"/>
    <w:rsid w:val="004C26B4"/>
    <w:rsid w:val="004C2A40"/>
    <w:rsid w:val="004C2E7B"/>
    <w:rsid w:val="004C3AD0"/>
    <w:rsid w:val="004C3C07"/>
    <w:rsid w:val="004C477C"/>
    <w:rsid w:val="004C4F0C"/>
    <w:rsid w:val="004C5F9A"/>
    <w:rsid w:val="004C5FAF"/>
    <w:rsid w:val="004C6F5E"/>
    <w:rsid w:val="004C71CE"/>
    <w:rsid w:val="004C7229"/>
    <w:rsid w:val="004C7BF0"/>
    <w:rsid w:val="004D0BB6"/>
    <w:rsid w:val="004D1867"/>
    <w:rsid w:val="004D1A2E"/>
    <w:rsid w:val="004D1C10"/>
    <w:rsid w:val="004D25DD"/>
    <w:rsid w:val="004D2668"/>
    <w:rsid w:val="004D2B64"/>
    <w:rsid w:val="004D2EEF"/>
    <w:rsid w:val="004D33D4"/>
    <w:rsid w:val="004D3889"/>
    <w:rsid w:val="004D4838"/>
    <w:rsid w:val="004D4B81"/>
    <w:rsid w:val="004D5227"/>
    <w:rsid w:val="004D5A15"/>
    <w:rsid w:val="004D5EC3"/>
    <w:rsid w:val="004D621F"/>
    <w:rsid w:val="004D6B9F"/>
    <w:rsid w:val="004D6FCA"/>
    <w:rsid w:val="004D73B4"/>
    <w:rsid w:val="004D7583"/>
    <w:rsid w:val="004D761A"/>
    <w:rsid w:val="004E060D"/>
    <w:rsid w:val="004E117A"/>
    <w:rsid w:val="004E13FD"/>
    <w:rsid w:val="004E176A"/>
    <w:rsid w:val="004E1F6A"/>
    <w:rsid w:val="004E1FB8"/>
    <w:rsid w:val="004E21E0"/>
    <w:rsid w:val="004E26AD"/>
    <w:rsid w:val="004E3434"/>
    <w:rsid w:val="004E3AD0"/>
    <w:rsid w:val="004E4789"/>
    <w:rsid w:val="004E655A"/>
    <w:rsid w:val="004E6D8F"/>
    <w:rsid w:val="004E7348"/>
    <w:rsid w:val="004E79C6"/>
    <w:rsid w:val="004E7D2A"/>
    <w:rsid w:val="004F054C"/>
    <w:rsid w:val="004F0789"/>
    <w:rsid w:val="004F1852"/>
    <w:rsid w:val="004F2109"/>
    <w:rsid w:val="004F3A43"/>
    <w:rsid w:val="004F3D7D"/>
    <w:rsid w:val="004F400B"/>
    <w:rsid w:val="004F5B1A"/>
    <w:rsid w:val="004F630E"/>
    <w:rsid w:val="004F6896"/>
    <w:rsid w:val="004F69DD"/>
    <w:rsid w:val="004F6CCA"/>
    <w:rsid w:val="004F6F72"/>
    <w:rsid w:val="004F70F1"/>
    <w:rsid w:val="004F7314"/>
    <w:rsid w:val="004F76A8"/>
    <w:rsid w:val="0050016F"/>
    <w:rsid w:val="00502710"/>
    <w:rsid w:val="005035E7"/>
    <w:rsid w:val="005040D0"/>
    <w:rsid w:val="005043F5"/>
    <w:rsid w:val="00504C16"/>
    <w:rsid w:val="00504F9A"/>
    <w:rsid w:val="0050506B"/>
    <w:rsid w:val="005050A5"/>
    <w:rsid w:val="00505F02"/>
    <w:rsid w:val="005063FD"/>
    <w:rsid w:val="005066E9"/>
    <w:rsid w:val="0050677E"/>
    <w:rsid w:val="00506BAB"/>
    <w:rsid w:val="00506CB1"/>
    <w:rsid w:val="00507B38"/>
    <w:rsid w:val="005101E2"/>
    <w:rsid w:val="005108C6"/>
    <w:rsid w:val="00510D43"/>
    <w:rsid w:val="00510ED8"/>
    <w:rsid w:val="005112C0"/>
    <w:rsid w:val="00511C5F"/>
    <w:rsid w:val="0051250A"/>
    <w:rsid w:val="005125D4"/>
    <w:rsid w:val="005129D9"/>
    <w:rsid w:val="00512A1E"/>
    <w:rsid w:val="00513313"/>
    <w:rsid w:val="00513CFC"/>
    <w:rsid w:val="0051410F"/>
    <w:rsid w:val="00514A42"/>
    <w:rsid w:val="005157BD"/>
    <w:rsid w:val="00515BD7"/>
    <w:rsid w:val="00515E25"/>
    <w:rsid w:val="005173B2"/>
    <w:rsid w:val="005174FB"/>
    <w:rsid w:val="005175DB"/>
    <w:rsid w:val="0051762D"/>
    <w:rsid w:val="00520191"/>
    <w:rsid w:val="00520E6B"/>
    <w:rsid w:val="00521B10"/>
    <w:rsid w:val="00521EAE"/>
    <w:rsid w:val="00522406"/>
    <w:rsid w:val="005231FB"/>
    <w:rsid w:val="005235AB"/>
    <w:rsid w:val="00523B99"/>
    <w:rsid w:val="00523BA4"/>
    <w:rsid w:val="00523BC4"/>
    <w:rsid w:val="00523BF3"/>
    <w:rsid w:val="00524355"/>
    <w:rsid w:val="00524809"/>
    <w:rsid w:val="00524C6D"/>
    <w:rsid w:val="0052614A"/>
    <w:rsid w:val="00526927"/>
    <w:rsid w:val="00526A60"/>
    <w:rsid w:val="00526AF8"/>
    <w:rsid w:val="00527554"/>
    <w:rsid w:val="00530205"/>
    <w:rsid w:val="00530398"/>
    <w:rsid w:val="00531BB1"/>
    <w:rsid w:val="00531BD9"/>
    <w:rsid w:val="00531CE1"/>
    <w:rsid w:val="00531EC7"/>
    <w:rsid w:val="00532FD7"/>
    <w:rsid w:val="005330D5"/>
    <w:rsid w:val="00534641"/>
    <w:rsid w:val="00534FD8"/>
    <w:rsid w:val="005353B2"/>
    <w:rsid w:val="005355F2"/>
    <w:rsid w:val="005361F5"/>
    <w:rsid w:val="00536E20"/>
    <w:rsid w:val="00537178"/>
    <w:rsid w:val="005378C5"/>
    <w:rsid w:val="00537994"/>
    <w:rsid w:val="00541908"/>
    <w:rsid w:val="00541B93"/>
    <w:rsid w:val="005420F1"/>
    <w:rsid w:val="0054255C"/>
    <w:rsid w:val="0054286B"/>
    <w:rsid w:val="00542919"/>
    <w:rsid w:val="00542B96"/>
    <w:rsid w:val="00543191"/>
    <w:rsid w:val="005433F9"/>
    <w:rsid w:val="0054374E"/>
    <w:rsid w:val="00543C30"/>
    <w:rsid w:val="00543D8A"/>
    <w:rsid w:val="005455B6"/>
    <w:rsid w:val="005455F6"/>
    <w:rsid w:val="005458C8"/>
    <w:rsid w:val="00546224"/>
    <w:rsid w:val="005462B7"/>
    <w:rsid w:val="00546A29"/>
    <w:rsid w:val="00546E5F"/>
    <w:rsid w:val="005502AF"/>
    <w:rsid w:val="005506E7"/>
    <w:rsid w:val="005508D1"/>
    <w:rsid w:val="005513FF"/>
    <w:rsid w:val="00551643"/>
    <w:rsid w:val="0055332A"/>
    <w:rsid w:val="005538A9"/>
    <w:rsid w:val="00553C0A"/>
    <w:rsid w:val="00554F36"/>
    <w:rsid w:val="005551C3"/>
    <w:rsid w:val="005554C6"/>
    <w:rsid w:val="00556DD8"/>
    <w:rsid w:val="00556E05"/>
    <w:rsid w:val="00556EA2"/>
    <w:rsid w:val="0056013A"/>
    <w:rsid w:val="00560AA6"/>
    <w:rsid w:val="0056163C"/>
    <w:rsid w:val="00561820"/>
    <w:rsid w:val="00561B73"/>
    <w:rsid w:val="00561E43"/>
    <w:rsid w:val="00562E53"/>
    <w:rsid w:val="00563358"/>
    <w:rsid w:val="00563D39"/>
    <w:rsid w:val="0056433E"/>
    <w:rsid w:val="00565301"/>
    <w:rsid w:val="00567239"/>
    <w:rsid w:val="00567AE3"/>
    <w:rsid w:val="00567C8B"/>
    <w:rsid w:val="00567E8A"/>
    <w:rsid w:val="00571252"/>
    <w:rsid w:val="00571693"/>
    <w:rsid w:val="00571CAD"/>
    <w:rsid w:val="0057256C"/>
    <w:rsid w:val="00572639"/>
    <w:rsid w:val="00572D50"/>
    <w:rsid w:val="00573D73"/>
    <w:rsid w:val="00575647"/>
    <w:rsid w:val="0057567F"/>
    <w:rsid w:val="005802AC"/>
    <w:rsid w:val="005805E8"/>
    <w:rsid w:val="00580AEC"/>
    <w:rsid w:val="00580DA7"/>
    <w:rsid w:val="00580E20"/>
    <w:rsid w:val="00580F24"/>
    <w:rsid w:val="0058166E"/>
    <w:rsid w:val="00581DBB"/>
    <w:rsid w:val="0058244B"/>
    <w:rsid w:val="00582797"/>
    <w:rsid w:val="00583BB8"/>
    <w:rsid w:val="005840A9"/>
    <w:rsid w:val="0058458D"/>
    <w:rsid w:val="00584E75"/>
    <w:rsid w:val="0058580F"/>
    <w:rsid w:val="005858A3"/>
    <w:rsid w:val="00586138"/>
    <w:rsid w:val="00586843"/>
    <w:rsid w:val="005874A9"/>
    <w:rsid w:val="00587E17"/>
    <w:rsid w:val="00590546"/>
    <w:rsid w:val="00590C87"/>
    <w:rsid w:val="00591788"/>
    <w:rsid w:val="00591DE9"/>
    <w:rsid w:val="00592052"/>
    <w:rsid w:val="0059244B"/>
    <w:rsid w:val="00592B22"/>
    <w:rsid w:val="005933F1"/>
    <w:rsid w:val="0059341B"/>
    <w:rsid w:val="005938F9"/>
    <w:rsid w:val="00593DA8"/>
    <w:rsid w:val="00593DC9"/>
    <w:rsid w:val="0059419E"/>
    <w:rsid w:val="005948EC"/>
    <w:rsid w:val="005955D9"/>
    <w:rsid w:val="005962A3"/>
    <w:rsid w:val="00596818"/>
    <w:rsid w:val="00596ECE"/>
    <w:rsid w:val="00597104"/>
    <w:rsid w:val="00597A81"/>
    <w:rsid w:val="00597A94"/>
    <w:rsid w:val="00597DD0"/>
    <w:rsid w:val="005A08CB"/>
    <w:rsid w:val="005A0C93"/>
    <w:rsid w:val="005A13A5"/>
    <w:rsid w:val="005A2467"/>
    <w:rsid w:val="005A2FCA"/>
    <w:rsid w:val="005A32D3"/>
    <w:rsid w:val="005A39D1"/>
    <w:rsid w:val="005A3E16"/>
    <w:rsid w:val="005A48D5"/>
    <w:rsid w:val="005A6C0D"/>
    <w:rsid w:val="005B01DE"/>
    <w:rsid w:val="005B1767"/>
    <w:rsid w:val="005B1B1C"/>
    <w:rsid w:val="005B2573"/>
    <w:rsid w:val="005B2CF0"/>
    <w:rsid w:val="005B2EC7"/>
    <w:rsid w:val="005B3129"/>
    <w:rsid w:val="005B44EA"/>
    <w:rsid w:val="005B48D8"/>
    <w:rsid w:val="005B5038"/>
    <w:rsid w:val="005B5973"/>
    <w:rsid w:val="005B5DFD"/>
    <w:rsid w:val="005B6011"/>
    <w:rsid w:val="005B64DA"/>
    <w:rsid w:val="005B7172"/>
    <w:rsid w:val="005B71F8"/>
    <w:rsid w:val="005B73EF"/>
    <w:rsid w:val="005B7865"/>
    <w:rsid w:val="005C0520"/>
    <w:rsid w:val="005C0840"/>
    <w:rsid w:val="005C0947"/>
    <w:rsid w:val="005C0EEF"/>
    <w:rsid w:val="005C0F11"/>
    <w:rsid w:val="005C2B74"/>
    <w:rsid w:val="005C2B8C"/>
    <w:rsid w:val="005C2E9C"/>
    <w:rsid w:val="005C32C9"/>
    <w:rsid w:val="005C3596"/>
    <w:rsid w:val="005C35E2"/>
    <w:rsid w:val="005C36CF"/>
    <w:rsid w:val="005C392E"/>
    <w:rsid w:val="005C79E3"/>
    <w:rsid w:val="005C7EC1"/>
    <w:rsid w:val="005D014B"/>
    <w:rsid w:val="005D0E23"/>
    <w:rsid w:val="005D0F6B"/>
    <w:rsid w:val="005D123F"/>
    <w:rsid w:val="005D1B32"/>
    <w:rsid w:val="005D24F5"/>
    <w:rsid w:val="005D2E08"/>
    <w:rsid w:val="005D3A57"/>
    <w:rsid w:val="005D4940"/>
    <w:rsid w:val="005D4CC7"/>
    <w:rsid w:val="005D54EC"/>
    <w:rsid w:val="005D55DB"/>
    <w:rsid w:val="005D5B91"/>
    <w:rsid w:val="005D71A6"/>
    <w:rsid w:val="005D771F"/>
    <w:rsid w:val="005D7A19"/>
    <w:rsid w:val="005E013D"/>
    <w:rsid w:val="005E0B3E"/>
    <w:rsid w:val="005E21BF"/>
    <w:rsid w:val="005E2634"/>
    <w:rsid w:val="005E27B9"/>
    <w:rsid w:val="005E2B04"/>
    <w:rsid w:val="005E319E"/>
    <w:rsid w:val="005E343C"/>
    <w:rsid w:val="005E3B1A"/>
    <w:rsid w:val="005E3F0C"/>
    <w:rsid w:val="005E4FA1"/>
    <w:rsid w:val="005E6234"/>
    <w:rsid w:val="005E7A2B"/>
    <w:rsid w:val="005E7BFF"/>
    <w:rsid w:val="005F0F38"/>
    <w:rsid w:val="005F1901"/>
    <w:rsid w:val="005F1D74"/>
    <w:rsid w:val="005F1D84"/>
    <w:rsid w:val="005F1DAB"/>
    <w:rsid w:val="005F21A9"/>
    <w:rsid w:val="005F24C4"/>
    <w:rsid w:val="005F2A3B"/>
    <w:rsid w:val="005F2D99"/>
    <w:rsid w:val="005F37AD"/>
    <w:rsid w:val="005F3942"/>
    <w:rsid w:val="005F4220"/>
    <w:rsid w:val="005F4327"/>
    <w:rsid w:val="005F4678"/>
    <w:rsid w:val="005F47F2"/>
    <w:rsid w:val="005F4B29"/>
    <w:rsid w:val="005F4BD7"/>
    <w:rsid w:val="005F616F"/>
    <w:rsid w:val="005F626F"/>
    <w:rsid w:val="005F6BF9"/>
    <w:rsid w:val="005F6D61"/>
    <w:rsid w:val="005F7023"/>
    <w:rsid w:val="005F703E"/>
    <w:rsid w:val="005F775E"/>
    <w:rsid w:val="00600475"/>
    <w:rsid w:val="006010B0"/>
    <w:rsid w:val="006016D4"/>
    <w:rsid w:val="00601F8C"/>
    <w:rsid w:val="00603636"/>
    <w:rsid w:val="0060369A"/>
    <w:rsid w:val="0060377A"/>
    <w:rsid w:val="00603D88"/>
    <w:rsid w:val="00604A82"/>
    <w:rsid w:val="00604C0E"/>
    <w:rsid w:val="00604F08"/>
    <w:rsid w:val="00605A26"/>
    <w:rsid w:val="00605BEE"/>
    <w:rsid w:val="00605DA7"/>
    <w:rsid w:val="00605F3F"/>
    <w:rsid w:val="006066F2"/>
    <w:rsid w:val="00606C13"/>
    <w:rsid w:val="00606FD7"/>
    <w:rsid w:val="00607F2F"/>
    <w:rsid w:val="00610011"/>
    <w:rsid w:val="00610101"/>
    <w:rsid w:val="00610289"/>
    <w:rsid w:val="00610ACB"/>
    <w:rsid w:val="0061124C"/>
    <w:rsid w:val="00611265"/>
    <w:rsid w:val="0061131E"/>
    <w:rsid w:val="00611BB2"/>
    <w:rsid w:val="00612071"/>
    <w:rsid w:val="006124A0"/>
    <w:rsid w:val="00612D0C"/>
    <w:rsid w:val="006138E2"/>
    <w:rsid w:val="00613972"/>
    <w:rsid w:val="00614CEF"/>
    <w:rsid w:val="00615811"/>
    <w:rsid w:val="006159FB"/>
    <w:rsid w:val="00615A7D"/>
    <w:rsid w:val="00615EF8"/>
    <w:rsid w:val="00616BA9"/>
    <w:rsid w:val="00616D27"/>
    <w:rsid w:val="00617A22"/>
    <w:rsid w:val="00617FE8"/>
    <w:rsid w:val="00620071"/>
    <w:rsid w:val="006205EA"/>
    <w:rsid w:val="00620E1F"/>
    <w:rsid w:val="006217B7"/>
    <w:rsid w:val="006217D9"/>
    <w:rsid w:val="006220F0"/>
    <w:rsid w:val="006222E9"/>
    <w:rsid w:val="006225D1"/>
    <w:rsid w:val="00622D5C"/>
    <w:rsid w:val="00623706"/>
    <w:rsid w:val="0062582F"/>
    <w:rsid w:val="006258E5"/>
    <w:rsid w:val="00625998"/>
    <w:rsid w:val="00625E96"/>
    <w:rsid w:val="00626731"/>
    <w:rsid w:val="0062673B"/>
    <w:rsid w:val="00626C39"/>
    <w:rsid w:val="00627419"/>
    <w:rsid w:val="0063025F"/>
    <w:rsid w:val="00630BA2"/>
    <w:rsid w:val="0063107A"/>
    <w:rsid w:val="006315BE"/>
    <w:rsid w:val="00631A7E"/>
    <w:rsid w:val="00631D87"/>
    <w:rsid w:val="00631FA9"/>
    <w:rsid w:val="00631FAE"/>
    <w:rsid w:val="0063237A"/>
    <w:rsid w:val="00632504"/>
    <w:rsid w:val="00632997"/>
    <w:rsid w:val="00633C5F"/>
    <w:rsid w:val="006342C4"/>
    <w:rsid w:val="0063447C"/>
    <w:rsid w:val="00634ADE"/>
    <w:rsid w:val="00634F16"/>
    <w:rsid w:val="00635158"/>
    <w:rsid w:val="00636EEB"/>
    <w:rsid w:val="0063767B"/>
    <w:rsid w:val="006401CE"/>
    <w:rsid w:val="00640C8F"/>
    <w:rsid w:val="00641395"/>
    <w:rsid w:val="00641A4F"/>
    <w:rsid w:val="00642E04"/>
    <w:rsid w:val="0064304E"/>
    <w:rsid w:val="006453B1"/>
    <w:rsid w:val="006459AC"/>
    <w:rsid w:val="0064706E"/>
    <w:rsid w:val="00650106"/>
    <w:rsid w:val="00650FCD"/>
    <w:rsid w:val="00651ABF"/>
    <w:rsid w:val="00651DF1"/>
    <w:rsid w:val="00652883"/>
    <w:rsid w:val="006530B1"/>
    <w:rsid w:val="006530BD"/>
    <w:rsid w:val="00653407"/>
    <w:rsid w:val="006536E7"/>
    <w:rsid w:val="00653818"/>
    <w:rsid w:val="00654E70"/>
    <w:rsid w:val="00656527"/>
    <w:rsid w:val="006565DE"/>
    <w:rsid w:val="00656A8F"/>
    <w:rsid w:val="00656FB7"/>
    <w:rsid w:val="0065726E"/>
    <w:rsid w:val="00657751"/>
    <w:rsid w:val="00657FF2"/>
    <w:rsid w:val="00660767"/>
    <w:rsid w:val="00660810"/>
    <w:rsid w:val="006608FC"/>
    <w:rsid w:val="0066095B"/>
    <w:rsid w:val="00660B8A"/>
    <w:rsid w:val="00660BAC"/>
    <w:rsid w:val="00662088"/>
    <w:rsid w:val="0066216B"/>
    <w:rsid w:val="0066265E"/>
    <w:rsid w:val="006629C1"/>
    <w:rsid w:val="00662BE1"/>
    <w:rsid w:val="00663CF8"/>
    <w:rsid w:val="006644C2"/>
    <w:rsid w:val="00664999"/>
    <w:rsid w:val="006649D4"/>
    <w:rsid w:val="00665C8D"/>
    <w:rsid w:val="00665F0D"/>
    <w:rsid w:val="00665F93"/>
    <w:rsid w:val="00665FA3"/>
    <w:rsid w:val="00666453"/>
    <w:rsid w:val="006668B2"/>
    <w:rsid w:val="00666ABE"/>
    <w:rsid w:val="00667FB8"/>
    <w:rsid w:val="006705D9"/>
    <w:rsid w:val="0067204D"/>
    <w:rsid w:val="00672B27"/>
    <w:rsid w:val="00674B97"/>
    <w:rsid w:val="00676BB1"/>
    <w:rsid w:val="00676CFC"/>
    <w:rsid w:val="0067736A"/>
    <w:rsid w:val="00677DD4"/>
    <w:rsid w:val="00677EC1"/>
    <w:rsid w:val="006805A0"/>
    <w:rsid w:val="00680C60"/>
    <w:rsid w:val="006818F3"/>
    <w:rsid w:val="0068291A"/>
    <w:rsid w:val="006835D7"/>
    <w:rsid w:val="00683C05"/>
    <w:rsid w:val="0068493E"/>
    <w:rsid w:val="00684A57"/>
    <w:rsid w:val="00685145"/>
    <w:rsid w:val="00685F4A"/>
    <w:rsid w:val="00685FB7"/>
    <w:rsid w:val="00686689"/>
    <w:rsid w:val="006878CB"/>
    <w:rsid w:val="00690917"/>
    <w:rsid w:val="00690A70"/>
    <w:rsid w:val="006912AB"/>
    <w:rsid w:val="006938EF"/>
    <w:rsid w:val="00693919"/>
    <w:rsid w:val="00693B07"/>
    <w:rsid w:val="006941CD"/>
    <w:rsid w:val="00694979"/>
    <w:rsid w:val="00695104"/>
    <w:rsid w:val="0069575F"/>
    <w:rsid w:val="00695F42"/>
    <w:rsid w:val="006962F1"/>
    <w:rsid w:val="00696C52"/>
    <w:rsid w:val="00696F6E"/>
    <w:rsid w:val="00697318"/>
    <w:rsid w:val="00697329"/>
    <w:rsid w:val="0069772E"/>
    <w:rsid w:val="00697A50"/>
    <w:rsid w:val="00697A5A"/>
    <w:rsid w:val="006A12DD"/>
    <w:rsid w:val="006A2787"/>
    <w:rsid w:val="006A4371"/>
    <w:rsid w:val="006A4E06"/>
    <w:rsid w:val="006A5500"/>
    <w:rsid w:val="006A5E5C"/>
    <w:rsid w:val="006A5E95"/>
    <w:rsid w:val="006A64B3"/>
    <w:rsid w:val="006A6877"/>
    <w:rsid w:val="006A7966"/>
    <w:rsid w:val="006B0BA2"/>
    <w:rsid w:val="006B1172"/>
    <w:rsid w:val="006B1944"/>
    <w:rsid w:val="006B1E4C"/>
    <w:rsid w:val="006B2078"/>
    <w:rsid w:val="006B27E0"/>
    <w:rsid w:val="006B41CF"/>
    <w:rsid w:val="006B4DD4"/>
    <w:rsid w:val="006B50F3"/>
    <w:rsid w:val="006B5FCC"/>
    <w:rsid w:val="006B6A77"/>
    <w:rsid w:val="006C02B7"/>
    <w:rsid w:val="006C249F"/>
    <w:rsid w:val="006C2C64"/>
    <w:rsid w:val="006C3301"/>
    <w:rsid w:val="006C33E4"/>
    <w:rsid w:val="006C3693"/>
    <w:rsid w:val="006C4049"/>
    <w:rsid w:val="006C51E4"/>
    <w:rsid w:val="006C55CB"/>
    <w:rsid w:val="006C5A90"/>
    <w:rsid w:val="006C6568"/>
    <w:rsid w:val="006C6793"/>
    <w:rsid w:val="006C67FA"/>
    <w:rsid w:val="006C69DB"/>
    <w:rsid w:val="006C70AF"/>
    <w:rsid w:val="006C783D"/>
    <w:rsid w:val="006C7C52"/>
    <w:rsid w:val="006C7DF0"/>
    <w:rsid w:val="006D0844"/>
    <w:rsid w:val="006D25D1"/>
    <w:rsid w:val="006D32B5"/>
    <w:rsid w:val="006D388D"/>
    <w:rsid w:val="006D427B"/>
    <w:rsid w:val="006D452A"/>
    <w:rsid w:val="006D4F29"/>
    <w:rsid w:val="006D7C37"/>
    <w:rsid w:val="006D7ED9"/>
    <w:rsid w:val="006E00FE"/>
    <w:rsid w:val="006E11F6"/>
    <w:rsid w:val="006E17A1"/>
    <w:rsid w:val="006E21F1"/>
    <w:rsid w:val="006E2746"/>
    <w:rsid w:val="006E32F8"/>
    <w:rsid w:val="006E3418"/>
    <w:rsid w:val="006E446B"/>
    <w:rsid w:val="006E4895"/>
    <w:rsid w:val="006E4B03"/>
    <w:rsid w:val="006E4CA9"/>
    <w:rsid w:val="006E5343"/>
    <w:rsid w:val="006E5670"/>
    <w:rsid w:val="006E5D47"/>
    <w:rsid w:val="006E6B6F"/>
    <w:rsid w:val="006F003A"/>
    <w:rsid w:val="006F0917"/>
    <w:rsid w:val="006F2A85"/>
    <w:rsid w:val="006F2AB6"/>
    <w:rsid w:val="006F32CB"/>
    <w:rsid w:val="006F35EF"/>
    <w:rsid w:val="006F3D57"/>
    <w:rsid w:val="006F42F0"/>
    <w:rsid w:val="006F4BBC"/>
    <w:rsid w:val="006F4CB7"/>
    <w:rsid w:val="006F5BCF"/>
    <w:rsid w:val="006F5E28"/>
    <w:rsid w:val="006F61AD"/>
    <w:rsid w:val="006F65D3"/>
    <w:rsid w:val="006F691E"/>
    <w:rsid w:val="007005E5"/>
    <w:rsid w:val="00700C72"/>
    <w:rsid w:val="007013F5"/>
    <w:rsid w:val="00701D0E"/>
    <w:rsid w:val="00702A2E"/>
    <w:rsid w:val="00703579"/>
    <w:rsid w:val="00703B98"/>
    <w:rsid w:val="007043C6"/>
    <w:rsid w:val="00704CA5"/>
    <w:rsid w:val="00705654"/>
    <w:rsid w:val="00705AFD"/>
    <w:rsid w:val="00705EDA"/>
    <w:rsid w:val="007065E2"/>
    <w:rsid w:val="007075A8"/>
    <w:rsid w:val="00707EF1"/>
    <w:rsid w:val="007101A6"/>
    <w:rsid w:val="00710437"/>
    <w:rsid w:val="00710FD2"/>
    <w:rsid w:val="0071147B"/>
    <w:rsid w:val="00711D61"/>
    <w:rsid w:val="007134C3"/>
    <w:rsid w:val="00713EDA"/>
    <w:rsid w:val="00714389"/>
    <w:rsid w:val="007143BD"/>
    <w:rsid w:val="00714554"/>
    <w:rsid w:val="00715086"/>
    <w:rsid w:val="00715213"/>
    <w:rsid w:val="007157D0"/>
    <w:rsid w:val="0071592D"/>
    <w:rsid w:val="00715B74"/>
    <w:rsid w:val="0071604F"/>
    <w:rsid w:val="00716488"/>
    <w:rsid w:val="007175C3"/>
    <w:rsid w:val="00720CAB"/>
    <w:rsid w:val="00721677"/>
    <w:rsid w:val="007234E3"/>
    <w:rsid w:val="00724576"/>
    <w:rsid w:val="0072494B"/>
    <w:rsid w:val="007256AE"/>
    <w:rsid w:val="00725758"/>
    <w:rsid w:val="00725789"/>
    <w:rsid w:val="0072592C"/>
    <w:rsid w:val="00726CE6"/>
    <w:rsid w:val="00727AED"/>
    <w:rsid w:val="00731FCB"/>
    <w:rsid w:val="0073257A"/>
    <w:rsid w:val="007327E2"/>
    <w:rsid w:val="007347D7"/>
    <w:rsid w:val="00734A1A"/>
    <w:rsid w:val="00734D6D"/>
    <w:rsid w:val="007351F2"/>
    <w:rsid w:val="00735A34"/>
    <w:rsid w:val="00736645"/>
    <w:rsid w:val="0073715F"/>
    <w:rsid w:val="007376B3"/>
    <w:rsid w:val="0073780E"/>
    <w:rsid w:val="007409BA"/>
    <w:rsid w:val="00741494"/>
    <w:rsid w:val="007414C5"/>
    <w:rsid w:val="00741613"/>
    <w:rsid w:val="007417AC"/>
    <w:rsid w:val="00741F00"/>
    <w:rsid w:val="00741FFD"/>
    <w:rsid w:val="007423C7"/>
    <w:rsid w:val="0074248D"/>
    <w:rsid w:val="007426DC"/>
    <w:rsid w:val="007430A0"/>
    <w:rsid w:val="007432AC"/>
    <w:rsid w:val="007437D4"/>
    <w:rsid w:val="00743CE6"/>
    <w:rsid w:val="0074489A"/>
    <w:rsid w:val="007448B3"/>
    <w:rsid w:val="00745915"/>
    <w:rsid w:val="007475EA"/>
    <w:rsid w:val="00747BCD"/>
    <w:rsid w:val="0075013B"/>
    <w:rsid w:val="007501DC"/>
    <w:rsid w:val="00750AE9"/>
    <w:rsid w:val="00750C02"/>
    <w:rsid w:val="00751266"/>
    <w:rsid w:val="00751C6C"/>
    <w:rsid w:val="0075264E"/>
    <w:rsid w:val="00752D7F"/>
    <w:rsid w:val="00752F97"/>
    <w:rsid w:val="00754B3F"/>
    <w:rsid w:val="007558C9"/>
    <w:rsid w:val="00756E6C"/>
    <w:rsid w:val="007570F0"/>
    <w:rsid w:val="00757AB2"/>
    <w:rsid w:val="00757F2D"/>
    <w:rsid w:val="007601C8"/>
    <w:rsid w:val="00760322"/>
    <w:rsid w:val="0076038C"/>
    <w:rsid w:val="00760CB4"/>
    <w:rsid w:val="00760FAC"/>
    <w:rsid w:val="00761A51"/>
    <w:rsid w:val="00761F32"/>
    <w:rsid w:val="00763DEA"/>
    <w:rsid w:val="00765647"/>
    <w:rsid w:val="00765BF3"/>
    <w:rsid w:val="00766879"/>
    <w:rsid w:val="00767B6D"/>
    <w:rsid w:val="00770245"/>
    <w:rsid w:val="00770590"/>
    <w:rsid w:val="00770E57"/>
    <w:rsid w:val="00771CF6"/>
    <w:rsid w:val="00772979"/>
    <w:rsid w:val="00772F6B"/>
    <w:rsid w:val="00773472"/>
    <w:rsid w:val="0077543F"/>
    <w:rsid w:val="007764A3"/>
    <w:rsid w:val="007777F9"/>
    <w:rsid w:val="007809E7"/>
    <w:rsid w:val="0078142D"/>
    <w:rsid w:val="00781DF3"/>
    <w:rsid w:val="0078201A"/>
    <w:rsid w:val="007828E6"/>
    <w:rsid w:val="0078407B"/>
    <w:rsid w:val="00785322"/>
    <w:rsid w:val="00785786"/>
    <w:rsid w:val="00785F8A"/>
    <w:rsid w:val="00786B90"/>
    <w:rsid w:val="00786C73"/>
    <w:rsid w:val="00786E6A"/>
    <w:rsid w:val="00786FD4"/>
    <w:rsid w:val="00787212"/>
    <w:rsid w:val="007879BC"/>
    <w:rsid w:val="00787EAF"/>
    <w:rsid w:val="0079027B"/>
    <w:rsid w:val="0079086B"/>
    <w:rsid w:val="00790CE2"/>
    <w:rsid w:val="00792237"/>
    <w:rsid w:val="00792357"/>
    <w:rsid w:val="0079258C"/>
    <w:rsid w:val="0079340B"/>
    <w:rsid w:val="007935DB"/>
    <w:rsid w:val="00794659"/>
    <w:rsid w:val="00794E15"/>
    <w:rsid w:val="00795BBC"/>
    <w:rsid w:val="007961A5"/>
    <w:rsid w:val="0079714D"/>
    <w:rsid w:val="007A000A"/>
    <w:rsid w:val="007A0361"/>
    <w:rsid w:val="007A091B"/>
    <w:rsid w:val="007A0E93"/>
    <w:rsid w:val="007A137E"/>
    <w:rsid w:val="007A1403"/>
    <w:rsid w:val="007A1BD0"/>
    <w:rsid w:val="007A20D7"/>
    <w:rsid w:val="007A3A68"/>
    <w:rsid w:val="007A3AB2"/>
    <w:rsid w:val="007A3F26"/>
    <w:rsid w:val="007A421A"/>
    <w:rsid w:val="007A6370"/>
    <w:rsid w:val="007A6B4E"/>
    <w:rsid w:val="007A6B52"/>
    <w:rsid w:val="007A6CCB"/>
    <w:rsid w:val="007A7DB2"/>
    <w:rsid w:val="007A7E9A"/>
    <w:rsid w:val="007B0AA7"/>
    <w:rsid w:val="007B1D4E"/>
    <w:rsid w:val="007B2332"/>
    <w:rsid w:val="007B26B7"/>
    <w:rsid w:val="007B26F6"/>
    <w:rsid w:val="007B28CA"/>
    <w:rsid w:val="007B2C7A"/>
    <w:rsid w:val="007B2E73"/>
    <w:rsid w:val="007B3BDE"/>
    <w:rsid w:val="007B4BEF"/>
    <w:rsid w:val="007B4DA6"/>
    <w:rsid w:val="007B599F"/>
    <w:rsid w:val="007B7071"/>
    <w:rsid w:val="007C00C6"/>
    <w:rsid w:val="007C03CB"/>
    <w:rsid w:val="007C0B42"/>
    <w:rsid w:val="007C0C83"/>
    <w:rsid w:val="007C0F77"/>
    <w:rsid w:val="007C2DB5"/>
    <w:rsid w:val="007C3776"/>
    <w:rsid w:val="007C425A"/>
    <w:rsid w:val="007C4956"/>
    <w:rsid w:val="007C625D"/>
    <w:rsid w:val="007C7330"/>
    <w:rsid w:val="007C73C5"/>
    <w:rsid w:val="007C76DE"/>
    <w:rsid w:val="007C78F6"/>
    <w:rsid w:val="007D0592"/>
    <w:rsid w:val="007D05E9"/>
    <w:rsid w:val="007D066D"/>
    <w:rsid w:val="007D2907"/>
    <w:rsid w:val="007D306C"/>
    <w:rsid w:val="007D3845"/>
    <w:rsid w:val="007D446B"/>
    <w:rsid w:val="007D4716"/>
    <w:rsid w:val="007D4845"/>
    <w:rsid w:val="007D55BD"/>
    <w:rsid w:val="007D59B1"/>
    <w:rsid w:val="007D5E40"/>
    <w:rsid w:val="007D5EB8"/>
    <w:rsid w:val="007D60B4"/>
    <w:rsid w:val="007D6F56"/>
    <w:rsid w:val="007D714B"/>
    <w:rsid w:val="007D722E"/>
    <w:rsid w:val="007D7837"/>
    <w:rsid w:val="007E0CEB"/>
    <w:rsid w:val="007E1AE7"/>
    <w:rsid w:val="007E266F"/>
    <w:rsid w:val="007E38EB"/>
    <w:rsid w:val="007E3EC6"/>
    <w:rsid w:val="007E3F1A"/>
    <w:rsid w:val="007E4F13"/>
    <w:rsid w:val="007E63D7"/>
    <w:rsid w:val="007E706E"/>
    <w:rsid w:val="007F0C5E"/>
    <w:rsid w:val="007F0D09"/>
    <w:rsid w:val="007F0E24"/>
    <w:rsid w:val="007F287E"/>
    <w:rsid w:val="007F2A83"/>
    <w:rsid w:val="007F2E8D"/>
    <w:rsid w:val="007F325F"/>
    <w:rsid w:val="007F3566"/>
    <w:rsid w:val="007F3C36"/>
    <w:rsid w:val="007F40AF"/>
    <w:rsid w:val="007F4256"/>
    <w:rsid w:val="007F5865"/>
    <w:rsid w:val="007F58AC"/>
    <w:rsid w:val="007F6AD1"/>
    <w:rsid w:val="007F73A1"/>
    <w:rsid w:val="007F7727"/>
    <w:rsid w:val="008006F5"/>
    <w:rsid w:val="00800E0E"/>
    <w:rsid w:val="00803568"/>
    <w:rsid w:val="00804385"/>
    <w:rsid w:val="008045E5"/>
    <w:rsid w:val="00805174"/>
    <w:rsid w:val="00805235"/>
    <w:rsid w:val="00805342"/>
    <w:rsid w:val="0080549E"/>
    <w:rsid w:val="008058EC"/>
    <w:rsid w:val="00806293"/>
    <w:rsid w:val="008062D1"/>
    <w:rsid w:val="00806409"/>
    <w:rsid w:val="00806BBC"/>
    <w:rsid w:val="00806FB3"/>
    <w:rsid w:val="008073F5"/>
    <w:rsid w:val="00807A4D"/>
    <w:rsid w:val="00807B00"/>
    <w:rsid w:val="00807C19"/>
    <w:rsid w:val="0081058F"/>
    <w:rsid w:val="00810C93"/>
    <w:rsid w:val="00811069"/>
    <w:rsid w:val="0081116B"/>
    <w:rsid w:val="00811CD2"/>
    <w:rsid w:val="00812052"/>
    <w:rsid w:val="008142EB"/>
    <w:rsid w:val="00814561"/>
    <w:rsid w:val="00814D72"/>
    <w:rsid w:val="00814E16"/>
    <w:rsid w:val="00815178"/>
    <w:rsid w:val="008157BA"/>
    <w:rsid w:val="00815C8F"/>
    <w:rsid w:val="00817022"/>
    <w:rsid w:val="008170BF"/>
    <w:rsid w:val="00817FF1"/>
    <w:rsid w:val="00820AB5"/>
    <w:rsid w:val="00820C49"/>
    <w:rsid w:val="00820CD4"/>
    <w:rsid w:val="00820F96"/>
    <w:rsid w:val="00823009"/>
    <w:rsid w:val="00823221"/>
    <w:rsid w:val="00824403"/>
    <w:rsid w:val="00824D79"/>
    <w:rsid w:val="008262DB"/>
    <w:rsid w:val="00826D4E"/>
    <w:rsid w:val="00826F46"/>
    <w:rsid w:val="008271F6"/>
    <w:rsid w:val="00831CF8"/>
    <w:rsid w:val="00832267"/>
    <w:rsid w:val="0083229B"/>
    <w:rsid w:val="00832552"/>
    <w:rsid w:val="00832A3D"/>
    <w:rsid w:val="00832C9C"/>
    <w:rsid w:val="00833814"/>
    <w:rsid w:val="008353F3"/>
    <w:rsid w:val="0083597B"/>
    <w:rsid w:val="00835F56"/>
    <w:rsid w:val="008363DB"/>
    <w:rsid w:val="00836EF2"/>
    <w:rsid w:val="00837C65"/>
    <w:rsid w:val="0084132F"/>
    <w:rsid w:val="00843FAE"/>
    <w:rsid w:val="00844820"/>
    <w:rsid w:val="00845708"/>
    <w:rsid w:val="0084585C"/>
    <w:rsid w:val="00845C00"/>
    <w:rsid w:val="00845C16"/>
    <w:rsid w:val="00845F99"/>
    <w:rsid w:val="008465E8"/>
    <w:rsid w:val="00847024"/>
    <w:rsid w:val="0084744A"/>
    <w:rsid w:val="008508BA"/>
    <w:rsid w:val="008513BF"/>
    <w:rsid w:val="00851B4B"/>
    <w:rsid w:val="00851D05"/>
    <w:rsid w:val="008524E2"/>
    <w:rsid w:val="00852A2B"/>
    <w:rsid w:val="00852CC9"/>
    <w:rsid w:val="00852FD7"/>
    <w:rsid w:val="00853986"/>
    <w:rsid w:val="00854E89"/>
    <w:rsid w:val="0085517F"/>
    <w:rsid w:val="008559B5"/>
    <w:rsid w:val="00855F9F"/>
    <w:rsid w:val="008563D9"/>
    <w:rsid w:val="00856C28"/>
    <w:rsid w:val="00856E10"/>
    <w:rsid w:val="008614F5"/>
    <w:rsid w:val="0086209F"/>
    <w:rsid w:val="00862628"/>
    <w:rsid w:val="00863413"/>
    <w:rsid w:val="00863456"/>
    <w:rsid w:val="00863784"/>
    <w:rsid w:val="00864A60"/>
    <w:rsid w:val="00864CB8"/>
    <w:rsid w:val="0086534B"/>
    <w:rsid w:val="00865C3E"/>
    <w:rsid w:val="0086618A"/>
    <w:rsid w:val="00866736"/>
    <w:rsid w:val="00867BE1"/>
    <w:rsid w:val="00870836"/>
    <w:rsid w:val="00870C29"/>
    <w:rsid w:val="00872FF9"/>
    <w:rsid w:val="00873E5D"/>
    <w:rsid w:val="0087429A"/>
    <w:rsid w:val="00874907"/>
    <w:rsid w:val="00874C35"/>
    <w:rsid w:val="008753CF"/>
    <w:rsid w:val="00875B51"/>
    <w:rsid w:val="00876168"/>
    <w:rsid w:val="00876733"/>
    <w:rsid w:val="008767F3"/>
    <w:rsid w:val="00876BD4"/>
    <w:rsid w:val="008805E1"/>
    <w:rsid w:val="0088070A"/>
    <w:rsid w:val="0088075C"/>
    <w:rsid w:val="00880E18"/>
    <w:rsid w:val="00880E4D"/>
    <w:rsid w:val="00881C7B"/>
    <w:rsid w:val="00881E46"/>
    <w:rsid w:val="00882049"/>
    <w:rsid w:val="00883677"/>
    <w:rsid w:val="00883E93"/>
    <w:rsid w:val="008842A4"/>
    <w:rsid w:val="00885868"/>
    <w:rsid w:val="00885EE8"/>
    <w:rsid w:val="00886D5C"/>
    <w:rsid w:val="00891B5A"/>
    <w:rsid w:val="00891E9C"/>
    <w:rsid w:val="00892B3D"/>
    <w:rsid w:val="00892E85"/>
    <w:rsid w:val="008934B6"/>
    <w:rsid w:val="00893801"/>
    <w:rsid w:val="00893C72"/>
    <w:rsid w:val="008946DD"/>
    <w:rsid w:val="008947B5"/>
    <w:rsid w:val="00894853"/>
    <w:rsid w:val="00894B22"/>
    <w:rsid w:val="00894BA4"/>
    <w:rsid w:val="008950CB"/>
    <w:rsid w:val="0089532D"/>
    <w:rsid w:val="00895548"/>
    <w:rsid w:val="00896A54"/>
    <w:rsid w:val="00897B7E"/>
    <w:rsid w:val="008A01E9"/>
    <w:rsid w:val="008A07BC"/>
    <w:rsid w:val="008A09ED"/>
    <w:rsid w:val="008A11FC"/>
    <w:rsid w:val="008A1D36"/>
    <w:rsid w:val="008A1DB2"/>
    <w:rsid w:val="008A2833"/>
    <w:rsid w:val="008A2A3C"/>
    <w:rsid w:val="008A2C38"/>
    <w:rsid w:val="008A34F5"/>
    <w:rsid w:val="008A3975"/>
    <w:rsid w:val="008A3AE5"/>
    <w:rsid w:val="008A5C3E"/>
    <w:rsid w:val="008A630A"/>
    <w:rsid w:val="008A6796"/>
    <w:rsid w:val="008A6B02"/>
    <w:rsid w:val="008A6F89"/>
    <w:rsid w:val="008A750D"/>
    <w:rsid w:val="008A7F55"/>
    <w:rsid w:val="008B050A"/>
    <w:rsid w:val="008B064B"/>
    <w:rsid w:val="008B0FD9"/>
    <w:rsid w:val="008B234E"/>
    <w:rsid w:val="008B295F"/>
    <w:rsid w:val="008B2FD2"/>
    <w:rsid w:val="008B331C"/>
    <w:rsid w:val="008B3669"/>
    <w:rsid w:val="008B3C0B"/>
    <w:rsid w:val="008B3CEC"/>
    <w:rsid w:val="008B3D72"/>
    <w:rsid w:val="008B4180"/>
    <w:rsid w:val="008B438B"/>
    <w:rsid w:val="008B5B17"/>
    <w:rsid w:val="008B5E46"/>
    <w:rsid w:val="008B6252"/>
    <w:rsid w:val="008B63C7"/>
    <w:rsid w:val="008B6E04"/>
    <w:rsid w:val="008B74FC"/>
    <w:rsid w:val="008C0985"/>
    <w:rsid w:val="008C1409"/>
    <w:rsid w:val="008C1805"/>
    <w:rsid w:val="008C20AE"/>
    <w:rsid w:val="008C261C"/>
    <w:rsid w:val="008C3525"/>
    <w:rsid w:val="008C3632"/>
    <w:rsid w:val="008C3E9A"/>
    <w:rsid w:val="008C4AB5"/>
    <w:rsid w:val="008C5032"/>
    <w:rsid w:val="008C5B24"/>
    <w:rsid w:val="008C5FA2"/>
    <w:rsid w:val="008C5FE8"/>
    <w:rsid w:val="008C7CDF"/>
    <w:rsid w:val="008D10F2"/>
    <w:rsid w:val="008D1210"/>
    <w:rsid w:val="008D1D2E"/>
    <w:rsid w:val="008D1FCF"/>
    <w:rsid w:val="008D222E"/>
    <w:rsid w:val="008D2AEA"/>
    <w:rsid w:val="008D3274"/>
    <w:rsid w:val="008D355D"/>
    <w:rsid w:val="008D40F0"/>
    <w:rsid w:val="008D4547"/>
    <w:rsid w:val="008D4DE2"/>
    <w:rsid w:val="008D4E0C"/>
    <w:rsid w:val="008D5A5B"/>
    <w:rsid w:val="008D5E6C"/>
    <w:rsid w:val="008D663E"/>
    <w:rsid w:val="008D6A5F"/>
    <w:rsid w:val="008D6F92"/>
    <w:rsid w:val="008D7040"/>
    <w:rsid w:val="008D75D2"/>
    <w:rsid w:val="008D790A"/>
    <w:rsid w:val="008D7F41"/>
    <w:rsid w:val="008E15BA"/>
    <w:rsid w:val="008E2A12"/>
    <w:rsid w:val="008E2A1E"/>
    <w:rsid w:val="008E2A9C"/>
    <w:rsid w:val="008E3489"/>
    <w:rsid w:val="008E3FF9"/>
    <w:rsid w:val="008E413E"/>
    <w:rsid w:val="008E47B8"/>
    <w:rsid w:val="008E5BDA"/>
    <w:rsid w:val="008E6148"/>
    <w:rsid w:val="008E7357"/>
    <w:rsid w:val="008E774B"/>
    <w:rsid w:val="008E7CA7"/>
    <w:rsid w:val="008E7FD7"/>
    <w:rsid w:val="008F02B9"/>
    <w:rsid w:val="008F0EA8"/>
    <w:rsid w:val="008F1DFD"/>
    <w:rsid w:val="008F2907"/>
    <w:rsid w:val="008F3146"/>
    <w:rsid w:val="008F3B2A"/>
    <w:rsid w:val="008F3E93"/>
    <w:rsid w:val="008F3FD4"/>
    <w:rsid w:val="008F4277"/>
    <w:rsid w:val="008F50AD"/>
    <w:rsid w:val="008F5B44"/>
    <w:rsid w:val="008F5FD2"/>
    <w:rsid w:val="008F6AA3"/>
    <w:rsid w:val="008F6DA8"/>
    <w:rsid w:val="008F70CD"/>
    <w:rsid w:val="00900B61"/>
    <w:rsid w:val="00901110"/>
    <w:rsid w:val="00901B02"/>
    <w:rsid w:val="009022B6"/>
    <w:rsid w:val="00903603"/>
    <w:rsid w:val="00904482"/>
    <w:rsid w:val="009045F5"/>
    <w:rsid w:val="00904AEF"/>
    <w:rsid w:val="00904D46"/>
    <w:rsid w:val="009053C3"/>
    <w:rsid w:val="00906C7F"/>
    <w:rsid w:val="00906D4B"/>
    <w:rsid w:val="00906F6A"/>
    <w:rsid w:val="00907686"/>
    <w:rsid w:val="009102D9"/>
    <w:rsid w:val="009108D9"/>
    <w:rsid w:val="0091099F"/>
    <w:rsid w:val="00910FE6"/>
    <w:rsid w:val="009113E2"/>
    <w:rsid w:val="00911884"/>
    <w:rsid w:val="00911B7A"/>
    <w:rsid w:val="00911F01"/>
    <w:rsid w:val="00911FD7"/>
    <w:rsid w:val="00912323"/>
    <w:rsid w:val="00912E01"/>
    <w:rsid w:val="0091305E"/>
    <w:rsid w:val="00913064"/>
    <w:rsid w:val="009130CF"/>
    <w:rsid w:val="00914005"/>
    <w:rsid w:val="00915CCD"/>
    <w:rsid w:val="00915E0A"/>
    <w:rsid w:val="00915FDE"/>
    <w:rsid w:val="009164C8"/>
    <w:rsid w:val="009168C5"/>
    <w:rsid w:val="0092021D"/>
    <w:rsid w:val="009206DE"/>
    <w:rsid w:val="00920F7F"/>
    <w:rsid w:val="009211DF"/>
    <w:rsid w:val="009226D5"/>
    <w:rsid w:val="00922DBD"/>
    <w:rsid w:val="00923CBA"/>
    <w:rsid w:val="00923E26"/>
    <w:rsid w:val="00924782"/>
    <w:rsid w:val="00924E37"/>
    <w:rsid w:val="00925118"/>
    <w:rsid w:val="00925C98"/>
    <w:rsid w:val="0092661F"/>
    <w:rsid w:val="0092716F"/>
    <w:rsid w:val="00927C46"/>
    <w:rsid w:val="00930F03"/>
    <w:rsid w:val="00931607"/>
    <w:rsid w:val="00931C10"/>
    <w:rsid w:val="0093203F"/>
    <w:rsid w:val="0093318A"/>
    <w:rsid w:val="009334B8"/>
    <w:rsid w:val="00933A96"/>
    <w:rsid w:val="00933DAE"/>
    <w:rsid w:val="00934CB5"/>
    <w:rsid w:val="009369DB"/>
    <w:rsid w:val="0093712E"/>
    <w:rsid w:val="0094088A"/>
    <w:rsid w:val="00940901"/>
    <w:rsid w:val="00941400"/>
    <w:rsid w:val="009414C5"/>
    <w:rsid w:val="00941F5D"/>
    <w:rsid w:val="00942051"/>
    <w:rsid w:val="00942AAB"/>
    <w:rsid w:val="00942BBE"/>
    <w:rsid w:val="00942E18"/>
    <w:rsid w:val="00942E59"/>
    <w:rsid w:val="00942F98"/>
    <w:rsid w:val="0094333F"/>
    <w:rsid w:val="00943710"/>
    <w:rsid w:val="009450A4"/>
    <w:rsid w:val="00945555"/>
    <w:rsid w:val="00945BEA"/>
    <w:rsid w:val="009463B0"/>
    <w:rsid w:val="00946445"/>
    <w:rsid w:val="009464CD"/>
    <w:rsid w:val="00946E04"/>
    <w:rsid w:val="0095047D"/>
    <w:rsid w:val="009518B1"/>
    <w:rsid w:val="00952766"/>
    <w:rsid w:val="009535B9"/>
    <w:rsid w:val="0095360A"/>
    <w:rsid w:val="009537CD"/>
    <w:rsid w:val="009549B5"/>
    <w:rsid w:val="00954C2D"/>
    <w:rsid w:val="00954F6D"/>
    <w:rsid w:val="009559C4"/>
    <w:rsid w:val="00956D2F"/>
    <w:rsid w:val="00956F31"/>
    <w:rsid w:val="00960A86"/>
    <w:rsid w:val="00960FFB"/>
    <w:rsid w:val="0096143B"/>
    <w:rsid w:val="00961840"/>
    <w:rsid w:val="00962561"/>
    <w:rsid w:val="0096272D"/>
    <w:rsid w:val="0096396A"/>
    <w:rsid w:val="00965954"/>
    <w:rsid w:val="00966181"/>
    <w:rsid w:val="009670C1"/>
    <w:rsid w:val="00967587"/>
    <w:rsid w:val="00967969"/>
    <w:rsid w:val="00967E78"/>
    <w:rsid w:val="0097093E"/>
    <w:rsid w:val="00970EB6"/>
    <w:rsid w:val="00971105"/>
    <w:rsid w:val="00971657"/>
    <w:rsid w:val="00971BDF"/>
    <w:rsid w:val="009721E0"/>
    <w:rsid w:val="00973567"/>
    <w:rsid w:val="00973B97"/>
    <w:rsid w:val="0097476B"/>
    <w:rsid w:val="00975178"/>
    <w:rsid w:val="00975DD3"/>
    <w:rsid w:val="00976737"/>
    <w:rsid w:val="00977AC7"/>
    <w:rsid w:val="009802F4"/>
    <w:rsid w:val="0098316E"/>
    <w:rsid w:val="00983F66"/>
    <w:rsid w:val="00984082"/>
    <w:rsid w:val="009842CB"/>
    <w:rsid w:val="00984AAF"/>
    <w:rsid w:val="009858B5"/>
    <w:rsid w:val="009861B3"/>
    <w:rsid w:val="00986B9B"/>
    <w:rsid w:val="00986F9A"/>
    <w:rsid w:val="00987DE0"/>
    <w:rsid w:val="00987FC9"/>
    <w:rsid w:val="00990E19"/>
    <w:rsid w:val="00991B7A"/>
    <w:rsid w:val="00991D89"/>
    <w:rsid w:val="00992DDC"/>
    <w:rsid w:val="00993DD6"/>
    <w:rsid w:val="00993EFB"/>
    <w:rsid w:val="009943D1"/>
    <w:rsid w:val="0099654C"/>
    <w:rsid w:val="0099690E"/>
    <w:rsid w:val="00996CE8"/>
    <w:rsid w:val="0099792F"/>
    <w:rsid w:val="00997E6E"/>
    <w:rsid w:val="009A0318"/>
    <w:rsid w:val="009A0C97"/>
    <w:rsid w:val="009A1E3B"/>
    <w:rsid w:val="009A3092"/>
    <w:rsid w:val="009A328D"/>
    <w:rsid w:val="009A41D3"/>
    <w:rsid w:val="009A4431"/>
    <w:rsid w:val="009A500D"/>
    <w:rsid w:val="009A516C"/>
    <w:rsid w:val="009A73F3"/>
    <w:rsid w:val="009A7B13"/>
    <w:rsid w:val="009B15B3"/>
    <w:rsid w:val="009B188E"/>
    <w:rsid w:val="009B1FEC"/>
    <w:rsid w:val="009B20DA"/>
    <w:rsid w:val="009B26B3"/>
    <w:rsid w:val="009B295D"/>
    <w:rsid w:val="009B2EA4"/>
    <w:rsid w:val="009B2FDA"/>
    <w:rsid w:val="009B38D1"/>
    <w:rsid w:val="009B3A96"/>
    <w:rsid w:val="009B3C21"/>
    <w:rsid w:val="009B466E"/>
    <w:rsid w:val="009B4683"/>
    <w:rsid w:val="009B4CAB"/>
    <w:rsid w:val="009B50CE"/>
    <w:rsid w:val="009B52E9"/>
    <w:rsid w:val="009B576F"/>
    <w:rsid w:val="009B59CB"/>
    <w:rsid w:val="009B683B"/>
    <w:rsid w:val="009B6F52"/>
    <w:rsid w:val="009B766C"/>
    <w:rsid w:val="009B7BF0"/>
    <w:rsid w:val="009C0068"/>
    <w:rsid w:val="009C088A"/>
    <w:rsid w:val="009C1DE1"/>
    <w:rsid w:val="009C3585"/>
    <w:rsid w:val="009C3899"/>
    <w:rsid w:val="009C4A28"/>
    <w:rsid w:val="009C4FE4"/>
    <w:rsid w:val="009C6620"/>
    <w:rsid w:val="009C6834"/>
    <w:rsid w:val="009C79BF"/>
    <w:rsid w:val="009D0455"/>
    <w:rsid w:val="009D1246"/>
    <w:rsid w:val="009D1FE5"/>
    <w:rsid w:val="009D253E"/>
    <w:rsid w:val="009D3FD2"/>
    <w:rsid w:val="009D47FC"/>
    <w:rsid w:val="009D4C61"/>
    <w:rsid w:val="009D606C"/>
    <w:rsid w:val="009D6099"/>
    <w:rsid w:val="009D6123"/>
    <w:rsid w:val="009D687A"/>
    <w:rsid w:val="009D7608"/>
    <w:rsid w:val="009D7C3F"/>
    <w:rsid w:val="009E0C8C"/>
    <w:rsid w:val="009E0CEA"/>
    <w:rsid w:val="009E1A69"/>
    <w:rsid w:val="009E1D1C"/>
    <w:rsid w:val="009E35D3"/>
    <w:rsid w:val="009E484A"/>
    <w:rsid w:val="009E4B29"/>
    <w:rsid w:val="009E4BB6"/>
    <w:rsid w:val="009E5205"/>
    <w:rsid w:val="009E660E"/>
    <w:rsid w:val="009E6D7A"/>
    <w:rsid w:val="009E6FDF"/>
    <w:rsid w:val="009E7988"/>
    <w:rsid w:val="009E7FE0"/>
    <w:rsid w:val="009F0AE4"/>
    <w:rsid w:val="009F0DA9"/>
    <w:rsid w:val="009F240D"/>
    <w:rsid w:val="009F24AB"/>
    <w:rsid w:val="009F24DB"/>
    <w:rsid w:val="009F25CC"/>
    <w:rsid w:val="009F2BC9"/>
    <w:rsid w:val="009F2EDA"/>
    <w:rsid w:val="009F4325"/>
    <w:rsid w:val="009F5640"/>
    <w:rsid w:val="009F59DA"/>
    <w:rsid w:val="009F5FD3"/>
    <w:rsid w:val="009F7D58"/>
    <w:rsid w:val="00A00EFE"/>
    <w:rsid w:val="00A01694"/>
    <w:rsid w:val="00A01C46"/>
    <w:rsid w:val="00A01CFA"/>
    <w:rsid w:val="00A01DB9"/>
    <w:rsid w:val="00A0226D"/>
    <w:rsid w:val="00A027AA"/>
    <w:rsid w:val="00A02929"/>
    <w:rsid w:val="00A02ABE"/>
    <w:rsid w:val="00A0314E"/>
    <w:rsid w:val="00A04826"/>
    <w:rsid w:val="00A04CB4"/>
    <w:rsid w:val="00A04D21"/>
    <w:rsid w:val="00A05029"/>
    <w:rsid w:val="00A063DA"/>
    <w:rsid w:val="00A06592"/>
    <w:rsid w:val="00A06D2E"/>
    <w:rsid w:val="00A077CF"/>
    <w:rsid w:val="00A07A4B"/>
    <w:rsid w:val="00A10733"/>
    <w:rsid w:val="00A1084F"/>
    <w:rsid w:val="00A10888"/>
    <w:rsid w:val="00A10C8E"/>
    <w:rsid w:val="00A10E68"/>
    <w:rsid w:val="00A11338"/>
    <w:rsid w:val="00A12923"/>
    <w:rsid w:val="00A12DF9"/>
    <w:rsid w:val="00A12FC5"/>
    <w:rsid w:val="00A1345C"/>
    <w:rsid w:val="00A138D5"/>
    <w:rsid w:val="00A14545"/>
    <w:rsid w:val="00A1496E"/>
    <w:rsid w:val="00A150FF"/>
    <w:rsid w:val="00A154B9"/>
    <w:rsid w:val="00A15A1F"/>
    <w:rsid w:val="00A208EA"/>
    <w:rsid w:val="00A20AA9"/>
    <w:rsid w:val="00A214C3"/>
    <w:rsid w:val="00A21764"/>
    <w:rsid w:val="00A23800"/>
    <w:rsid w:val="00A23B27"/>
    <w:rsid w:val="00A23BCB"/>
    <w:rsid w:val="00A23F18"/>
    <w:rsid w:val="00A243C5"/>
    <w:rsid w:val="00A24415"/>
    <w:rsid w:val="00A254F9"/>
    <w:rsid w:val="00A25E03"/>
    <w:rsid w:val="00A26336"/>
    <w:rsid w:val="00A26603"/>
    <w:rsid w:val="00A26DD3"/>
    <w:rsid w:val="00A26FD3"/>
    <w:rsid w:val="00A27078"/>
    <w:rsid w:val="00A27504"/>
    <w:rsid w:val="00A27CAA"/>
    <w:rsid w:val="00A3056A"/>
    <w:rsid w:val="00A30F12"/>
    <w:rsid w:val="00A318D6"/>
    <w:rsid w:val="00A3237C"/>
    <w:rsid w:val="00A32BB6"/>
    <w:rsid w:val="00A3326A"/>
    <w:rsid w:val="00A339C1"/>
    <w:rsid w:val="00A34108"/>
    <w:rsid w:val="00A3410C"/>
    <w:rsid w:val="00A3421C"/>
    <w:rsid w:val="00A34258"/>
    <w:rsid w:val="00A34647"/>
    <w:rsid w:val="00A3511C"/>
    <w:rsid w:val="00A3567F"/>
    <w:rsid w:val="00A36876"/>
    <w:rsid w:val="00A37708"/>
    <w:rsid w:val="00A377DC"/>
    <w:rsid w:val="00A378EF"/>
    <w:rsid w:val="00A37A5D"/>
    <w:rsid w:val="00A37C94"/>
    <w:rsid w:val="00A37D65"/>
    <w:rsid w:val="00A400C0"/>
    <w:rsid w:val="00A4095C"/>
    <w:rsid w:val="00A41197"/>
    <w:rsid w:val="00A41227"/>
    <w:rsid w:val="00A4182F"/>
    <w:rsid w:val="00A41B46"/>
    <w:rsid w:val="00A41C2D"/>
    <w:rsid w:val="00A42F73"/>
    <w:rsid w:val="00A43583"/>
    <w:rsid w:val="00A436CC"/>
    <w:rsid w:val="00A44093"/>
    <w:rsid w:val="00A44A94"/>
    <w:rsid w:val="00A4538B"/>
    <w:rsid w:val="00A46373"/>
    <w:rsid w:val="00A464FD"/>
    <w:rsid w:val="00A465E2"/>
    <w:rsid w:val="00A4671B"/>
    <w:rsid w:val="00A46D68"/>
    <w:rsid w:val="00A478C7"/>
    <w:rsid w:val="00A47AF3"/>
    <w:rsid w:val="00A50CBF"/>
    <w:rsid w:val="00A50ECA"/>
    <w:rsid w:val="00A512B6"/>
    <w:rsid w:val="00A51EF9"/>
    <w:rsid w:val="00A528D2"/>
    <w:rsid w:val="00A5298C"/>
    <w:rsid w:val="00A52B47"/>
    <w:rsid w:val="00A54804"/>
    <w:rsid w:val="00A54E78"/>
    <w:rsid w:val="00A54EC7"/>
    <w:rsid w:val="00A55839"/>
    <w:rsid w:val="00A5626F"/>
    <w:rsid w:val="00A5629B"/>
    <w:rsid w:val="00A5656D"/>
    <w:rsid w:val="00A56A6A"/>
    <w:rsid w:val="00A56E8E"/>
    <w:rsid w:val="00A57696"/>
    <w:rsid w:val="00A5777B"/>
    <w:rsid w:val="00A578E5"/>
    <w:rsid w:val="00A57ACF"/>
    <w:rsid w:val="00A600FC"/>
    <w:rsid w:val="00A6136E"/>
    <w:rsid w:val="00A618D8"/>
    <w:rsid w:val="00A61D2B"/>
    <w:rsid w:val="00A62C60"/>
    <w:rsid w:val="00A63C65"/>
    <w:rsid w:val="00A644BD"/>
    <w:rsid w:val="00A650D7"/>
    <w:rsid w:val="00A65B1C"/>
    <w:rsid w:val="00A667FA"/>
    <w:rsid w:val="00A66CB9"/>
    <w:rsid w:val="00A67AD0"/>
    <w:rsid w:val="00A70578"/>
    <w:rsid w:val="00A7268B"/>
    <w:rsid w:val="00A72869"/>
    <w:rsid w:val="00A732A6"/>
    <w:rsid w:val="00A733E8"/>
    <w:rsid w:val="00A74223"/>
    <w:rsid w:val="00A748C9"/>
    <w:rsid w:val="00A74D92"/>
    <w:rsid w:val="00A74DDA"/>
    <w:rsid w:val="00A750D7"/>
    <w:rsid w:val="00A758A4"/>
    <w:rsid w:val="00A75BF8"/>
    <w:rsid w:val="00A773D6"/>
    <w:rsid w:val="00A80861"/>
    <w:rsid w:val="00A81618"/>
    <w:rsid w:val="00A816A2"/>
    <w:rsid w:val="00A8250E"/>
    <w:rsid w:val="00A835FA"/>
    <w:rsid w:val="00A83663"/>
    <w:rsid w:val="00A83720"/>
    <w:rsid w:val="00A83C4B"/>
    <w:rsid w:val="00A83FAD"/>
    <w:rsid w:val="00A84E40"/>
    <w:rsid w:val="00A85D12"/>
    <w:rsid w:val="00A86549"/>
    <w:rsid w:val="00A87CA9"/>
    <w:rsid w:val="00A87D33"/>
    <w:rsid w:val="00A90163"/>
    <w:rsid w:val="00A9123D"/>
    <w:rsid w:val="00A91A3D"/>
    <w:rsid w:val="00A91FD4"/>
    <w:rsid w:val="00A925E3"/>
    <w:rsid w:val="00A93275"/>
    <w:rsid w:val="00A933BB"/>
    <w:rsid w:val="00A93855"/>
    <w:rsid w:val="00A938DF"/>
    <w:rsid w:val="00A949A2"/>
    <w:rsid w:val="00A94F16"/>
    <w:rsid w:val="00A960E0"/>
    <w:rsid w:val="00A9622C"/>
    <w:rsid w:val="00A96955"/>
    <w:rsid w:val="00A96F7C"/>
    <w:rsid w:val="00A978D2"/>
    <w:rsid w:val="00A97A65"/>
    <w:rsid w:val="00A97EA7"/>
    <w:rsid w:val="00AA1501"/>
    <w:rsid w:val="00AA169B"/>
    <w:rsid w:val="00AA1760"/>
    <w:rsid w:val="00AA1791"/>
    <w:rsid w:val="00AA1A18"/>
    <w:rsid w:val="00AA1C0F"/>
    <w:rsid w:val="00AA1D6E"/>
    <w:rsid w:val="00AA25B5"/>
    <w:rsid w:val="00AA3B3C"/>
    <w:rsid w:val="00AA3F93"/>
    <w:rsid w:val="00AA452D"/>
    <w:rsid w:val="00AA4641"/>
    <w:rsid w:val="00AA476F"/>
    <w:rsid w:val="00AA5168"/>
    <w:rsid w:val="00AA6092"/>
    <w:rsid w:val="00AA61D1"/>
    <w:rsid w:val="00AA6B6E"/>
    <w:rsid w:val="00AA7DA2"/>
    <w:rsid w:val="00AB18C8"/>
    <w:rsid w:val="00AB1BB6"/>
    <w:rsid w:val="00AB3286"/>
    <w:rsid w:val="00AB36B8"/>
    <w:rsid w:val="00AB45C3"/>
    <w:rsid w:val="00AB46EE"/>
    <w:rsid w:val="00AB4AD0"/>
    <w:rsid w:val="00AB4B94"/>
    <w:rsid w:val="00AB5206"/>
    <w:rsid w:val="00AB5C6B"/>
    <w:rsid w:val="00AB5DFB"/>
    <w:rsid w:val="00AB6890"/>
    <w:rsid w:val="00AB68DA"/>
    <w:rsid w:val="00AB6B01"/>
    <w:rsid w:val="00AB6E5D"/>
    <w:rsid w:val="00AB6EDB"/>
    <w:rsid w:val="00AB72F4"/>
    <w:rsid w:val="00AB771E"/>
    <w:rsid w:val="00AB7CF6"/>
    <w:rsid w:val="00AC091E"/>
    <w:rsid w:val="00AC3352"/>
    <w:rsid w:val="00AC3885"/>
    <w:rsid w:val="00AC44F8"/>
    <w:rsid w:val="00AC459F"/>
    <w:rsid w:val="00AC45CB"/>
    <w:rsid w:val="00AC463F"/>
    <w:rsid w:val="00AC486C"/>
    <w:rsid w:val="00AC4C65"/>
    <w:rsid w:val="00AC4CFC"/>
    <w:rsid w:val="00AC5A60"/>
    <w:rsid w:val="00AC6999"/>
    <w:rsid w:val="00AC6EF9"/>
    <w:rsid w:val="00AD0BA1"/>
    <w:rsid w:val="00AD0E60"/>
    <w:rsid w:val="00AD2144"/>
    <w:rsid w:val="00AD2448"/>
    <w:rsid w:val="00AD27E0"/>
    <w:rsid w:val="00AD280D"/>
    <w:rsid w:val="00AD403C"/>
    <w:rsid w:val="00AD4888"/>
    <w:rsid w:val="00AD49E9"/>
    <w:rsid w:val="00AD4C69"/>
    <w:rsid w:val="00AD4FF1"/>
    <w:rsid w:val="00AD557D"/>
    <w:rsid w:val="00AD5628"/>
    <w:rsid w:val="00AD61F7"/>
    <w:rsid w:val="00AD667F"/>
    <w:rsid w:val="00AD66E1"/>
    <w:rsid w:val="00AD7CB1"/>
    <w:rsid w:val="00AE05FE"/>
    <w:rsid w:val="00AE0912"/>
    <w:rsid w:val="00AE12E0"/>
    <w:rsid w:val="00AE14BD"/>
    <w:rsid w:val="00AE18F8"/>
    <w:rsid w:val="00AE1B86"/>
    <w:rsid w:val="00AE356A"/>
    <w:rsid w:val="00AE4C90"/>
    <w:rsid w:val="00AE5269"/>
    <w:rsid w:val="00AE54D6"/>
    <w:rsid w:val="00AE55A7"/>
    <w:rsid w:val="00AE6369"/>
    <w:rsid w:val="00AE6787"/>
    <w:rsid w:val="00AE6791"/>
    <w:rsid w:val="00AE6A76"/>
    <w:rsid w:val="00AE74DE"/>
    <w:rsid w:val="00AE77F9"/>
    <w:rsid w:val="00AF03B9"/>
    <w:rsid w:val="00AF061B"/>
    <w:rsid w:val="00AF091B"/>
    <w:rsid w:val="00AF0F78"/>
    <w:rsid w:val="00AF1D93"/>
    <w:rsid w:val="00AF3040"/>
    <w:rsid w:val="00AF39D4"/>
    <w:rsid w:val="00AF3E19"/>
    <w:rsid w:val="00AF4053"/>
    <w:rsid w:val="00AF4774"/>
    <w:rsid w:val="00AF5146"/>
    <w:rsid w:val="00AF54E4"/>
    <w:rsid w:val="00AF7868"/>
    <w:rsid w:val="00AF78EF"/>
    <w:rsid w:val="00AF7B8F"/>
    <w:rsid w:val="00B005EB"/>
    <w:rsid w:val="00B02F02"/>
    <w:rsid w:val="00B02F60"/>
    <w:rsid w:val="00B032C6"/>
    <w:rsid w:val="00B04681"/>
    <w:rsid w:val="00B0519F"/>
    <w:rsid w:val="00B069F3"/>
    <w:rsid w:val="00B0770F"/>
    <w:rsid w:val="00B10851"/>
    <w:rsid w:val="00B10AB5"/>
    <w:rsid w:val="00B1141A"/>
    <w:rsid w:val="00B11AE1"/>
    <w:rsid w:val="00B13A85"/>
    <w:rsid w:val="00B146EB"/>
    <w:rsid w:val="00B147A2"/>
    <w:rsid w:val="00B14B96"/>
    <w:rsid w:val="00B1504C"/>
    <w:rsid w:val="00B151B7"/>
    <w:rsid w:val="00B15C5F"/>
    <w:rsid w:val="00B16927"/>
    <w:rsid w:val="00B1692A"/>
    <w:rsid w:val="00B17F12"/>
    <w:rsid w:val="00B20026"/>
    <w:rsid w:val="00B200A1"/>
    <w:rsid w:val="00B202AC"/>
    <w:rsid w:val="00B211AB"/>
    <w:rsid w:val="00B21739"/>
    <w:rsid w:val="00B217E0"/>
    <w:rsid w:val="00B21BB5"/>
    <w:rsid w:val="00B21CC3"/>
    <w:rsid w:val="00B23494"/>
    <w:rsid w:val="00B23632"/>
    <w:rsid w:val="00B2377D"/>
    <w:rsid w:val="00B2466E"/>
    <w:rsid w:val="00B24B15"/>
    <w:rsid w:val="00B25215"/>
    <w:rsid w:val="00B257A5"/>
    <w:rsid w:val="00B25964"/>
    <w:rsid w:val="00B25975"/>
    <w:rsid w:val="00B25E98"/>
    <w:rsid w:val="00B268E8"/>
    <w:rsid w:val="00B27733"/>
    <w:rsid w:val="00B27F51"/>
    <w:rsid w:val="00B3001D"/>
    <w:rsid w:val="00B3024B"/>
    <w:rsid w:val="00B30331"/>
    <w:rsid w:val="00B30DEC"/>
    <w:rsid w:val="00B30E43"/>
    <w:rsid w:val="00B311A9"/>
    <w:rsid w:val="00B316B1"/>
    <w:rsid w:val="00B31742"/>
    <w:rsid w:val="00B3184A"/>
    <w:rsid w:val="00B32180"/>
    <w:rsid w:val="00B32183"/>
    <w:rsid w:val="00B330EE"/>
    <w:rsid w:val="00B3336B"/>
    <w:rsid w:val="00B3440C"/>
    <w:rsid w:val="00B34C3D"/>
    <w:rsid w:val="00B34D54"/>
    <w:rsid w:val="00B3561E"/>
    <w:rsid w:val="00B35E51"/>
    <w:rsid w:val="00B36F81"/>
    <w:rsid w:val="00B40D92"/>
    <w:rsid w:val="00B4239E"/>
    <w:rsid w:val="00B42602"/>
    <w:rsid w:val="00B42D86"/>
    <w:rsid w:val="00B4364A"/>
    <w:rsid w:val="00B438B7"/>
    <w:rsid w:val="00B43939"/>
    <w:rsid w:val="00B449D4"/>
    <w:rsid w:val="00B44B0A"/>
    <w:rsid w:val="00B44BB3"/>
    <w:rsid w:val="00B44FA2"/>
    <w:rsid w:val="00B44FF6"/>
    <w:rsid w:val="00B452A7"/>
    <w:rsid w:val="00B4615A"/>
    <w:rsid w:val="00B46429"/>
    <w:rsid w:val="00B4647B"/>
    <w:rsid w:val="00B46852"/>
    <w:rsid w:val="00B468BF"/>
    <w:rsid w:val="00B46FC1"/>
    <w:rsid w:val="00B472C9"/>
    <w:rsid w:val="00B4739C"/>
    <w:rsid w:val="00B47856"/>
    <w:rsid w:val="00B47F48"/>
    <w:rsid w:val="00B5060C"/>
    <w:rsid w:val="00B50672"/>
    <w:rsid w:val="00B5074A"/>
    <w:rsid w:val="00B5078C"/>
    <w:rsid w:val="00B509EB"/>
    <w:rsid w:val="00B517CB"/>
    <w:rsid w:val="00B51FCB"/>
    <w:rsid w:val="00B5650F"/>
    <w:rsid w:val="00B565A5"/>
    <w:rsid w:val="00B5668E"/>
    <w:rsid w:val="00B571A6"/>
    <w:rsid w:val="00B57239"/>
    <w:rsid w:val="00B574DD"/>
    <w:rsid w:val="00B5756E"/>
    <w:rsid w:val="00B60134"/>
    <w:rsid w:val="00B60429"/>
    <w:rsid w:val="00B617A8"/>
    <w:rsid w:val="00B627E1"/>
    <w:rsid w:val="00B6352E"/>
    <w:rsid w:val="00B63C03"/>
    <w:rsid w:val="00B63D16"/>
    <w:rsid w:val="00B6447F"/>
    <w:rsid w:val="00B64BA6"/>
    <w:rsid w:val="00B64FE1"/>
    <w:rsid w:val="00B661C4"/>
    <w:rsid w:val="00B66229"/>
    <w:rsid w:val="00B66422"/>
    <w:rsid w:val="00B67906"/>
    <w:rsid w:val="00B70275"/>
    <w:rsid w:val="00B70695"/>
    <w:rsid w:val="00B71139"/>
    <w:rsid w:val="00B71A1D"/>
    <w:rsid w:val="00B72225"/>
    <w:rsid w:val="00B72407"/>
    <w:rsid w:val="00B732DF"/>
    <w:rsid w:val="00B73959"/>
    <w:rsid w:val="00B7509E"/>
    <w:rsid w:val="00B75EF8"/>
    <w:rsid w:val="00B75FD4"/>
    <w:rsid w:val="00B75FE9"/>
    <w:rsid w:val="00B76076"/>
    <w:rsid w:val="00B7612B"/>
    <w:rsid w:val="00B764FA"/>
    <w:rsid w:val="00B76589"/>
    <w:rsid w:val="00B812A2"/>
    <w:rsid w:val="00B812C8"/>
    <w:rsid w:val="00B825CE"/>
    <w:rsid w:val="00B828A2"/>
    <w:rsid w:val="00B84A3A"/>
    <w:rsid w:val="00B8556F"/>
    <w:rsid w:val="00B8567B"/>
    <w:rsid w:val="00B857A2"/>
    <w:rsid w:val="00B85B7B"/>
    <w:rsid w:val="00B867E1"/>
    <w:rsid w:val="00B86F4D"/>
    <w:rsid w:val="00B876E2"/>
    <w:rsid w:val="00B90AA9"/>
    <w:rsid w:val="00B91017"/>
    <w:rsid w:val="00B911BC"/>
    <w:rsid w:val="00B9123C"/>
    <w:rsid w:val="00B91C45"/>
    <w:rsid w:val="00B92270"/>
    <w:rsid w:val="00B925E7"/>
    <w:rsid w:val="00B92EBD"/>
    <w:rsid w:val="00B93542"/>
    <w:rsid w:val="00B94574"/>
    <w:rsid w:val="00B9457E"/>
    <w:rsid w:val="00B947F1"/>
    <w:rsid w:val="00B948AE"/>
    <w:rsid w:val="00B94AF2"/>
    <w:rsid w:val="00B959DB"/>
    <w:rsid w:val="00B971A0"/>
    <w:rsid w:val="00B97EAD"/>
    <w:rsid w:val="00BA0E5D"/>
    <w:rsid w:val="00BA2343"/>
    <w:rsid w:val="00BA2DA3"/>
    <w:rsid w:val="00BA2DD5"/>
    <w:rsid w:val="00BA31E1"/>
    <w:rsid w:val="00BA34BA"/>
    <w:rsid w:val="00BA4551"/>
    <w:rsid w:val="00BA5058"/>
    <w:rsid w:val="00BA63A1"/>
    <w:rsid w:val="00BA6D8B"/>
    <w:rsid w:val="00BA6DF2"/>
    <w:rsid w:val="00BA7DE8"/>
    <w:rsid w:val="00BB04EA"/>
    <w:rsid w:val="00BB121A"/>
    <w:rsid w:val="00BB1CF3"/>
    <w:rsid w:val="00BB1D6D"/>
    <w:rsid w:val="00BB2026"/>
    <w:rsid w:val="00BB3D14"/>
    <w:rsid w:val="00BB43A5"/>
    <w:rsid w:val="00BB4687"/>
    <w:rsid w:val="00BB7790"/>
    <w:rsid w:val="00BB7D7A"/>
    <w:rsid w:val="00BC0EA9"/>
    <w:rsid w:val="00BC129D"/>
    <w:rsid w:val="00BC1B23"/>
    <w:rsid w:val="00BC1D54"/>
    <w:rsid w:val="00BC2DF7"/>
    <w:rsid w:val="00BC2EEB"/>
    <w:rsid w:val="00BC51FE"/>
    <w:rsid w:val="00BC572E"/>
    <w:rsid w:val="00BC5D4D"/>
    <w:rsid w:val="00BC6066"/>
    <w:rsid w:val="00BC62DC"/>
    <w:rsid w:val="00BC6B6C"/>
    <w:rsid w:val="00BC71D4"/>
    <w:rsid w:val="00BD03DF"/>
    <w:rsid w:val="00BD05E1"/>
    <w:rsid w:val="00BD131B"/>
    <w:rsid w:val="00BD1ACA"/>
    <w:rsid w:val="00BD1FC3"/>
    <w:rsid w:val="00BD2ACE"/>
    <w:rsid w:val="00BD326D"/>
    <w:rsid w:val="00BD39B6"/>
    <w:rsid w:val="00BD3DB5"/>
    <w:rsid w:val="00BD4497"/>
    <w:rsid w:val="00BD45D5"/>
    <w:rsid w:val="00BD46C4"/>
    <w:rsid w:val="00BD46C7"/>
    <w:rsid w:val="00BD4F6A"/>
    <w:rsid w:val="00BD5955"/>
    <w:rsid w:val="00BD6E5E"/>
    <w:rsid w:val="00BD77FF"/>
    <w:rsid w:val="00BD781F"/>
    <w:rsid w:val="00BD7D14"/>
    <w:rsid w:val="00BD7D3F"/>
    <w:rsid w:val="00BE0254"/>
    <w:rsid w:val="00BE03E8"/>
    <w:rsid w:val="00BE0BB0"/>
    <w:rsid w:val="00BE0F36"/>
    <w:rsid w:val="00BE1184"/>
    <w:rsid w:val="00BE126B"/>
    <w:rsid w:val="00BE1E29"/>
    <w:rsid w:val="00BE2364"/>
    <w:rsid w:val="00BE3CB6"/>
    <w:rsid w:val="00BE412B"/>
    <w:rsid w:val="00BE5316"/>
    <w:rsid w:val="00BE5538"/>
    <w:rsid w:val="00BE5BEC"/>
    <w:rsid w:val="00BE5ED7"/>
    <w:rsid w:val="00BE6234"/>
    <w:rsid w:val="00BE6C28"/>
    <w:rsid w:val="00BF0764"/>
    <w:rsid w:val="00BF07DA"/>
    <w:rsid w:val="00BF24B8"/>
    <w:rsid w:val="00BF2F19"/>
    <w:rsid w:val="00BF3175"/>
    <w:rsid w:val="00BF32D0"/>
    <w:rsid w:val="00BF44E5"/>
    <w:rsid w:val="00BF4808"/>
    <w:rsid w:val="00BF4840"/>
    <w:rsid w:val="00BF5D4B"/>
    <w:rsid w:val="00BF6418"/>
    <w:rsid w:val="00BF641D"/>
    <w:rsid w:val="00BF728F"/>
    <w:rsid w:val="00BF7759"/>
    <w:rsid w:val="00BF78EA"/>
    <w:rsid w:val="00BF79ED"/>
    <w:rsid w:val="00C00A5B"/>
    <w:rsid w:val="00C00C99"/>
    <w:rsid w:val="00C00CE4"/>
    <w:rsid w:val="00C014A3"/>
    <w:rsid w:val="00C015BC"/>
    <w:rsid w:val="00C0231D"/>
    <w:rsid w:val="00C02733"/>
    <w:rsid w:val="00C0301A"/>
    <w:rsid w:val="00C033A7"/>
    <w:rsid w:val="00C034F9"/>
    <w:rsid w:val="00C03F9F"/>
    <w:rsid w:val="00C05C0D"/>
    <w:rsid w:val="00C070CC"/>
    <w:rsid w:val="00C070DB"/>
    <w:rsid w:val="00C076E0"/>
    <w:rsid w:val="00C077DF"/>
    <w:rsid w:val="00C07E14"/>
    <w:rsid w:val="00C10A8C"/>
    <w:rsid w:val="00C11FE1"/>
    <w:rsid w:val="00C120D5"/>
    <w:rsid w:val="00C12EE9"/>
    <w:rsid w:val="00C134A4"/>
    <w:rsid w:val="00C13A04"/>
    <w:rsid w:val="00C13B1E"/>
    <w:rsid w:val="00C1554D"/>
    <w:rsid w:val="00C1554E"/>
    <w:rsid w:val="00C15FDC"/>
    <w:rsid w:val="00C16473"/>
    <w:rsid w:val="00C16B93"/>
    <w:rsid w:val="00C16D3F"/>
    <w:rsid w:val="00C2051F"/>
    <w:rsid w:val="00C22897"/>
    <w:rsid w:val="00C240E9"/>
    <w:rsid w:val="00C24D5D"/>
    <w:rsid w:val="00C25A72"/>
    <w:rsid w:val="00C26105"/>
    <w:rsid w:val="00C276D9"/>
    <w:rsid w:val="00C27953"/>
    <w:rsid w:val="00C27F22"/>
    <w:rsid w:val="00C300D8"/>
    <w:rsid w:val="00C30AB4"/>
    <w:rsid w:val="00C31452"/>
    <w:rsid w:val="00C33221"/>
    <w:rsid w:val="00C33A5B"/>
    <w:rsid w:val="00C346A1"/>
    <w:rsid w:val="00C35364"/>
    <w:rsid w:val="00C360C9"/>
    <w:rsid w:val="00C361C2"/>
    <w:rsid w:val="00C36742"/>
    <w:rsid w:val="00C367AB"/>
    <w:rsid w:val="00C36A01"/>
    <w:rsid w:val="00C36FA7"/>
    <w:rsid w:val="00C37D51"/>
    <w:rsid w:val="00C4016A"/>
    <w:rsid w:val="00C4041B"/>
    <w:rsid w:val="00C419D5"/>
    <w:rsid w:val="00C43F51"/>
    <w:rsid w:val="00C4462F"/>
    <w:rsid w:val="00C45172"/>
    <w:rsid w:val="00C45943"/>
    <w:rsid w:val="00C45E73"/>
    <w:rsid w:val="00C46341"/>
    <w:rsid w:val="00C46871"/>
    <w:rsid w:val="00C46E64"/>
    <w:rsid w:val="00C47026"/>
    <w:rsid w:val="00C47B41"/>
    <w:rsid w:val="00C502DE"/>
    <w:rsid w:val="00C519D7"/>
    <w:rsid w:val="00C52CAE"/>
    <w:rsid w:val="00C531DB"/>
    <w:rsid w:val="00C538D8"/>
    <w:rsid w:val="00C53BE5"/>
    <w:rsid w:val="00C5456E"/>
    <w:rsid w:val="00C55F80"/>
    <w:rsid w:val="00C5626A"/>
    <w:rsid w:val="00C569A8"/>
    <w:rsid w:val="00C56B10"/>
    <w:rsid w:val="00C56EAC"/>
    <w:rsid w:val="00C57054"/>
    <w:rsid w:val="00C576C2"/>
    <w:rsid w:val="00C57F2C"/>
    <w:rsid w:val="00C608EB"/>
    <w:rsid w:val="00C60E62"/>
    <w:rsid w:val="00C62A89"/>
    <w:rsid w:val="00C63D62"/>
    <w:rsid w:val="00C644F6"/>
    <w:rsid w:val="00C6474A"/>
    <w:rsid w:val="00C64F35"/>
    <w:rsid w:val="00C6508B"/>
    <w:rsid w:val="00C653E0"/>
    <w:rsid w:val="00C65B21"/>
    <w:rsid w:val="00C672F0"/>
    <w:rsid w:val="00C677CB"/>
    <w:rsid w:val="00C67E56"/>
    <w:rsid w:val="00C706AC"/>
    <w:rsid w:val="00C70B92"/>
    <w:rsid w:val="00C724F9"/>
    <w:rsid w:val="00C725AC"/>
    <w:rsid w:val="00C72B6E"/>
    <w:rsid w:val="00C7313C"/>
    <w:rsid w:val="00C736A3"/>
    <w:rsid w:val="00C73769"/>
    <w:rsid w:val="00C739F1"/>
    <w:rsid w:val="00C73B63"/>
    <w:rsid w:val="00C74BD8"/>
    <w:rsid w:val="00C75FD9"/>
    <w:rsid w:val="00C76182"/>
    <w:rsid w:val="00C768F6"/>
    <w:rsid w:val="00C7693A"/>
    <w:rsid w:val="00C76CDE"/>
    <w:rsid w:val="00C770F3"/>
    <w:rsid w:val="00C77943"/>
    <w:rsid w:val="00C800E2"/>
    <w:rsid w:val="00C80B7E"/>
    <w:rsid w:val="00C810DB"/>
    <w:rsid w:val="00C81BBC"/>
    <w:rsid w:val="00C8240B"/>
    <w:rsid w:val="00C82A88"/>
    <w:rsid w:val="00C833FD"/>
    <w:rsid w:val="00C8472D"/>
    <w:rsid w:val="00C84791"/>
    <w:rsid w:val="00C85226"/>
    <w:rsid w:val="00C85583"/>
    <w:rsid w:val="00C85F7E"/>
    <w:rsid w:val="00C86BEA"/>
    <w:rsid w:val="00C871A1"/>
    <w:rsid w:val="00C87E8C"/>
    <w:rsid w:val="00C90C4A"/>
    <w:rsid w:val="00C912A7"/>
    <w:rsid w:val="00C914C5"/>
    <w:rsid w:val="00C91CDB"/>
    <w:rsid w:val="00C91D0E"/>
    <w:rsid w:val="00C92331"/>
    <w:rsid w:val="00C9276B"/>
    <w:rsid w:val="00C956D8"/>
    <w:rsid w:val="00C9626D"/>
    <w:rsid w:val="00C96863"/>
    <w:rsid w:val="00C96A0C"/>
    <w:rsid w:val="00C96E2A"/>
    <w:rsid w:val="00C973B8"/>
    <w:rsid w:val="00CA0091"/>
    <w:rsid w:val="00CA0444"/>
    <w:rsid w:val="00CA12FB"/>
    <w:rsid w:val="00CA216A"/>
    <w:rsid w:val="00CA2803"/>
    <w:rsid w:val="00CA2AC2"/>
    <w:rsid w:val="00CA419C"/>
    <w:rsid w:val="00CA4546"/>
    <w:rsid w:val="00CA48AA"/>
    <w:rsid w:val="00CA48DF"/>
    <w:rsid w:val="00CA4BDB"/>
    <w:rsid w:val="00CA52E1"/>
    <w:rsid w:val="00CA5D53"/>
    <w:rsid w:val="00CA707F"/>
    <w:rsid w:val="00CA7F8D"/>
    <w:rsid w:val="00CB00F9"/>
    <w:rsid w:val="00CB0A01"/>
    <w:rsid w:val="00CB0AC0"/>
    <w:rsid w:val="00CB13C6"/>
    <w:rsid w:val="00CB154D"/>
    <w:rsid w:val="00CB1980"/>
    <w:rsid w:val="00CB2044"/>
    <w:rsid w:val="00CB2D22"/>
    <w:rsid w:val="00CB33CD"/>
    <w:rsid w:val="00CB3DA6"/>
    <w:rsid w:val="00CB4704"/>
    <w:rsid w:val="00CB480D"/>
    <w:rsid w:val="00CB4F02"/>
    <w:rsid w:val="00CB5178"/>
    <w:rsid w:val="00CB545B"/>
    <w:rsid w:val="00CB6101"/>
    <w:rsid w:val="00CC1904"/>
    <w:rsid w:val="00CC1FD3"/>
    <w:rsid w:val="00CC2BD3"/>
    <w:rsid w:val="00CC2C99"/>
    <w:rsid w:val="00CC3B8B"/>
    <w:rsid w:val="00CC433A"/>
    <w:rsid w:val="00CC60C0"/>
    <w:rsid w:val="00CC64DE"/>
    <w:rsid w:val="00CC6B7D"/>
    <w:rsid w:val="00CC753C"/>
    <w:rsid w:val="00CC79CD"/>
    <w:rsid w:val="00CC7C76"/>
    <w:rsid w:val="00CD00A6"/>
    <w:rsid w:val="00CD2965"/>
    <w:rsid w:val="00CD2CC7"/>
    <w:rsid w:val="00CD2F04"/>
    <w:rsid w:val="00CD3BA1"/>
    <w:rsid w:val="00CD4AC4"/>
    <w:rsid w:val="00CD52D9"/>
    <w:rsid w:val="00CD54A6"/>
    <w:rsid w:val="00CD77DB"/>
    <w:rsid w:val="00CD7A4C"/>
    <w:rsid w:val="00CD7C84"/>
    <w:rsid w:val="00CD7E2D"/>
    <w:rsid w:val="00CE06EA"/>
    <w:rsid w:val="00CE1BF2"/>
    <w:rsid w:val="00CE2294"/>
    <w:rsid w:val="00CE29B3"/>
    <w:rsid w:val="00CE2DC4"/>
    <w:rsid w:val="00CE411A"/>
    <w:rsid w:val="00CE44AA"/>
    <w:rsid w:val="00CE4FF7"/>
    <w:rsid w:val="00CE5C94"/>
    <w:rsid w:val="00CE5D57"/>
    <w:rsid w:val="00CE6697"/>
    <w:rsid w:val="00CE6CCB"/>
    <w:rsid w:val="00CE761B"/>
    <w:rsid w:val="00CE7673"/>
    <w:rsid w:val="00CE79EC"/>
    <w:rsid w:val="00CE79F8"/>
    <w:rsid w:val="00CE7F49"/>
    <w:rsid w:val="00CF0C65"/>
    <w:rsid w:val="00CF233B"/>
    <w:rsid w:val="00CF242D"/>
    <w:rsid w:val="00CF26E5"/>
    <w:rsid w:val="00CF2B3A"/>
    <w:rsid w:val="00CF3A2C"/>
    <w:rsid w:val="00CF3CB8"/>
    <w:rsid w:val="00CF4C2E"/>
    <w:rsid w:val="00CF57AD"/>
    <w:rsid w:val="00CF5F32"/>
    <w:rsid w:val="00CF639D"/>
    <w:rsid w:val="00CF6636"/>
    <w:rsid w:val="00CF685A"/>
    <w:rsid w:val="00CF745B"/>
    <w:rsid w:val="00D0012E"/>
    <w:rsid w:val="00D0182B"/>
    <w:rsid w:val="00D01AF5"/>
    <w:rsid w:val="00D024F5"/>
    <w:rsid w:val="00D0280F"/>
    <w:rsid w:val="00D03865"/>
    <w:rsid w:val="00D041E1"/>
    <w:rsid w:val="00D0491F"/>
    <w:rsid w:val="00D04CFF"/>
    <w:rsid w:val="00D0508D"/>
    <w:rsid w:val="00D05E37"/>
    <w:rsid w:val="00D05F86"/>
    <w:rsid w:val="00D1039F"/>
    <w:rsid w:val="00D11087"/>
    <w:rsid w:val="00D11220"/>
    <w:rsid w:val="00D118D2"/>
    <w:rsid w:val="00D11B8E"/>
    <w:rsid w:val="00D12430"/>
    <w:rsid w:val="00D12902"/>
    <w:rsid w:val="00D12A82"/>
    <w:rsid w:val="00D131A0"/>
    <w:rsid w:val="00D131BF"/>
    <w:rsid w:val="00D135CF"/>
    <w:rsid w:val="00D13B53"/>
    <w:rsid w:val="00D13EFC"/>
    <w:rsid w:val="00D140A5"/>
    <w:rsid w:val="00D14449"/>
    <w:rsid w:val="00D14BFD"/>
    <w:rsid w:val="00D15E45"/>
    <w:rsid w:val="00D15F18"/>
    <w:rsid w:val="00D17D80"/>
    <w:rsid w:val="00D20008"/>
    <w:rsid w:val="00D2005F"/>
    <w:rsid w:val="00D21E95"/>
    <w:rsid w:val="00D222BC"/>
    <w:rsid w:val="00D23197"/>
    <w:rsid w:val="00D237F0"/>
    <w:rsid w:val="00D23EEE"/>
    <w:rsid w:val="00D241E1"/>
    <w:rsid w:val="00D248EF"/>
    <w:rsid w:val="00D24A87"/>
    <w:rsid w:val="00D24AD8"/>
    <w:rsid w:val="00D24D37"/>
    <w:rsid w:val="00D24DA4"/>
    <w:rsid w:val="00D2615B"/>
    <w:rsid w:val="00D26940"/>
    <w:rsid w:val="00D27273"/>
    <w:rsid w:val="00D2737A"/>
    <w:rsid w:val="00D2799A"/>
    <w:rsid w:val="00D30C25"/>
    <w:rsid w:val="00D31963"/>
    <w:rsid w:val="00D32861"/>
    <w:rsid w:val="00D32D33"/>
    <w:rsid w:val="00D334F2"/>
    <w:rsid w:val="00D34AD7"/>
    <w:rsid w:val="00D34DF7"/>
    <w:rsid w:val="00D352B6"/>
    <w:rsid w:val="00D36B42"/>
    <w:rsid w:val="00D36F48"/>
    <w:rsid w:val="00D40DBF"/>
    <w:rsid w:val="00D41208"/>
    <w:rsid w:val="00D41381"/>
    <w:rsid w:val="00D4261D"/>
    <w:rsid w:val="00D426F5"/>
    <w:rsid w:val="00D42ABF"/>
    <w:rsid w:val="00D43AF4"/>
    <w:rsid w:val="00D45C93"/>
    <w:rsid w:val="00D4660A"/>
    <w:rsid w:val="00D46CDA"/>
    <w:rsid w:val="00D505D6"/>
    <w:rsid w:val="00D50A29"/>
    <w:rsid w:val="00D50D00"/>
    <w:rsid w:val="00D50D60"/>
    <w:rsid w:val="00D52CC8"/>
    <w:rsid w:val="00D536E0"/>
    <w:rsid w:val="00D540A5"/>
    <w:rsid w:val="00D541B9"/>
    <w:rsid w:val="00D54464"/>
    <w:rsid w:val="00D5457B"/>
    <w:rsid w:val="00D54FFD"/>
    <w:rsid w:val="00D559CB"/>
    <w:rsid w:val="00D564D3"/>
    <w:rsid w:val="00D56B86"/>
    <w:rsid w:val="00D606F1"/>
    <w:rsid w:val="00D62B81"/>
    <w:rsid w:val="00D640B4"/>
    <w:rsid w:val="00D64D3D"/>
    <w:rsid w:val="00D66BB2"/>
    <w:rsid w:val="00D66C58"/>
    <w:rsid w:val="00D67790"/>
    <w:rsid w:val="00D677AE"/>
    <w:rsid w:val="00D67861"/>
    <w:rsid w:val="00D67B98"/>
    <w:rsid w:val="00D704D2"/>
    <w:rsid w:val="00D710FA"/>
    <w:rsid w:val="00D717D4"/>
    <w:rsid w:val="00D7287B"/>
    <w:rsid w:val="00D72BA2"/>
    <w:rsid w:val="00D72BB2"/>
    <w:rsid w:val="00D72FDF"/>
    <w:rsid w:val="00D73C31"/>
    <w:rsid w:val="00D73EE1"/>
    <w:rsid w:val="00D7420A"/>
    <w:rsid w:val="00D746EF"/>
    <w:rsid w:val="00D74DF0"/>
    <w:rsid w:val="00D74FF5"/>
    <w:rsid w:val="00D773AF"/>
    <w:rsid w:val="00D7740D"/>
    <w:rsid w:val="00D82163"/>
    <w:rsid w:val="00D82FF5"/>
    <w:rsid w:val="00D83208"/>
    <w:rsid w:val="00D83354"/>
    <w:rsid w:val="00D846EC"/>
    <w:rsid w:val="00D848D5"/>
    <w:rsid w:val="00D857A5"/>
    <w:rsid w:val="00D86552"/>
    <w:rsid w:val="00D872E4"/>
    <w:rsid w:val="00D87B31"/>
    <w:rsid w:val="00D9099F"/>
    <w:rsid w:val="00D909A1"/>
    <w:rsid w:val="00D9140C"/>
    <w:rsid w:val="00D93640"/>
    <w:rsid w:val="00D93724"/>
    <w:rsid w:val="00D939E3"/>
    <w:rsid w:val="00D9477C"/>
    <w:rsid w:val="00D94989"/>
    <w:rsid w:val="00D9572A"/>
    <w:rsid w:val="00D95DDC"/>
    <w:rsid w:val="00D96B90"/>
    <w:rsid w:val="00D97629"/>
    <w:rsid w:val="00D97658"/>
    <w:rsid w:val="00D97E64"/>
    <w:rsid w:val="00DA1132"/>
    <w:rsid w:val="00DA1BB4"/>
    <w:rsid w:val="00DA27DF"/>
    <w:rsid w:val="00DA29D2"/>
    <w:rsid w:val="00DA3FDD"/>
    <w:rsid w:val="00DA44B9"/>
    <w:rsid w:val="00DA45B8"/>
    <w:rsid w:val="00DA51D2"/>
    <w:rsid w:val="00DA52D9"/>
    <w:rsid w:val="00DA6A6D"/>
    <w:rsid w:val="00DA7604"/>
    <w:rsid w:val="00DA7835"/>
    <w:rsid w:val="00DB0A32"/>
    <w:rsid w:val="00DB22A1"/>
    <w:rsid w:val="00DB3201"/>
    <w:rsid w:val="00DB3471"/>
    <w:rsid w:val="00DB3DE8"/>
    <w:rsid w:val="00DB3F47"/>
    <w:rsid w:val="00DB4A64"/>
    <w:rsid w:val="00DB59DD"/>
    <w:rsid w:val="00DB6014"/>
    <w:rsid w:val="00DB6643"/>
    <w:rsid w:val="00DB6B1E"/>
    <w:rsid w:val="00DC0678"/>
    <w:rsid w:val="00DC07DE"/>
    <w:rsid w:val="00DC0BF9"/>
    <w:rsid w:val="00DC12E1"/>
    <w:rsid w:val="00DC146B"/>
    <w:rsid w:val="00DC1775"/>
    <w:rsid w:val="00DC1EAA"/>
    <w:rsid w:val="00DC2608"/>
    <w:rsid w:val="00DC3CEA"/>
    <w:rsid w:val="00DC3DE8"/>
    <w:rsid w:val="00DC4137"/>
    <w:rsid w:val="00DC42B5"/>
    <w:rsid w:val="00DC46E1"/>
    <w:rsid w:val="00DC4F1B"/>
    <w:rsid w:val="00DC57FF"/>
    <w:rsid w:val="00DC6FFE"/>
    <w:rsid w:val="00DC77C2"/>
    <w:rsid w:val="00DC7833"/>
    <w:rsid w:val="00DD0364"/>
    <w:rsid w:val="00DD0A63"/>
    <w:rsid w:val="00DD0A6A"/>
    <w:rsid w:val="00DD0FA2"/>
    <w:rsid w:val="00DD17AE"/>
    <w:rsid w:val="00DD1E34"/>
    <w:rsid w:val="00DD2145"/>
    <w:rsid w:val="00DD2396"/>
    <w:rsid w:val="00DD316F"/>
    <w:rsid w:val="00DD38A9"/>
    <w:rsid w:val="00DD41B2"/>
    <w:rsid w:val="00DD4226"/>
    <w:rsid w:val="00DD42A7"/>
    <w:rsid w:val="00DD5657"/>
    <w:rsid w:val="00DD5BEC"/>
    <w:rsid w:val="00DD622F"/>
    <w:rsid w:val="00DD6E54"/>
    <w:rsid w:val="00DD7530"/>
    <w:rsid w:val="00DD75F3"/>
    <w:rsid w:val="00DD78A8"/>
    <w:rsid w:val="00DD7AA2"/>
    <w:rsid w:val="00DD7EDD"/>
    <w:rsid w:val="00DE12DC"/>
    <w:rsid w:val="00DE1C12"/>
    <w:rsid w:val="00DE1FAF"/>
    <w:rsid w:val="00DE2535"/>
    <w:rsid w:val="00DE2E72"/>
    <w:rsid w:val="00DE306B"/>
    <w:rsid w:val="00DE3650"/>
    <w:rsid w:val="00DE3728"/>
    <w:rsid w:val="00DE52E2"/>
    <w:rsid w:val="00DE546F"/>
    <w:rsid w:val="00DE559C"/>
    <w:rsid w:val="00DE69FF"/>
    <w:rsid w:val="00DE6AB9"/>
    <w:rsid w:val="00DE6B4B"/>
    <w:rsid w:val="00DE6BE3"/>
    <w:rsid w:val="00DE6CCD"/>
    <w:rsid w:val="00DE78C0"/>
    <w:rsid w:val="00DF043C"/>
    <w:rsid w:val="00DF060A"/>
    <w:rsid w:val="00DF08B5"/>
    <w:rsid w:val="00DF09CD"/>
    <w:rsid w:val="00DF2668"/>
    <w:rsid w:val="00DF2B3E"/>
    <w:rsid w:val="00DF38B2"/>
    <w:rsid w:val="00DF3ABB"/>
    <w:rsid w:val="00DF4D89"/>
    <w:rsid w:val="00DF54CE"/>
    <w:rsid w:val="00DF5855"/>
    <w:rsid w:val="00DF5AF1"/>
    <w:rsid w:val="00DF5F34"/>
    <w:rsid w:val="00DF67FD"/>
    <w:rsid w:val="00DF69F3"/>
    <w:rsid w:val="00DF7E7B"/>
    <w:rsid w:val="00E00A5B"/>
    <w:rsid w:val="00E01668"/>
    <w:rsid w:val="00E01D77"/>
    <w:rsid w:val="00E02AA7"/>
    <w:rsid w:val="00E02FC0"/>
    <w:rsid w:val="00E0335C"/>
    <w:rsid w:val="00E03B26"/>
    <w:rsid w:val="00E03C5F"/>
    <w:rsid w:val="00E0554A"/>
    <w:rsid w:val="00E058DD"/>
    <w:rsid w:val="00E059CE"/>
    <w:rsid w:val="00E06195"/>
    <w:rsid w:val="00E064B0"/>
    <w:rsid w:val="00E0664A"/>
    <w:rsid w:val="00E06A35"/>
    <w:rsid w:val="00E079B2"/>
    <w:rsid w:val="00E10F79"/>
    <w:rsid w:val="00E11028"/>
    <w:rsid w:val="00E1171B"/>
    <w:rsid w:val="00E12024"/>
    <w:rsid w:val="00E12DD4"/>
    <w:rsid w:val="00E1317B"/>
    <w:rsid w:val="00E14353"/>
    <w:rsid w:val="00E16264"/>
    <w:rsid w:val="00E17494"/>
    <w:rsid w:val="00E1791B"/>
    <w:rsid w:val="00E213DB"/>
    <w:rsid w:val="00E228CB"/>
    <w:rsid w:val="00E22C46"/>
    <w:rsid w:val="00E22FFD"/>
    <w:rsid w:val="00E234BF"/>
    <w:rsid w:val="00E23DCA"/>
    <w:rsid w:val="00E2432D"/>
    <w:rsid w:val="00E24669"/>
    <w:rsid w:val="00E247B3"/>
    <w:rsid w:val="00E2498C"/>
    <w:rsid w:val="00E25C82"/>
    <w:rsid w:val="00E26495"/>
    <w:rsid w:val="00E26CD1"/>
    <w:rsid w:val="00E26ED6"/>
    <w:rsid w:val="00E27033"/>
    <w:rsid w:val="00E27268"/>
    <w:rsid w:val="00E278D0"/>
    <w:rsid w:val="00E27AF0"/>
    <w:rsid w:val="00E30613"/>
    <w:rsid w:val="00E3068F"/>
    <w:rsid w:val="00E31738"/>
    <w:rsid w:val="00E31CEA"/>
    <w:rsid w:val="00E31D56"/>
    <w:rsid w:val="00E33110"/>
    <w:rsid w:val="00E33A54"/>
    <w:rsid w:val="00E33E51"/>
    <w:rsid w:val="00E34E19"/>
    <w:rsid w:val="00E35E5C"/>
    <w:rsid w:val="00E3603D"/>
    <w:rsid w:val="00E36C8D"/>
    <w:rsid w:val="00E36EB8"/>
    <w:rsid w:val="00E36F11"/>
    <w:rsid w:val="00E37541"/>
    <w:rsid w:val="00E3796D"/>
    <w:rsid w:val="00E37A0C"/>
    <w:rsid w:val="00E37E32"/>
    <w:rsid w:val="00E41184"/>
    <w:rsid w:val="00E41705"/>
    <w:rsid w:val="00E41718"/>
    <w:rsid w:val="00E41B18"/>
    <w:rsid w:val="00E41E9A"/>
    <w:rsid w:val="00E43231"/>
    <w:rsid w:val="00E43408"/>
    <w:rsid w:val="00E43B84"/>
    <w:rsid w:val="00E43CD9"/>
    <w:rsid w:val="00E443CB"/>
    <w:rsid w:val="00E44655"/>
    <w:rsid w:val="00E446C4"/>
    <w:rsid w:val="00E4480D"/>
    <w:rsid w:val="00E448B8"/>
    <w:rsid w:val="00E449B9"/>
    <w:rsid w:val="00E44BDE"/>
    <w:rsid w:val="00E44C9A"/>
    <w:rsid w:val="00E44E4F"/>
    <w:rsid w:val="00E46F2D"/>
    <w:rsid w:val="00E47068"/>
    <w:rsid w:val="00E47D00"/>
    <w:rsid w:val="00E50E0C"/>
    <w:rsid w:val="00E50FA1"/>
    <w:rsid w:val="00E512A2"/>
    <w:rsid w:val="00E51746"/>
    <w:rsid w:val="00E52B29"/>
    <w:rsid w:val="00E53946"/>
    <w:rsid w:val="00E53B89"/>
    <w:rsid w:val="00E54629"/>
    <w:rsid w:val="00E54808"/>
    <w:rsid w:val="00E54DB4"/>
    <w:rsid w:val="00E54EA8"/>
    <w:rsid w:val="00E5557D"/>
    <w:rsid w:val="00E5577C"/>
    <w:rsid w:val="00E56679"/>
    <w:rsid w:val="00E56864"/>
    <w:rsid w:val="00E57A39"/>
    <w:rsid w:val="00E57C02"/>
    <w:rsid w:val="00E60968"/>
    <w:rsid w:val="00E60C15"/>
    <w:rsid w:val="00E60E1A"/>
    <w:rsid w:val="00E61FC6"/>
    <w:rsid w:val="00E62B30"/>
    <w:rsid w:val="00E63462"/>
    <w:rsid w:val="00E6348D"/>
    <w:rsid w:val="00E63E7C"/>
    <w:rsid w:val="00E648A0"/>
    <w:rsid w:val="00E6672B"/>
    <w:rsid w:val="00E67243"/>
    <w:rsid w:val="00E67A45"/>
    <w:rsid w:val="00E67A50"/>
    <w:rsid w:val="00E67AC2"/>
    <w:rsid w:val="00E70044"/>
    <w:rsid w:val="00E702F9"/>
    <w:rsid w:val="00E712A8"/>
    <w:rsid w:val="00E7155E"/>
    <w:rsid w:val="00E719D5"/>
    <w:rsid w:val="00E71B56"/>
    <w:rsid w:val="00E72DCA"/>
    <w:rsid w:val="00E7379E"/>
    <w:rsid w:val="00E7379F"/>
    <w:rsid w:val="00E74C69"/>
    <w:rsid w:val="00E74D0B"/>
    <w:rsid w:val="00E763C3"/>
    <w:rsid w:val="00E763F9"/>
    <w:rsid w:val="00E76F75"/>
    <w:rsid w:val="00E771EE"/>
    <w:rsid w:val="00E7764B"/>
    <w:rsid w:val="00E77BCC"/>
    <w:rsid w:val="00E77BEE"/>
    <w:rsid w:val="00E801F2"/>
    <w:rsid w:val="00E80BF5"/>
    <w:rsid w:val="00E81503"/>
    <w:rsid w:val="00E81678"/>
    <w:rsid w:val="00E81B14"/>
    <w:rsid w:val="00E82B15"/>
    <w:rsid w:val="00E83214"/>
    <w:rsid w:val="00E83638"/>
    <w:rsid w:val="00E83D3F"/>
    <w:rsid w:val="00E84774"/>
    <w:rsid w:val="00E848C2"/>
    <w:rsid w:val="00E850DF"/>
    <w:rsid w:val="00E859D7"/>
    <w:rsid w:val="00E86743"/>
    <w:rsid w:val="00E90140"/>
    <w:rsid w:val="00E901AA"/>
    <w:rsid w:val="00E902C0"/>
    <w:rsid w:val="00E905CB"/>
    <w:rsid w:val="00E90876"/>
    <w:rsid w:val="00E90E39"/>
    <w:rsid w:val="00E91793"/>
    <w:rsid w:val="00E91860"/>
    <w:rsid w:val="00E91A3D"/>
    <w:rsid w:val="00E93AC4"/>
    <w:rsid w:val="00E9400C"/>
    <w:rsid w:val="00E95587"/>
    <w:rsid w:val="00E95B67"/>
    <w:rsid w:val="00E966D5"/>
    <w:rsid w:val="00E97585"/>
    <w:rsid w:val="00EA01CA"/>
    <w:rsid w:val="00EA044C"/>
    <w:rsid w:val="00EA0847"/>
    <w:rsid w:val="00EA101E"/>
    <w:rsid w:val="00EA1864"/>
    <w:rsid w:val="00EA267D"/>
    <w:rsid w:val="00EA357A"/>
    <w:rsid w:val="00EA41FF"/>
    <w:rsid w:val="00EA4310"/>
    <w:rsid w:val="00EA4561"/>
    <w:rsid w:val="00EA4CD8"/>
    <w:rsid w:val="00EA516B"/>
    <w:rsid w:val="00EA55E9"/>
    <w:rsid w:val="00EA6AD8"/>
    <w:rsid w:val="00EA6E26"/>
    <w:rsid w:val="00EA75DD"/>
    <w:rsid w:val="00EA7913"/>
    <w:rsid w:val="00EA7AEB"/>
    <w:rsid w:val="00EA7CCF"/>
    <w:rsid w:val="00EA7D03"/>
    <w:rsid w:val="00EB07DE"/>
    <w:rsid w:val="00EB0895"/>
    <w:rsid w:val="00EB0B7A"/>
    <w:rsid w:val="00EB105F"/>
    <w:rsid w:val="00EB1120"/>
    <w:rsid w:val="00EB11E7"/>
    <w:rsid w:val="00EB124A"/>
    <w:rsid w:val="00EB13B3"/>
    <w:rsid w:val="00EB2372"/>
    <w:rsid w:val="00EB2569"/>
    <w:rsid w:val="00EB2899"/>
    <w:rsid w:val="00EB2944"/>
    <w:rsid w:val="00EB311D"/>
    <w:rsid w:val="00EB3860"/>
    <w:rsid w:val="00EB4864"/>
    <w:rsid w:val="00EB4902"/>
    <w:rsid w:val="00EB4E7E"/>
    <w:rsid w:val="00EB54AC"/>
    <w:rsid w:val="00EB5C88"/>
    <w:rsid w:val="00EB5F8C"/>
    <w:rsid w:val="00EB626C"/>
    <w:rsid w:val="00EB7817"/>
    <w:rsid w:val="00EB7F02"/>
    <w:rsid w:val="00EC0DC4"/>
    <w:rsid w:val="00EC1B33"/>
    <w:rsid w:val="00EC1D1B"/>
    <w:rsid w:val="00EC1D77"/>
    <w:rsid w:val="00EC2829"/>
    <w:rsid w:val="00EC3933"/>
    <w:rsid w:val="00EC4234"/>
    <w:rsid w:val="00EC494A"/>
    <w:rsid w:val="00EC572C"/>
    <w:rsid w:val="00EC5B11"/>
    <w:rsid w:val="00EC6EFE"/>
    <w:rsid w:val="00EC6EFF"/>
    <w:rsid w:val="00EC70C4"/>
    <w:rsid w:val="00EC759E"/>
    <w:rsid w:val="00EC7F19"/>
    <w:rsid w:val="00ED06AB"/>
    <w:rsid w:val="00ED0C1C"/>
    <w:rsid w:val="00ED0D1A"/>
    <w:rsid w:val="00ED0FAE"/>
    <w:rsid w:val="00ED1BD9"/>
    <w:rsid w:val="00ED1CD0"/>
    <w:rsid w:val="00ED2A5D"/>
    <w:rsid w:val="00ED3990"/>
    <w:rsid w:val="00ED3AEC"/>
    <w:rsid w:val="00ED3F2F"/>
    <w:rsid w:val="00ED4736"/>
    <w:rsid w:val="00ED479F"/>
    <w:rsid w:val="00ED5A1F"/>
    <w:rsid w:val="00ED5BAB"/>
    <w:rsid w:val="00ED60B5"/>
    <w:rsid w:val="00ED6876"/>
    <w:rsid w:val="00ED6E72"/>
    <w:rsid w:val="00ED77A3"/>
    <w:rsid w:val="00EE02F3"/>
    <w:rsid w:val="00EE1BFE"/>
    <w:rsid w:val="00EE1D2A"/>
    <w:rsid w:val="00EE1DE1"/>
    <w:rsid w:val="00EE22BA"/>
    <w:rsid w:val="00EE2C3C"/>
    <w:rsid w:val="00EE33C8"/>
    <w:rsid w:val="00EE4349"/>
    <w:rsid w:val="00EE4A14"/>
    <w:rsid w:val="00EE4B8F"/>
    <w:rsid w:val="00EE51E1"/>
    <w:rsid w:val="00EE5876"/>
    <w:rsid w:val="00EE6999"/>
    <w:rsid w:val="00EE6CD6"/>
    <w:rsid w:val="00EE7688"/>
    <w:rsid w:val="00EE7BFC"/>
    <w:rsid w:val="00EE7C1D"/>
    <w:rsid w:val="00EF0AE3"/>
    <w:rsid w:val="00EF0D52"/>
    <w:rsid w:val="00EF1252"/>
    <w:rsid w:val="00EF1AB6"/>
    <w:rsid w:val="00EF1B43"/>
    <w:rsid w:val="00EF20AF"/>
    <w:rsid w:val="00EF2A6C"/>
    <w:rsid w:val="00EF2DD5"/>
    <w:rsid w:val="00EF3482"/>
    <w:rsid w:val="00EF35B1"/>
    <w:rsid w:val="00EF3DCC"/>
    <w:rsid w:val="00EF40D5"/>
    <w:rsid w:val="00EF43F2"/>
    <w:rsid w:val="00EF47BF"/>
    <w:rsid w:val="00EF4BD7"/>
    <w:rsid w:val="00EF4FDD"/>
    <w:rsid w:val="00EF53EA"/>
    <w:rsid w:val="00EF5460"/>
    <w:rsid w:val="00EF5703"/>
    <w:rsid w:val="00EF6D36"/>
    <w:rsid w:val="00EF7162"/>
    <w:rsid w:val="00EF7785"/>
    <w:rsid w:val="00EF7F95"/>
    <w:rsid w:val="00F00140"/>
    <w:rsid w:val="00F017D3"/>
    <w:rsid w:val="00F0196B"/>
    <w:rsid w:val="00F01A08"/>
    <w:rsid w:val="00F02141"/>
    <w:rsid w:val="00F0282C"/>
    <w:rsid w:val="00F02A84"/>
    <w:rsid w:val="00F02AAF"/>
    <w:rsid w:val="00F03C53"/>
    <w:rsid w:val="00F03F8A"/>
    <w:rsid w:val="00F04C11"/>
    <w:rsid w:val="00F055DB"/>
    <w:rsid w:val="00F056EF"/>
    <w:rsid w:val="00F05BFB"/>
    <w:rsid w:val="00F064DC"/>
    <w:rsid w:val="00F06E9C"/>
    <w:rsid w:val="00F07261"/>
    <w:rsid w:val="00F0767C"/>
    <w:rsid w:val="00F109CE"/>
    <w:rsid w:val="00F10B51"/>
    <w:rsid w:val="00F10E1B"/>
    <w:rsid w:val="00F111D1"/>
    <w:rsid w:val="00F11645"/>
    <w:rsid w:val="00F14018"/>
    <w:rsid w:val="00F14216"/>
    <w:rsid w:val="00F15362"/>
    <w:rsid w:val="00F15449"/>
    <w:rsid w:val="00F16D59"/>
    <w:rsid w:val="00F20045"/>
    <w:rsid w:val="00F2043E"/>
    <w:rsid w:val="00F20AE7"/>
    <w:rsid w:val="00F224C3"/>
    <w:rsid w:val="00F2270B"/>
    <w:rsid w:val="00F22D09"/>
    <w:rsid w:val="00F2388C"/>
    <w:rsid w:val="00F23B0D"/>
    <w:rsid w:val="00F2459D"/>
    <w:rsid w:val="00F25771"/>
    <w:rsid w:val="00F26370"/>
    <w:rsid w:val="00F274D5"/>
    <w:rsid w:val="00F27D6A"/>
    <w:rsid w:val="00F30D90"/>
    <w:rsid w:val="00F31EF4"/>
    <w:rsid w:val="00F31F0E"/>
    <w:rsid w:val="00F3247D"/>
    <w:rsid w:val="00F32B76"/>
    <w:rsid w:val="00F32D57"/>
    <w:rsid w:val="00F32DDE"/>
    <w:rsid w:val="00F339BF"/>
    <w:rsid w:val="00F33D59"/>
    <w:rsid w:val="00F34DF3"/>
    <w:rsid w:val="00F34F2D"/>
    <w:rsid w:val="00F34F92"/>
    <w:rsid w:val="00F358A5"/>
    <w:rsid w:val="00F35CF2"/>
    <w:rsid w:val="00F36276"/>
    <w:rsid w:val="00F3635F"/>
    <w:rsid w:val="00F36898"/>
    <w:rsid w:val="00F371F1"/>
    <w:rsid w:val="00F37E41"/>
    <w:rsid w:val="00F40162"/>
    <w:rsid w:val="00F41134"/>
    <w:rsid w:val="00F42031"/>
    <w:rsid w:val="00F42FE9"/>
    <w:rsid w:val="00F433F3"/>
    <w:rsid w:val="00F4378C"/>
    <w:rsid w:val="00F44047"/>
    <w:rsid w:val="00F442DD"/>
    <w:rsid w:val="00F449D0"/>
    <w:rsid w:val="00F44EF7"/>
    <w:rsid w:val="00F454D2"/>
    <w:rsid w:val="00F45736"/>
    <w:rsid w:val="00F463BF"/>
    <w:rsid w:val="00F46603"/>
    <w:rsid w:val="00F477A0"/>
    <w:rsid w:val="00F4793A"/>
    <w:rsid w:val="00F502F2"/>
    <w:rsid w:val="00F5066B"/>
    <w:rsid w:val="00F50AC2"/>
    <w:rsid w:val="00F50CEC"/>
    <w:rsid w:val="00F51BAD"/>
    <w:rsid w:val="00F5236A"/>
    <w:rsid w:val="00F52A7C"/>
    <w:rsid w:val="00F52F98"/>
    <w:rsid w:val="00F54155"/>
    <w:rsid w:val="00F54746"/>
    <w:rsid w:val="00F54C5E"/>
    <w:rsid w:val="00F55789"/>
    <w:rsid w:val="00F558FA"/>
    <w:rsid w:val="00F55CAF"/>
    <w:rsid w:val="00F56B57"/>
    <w:rsid w:val="00F56DB9"/>
    <w:rsid w:val="00F57B95"/>
    <w:rsid w:val="00F57FA7"/>
    <w:rsid w:val="00F602E8"/>
    <w:rsid w:val="00F607BE"/>
    <w:rsid w:val="00F61D0D"/>
    <w:rsid w:val="00F6267D"/>
    <w:rsid w:val="00F629CC"/>
    <w:rsid w:val="00F62D06"/>
    <w:rsid w:val="00F632D2"/>
    <w:rsid w:val="00F63818"/>
    <w:rsid w:val="00F64FDB"/>
    <w:rsid w:val="00F650D2"/>
    <w:rsid w:val="00F66127"/>
    <w:rsid w:val="00F66143"/>
    <w:rsid w:val="00F66AEF"/>
    <w:rsid w:val="00F675ED"/>
    <w:rsid w:val="00F70E87"/>
    <w:rsid w:val="00F7151E"/>
    <w:rsid w:val="00F71A09"/>
    <w:rsid w:val="00F71D4E"/>
    <w:rsid w:val="00F72F47"/>
    <w:rsid w:val="00F730AD"/>
    <w:rsid w:val="00F73B5E"/>
    <w:rsid w:val="00F73C4D"/>
    <w:rsid w:val="00F740EC"/>
    <w:rsid w:val="00F749BE"/>
    <w:rsid w:val="00F75C86"/>
    <w:rsid w:val="00F77096"/>
    <w:rsid w:val="00F77631"/>
    <w:rsid w:val="00F776D0"/>
    <w:rsid w:val="00F801B9"/>
    <w:rsid w:val="00F80A5D"/>
    <w:rsid w:val="00F81058"/>
    <w:rsid w:val="00F810A4"/>
    <w:rsid w:val="00F82ACA"/>
    <w:rsid w:val="00F83289"/>
    <w:rsid w:val="00F834E8"/>
    <w:rsid w:val="00F8361A"/>
    <w:rsid w:val="00F84074"/>
    <w:rsid w:val="00F84899"/>
    <w:rsid w:val="00F85D9C"/>
    <w:rsid w:val="00F85F43"/>
    <w:rsid w:val="00F8603D"/>
    <w:rsid w:val="00F869FA"/>
    <w:rsid w:val="00F87415"/>
    <w:rsid w:val="00F9046E"/>
    <w:rsid w:val="00F90FBF"/>
    <w:rsid w:val="00F9110F"/>
    <w:rsid w:val="00F916A3"/>
    <w:rsid w:val="00F92C72"/>
    <w:rsid w:val="00F93B2B"/>
    <w:rsid w:val="00F93E96"/>
    <w:rsid w:val="00F9479B"/>
    <w:rsid w:val="00F94BB1"/>
    <w:rsid w:val="00F9521B"/>
    <w:rsid w:val="00F95974"/>
    <w:rsid w:val="00F95E38"/>
    <w:rsid w:val="00F95F1D"/>
    <w:rsid w:val="00F96CA8"/>
    <w:rsid w:val="00F96D30"/>
    <w:rsid w:val="00F971E7"/>
    <w:rsid w:val="00F97FCE"/>
    <w:rsid w:val="00FA1960"/>
    <w:rsid w:val="00FA56AE"/>
    <w:rsid w:val="00FA5A31"/>
    <w:rsid w:val="00FA661A"/>
    <w:rsid w:val="00FA6E37"/>
    <w:rsid w:val="00FA759A"/>
    <w:rsid w:val="00FB085F"/>
    <w:rsid w:val="00FB09F5"/>
    <w:rsid w:val="00FB1148"/>
    <w:rsid w:val="00FB1652"/>
    <w:rsid w:val="00FB2254"/>
    <w:rsid w:val="00FB2644"/>
    <w:rsid w:val="00FB2BBA"/>
    <w:rsid w:val="00FB2C6E"/>
    <w:rsid w:val="00FB329D"/>
    <w:rsid w:val="00FB3E23"/>
    <w:rsid w:val="00FB4542"/>
    <w:rsid w:val="00FB4B80"/>
    <w:rsid w:val="00FB54F9"/>
    <w:rsid w:val="00FB6F88"/>
    <w:rsid w:val="00FB74A4"/>
    <w:rsid w:val="00FB7736"/>
    <w:rsid w:val="00FB788D"/>
    <w:rsid w:val="00FB7F1B"/>
    <w:rsid w:val="00FC3427"/>
    <w:rsid w:val="00FC346A"/>
    <w:rsid w:val="00FC379A"/>
    <w:rsid w:val="00FC4092"/>
    <w:rsid w:val="00FC6777"/>
    <w:rsid w:val="00FC6854"/>
    <w:rsid w:val="00FC6D87"/>
    <w:rsid w:val="00FC7720"/>
    <w:rsid w:val="00FC77CE"/>
    <w:rsid w:val="00FD0379"/>
    <w:rsid w:val="00FD2880"/>
    <w:rsid w:val="00FD2E59"/>
    <w:rsid w:val="00FD35D0"/>
    <w:rsid w:val="00FD381B"/>
    <w:rsid w:val="00FD3D42"/>
    <w:rsid w:val="00FD4028"/>
    <w:rsid w:val="00FD4094"/>
    <w:rsid w:val="00FD4469"/>
    <w:rsid w:val="00FD4940"/>
    <w:rsid w:val="00FD5239"/>
    <w:rsid w:val="00FD57BE"/>
    <w:rsid w:val="00FD6443"/>
    <w:rsid w:val="00FD7838"/>
    <w:rsid w:val="00FE0051"/>
    <w:rsid w:val="00FE024F"/>
    <w:rsid w:val="00FE02C1"/>
    <w:rsid w:val="00FE1B2F"/>
    <w:rsid w:val="00FE49DB"/>
    <w:rsid w:val="00FE5901"/>
    <w:rsid w:val="00FE65CC"/>
    <w:rsid w:val="00FE66A9"/>
    <w:rsid w:val="00FE682B"/>
    <w:rsid w:val="00FE6CB1"/>
    <w:rsid w:val="00FE754D"/>
    <w:rsid w:val="00FE76FE"/>
    <w:rsid w:val="00FE7BC4"/>
    <w:rsid w:val="00FF04D8"/>
    <w:rsid w:val="00FF0F75"/>
    <w:rsid w:val="00FF2198"/>
    <w:rsid w:val="00FF226E"/>
    <w:rsid w:val="00FF29A3"/>
    <w:rsid w:val="00FF2F53"/>
    <w:rsid w:val="00FF371F"/>
    <w:rsid w:val="00FF3987"/>
    <w:rsid w:val="00FF4886"/>
    <w:rsid w:val="00FF4A6E"/>
    <w:rsid w:val="00FF5C82"/>
    <w:rsid w:val="00FF5FDD"/>
    <w:rsid w:val="00FF6168"/>
    <w:rsid w:val="00FF7B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9217"/>
    <o:shapelayout v:ext="edit">
      <o:idmap v:ext="edit" data="1"/>
    </o:shapelayout>
  </w:shapeDefaults>
  <w:decimalSymbol w:val="."/>
  <w:listSeparator w:val=","/>
  <w14:docId w14:val="0C70267E"/>
  <w15:docId w15:val="{926EE717-570D-4088-BAED-1FB01737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4286B"/>
    <w:pPr>
      <w:tabs>
        <w:tab w:val="center" w:pos="4153"/>
        <w:tab w:val="right" w:pos="8306"/>
      </w:tabs>
    </w:pPr>
  </w:style>
  <w:style w:type="character" w:styleId="PageNumber">
    <w:name w:val="page number"/>
    <w:basedOn w:val="DefaultParagraphFont"/>
    <w:rsid w:val="0054286B"/>
  </w:style>
  <w:style w:type="table" w:styleId="TableGrid">
    <w:name w:val="Table Grid"/>
    <w:basedOn w:val="TableNormal"/>
    <w:uiPriority w:val="59"/>
    <w:rsid w:val="00542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47563"/>
    <w:pPr>
      <w:spacing w:before="100" w:beforeAutospacing="1" w:after="100" w:afterAutospacing="1"/>
    </w:pPr>
  </w:style>
  <w:style w:type="paragraph" w:styleId="Header">
    <w:name w:val="header"/>
    <w:basedOn w:val="Normal"/>
    <w:rsid w:val="00ED0C1C"/>
    <w:pPr>
      <w:tabs>
        <w:tab w:val="center" w:pos="4153"/>
        <w:tab w:val="right" w:pos="8306"/>
      </w:tabs>
    </w:pPr>
  </w:style>
  <w:style w:type="paragraph" w:styleId="BalloonText">
    <w:name w:val="Balloon Text"/>
    <w:basedOn w:val="Normal"/>
    <w:semiHidden/>
    <w:rsid w:val="00A30F12"/>
    <w:rPr>
      <w:rFonts w:ascii="Tahoma" w:hAnsi="Tahoma" w:cs="Tahoma"/>
      <w:sz w:val="16"/>
      <w:szCs w:val="16"/>
    </w:rPr>
  </w:style>
  <w:style w:type="character" w:styleId="CommentReference">
    <w:name w:val="annotation reference"/>
    <w:rsid w:val="00AF7868"/>
    <w:rPr>
      <w:sz w:val="16"/>
      <w:szCs w:val="16"/>
    </w:rPr>
  </w:style>
  <w:style w:type="paragraph" w:styleId="CommentText">
    <w:name w:val="annotation text"/>
    <w:basedOn w:val="Normal"/>
    <w:link w:val="CommentTextChar1"/>
    <w:rsid w:val="00AF7868"/>
    <w:rPr>
      <w:sz w:val="20"/>
      <w:szCs w:val="20"/>
    </w:rPr>
  </w:style>
  <w:style w:type="character" w:customStyle="1" w:styleId="CommentTextChar1">
    <w:name w:val="Comment Text Char1"/>
    <w:basedOn w:val="DefaultParagraphFont"/>
    <w:link w:val="CommentText"/>
    <w:rsid w:val="00AF7868"/>
  </w:style>
  <w:style w:type="paragraph" w:styleId="CommentSubject">
    <w:name w:val="annotation subject"/>
    <w:basedOn w:val="CommentText"/>
    <w:next w:val="CommentText"/>
    <w:link w:val="CommentSubjectChar"/>
    <w:rsid w:val="00AF7868"/>
    <w:rPr>
      <w:b/>
      <w:bCs/>
      <w:lang w:val="x-none" w:eastAsia="x-none"/>
    </w:rPr>
  </w:style>
  <w:style w:type="character" w:customStyle="1" w:styleId="CommentSubjectChar">
    <w:name w:val="Comment Subject Char"/>
    <w:link w:val="CommentSubject"/>
    <w:rsid w:val="00AF7868"/>
    <w:rPr>
      <w:b/>
      <w:bCs/>
    </w:rPr>
  </w:style>
  <w:style w:type="paragraph" w:customStyle="1" w:styleId="Default">
    <w:name w:val="Default"/>
    <w:rsid w:val="00303062"/>
    <w:pPr>
      <w:widowControl w:val="0"/>
      <w:autoSpaceDE w:val="0"/>
      <w:autoSpaceDN w:val="0"/>
      <w:adjustRightInd w:val="0"/>
    </w:pPr>
    <w:rPr>
      <w:color w:val="000000"/>
      <w:sz w:val="24"/>
      <w:szCs w:val="24"/>
      <w:lang w:val="en-GB" w:eastAsia="en-GB"/>
    </w:rPr>
  </w:style>
  <w:style w:type="paragraph" w:customStyle="1" w:styleId="Paragraph">
    <w:name w:val="Paragraph"/>
    <w:basedOn w:val="Normal"/>
    <w:link w:val="ParagraphChar"/>
    <w:rsid w:val="00DD7AA2"/>
    <w:pPr>
      <w:suppressAutoHyphens/>
      <w:spacing w:after="40"/>
    </w:pPr>
    <w:rPr>
      <w:szCs w:val="20"/>
      <w:lang w:val="en-US" w:eastAsia="en-US"/>
    </w:rPr>
  </w:style>
  <w:style w:type="character" w:customStyle="1" w:styleId="ParagraphChar">
    <w:name w:val="Paragraph Char"/>
    <w:link w:val="Paragraph"/>
    <w:locked/>
    <w:rsid w:val="00DD7AA2"/>
    <w:rPr>
      <w:sz w:val="24"/>
      <w:lang w:val="en-US" w:eastAsia="en-US" w:bidi="ar-SA"/>
    </w:rPr>
  </w:style>
  <w:style w:type="character" w:customStyle="1" w:styleId="BodytextAgencyChar">
    <w:name w:val="Body text (Agency) Char"/>
    <w:link w:val="BodytextAgency"/>
    <w:locked/>
    <w:rsid w:val="00970EB6"/>
    <w:rPr>
      <w:rFonts w:ascii="Verdana" w:hAnsi="Verdana"/>
      <w:lang w:bidi="ar-SA"/>
    </w:rPr>
  </w:style>
  <w:style w:type="paragraph" w:customStyle="1" w:styleId="BodytextAgency">
    <w:name w:val="Body text (Agency)"/>
    <w:basedOn w:val="Normal"/>
    <w:link w:val="BodytextAgencyChar"/>
    <w:rsid w:val="00970EB6"/>
    <w:pPr>
      <w:spacing w:before="60" w:after="140" w:line="280" w:lineRule="atLeast"/>
    </w:pPr>
    <w:rPr>
      <w:rFonts w:ascii="Verdana" w:hAnsi="Verdana"/>
      <w:sz w:val="20"/>
      <w:szCs w:val="20"/>
      <w:lang w:val="x-none" w:eastAsia="x-none"/>
    </w:rPr>
  </w:style>
  <w:style w:type="character" w:customStyle="1" w:styleId="CommentTextChar">
    <w:name w:val="Comment Text Char"/>
    <w:locked/>
    <w:rsid w:val="00FB2BBA"/>
    <w:rPr>
      <w:rFonts w:cs="Times New Roman"/>
    </w:rPr>
  </w:style>
  <w:style w:type="character" w:customStyle="1" w:styleId="FooterChar">
    <w:name w:val="Footer Char"/>
    <w:link w:val="Footer"/>
    <w:rsid w:val="004D2B64"/>
    <w:rPr>
      <w:sz w:val="24"/>
      <w:szCs w:val="24"/>
    </w:rPr>
  </w:style>
  <w:style w:type="character" w:styleId="Hyperlink">
    <w:name w:val="Hyperlink"/>
    <w:uiPriority w:val="99"/>
    <w:unhideWhenUsed/>
    <w:rsid w:val="004D2B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4162">
      <w:bodyDiv w:val="1"/>
      <w:marLeft w:val="0"/>
      <w:marRight w:val="0"/>
      <w:marTop w:val="0"/>
      <w:marBottom w:val="0"/>
      <w:divBdr>
        <w:top w:val="none" w:sz="0" w:space="0" w:color="auto"/>
        <w:left w:val="none" w:sz="0" w:space="0" w:color="auto"/>
        <w:bottom w:val="none" w:sz="0" w:space="0" w:color="auto"/>
        <w:right w:val="none" w:sz="0" w:space="0" w:color="auto"/>
      </w:divBdr>
    </w:div>
    <w:div w:id="1462727137">
      <w:bodyDiv w:val="1"/>
      <w:marLeft w:val="0"/>
      <w:marRight w:val="0"/>
      <w:marTop w:val="0"/>
      <w:marBottom w:val="0"/>
      <w:divBdr>
        <w:top w:val="none" w:sz="0" w:space="0" w:color="auto"/>
        <w:left w:val="none" w:sz="0" w:space="0" w:color="auto"/>
        <w:bottom w:val="none" w:sz="0" w:space="0" w:color="auto"/>
        <w:right w:val="none" w:sz="0" w:space="0" w:color="auto"/>
      </w:divBdr>
      <w:divsChild>
        <w:div w:id="1747798924">
          <w:marLeft w:val="0"/>
          <w:marRight w:val="0"/>
          <w:marTop w:val="0"/>
          <w:marBottom w:val="0"/>
          <w:divBdr>
            <w:top w:val="none" w:sz="0" w:space="0" w:color="auto"/>
            <w:left w:val="none" w:sz="0" w:space="0" w:color="auto"/>
            <w:bottom w:val="none" w:sz="0" w:space="0" w:color="auto"/>
            <w:right w:val="none" w:sz="0" w:space="0" w:color="auto"/>
          </w:divBdr>
          <w:divsChild>
            <w:div w:id="92950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7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17</Pages>
  <Words>5216</Words>
  <Characters>31425</Characters>
  <Application>Microsoft Office Word</Application>
  <DocSecurity>0</DocSecurity>
  <Lines>805</Lines>
  <Paragraphs>398</Paragraphs>
  <ScaleCrop>false</ScaleCrop>
  <HeadingPairs>
    <vt:vector size="2" baseType="variant">
      <vt:variant>
        <vt:lpstr>Title</vt:lpstr>
      </vt:variant>
      <vt:variant>
        <vt:i4>1</vt:i4>
      </vt:variant>
    </vt:vector>
  </HeadingPairs>
  <TitlesOfParts>
    <vt:vector size="1" baseType="lpstr">
      <vt:lpstr>Attachment: Product Information for Pralatrexate</vt:lpstr>
    </vt:vector>
  </TitlesOfParts>
  <Company>Mundipharma Pty Ltd</Company>
  <LinksUpToDate>false</LinksUpToDate>
  <CharactersWithSpaces>36243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Pralatrexate</dc:title>
  <dc:subject>prescription medicines</dc:subject>
  <dc:creator>goldners</dc:creator>
  <cp:keywords/>
  <cp:lastPrinted>2014-09-05T03:25:00Z</cp:lastPrinted>
  <dcterms:created xsi:type="dcterms:W3CDTF">2020-11-16T23:21:00Z</dcterms:created>
  <dcterms:modified xsi:type="dcterms:W3CDTF">2020-11-16T23:42:00Z</dcterms:modified>
</cp:coreProperties>
</file>