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4D5254" w:rsidP="0017078F">
            <w:pPr>
              <w:rPr>
                <w:rFonts w:ascii="Arial" w:hAnsi="Arial" w:cs="Arial"/>
                <w:b/>
                <w:color w:val="002C47"/>
                <w:sz w:val="36"/>
                <w:szCs w:val="36"/>
              </w:rPr>
            </w:pPr>
            <w:r>
              <w:rPr>
                <w:rFonts w:ascii="Arial" w:hAnsi="Arial" w:cs="Arial"/>
                <w:b/>
                <w:color w:val="002C47"/>
                <w:sz w:val="36"/>
                <w:szCs w:val="36"/>
              </w:rPr>
              <w:t>March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8F1F66">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w:t>
            </w:r>
            <w:r w:rsidR="008F1F66">
              <w:rPr>
                <w:color w:val="FFFFFF" w:themeColor="background1"/>
              </w:rPr>
              <w:t>1</w:t>
            </w:r>
          </w:p>
        </w:tc>
      </w:tr>
      <w:tr w:rsidR="004D5254" w:rsidRPr="00A964D1" w:rsidTr="00E07F15">
        <w:trPr>
          <w:trHeight w:val="868"/>
        </w:trPr>
        <w:tc>
          <w:tcPr>
            <w:tcW w:w="9079" w:type="dxa"/>
          </w:tcPr>
          <w:p w:rsidR="004D5254" w:rsidRPr="00A964D1" w:rsidRDefault="004D5254" w:rsidP="004D5254">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Pr="00787855">
              <w:rPr>
                <w:color w:val="FFFFFF" w:themeColor="background1"/>
              </w:rPr>
              <w:t>Pralatrexate</w:t>
            </w:r>
            <w:proofErr w:type="spellEnd"/>
          </w:p>
        </w:tc>
      </w:tr>
      <w:tr w:rsidR="004D5254" w:rsidRPr="00B64760" w:rsidTr="00E07F15">
        <w:tc>
          <w:tcPr>
            <w:tcW w:w="9079" w:type="dxa"/>
          </w:tcPr>
          <w:p w:rsidR="004D5254" w:rsidRPr="008E7846" w:rsidRDefault="004D5254" w:rsidP="004D5254">
            <w:pPr>
              <w:pStyle w:val="Subtitle"/>
              <w:rPr>
                <w:color w:val="FFFFFF" w:themeColor="background1"/>
              </w:rPr>
            </w:pPr>
            <w:r w:rsidRPr="008E7846">
              <w:rPr>
                <w:color w:val="FFFFFF" w:themeColor="background1"/>
              </w:rPr>
              <w:t>Proprietary Product Name:</w:t>
            </w:r>
            <w:r>
              <w:t xml:space="preserve"> </w:t>
            </w:r>
            <w:proofErr w:type="spellStart"/>
            <w:r w:rsidRPr="00787855">
              <w:rPr>
                <w:color w:val="FFFFFF" w:themeColor="background1"/>
              </w:rPr>
              <w:t>Folotyn</w:t>
            </w:r>
            <w:proofErr w:type="spellEnd"/>
            <w:r w:rsidRPr="008E7846">
              <w:rPr>
                <w:color w:val="FFFFFF" w:themeColor="background1"/>
              </w:rPr>
              <w:t xml:space="preserve"> </w:t>
            </w:r>
          </w:p>
        </w:tc>
      </w:tr>
      <w:tr w:rsidR="004D5254" w:rsidRPr="00B64760" w:rsidTr="00E07F15">
        <w:trPr>
          <w:trHeight w:val="486"/>
        </w:trPr>
        <w:tc>
          <w:tcPr>
            <w:tcW w:w="9079" w:type="dxa"/>
          </w:tcPr>
          <w:p w:rsidR="004D5254" w:rsidRPr="008E7846" w:rsidRDefault="004D5254" w:rsidP="004D5254">
            <w:pPr>
              <w:pStyle w:val="Subtitle"/>
              <w:rPr>
                <w:color w:val="FFFFFF" w:themeColor="background1"/>
              </w:rPr>
            </w:pPr>
            <w:r w:rsidRPr="008E7846">
              <w:rPr>
                <w:color w:val="FFFFFF" w:themeColor="background1"/>
              </w:rPr>
              <w:t>Sponsor:</w:t>
            </w:r>
            <w:r>
              <w:rPr>
                <w:color w:val="FFFFFF" w:themeColor="background1"/>
              </w:rPr>
              <w:t xml:space="preserve"> </w:t>
            </w:r>
            <w:proofErr w:type="spellStart"/>
            <w:r w:rsidRPr="00787855">
              <w:rPr>
                <w:color w:val="FFFFFF" w:themeColor="background1"/>
              </w:rPr>
              <w:t>Mundipharma</w:t>
            </w:r>
            <w:proofErr w:type="spellEnd"/>
            <w:r w:rsidRPr="00787855">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4D5254">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4D525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D525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D525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D5254">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D5254" w:rsidRDefault="00B20FF9">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4764881" w:history="1">
            <w:r w:rsidR="004D5254" w:rsidRPr="007A1E82">
              <w:rPr>
                <w:rStyle w:val="Hyperlink"/>
                <w:noProof/>
              </w:rPr>
              <w:t>List of abbreviations</w:t>
            </w:r>
            <w:r w:rsidR="004D5254">
              <w:rPr>
                <w:noProof/>
                <w:webHidden/>
              </w:rPr>
              <w:tab/>
            </w:r>
            <w:r>
              <w:rPr>
                <w:noProof/>
                <w:webHidden/>
              </w:rPr>
              <w:fldChar w:fldCharType="begin"/>
            </w:r>
            <w:r w:rsidR="004D5254">
              <w:rPr>
                <w:noProof/>
                <w:webHidden/>
              </w:rPr>
              <w:instrText xml:space="preserve"> PAGEREF _Toc364764881 \h </w:instrText>
            </w:r>
            <w:r>
              <w:rPr>
                <w:noProof/>
                <w:webHidden/>
              </w:rPr>
            </w:r>
            <w:r>
              <w:rPr>
                <w:noProof/>
                <w:webHidden/>
              </w:rPr>
              <w:fldChar w:fldCharType="separate"/>
            </w:r>
            <w:r w:rsidR="008F1F66">
              <w:rPr>
                <w:noProof/>
                <w:webHidden/>
              </w:rPr>
              <w:t>4</w:t>
            </w:r>
            <w:r>
              <w:rPr>
                <w:noProof/>
                <w:webHidden/>
              </w:rPr>
              <w:fldChar w:fldCharType="end"/>
            </w:r>
          </w:hyperlink>
        </w:p>
        <w:p w:rsidR="004D5254" w:rsidRDefault="00B20FF9">
          <w:pPr>
            <w:pStyle w:val="TOC2"/>
            <w:tabs>
              <w:tab w:val="left" w:pos="1247"/>
            </w:tabs>
            <w:rPr>
              <w:rFonts w:asciiTheme="minorHAnsi" w:eastAsiaTheme="minorEastAsia" w:hAnsiTheme="minorHAnsi" w:cstheme="minorBidi"/>
              <w:b w:val="0"/>
              <w:noProof/>
              <w:sz w:val="22"/>
              <w:lang w:eastAsia="en-AU"/>
            </w:rPr>
          </w:pPr>
          <w:hyperlink w:anchor="_Toc364764882" w:history="1">
            <w:r w:rsidR="004D5254" w:rsidRPr="007A1E82">
              <w:rPr>
                <w:rStyle w:val="Hyperlink"/>
                <w:noProof/>
                <w:lang w:eastAsia="en-AU"/>
              </w:rPr>
              <w:t>1.</w:t>
            </w:r>
            <w:r w:rsidR="004D5254">
              <w:rPr>
                <w:rFonts w:asciiTheme="minorHAnsi" w:eastAsiaTheme="minorEastAsia" w:hAnsiTheme="minorHAnsi" w:cstheme="minorBidi"/>
                <w:b w:val="0"/>
                <w:noProof/>
                <w:sz w:val="22"/>
                <w:lang w:eastAsia="en-AU"/>
              </w:rPr>
              <w:tab/>
            </w:r>
            <w:r w:rsidR="004D5254" w:rsidRPr="007A1E82">
              <w:rPr>
                <w:rStyle w:val="Hyperlink"/>
                <w:noProof/>
                <w:lang w:eastAsia="en-AU"/>
              </w:rPr>
              <w:t>Clinical rationale</w:t>
            </w:r>
            <w:r w:rsidR="004D5254">
              <w:rPr>
                <w:noProof/>
                <w:webHidden/>
              </w:rPr>
              <w:tab/>
            </w:r>
            <w:r>
              <w:rPr>
                <w:noProof/>
                <w:webHidden/>
              </w:rPr>
              <w:fldChar w:fldCharType="begin"/>
            </w:r>
            <w:r w:rsidR="004D5254">
              <w:rPr>
                <w:noProof/>
                <w:webHidden/>
              </w:rPr>
              <w:instrText xml:space="preserve"> PAGEREF _Toc364764882 \h </w:instrText>
            </w:r>
            <w:r>
              <w:rPr>
                <w:noProof/>
                <w:webHidden/>
              </w:rPr>
            </w:r>
            <w:r>
              <w:rPr>
                <w:noProof/>
                <w:webHidden/>
              </w:rPr>
              <w:fldChar w:fldCharType="separate"/>
            </w:r>
            <w:r w:rsidR="008F1F66">
              <w:rPr>
                <w:noProof/>
                <w:webHidden/>
              </w:rPr>
              <w:t>7</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83" w:history="1">
            <w:r w:rsidR="004D5254" w:rsidRPr="007A1E82">
              <w:rPr>
                <w:rStyle w:val="Hyperlink"/>
                <w:noProof/>
              </w:rPr>
              <w:t>1.1.</w:t>
            </w:r>
            <w:r w:rsidR="004D5254">
              <w:rPr>
                <w:rFonts w:asciiTheme="minorHAnsi" w:eastAsiaTheme="minorEastAsia" w:hAnsiTheme="minorHAnsi" w:cstheme="minorBidi"/>
                <w:noProof/>
                <w:lang w:eastAsia="en-AU"/>
              </w:rPr>
              <w:tab/>
            </w:r>
            <w:r w:rsidR="004D5254" w:rsidRPr="007A1E82">
              <w:rPr>
                <w:rStyle w:val="Hyperlink"/>
                <w:noProof/>
              </w:rPr>
              <w:t>Peripheral T-cell lymphoma</w:t>
            </w:r>
            <w:r w:rsidR="004D5254">
              <w:rPr>
                <w:noProof/>
                <w:webHidden/>
              </w:rPr>
              <w:tab/>
            </w:r>
            <w:r>
              <w:rPr>
                <w:noProof/>
                <w:webHidden/>
              </w:rPr>
              <w:fldChar w:fldCharType="begin"/>
            </w:r>
            <w:r w:rsidR="004D5254">
              <w:rPr>
                <w:noProof/>
                <w:webHidden/>
              </w:rPr>
              <w:instrText xml:space="preserve"> PAGEREF _Toc364764883 \h </w:instrText>
            </w:r>
            <w:r>
              <w:rPr>
                <w:noProof/>
                <w:webHidden/>
              </w:rPr>
            </w:r>
            <w:r>
              <w:rPr>
                <w:noProof/>
                <w:webHidden/>
              </w:rPr>
              <w:fldChar w:fldCharType="separate"/>
            </w:r>
            <w:r w:rsidR="008F1F66">
              <w:rPr>
                <w:noProof/>
                <w:webHidden/>
              </w:rPr>
              <w:t>7</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84" w:history="1">
            <w:r w:rsidR="004D5254" w:rsidRPr="007A1E82">
              <w:rPr>
                <w:rStyle w:val="Hyperlink"/>
                <w:noProof/>
              </w:rPr>
              <w:t>1.2.</w:t>
            </w:r>
            <w:r w:rsidR="004D5254">
              <w:rPr>
                <w:rFonts w:asciiTheme="minorHAnsi" w:eastAsiaTheme="minorEastAsia" w:hAnsiTheme="minorHAnsi" w:cstheme="minorBidi"/>
                <w:noProof/>
                <w:lang w:eastAsia="en-AU"/>
              </w:rPr>
              <w:tab/>
            </w:r>
            <w:r w:rsidR="004D5254" w:rsidRPr="007A1E82">
              <w:rPr>
                <w:rStyle w:val="Hyperlink"/>
                <w:noProof/>
              </w:rPr>
              <w:t>Currently available treatment for PTCL</w:t>
            </w:r>
            <w:r w:rsidR="004D5254">
              <w:rPr>
                <w:noProof/>
                <w:webHidden/>
              </w:rPr>
              <w:tab/>
            </w:r>
            <w:r>
              <w:rPr>
                <w:noProof/>
                <w:webHidden/>
              </w:rPr>
              <w:fldChar w:fldCharType="begin"/>
            </w:r>
            <w:r w:rsidR="004D5254">
              <w:rPr>
                <w:noProof/>
                <w:webHidden/>
              </w:rPr>
              <w:instrText xml:space="preserve"> PAGEREF _Toc364764884 \h </w:instrText>
            </w:r>
            <w:r>
              <w:rPr>
                <w:noProof/>
                <w:webHidden/>
              </w:rPr>
            </w:r>
            <w:r>
              <w:rPr>
                <w:noProof/>
                <w:webHidden/>
              </w:rPr>
              <w:fldChar w:fldCharType="separate"/>
            </w:r>
            <w:r w:rsidR="008F1F66">
              <w:rPr>
                <w:noProof/>
                <w:webHidden/>
              </w:rPr>
              <w:t>7</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85" w:history="1">
            <w:r w:rsidR="004D5254" w:rsidRPr="007A1E82">
              <w:rPr>
                <w:rStyle w:val="Hyperlink"/>
                <w:noProof/>
              </w:rPr>
              <w:t>1.3.</w:t>
            </w:r>
            <w:r w:rsidR="004D5254">
              <w:rPr>
                <w:rFonts w:asciiTheme="minorHAnsi" w:eastAsiaTheme="minorEastAsia" w:hAnsiTheme="minorHAnsi" w:cstheme="minorBidi"/>
                <w:noProof/>
                <w:lang w:eastAsia="en-AU"/>
              </w:rPr>
              <w:tab/>
            </w:r>
            <w:r w:rsidR="004D5254" w:rsidRPr="007A1E82">
              <w:rPr>
                <w:rStyle w:val="Hyperlink"/>
                <w:noProof/>
              </w:rPr>
              <w:t>The rationale for the clinical development of pralatrexate for use in PTCL</w:t>
            </w:r>
            <w:r w:rsidR="004D5254">
              <w:rPr>
                <w:noProof/>
                <w:webHidden/>
              </w:rPr>
              <w:tab/>
            </w:r>
            <w:r>
              <w:rPr>
                <w:noProof/>
                <w:webHidden/>
              </w:rPr>
              <w:fldChar w:fldCharType="begin"/>
            </w:r>
            <w:r w:rsidR="004D5254">
              <w:rPr>
                <w:noProof/>
                <w:webHidden/>
              </w:rPr>
              <w:instrText xml:space="preserve"> PAGEREF _Toc364764885 \h </w:instrText>
            </w:r>
            <w:r>
              <w:rPr>
                <w:noProof/>
                <w:webHidden/>
              </w:rPr>
            </w:r>
            <w:r>
              <w:rPr>
                <w:noProof/>
                <w:webHidden/>
              </w:rPr>
              <w:fldChar w:fldCharType="separate"/>
            </w:r>
            <w:r w:rsidR="008F1F66">
              <w:rPr>
                <w:noProof/>
                <w:webHidden/>
              </w:rPr>
              <w:t>7</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86" w:history="1">
            <w:r w:rsidR="004D5254" w:rsidRPr="007A1E82">
              <w:rPr>
                <w:rStyle w:val="Hyperlink"/>
                <w:noProof/>
              </w:rPr>
              <w:t>1.4.</w:t>
            </w:r>
            <w:r w:rsidR="004D5254">
              <w:rPr>
                <w:rFonts w:asciiTheme="minorHAnsi" w:eastAsiaTheme="minorEastAsia" w:hAnsiTheme="minorHAnsi" w:cstheme="minorBidi"/>
                <w:noProof/>
                <w:lang w:eastAsia="en-AU"/>
              </w:rPr>
              <w:tab/>
            </w:r>
            <w:r w:rsidR="004D5254" w:rsidRPr="007A1E82">
              <w:rPr>
                <w:rStyle w:val="Hyperlink"/>
                <w:noProof/>
              </w:rPr>
              <w:t>Orphan drug designation</w:t>
            </w:r>
            <w:r w:rsidR="004D5254">
              <w:rPr>
                <w:noProof/>
                <w:webHidden/>
              </w:rPr>
              <w:tab/>
            </w:r>
            <w:r>
              <w:rPr>
                <w:noProof/>
                <w:webHidden/>
              </w:rPr>
              <w:fldChar w:fldCharType="begin"/>
            </w:r>
            <w:r w:rsidR="004D5254">
              <w:rPr>
                <w:noProof/>
                <w:webHidden/>
              </w:rPr>
              <w:instrText xml:space="preserve"> PAGEREF _Toc364764886 \h </w:instrText>
            </w:r>
            <w:r>
              <w:rPr>
                <w:noProof/>
                <w:webHidden/>
              </w:rPr>
            </w:r>
            <w:r>
              <w:rPr>
                <w:noProof/>
                <w:webHidden/>
              </w:rPr>
              <w:fldChar w:fldCharType="separate"/>
            </w:r>
            <w:r w:rsidR="008F1F66">
              <w:rPr>
                <w:noProof/>
                <w:webHidden/>
              </w:rPr>
              <w:t>8</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87" w:history="1">
            <w:r w:rsidR="004D5254" w:rsidRPr="007A1E82">
              <w:rPr>
                <w:rStyle w:val="Hyperlink"/>
                <w:noProof/>
              </w:rPr>
              <w:t>1.5.</w:t>
            </w:r>
            <w:r w:rsidR="004D5254">
              <w:rPr>
                <w:rFonts w:asciiTheme="minorHAnsi" w:eastAsiaTheme="minorEastAsia" w:hAnsiTheme="minorHAnsi" w:cstheme="minorBidi"/>
                <w:noProof/>
                <w:lang w:eastAsia="en-AU"/>
              </w:rPr>
              <w:tab/>
            </w:r>
            <w:r w:rsidR="004D5254" w:rsidRPr="007A1E82">
              <w:rPr>
                <w:rStyle w:val="Hyperlink"/>
                <w:noProof/>
              </w:rPr>
              <w:t>Guidance</w:t>
            </w:r>
            <w:r w:rsidR="004D5254">
              <w:rPr>
                <w:noProof/>
                <w:webHidden/>
              </w:rPr>
              <w:tab/>
            </w:r>
            <w:r>
              <w:rPr>
                <w:noProof/>
                <w:webHidden/>
              </w:rPr>
              <w:fldChar w:fldCharType="begin"/>
            </w:r>
            <w:r w:rsidR="004D5254">
              <w:rPr>
                <w:noProof/>
                <w:webHidden/>
              </w:rPr>
              <w:instrText xml:space="preserve"> PAGEREF _Toc364764887 \h </w:instrText>
            </w:r>
            <w:r>
              <w:rPr>
                <w:noProof/>
                <w:webHidden/>
              </w:rPr>
            </w:r>
            <w:r>
              <w:rPr>
                <w:noProof/>
                <w:webHidden/>
              </w:rPr>
              <w:fldChar w:fldCharType="separate"/>
            </w:r>
            <w:r w:rsidR="008F1F66">
              <w:rPr>
                <w:noProof/>
                <w:webHidden/>
              </w:rPr>
              <w:t>8</w:t>
            </w:r>
            <w:r>
              <w:rPr>
                <w:noProof/>
                <w:webHidden/>
              </w:rPr>
              <w:fldChar w:fldCharType="end"/>
            </w:r>
          </w:hyperlink>
        </w:p>
        <w:p w:rsidR="004D5254" w:rsidRDefault="00B20FF9">
          <w:pPr>
            <w:pStyle w:val="TOC2"/>
            <w:tabs>
              <w:tab w:val="left" w:pos="1247"/>
            </w:tabs>
            <w:rPr>
              <w:rFonts w:asciiTheme="minorHAnsi" w:eastAsiaTheme="minorEastAsia" w:hAnsiTheme="minorHAnsi" w:cstheme="minorBidi"/>
              <w:b w:val="0"/>
              <w:noProof/>
              <w:sz w:val="22"/>
              <w:lang w:eastAsia="en-AU"/>
            </w:rPr>
          </w:pPr>
          <w:hyperlink w:anchor="_Toc364764888" w:history="1">
            <w:r w:rsidR="004D5254" w:rsidRPr="007A1E82">
              <w:rPr>
                <w:rStyle w:val="Hyperlink"/>
                <w:noProof/>
              </w:rPr>
              <w:t>2.</w:t>
            </w:r>
            <w:r w:rsidR="004D5254">
              <w:rPr>
                <w:rFonts w:asciiTheme="minorHAnsi" w:eastAsiaTheme="minorEastAsia" w:hAnsiTheme="minorHAnsi" w:cstheme="minorBidi"/>
                <w:b w:val="0"/>
                <w:noProof/>
                <w:sz w:val="22"/>
                <w:lang w:eastAsia="en-AU"/>
              </w:rPr>
              <w:tab/>
            </w:r>
            <w:r w:rsidR="004D5254" w:rsidRPr="007A1E82">
              <w:rPr>
                <w:rStyle w:val="Hyperlink"/>
                <w:noProof/>
              </w:rPr>
              <w:t>Contents of the clinical dossier</w:t>
            </w:r>
            <w:r w:rsidR="004D5254">
              <w:rPr>
                <w:noProof/>
                <w:webHidden/>
              </w:rPr>
              <w:tab/>
            </w:r>
            <w:r>
              <w:rPr>
                <w:noProof/>
                <w:webHidden/>
              </w:rPr>
              <w:fldChar w:fldCharType="begin"/>
            </w:r>
            <w:r w:rsidR="004D5254">
              <w:rPr>
                <w:noProof/>
                <w:webHidden/>
              </w:rPr>
              <w:instrText xml:space="preserve"> PAGEREF _Toc364764888 \h </w:instrText>
            </w:r>
            <w:r>
              <w:rPr>
                <w:noProof/>
                <w:webHidden/>
              </w:rPr>
            </w:r>
            <w:r>
              <w:rPr>
                <w:noProof/>
                <w:webHidden/>
              </w:rPr>
              <w:fldChar w:fldCharType="separate"/>
            </w:r>
            <w:r w:rsidR="008F1F66">
              <w:rPr>
                <w:noProof/>
                <w:webHidden/>
              </w:rPr>
              <w:t>8</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89" w:history="1">
            <w:r w:rsidR="004D5254" w:rsidRPr="007A1E82">
              <w:rPr>
                <w:rStyle w:val="Hyperlink"/>
                <w:noProof/>
              </w:rPr>
              <w:t>2.1.</w:t>
            </w:r>
            <w:r w:rsidR="004D5254">
              <w:rPr>
                <w:rFonts w:asciiTheme="minorHAnsi" w:eastAsiaTheme="minorEastAsia" w:hAnsiTheme="minorHAnsi" w:cstheme="minorBidi"/>
                <w:noProof/>
                <w:lang w:eastAsia="en-AU"/>
              </w:rPr>
              <w:tab/>
            </w:r>
            <w:r w:rsidR="004D5254" w:rsidRPr="007A1E82">
              <w:rPr>
                <w:rStyle w:val="Hyperlink"/>
                <w:noProof/>
              </w:rPr>
              <w:t>Scope of the clinical dossier</w:t>
            </w:r>
            <w:r w:rsidR="004D5254">
              <w:rPr>
                <w:noProof/>
                <w:webHidden/>
              </w:rPr>
              <w:tab/>
            </w:r>
            <w:r>
              <w:rPr>
                <w:noProof/>
                <w:webHidden/>
              </w:rPr>
              <w:fldChar w:fldCharType="begin"/>
            </w:r>
            <w:r w:rsidR="004D5254">
              <w:rPr>
                <w:noProof/>
                <w:webHidden/>
              </w:rPr>
              <w:instrText xml:space="preserve"> PAGEREF _Toc364764889 \h </w:instrText>
            </w:r>
            <w:r>
              <w:rPr>
                <w:noProof/>
                <w:webHidden/>
              </w:rPr>
            </w:r>
            <w:r>
              <w:rPr>
                <w:noProof/>
                <w:webHidden/>
              </w:rPr>
              <w:fldChar w:fldCharType="separate"/>
            </w:r>
            <w:r w:rsidR="008F1F66">
              <w:rPr>
                <w:noProof/>
                <w:webHidden/>
              </w:rPr>
              <w:t>8</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90" w:history="1">
            <w:r w:rsidR="004D5254" w:rsidRPr="007A1E82">
              <w:rPr>
                <w:rStyle w:val="Hyperlink"/>
                <w:noProof/>
              </w:rPr>
              <w:t>2.2.</w:t>
            </w:r>
            <w:r w:rsidR="004D5254">
              <w:rPr>
                <w:rFonts w:asciiTheme="minorHAnsi" w:eastAsiaTheme="minorEastAsia" w:hAnsiTheme="minorHAnsi" w:cstheme="minorBidi"/>
                <w:noProof/>
                <w:lang w:eastAsia="en-AU"/>
              </w:rPr>
              <w:tab/>
            </w:r>
            <w:r w:rsidR="004D5254" w:rsidRPr="007A1E82">
              <w:rPr>
                <w:rStyle w:val="Hyperlink"/>
                <w:noProof/>
              </w:rPr>
              <w:t>Paediatric data</w:t>
            </w:r>
            <w:r w:rsidR="004D5254">
              <w:rPr>
                <w:noProof/>
                <w:webHidden/>
              </w:rPr>
              <w:tab/>
            </w:r>
            <w:r>
              <w:rPr>
                <w:noProof/>
                <w:webHidden/>
              </w:rPr>
              <w:fldChar w:fldCharType="begin"/>
            </w:r>
            <w:r w:rsidR="004D5254">
              <w:rPr>
                <w:noProof/>
                <w:webHidden/>
              </w:rPr>
              <w:instrText xml:space="preserve"> PAGEREF _Toc364764890 \h </w:instrText>
            </w:r>
            <w:r>
              <w:rPr>
                <w:noProof/>
                <w:webHidden/>
              </w:rPr>
            </w:r>
            <w:r>
              <w:rPr>
                <w:noProof/>
                <w:webHidden/>
              </w:rPr>
              <w:fldChar w:fldCharType="separate"/>
            </w:r>
            <w:r w:rsidR="008F1F66">
              <w:rPr>
                <w:noProof/>
                <w:webHidden/>
              </w:rPr>
              <w:t>10</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91" w:history="1">
            <w:r w:rsidR="004D5254" w:rsidRPr="007A1E82">
              <w:rPr>
                <w:rStyle w:val="Hyperlink"/>
                <w:noProof/>
              </w:rPr>
              <w:t>2.3.</w:t>
            </w:r>
            <w:r w:rsidR="004D5254">
              <w:rPr>
                <w:rFonts w:asciiTheme="minorHAnsi" w:eastAsiaTheme="minorEastAsia" w:hAnsiTheme="minorHAnsi" w:cstheme="minorBidi"/>
                <w:noProof/>
                <w:lang w:eastAsia="en-AU"/>
              </w:rPr>
              <w:tab/>
            </w:r>
            <w:r w:rsidR="004D5254" w:rsidRPr="007A1E82">
              <w:rPr>
                <w:rStyle w:val="Hyperlink"/>
                <w:noProof/>
              </w:rPr>
              <w:t>Good clinical practice</w:t>
            </w:r>
            <w:r w:rsidR="004D5254">
              <w:rPr>
                <w:noProof/>
                <w:webHidden/>
              </w:rPr>
              <w:tab/>
            </w:r>
            <w:r>
              <w:rPr>
                <w:noProof/>
                <w:webHidden/>
              </w:rPr>
              <w:fldChar w:fldCharType="begin"/>
            </w:r>
            <w:r w:rsidR="004D5254">
              <w:rPr>
                <w:noProof/>
                <w:webHidden/>
              </w:rPr>
              <w:instrText xml:space="preserve"> PAGEREF _Toc364764891 \h </w:instrText>
            </w:r>
            <w:r>
              <w:rPr>
                <w:noProof/>
                <w:webHidden/>
              </w:rPr>
            </w:r>
            <w:r>
              <w:rPr>
                <w:noProof/>
                <w:webHidden/>
              </w:rPr>
              <w:fldChar w:fldCharType="separate"/>
            </w:r>
            <w:r w:rsidR="008F1F66">
              <w:rPr>
                <w:noProof/>
                <w:webHidden/>
              </w:rPr>
              <w:t>11</w:t>
            </w:r>
            <w:r>
              <w:rPr>
                <w:noProof/>
                <w:webHidden/>
              </w:rPr>
              <w:fldChar w:fldCharType="end"/>
            </w:r>
          </w:hyperlink>
        </w:p>
        <w:p w:rsidR="004D5254" w:rsidRDefault="00B20FF9">
          <w:pPr>
            <w:pStyle w:val="TOC2"/>
            <w:tabs>
              <w:tab w:val="left" w:pos="1247"/>
            </w:tabs>
            <w:rPr>
              <w:rFonts w:asciiTheme="minorHAnsi" w:eastAsiaTheme="minorEastAsia" w:hAnsiTheme="minorHAnsi" w:cstheme="minorBidi"/>
              <w:b w:val="0"/>
              <w:noProof/>
              <w:sz w:val="22"/>
              <w:lang w:eastAsia="en-AU"/>
            </w:rPr>
          </w:pPr>
          <w:hyperlink w:anchor="_Toc364764892" w:history="1">
            <w:r w:rsidR="004D5254" w:rsidRPr="007A1E82">
              <w:rPr>
                <w:rStyle w:val="Hyperlink"/>
                <w:noProof/>
              </w:rPr>
              <w:t>3.</w:t>
            </w:r>
            <w:r w:rsidR="004D5254">
              <w:rPr>
                <w:rFonts w:asciiTheme="minorHAnsi" w:eastAsiaTheme="minorEastAsia" w:hAnsiTheme="minorHAnsi" w:cstheme="minorBidi"/>
                <w:b w:val="0"/>
                <w:noProof/>
                <w:sz w:val="22"/>
                <w:lang w:eastAsia="en-AU"/>
              </w:rPr>
              <w:tab/>
            </w:r>
            <w:r w:rsidR="004D5254" w:rsidRPr="007A1E82">
              <w:rPr>
                <w:rStyle w:val="Hyperlink"/>
                <w:noProof/>
              </w:rPr>
              <w:t>Pharmacokinetics</w:t>
            </w:r>
            <w:r w:rsidR="004D5254">
              <w:rPr>
                <w:noProof/>
                <w:webHidden/>
              </w:rPr>
              <w:tab/>
            </w:r>
            <w:r>
              <w:rPr>
                <w:noProof/>
                <w:webHidden/>
              </w:rPr>
              <w:fldChar w:fldCharType="begin"/>
            </w:r>
            <w:r w:rsidR="004D5254">
              <w:rPr>
                <w:noProof/>
                <w:webHidden/>
              </w:rPr>
              <w:instrText xml:space="preserve"> PAGEREF _Toc364764892 \h </w:instrText>
            </w:r>
            <w:r>
              <w:rPr>
                <w:noProof/>
                <w:webHidden/>
              </w:rPr>
            </w:r>
            <w:r>
              <w:rPr>
                <w:noProof/>
                <w:webHidden/>
              </w:rPr>
              <w:fldChar w:fldCharType="separate"/>
            </w:r>
            <w:r w:rsidR="008F1F66">
              <w:rPr>
                <w:noProof/>
                <w:webHidden/>
              </w:rPr>
              <w:t>11</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93" w:history="1">
            <w:r w:rsidR="004D5254" w:rsidRPr="007A1E82">
              <w:rPr>
                <w:rStyle w:val="Hyperlink"/>
                <w:noProof/>
              </w:rPr>
              <w:t>3.1.</w:t>
            </w:r>
            <w:r w:rsidR="004D5254">
              <w:rPr>
                <w:rFonts w:asciiTheme="minorHAnsi" w:eastAsiaTheme="minorEastAsia" w:hAnsiTheme="minorHAnsi" w:cstheme="minorBidi"/>
                <w:noProof/>
                <w:lang w:eastAsia="en-AU"/>
              </w:rPr>
              <w:tab/>
            </w:r>
            <w:r w:rsidR="004D5254" w:rsidRPr="007A1E82">
              <w:rPr>
                <w:rStyle w:val="Hyperlink"/>
                <w:noProof/>
              </w:rPr>
              <w:t>Studies providing pharmacokinetic data</w:t>
            </w:r>
            <w:r w:rsidR="004D5254">
              <w:rPr>
                <w:noProof/>
                <w:webHidden/>
              </w:rPr>
              <w:tab/>
            </w:r>
            <w:r>
              <w:rPr>
                <w:noProof/>
                <w:webHidden/>
              </w:rPr>
              <w:fldChar w:fldCharType="begin"/>
            </w:r>
            <w:r w:rsidR="004D5254">
              <w:rPr>
                <w:noProof/>
                <w:webHidden/>
              </w:rPr>
              <w:instrText xml:space="preserve"> PAGEREF _Toc364764893 \h </w:instrText>
            </w:r>
            <w:r>
              <w:rPr>
                <w:noProof/>
                <w:webHidden/>
              </w:rPr>
            </w:r>
            <w:r>
              <w:rPr>
                <w:noProof/>
                <w:webHidden/>
              </w:rPr>
              <w:fldChar w:fldCharType="separate"/>
            </w:r>
            <w:r w:rsidR="008F1F66">
              <w:rPr>
                <w:noProof/>
                <w:webHidden/>
              </w:rPr>
              <w:t>11</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94" w:history="1">
            <w:r w:rsidR="004D5254" w:rsidRPr="007A1E82">
              <w:rPr>
                <w:rStyle w:val="Hyperlink"/>
                <w:noProof/>
              </w:rPr>
              <w:t>3.2.</w:t>
            </w:r>
            <w:r w:rsidR="004D5254">
              <w:rPr>
                <w:rFonts w:asciiTheme="minorHAnsi" w:eastAsiaTheme="minorEastAsia" w:hAnsiTheme="minorHAnsi" w:cstheme="minorBidi"/>
                <w:noProof/>
                <w:lang w:eastAsia="en-AU"/>
              </w:rPr>
              <w:tab/>
            </w:r>
            <w:r w:rsidR="004D5254" w:rsidRPr="007A1E82">
              <w:rPr>
                <w:rStyle w:val="Hyperlink"/>
                <w:noProof/>
              </w:rPr>
              <w:t>Summary of pharmacokinetics</w:t>
            </w:r>
            <w:r w:rsidR="004D5254">
              <w:rPr>
                <w:noProof/>
                <w:webHidden/>
              </w:rPr>
              <w:tab/>
            </w:r>
            <w:r>
              <w:rPr>
                <w:noProof/>
                <w:webHidden/>
              </w:rPr>
              <w:fldChar w:fldCharType="begin"/>
            </w:r>
            <w:r w:rsidR="004D5254">
              <w:rPr>
                <w:noProof/>
                <w:webHidden/>
              </w:rPr>
              <w:instrText xml:space="preserve"> PAGEREF _Toc364764894 \h </w:instrText>
            </w:r>
            <w:r>
              <w:rPr>
                <w:noProof/>
                <w:webHidden/>
              </w:rPr>
            </w:r>
            <w:r>
              <w:rPr>
                <w:noProof/>
                <w:webHidden/>
              </w:rPr>
              <w:fldChar w:fldCharType="separate"/>
            </w:r>
            <w:r w:rsidR="008F1F66">
              <w:rPr>
                <w:noProof/>
                <w:webHidden/>
              </w:rPr>
              <w:t>13</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95" w:history="1">
            <w:r w:rsidR="004D5254" w:rsidRPr="007A1E82">
              <w:rPr>
                <w:rStyle w:val="Hyperlink"/>
                <w:noProof/>
              </w:rPr>
              <w:t>3.3.</w:t>
            </w:r>
            <w:r w:rsidR="004D5254">
              <w:rPr>
                <w:rFonts w:asciiTheme="minorHAnsi" w:eastAsiaTheme="minorEastAsia" w:hAnsiTheme="minorHAnsi" w:cstheme="minorBidi"/>
                <w:noProof/>
                <w:lang w:eastAsia="en-AU"/>
              </w:rPr>
              <w:tab/>
            </w:r>
            <w:r w:rsidR="004D5254" w:rsidRPr="007A1E82">
              <w:rPr>
                <w:rStyle w:val="Hyperlink"/>
                <w:noProof/>
              </w:rPr>
              <w:t>Evaluator’s overall conclusions on pharmacokinetics</w:t>
            </w:r>
            <w:r w:rsidR="004D5254">
              <w:rPr>
                <w:noProof/>
                <w:webHidden/>
              </w:rPr>
              <w:tab/>
            </w:r>
            <w:r>
              <w:rPr>
                <w:noProof/>
                <w:webHidden/>
              </w:rPr>
              <w:fldChar w:fldCharType="begin"/>
            </w:r>
            <w:r w:rsidR="004D5254">
              <w:rPr>
                <w:noProof/>
                <w:webHidden/>
              </w:rPr>
              <w:instrText xml:space="preserve"> PAGEREF _Toc364764895 \h </w:instrText>
            </w:r>
            <w:r>
              <w:rPr>
                <w:noProof/>
                <w:webHidden/>
              </w:rPr>
            </w:r>
            <w:r>
              <w:rPr>
                <w:noProof/>
                <w:webHidden/>
              </w:rPr>
              <w:fldChar w:fldCharType="separate"/>
            </w:r>
            <w:r w:rsidR="008F1F66">
              <w:rPr>
                <w:noProof/>
                <w:webHidden/>
              </w:rPr>
              <w:t>23</w:t>
            </w:r>
            <w:r>
              <w:rPr>
                <w:noProof/>
                <w:webHidden/>
              </w:rPr>
              <w:fldChar w:fldCharType="end"/>
            </w:r>
          </w:hyperlink>
        </w:p>
        <w:p w:rsidR="004D5254" w:rsidRDefault="00B20FF9">
          <w:pPr>
            <w:pStyle w:val="TOC2"/>
            <w:tabs>
              <w:tab w:val="left" w:pos="1247"/>
            </w:tabs>
            <w:rPr>
              <w:rFonts w:asciiTheme="minorHAnsi" w:eastAsiaTheme="minorEastAsia" w:hAnsiTheme="minorHAnsi" w:cstheme="minorBidi"/>
              <w:b w:val="0"/>
              <w:noProof/>
              <w:sz w:val="22"/>
              <w:lang w:eastAsia="en-AU"/>
            </w:rPr>
          </w:pPr>
          <w:hyperlink w:anchor="_Toc364764896" w:history="1">
            <w:r w:rsidR="004D5254" w:rsidRPr="007A1E82">
              <w:rPr>
                <w:rStyle w:val="Hyperlink"/>
                <w:noProof/>
              </w:rPr>
              <w:t>4.</w:t>
            </w:r>
            <w:r w:rsidR="004D5254">
              <w:rPr>
                <w:rFonts w:asciiTheme="minorHAnsi" w:eastAsiaTheme="minorEastAsia" w:hAnsiTheme="minorHAnsi" w:cstheme="minorBidi"/>
                <w:b w:val="0"/>
                <w:noProof/>
                <w:sz w:val="22"/>
                <w:lang w:eastAsia="en-AU"/>
              </w:rPr>
              <w:tab/>
            </w:r>
            <w:r w:rsidR="004D5254" w:rsidRPr="007A1E82">
              <w:rPr>
                <w:rStyle w:val="Hyperlink"/>
                <w:noProof/>
              </w:rPr>
              <w:t>Pharmacodynamics</w:t>
            </w:r>
            <w:r w:rsidR="004D5254">
              <w:rPr>
                <w:noProof/>
                <w:webHidden/>
              </w:rPr>
              <w:tab/>
            </w:r>
            <w:r>
              <w:rPr>
                <w:noProof/>
                <w:webHidden/>
              </w:rPr>
              <w:fldChar w:fldCharType="begin"/>
            </w:r>
            <w:r w:rsidR="004D5254">
              <w:rPr>
                <w:noProof/>
                <w:webHidden/>
              </w:rPr>
              <w:instrText xml:space="preserve"> PAGEREF _Toc364764896 \h </w:instrText>
            </w:r>
            <w:r>
              <w:rPr>
                <w:noProof/>
                <w:webHidden/>
              </w:rPr>
            </w:r>
            <w:r>
              <w:rPr>
                <w:noProof/>
                <w:webHidden/>
              </w:rPr>
              <w:fldChar w:fldCharType="separate"/>
            </w:r>
            <w:r w:rsidR="008F1F66">
              <w:rPr>
                <w:noProof/>
                <w:webHidden/>
              </w:rPr>
              <w:t>25</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97" w:history="1">
            <w:r w:rsidR="004D5254" w:rsidRPr="007A1E82">
              <w:rPr>
                <w:rStyle w:val="Hyperlink"/>
                <w:noProof/>
              </w:rPr>
              <w:t>4.1.</w:t>
            </w:r>
            <w:r w:rsidR="004D5254">
              <w:rPr>
                <w:rFonts w:asciiTheme="minorHAnsi" w:eastAsiaTheme="minorEastAsia" w:hAnsiTheme="minorHAnsi" w:cstheme="minorBidi"/>
                <w:noProof/>
                <w:lang w:eastAsia="en-AU"/>
              </w:rPr>
              <w:tab/>
            </w:r>
            <w:r w:rsidR="004D5254" w:rsidRPr="007A1E82">
              <w:rPr>
                <w:rStyle w:val="Hyperlink"/>
                <w:noProof/>
              </w:rPr>
              <w:t>Studies providing pharmacodynamic data</w:t>
            </w:r>
            <w:r w:rsidR="004D5254">
              <w:rPr>
                <w:noProof/>
                <w:webHidden/>
              </w:rPr>
              <w:tab/>
            </w:r>
            <w:r>
              <w:rPr>
                <w:noProof/>
                <w:webHidden/>
              </w:rPr>
              <w:fldChar w:fldCharType="begin"/>
            </w:r>
            <w:r w:rsidR="004D5254">
              <w:rPr>
                <w:noProof/>
                <w:webHidden/>
              </w:rPr>
              <w:instrText xml:space="preserve"> PAGEREF _Toc364764897 \h </w:instrText>
            </w:r>
            <w:r>
              <w:rPr>
                <w:noProof/>
                <w:webHidden/>
              </w:rPr>
            </w:r>
            <w:r>
              <w:rPr>
                <w:noProof/>
                <w:webHidden/>
              </w:rPr>
              <w:fldChar w:fldCharType="separate"/>
            </w:r>
            <w:r w:rsidR="008F1F66">
              <w:rPr>
                <w:noProof/>
                <w:webHidden/>
              </w:rPr>
              <w:t>25</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898" w:history="1">
            <w:r w:rsidR="004D5254" w:rsidRPr="007A1E82">
              <w:rPr>
                <w:rStyle w:val="Hyperlink"/>
                <w:noProof/>
              </w:rPr>
              <w:t>4.2.</w:t>
            </w:r>
            <w:r w:rsidR="004D5254">
              <w:rPr>
                <w:rFonts w:asciiTheme="minorHAnsi" w:eastAsiaTheme="minorEastAsia" w:hAnsiTheme="minorHAnsi" w:cstheme="minorBidi"/>
                <w:noProof/>
                <w:lang w:eastAsia="en-AU"/>
              </w:rPr>
              <w:tab/>
            </w:r>
            <w:r w:rsidR="004D5254" w:rsidRPr="007A1E82">
              <w:rPr>
                <w:rStyle w:val="Hyperlink"/>
                <w:noProof/>
              </w:rPr>
              <w:t>Summary of pharmacodynamics</w:t>
            </w:r>
            <w:r w:rsidR="004D5254">
              <w:rPr>
                <w:noProof/>
                <w:webHidden/>
              </w:rPr>
              <w:tab/>
            </w:r>
            <w:r>
              <w:rPr>
                <w:noProof/>
                <w:webHidden/>
              </w:rPr>
              <w:fldChar w:fldCharType="begin"/>
            </w:r>
            <w:r w:rsidR="004D5254">
              <w:rPr>
                <w:noProof/>
                <w:webHidden/>
              </w:rPr>
              <w:instrText xml:space="preserve"> PAGEREF _Toc364764898 \h </w:instrText>
            </w:r>
            <w:r>
              <w:rPr>
                <w:noProof/>
                <w:webHidden/>
              </w:rPr>
            </w:r>
            <w:r>
              <w:rPr>
                <w:noProof/>
                <w:webHidden/>
              </w:rPr>
              <w:fldChar w:fldCharType="separate"/>
            </w:r>
            <w:r w:rsidR="008F1F66">
              <w:rPr>
                <w:noProof/>
                <w:webHidden/>
              </w:rPr>
              <w:t>25</w:t>
            </w:r>
            <w:r>
              <w:rPr>
                <w:noProof/>
                <w:webHidden/>
              </w:rPr>
              <w:fldChar w:fldCharType="end"/>
            </w:r>
          </w:hyperlink>
        </w:p>
        <w:p w:rsidR="004D5254" w:rsidRDefault="00B20FF9">
          <w:pPr>
            <w:pStyle w:val="TOC3"/>
            <w:tabs>
              <w:tab w:val="left" w:pos="1742"/>
            </w:tabs>
            <w:rPr>
              <w:rFonts w:asciiTheme="minorHAnsi" w:eastAsiaTheme="minorEastAsia" w:hAnsiTheme="minorHAnsi" w:cstheme="minorBidi"/>
              <w:noProof/>
              <w:lang w:eastAsia="en-AU"/>
            </w:rPr>
          </w:pPr>
          <w:hyperlink w:anchor="_Toc364764899" w:history="1">
            <w:r w:rsidR="004D5254" w:rsidRPr="007A1E82">
              <w:rPr>
                <w:rStyle w:val="Hyperlink"/>
                <w:noProof/>
              </w:rPr>
              <w:t>4.2.2.</w:t>
            </w:r>
            <w:r w:rsidR="004D5254">
              <w:rPr>
                <w:rFonts w:asciiTheme="minorHAnsi" w:eastAsiaTheme="minorEastAsia" w:hAnsiTheme="minorHAnsi" w:cstheme="minorBidi"/>
                <w:noProof/>
                <w:lang w:eastAsia="en-AU"/>
              </w:rPr>
              <w:tab/>
            </w:r>
            <w:r w:rsidR="004D5254" w:rsidRPr="007A1E82">
              <w:rPr>
                <w:rStyle w:val="Hyperlink"/>
                <w:noProof/>
              </w:rPr>
              <w:t>Pharmacodynamic effects</w:t>
            </w:r>
            <w:r w:rsidR="004D5254">
              <w:rPr>
                <w:noProof/>
                <w:webHidden/>
              </w:rPr>
              <w:tab/>
            </w:r>
            <w:r>
              <w:rPr>
                <w:noProof/>
                <w:webHidden/>
              </w:rPr>
              <w:fldChar w:fldCharType="begin"/>
            </w:r>
            <w:r w:rsidR="004D5254">
              <w:rPr>
                <w:noProof/>
                <w:webHidden/>
              </w:rPr>
              <w:instrText xml:space="preserve"> PAGEREF _Toc364764899 \h </w:instrText>
            </w:r>
            <w:r>
              <w:rPr>
                <w:noProof/>
                <w:webHidden/>
              </w:rPr>
            </w:r>
            <w:r>
              <w:rPr>
                <w:noProof/>
                <w:webHidden/>
              </w:rPr>
              <w:fldChar w:fldCharType="separate"/>
            </w:r>
            <w:r w:rsidR="008F1F66">
              <w:rPr>
                <w:noProof/>
                <w:webHidden/>
              </w:rPr>
              <w:t>26</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00" w:history="1">
            <w:r w:rsidR="004D5254" w:rsidRPr="007A1E82">
              <w:rPr>
                <w:rStyle w:val="Hyperlink"/>
                <w:noProof/>
              </w:rPr>
              <w:t>4.3.</w:t>
            </w:r>
            <w:r w:rsidR="004D5254">
              <w:rPr>
                <w:rFonts w:asciiTheme="minorHAnsi" w:eastAsiaTheme="minorEastAsia" w:hAnsiTheme="minorHAnsi" w:cstheme="minorBidi"/>
                <w:noProof/>
                <w:lang w:eastAsia="en-AU"/>
              </w:rPr>
              <w:tab/>
            </w:r>
            <w:r w:rsidR="004D5254" w:rsidRPr="007A1E82">
              <w:rPr>
                <w:rStyle w:val="Hyperlink"/>
                <w:noProof/>
              </w:rPr>
              <w:t>Evaluator’s overall conclusions on pharmacodynamics</w:t>
            </w:r>
            <w:r w:rsidR="004D5254">
              <w:rPr>
                <w:noProof/>
                <w:webHidden/>
              </w:rPr>
              <w:tab/>
            </w:r>
            <w:r>
              <w:rPr>
                <w:noProof/>
                <w:webHidden/>
              </w:rPr>
              <w:fldChar w:fldCharType="begin"/>
            </w:r>
            <w:r w:rsidR="004D5254">
              <w:rPr>
                <w:noProof/>
                <w:webHidden/>
              </w:rPr>
              <w:instrText xml:space="preserve"> PAGEREF _Toc364764900 \h </w:instrText>
            </w:r>
            <w:r>
              <w:rPr>
                <w:noProof/>
                <w:webHidden/>
              </w:rPr>
            </w:r>
            <w:r>
              <w:rPr>
                <w:noProof/>
                <w:webHidden/>
              </w:rPr>
              <w:fldChar w:fldCharType="separate"/>
            </w:r>
            <w:r w:rsidR="008F1F66">
              <w:rPr>
                <w:noProof/>
                <w:webHidden/>
              </w:rPr>
              <w:t>30</w:t>
            </w:r>
            <w:r>
              <w:rPr>
                <w:noProof/>
                <w:webHidden/>
              </w:rPr>
              <w:fldChar w:fldCharType="end"/>
            </w:r>
          </w:hyperlink>
        </w:p>
        <w:p w:rsidR="004D5254" w:rsidRDefault="00B20FF9">
          <w:pPr>
            <w:pStyle w:val="TOC2"/>
            <w:tabs>
              <w:tab w:val="left" w:pos="1247"/>
            </w:tabs>
            <w:rPr>
              <w:rFonts w:asciiTheme="minorHAnsi" w:eastAsiaTheme="minorEastAsia" w:hAnsiTheme="minorHAnsi" w:cstheme="minorBidi"/>
              <w:b w:val="0"/>
              <w:noProof/>
              <w:sz w:val="22"/>
              <w:lang w:eastAsia="en-AU"/>
            </w:rPr>
          </w:pPr>
          <w:hyperlink w:anchor="_Toc364764901" w:history="1">
            <w:r w:rsidR="004D5254" w:rsidRPr="007A1E82">
              <w:rPr>
                <w:rStyle w:val="Hyperlink"/>
                <w:noProof/>
              </w:rPr>
              <w:t>5.</w:t>
            </w:r>
            <w:r w:rsidR="004D5254">
              <w:rPr>
                <w:rFonts w:asciiTheme="minorHAnsi" w:eastAsiaTheme="minorEastAsia" w:hAnsiTheme="minorHAnsi" w:cstheme="minorBidi"/>
                <w:b w:val="0"/>
                <w:noProof/>
                <w:sz w:val="22"/>
                <w:lang w:eastAsia="en-AU"/>
              </w:rPr>
              <w:tab/>
            </w:r>
            <w:r w:rsidR="004D5254" w:rsidRPr="007A1E82">
              <w:rPr>
                <w:rStyle w:val="Hyperlink"/>
                <w:noProof/>
              </w:rPr>
              <w:t>Dosage selection for the pivotal studies</w:t>
            </w:r>
            <w:r w:rsidR="004D5254">
              <w:rPr>
                <w:noProof/>
                <w:webHidden/>
              </w:rPr>
              <w:tab/>
            </w:r>
            <w:r>
              <w:rPr>
                <w:noProof/>
                <w:webHidden/>
              </w:rPr>
              <w:fldChar w:fldCharType="begin"/>
            </w:r>
            <w:r w:rsidR="004D5254">
              <w:rPr>
                <w:noProof/>
                <w:webHidden/>
              </w:rPr>
              <w:instrText xml:space="preserve"> PAGEREF _Toc364764901 \h </w:instrText>
            </w:r>
            <w:r>
              <w:rPr>
                <w:noProof/>
                <w:webHidden/>
              </w:rPr>
            </w:r>
            <w:r>
              <w:rPr>
                <w:noProof/>
                <w:webHidden/>
              </w:rPr>
              <w:fldChar w:fldCharType="separate"/>
            </w:r>
            <w:r w:rsidR="008F1F66">
              <w:rPr>
                <w:noProof/>
                <w:webHidden/>
              </w:rPr>
              <w:t>31</w:t>
            </w:r>
            <w:r>
              <w:rPr>
                <w:noProof/>
                <w:webHidden/>
              </w:rPr>
              <w:fldChar w:fldCharType="end"/>
            </w:r>
          </w:hyperlink>
        </w:p>
        <w:p w:rsidR="004D5254" w:rsidRDefault="00B20FF9">
          <w:pPr>
            <w:pStyle w:val="TOC2"/>
            <w:tabs>
              <w:tab w:val="left" w:pos="1247"/>
            </w:tabs>
            <w:rPr>
              <w:rFonts w:asciiTheme="minorHAnsi" w:eastAsiaTheme="minorEastAsia" w:hAnsiTheme="minorHAnsi" w:cstheme="minorBidi"/>
              <w:b w:val="0"/>
              <w:noProof/>
              <w:sz w:val="22"/>
              <w:lang w:eastAsia="en-AU"/>
            </w:rPr>
          </w:pPr>
          <w:hyperlink w:anchor="_Toc364764902" w:history="1">
            <w:r w:rsidR="004D5254" w:rsidRPr="007A1E82">
              <w:rPr>
                <w:rStyle w:val="Hyperlink"/>
                <w:noProof/>
              </w:rPr>
              <w:t>6.</w:t>
            </w:r>
            <w:r w:rsidR="004D5254">
              <w:rPr>
                <w:rFonts w:asciiTheme="minorHAnsi" w:eastAsiaTheme="minorEastAsia" w:hAnsiTheme="minorHAnsi" w:cstheme="minorBidi"/>
                <w:b w:val="0"/>
                <w:noProof/>
                <w:sz w:val="22"/>
                <w:lang w:eastAsia="en-AU"/>
              </w:rPr>
              <w:tab/>
            </w:r>
            <w:r w:rsidR="004D5254" w:rsidRPr="007A1E82">
              <w:rPr>
                <w:rStyle w:val="Hyperlink"/>
                <w:noProof/>
              </w:rPr>
              <w:t>Clinical efficacy</w:t>
            </w:r>
            <w:r w:rsidR="004D5254">
              <w:rPr>
                <w:noProof/>
                <w:webHidden/>
              </w:rPr>
              <w:tab/>
            </w:r>
            <w:r>
              <w:rPr>
                <w:noProof/>
                <w:webHidden/>
              </w:rPr>
              <w:fldChar w:fldCharType="begin"/>
            </w:r>
            <w:r w:rsidR="004D5254">
              <w:rPr>
                <w:noProof/>
                <w:webHidden/>
              </w:rPr>
              <w:instrText xml:space="preserve"> PAGEREF _Toc364764902 \h </w:instrText>
            </w:r>
            <w:r>
              <w:rPr>
                <w:noProof/>
                <w:webHidden/>
              </w:rPr>
            </w:r>
            <w:r>
              <w:rPr>
                <w:noProof/>
                <w:webHidden/>
              </w:rPr>
              <w:fldChar w:fldCharType="separate"/>
            </w:r>
            <w:r w:rsidR="008F1F66">
              <w:rPr>
                <w:noProof/>
                <w:webHidden/>
              </w:rPr>
              <w:t>32</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03" w:history="1">
            <w:r w:rsidR="004D5254" w:rsidRPr="007A1E82">
              <w:rPr>
                <w:rStyle w:val="Hyperlink"/>
                <w:noProof/>
              </w:rPr>
              <w:t>6.1.</w:t>
            </w:r>
            <w:r w:rsidR="004D5254">
              <w:rPr>
                <w:rFonts w:asciiTheme="minorHAnsi" w:eastAsiaTheme="minorEastAsia" w:hAnsiTheme="minorHAnsi" w:cstheme="minorBidi"/>
                <w:noProof/>
                <w:lang w:eastAsia="en-AU"/>
              </w:rPr>
              <w:tab/>
            </w:r>
            <w:r w:rsidR="004D5254" w:rsidRPr="007A1E82">
              <w:rPr>
                <w:rStyle w:val="Hyperlink"/>
                <w:noProof/>
              </w:rPr>
              <w:t>Peripheral T-cell lymphoma in adults</w:t>
            </w:r>
            <w:r w:rsidR="004D5254">
              <w:rPr>
                <w:noProof/>
                <w:webHidden/>
              </w:rPr>
              <w:tab/>
            </w:r>
            <w:r>
              <w:rPr>
                <w:noProof/>
                <w:webHidden/>
              </w:rPr>
              <w:fldChar w:fldCharType="begin"/>
            </w:r>
            <w:r w:rsidR="004D5254">
              <w:rPr>
                <w:noProof/>
                <w:webHidden/>
              </w:rPr>
              <w:instrText xml:space="preserve"> PAGEREF _Toc364764903 \h </w:instrText>
            </w:r>
            <w:r>
              <w:rPr>
                <w:noProof/>
                <w:webHidden/>
              </w:rPr>
            </w:r>
            <w:r>
              <w:rPr>
                <w:noProof/>
                <w:webHidden/>
              </w:rPr>
              <w:fldChar w:fldCharType="separate"/>
            </w:r>
            <w:r w:rsidR="008F1F66">
              <w:rPr>
                <w:noProof/>
                <w:webHidden/>
              </w:rPr>
              <w:t>32</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04" w:history="1">
            <w:r w:rsidR="004D5254" w:rsidRPr="007A1E82">
              <w:rPr>
                <w:rStyle w:val="Hyperlink"/>
                <w:noProof/>
              </w:rPr>
              <w:t>6.2.</w:t>
            </w:r>
            <w:r w:rsidR="004D5254">
              <w:rPr>
                <w:rFonts w:asciiTheme="minorHAnsi" w:eastAsiaTheme="minorEastAsia" w:hAnsiTheme="minorHAnsi" w:cstheme="minorBidi"/>
                <w:noProof/>
                <w:lang w:eastAsia="en-AU"/>
              </w:rPr>
              <w:tab/>
            </w:r>
            <w:r w:rsidR="004D5254" w:rsidRPr="007A1E82">
              <w:rPr>
                <w:rStyle w:val="Hyperlink"/>
                <w:noProof/>
              </w:rPr>
              <w:t>Evaluator’s conclusions on clinical efficacy for PTCL</w:t>
            </w:r>
            <w:r w:rsidR="004D5254">
              <w:rPr>
                <w:noProof/>
                <w:webHidden/>
              </w:rPr>
              <w:tab/>
            </w:r>
            <w:r>
              <w:rPr>
                <w:noProof/>
                <w:webHidden/>
              </w:rPr>
              <w:fldChar w:fldCharType="begin"/>
            </w:r>
            <w:r w:rsidR="004D5254">
              <w:rPr>
                <w:noProof/>
                <w:webHidden/>
              </w:rPr>
              <w:instrText xml:space="preserve"> PAGEREF _Toc364764904 \h </w:instrText>
            </w:r>
            <w:r>
              <w:rPr>
                <w:noProof/>
                <w:webHidden/>
              </w:rPr>
            </w:r>
            <w:r>
              <w:rPr>
                <w:noProof/>
                <w:webHidden/>
              </w:rPr>
              <w:fldChar w:fldCharType="separate"/>
            </w:r>
            <w:r w:rsidR="008F1F66">
              <w:rPr>
                <w:noProof/>
                <w:webHidden/>
              </w:rPr>
              <w:t>55</w:t>
            </w:r>
            <w:r>
              <w:rPr>
                <w:noProof/>
                <w:webHidden/>
              </w:rPr>
              <w:fldChar w:fldCharType="end"/>
            </w:r>
          </w:hyperlink>
        </w:p>
        <w:p w:rsidR="004D5254" w:rsidRDefault="00B20FF9">
          <w:pPr>
            <w:pStyle w:val="TOC2"/>
            <w:tabs>
              <w:tab w:val="left" w:pos="1247"/>
            </w:tabs>
            <w:rPr>
              <w:rFonts w:asciiTheme="minorHAnsi" w:eastAsiaTheme="minorEastAsia" w:hAnsiTheme="minorHAnsi" w:cstheme="minorBidi"/>
              <w:b w:val="0"/>
              <w:noProof/>
              <w:sz w:val="22"/>
              <w:lang w:eastAsia="en-AU"/>
            </w:rPr>
          </w:pPr>
          <w:hyperlink w:anchor="_Toc364764905" w:history="1">
            <w:r w:rsidR="004D5254" w:rsidRPr="007A1E82">
              <w:rPr>
                <w:rStyle w:val="Hyperlink"/>
                <w:noProof/>
              </w:rPr>
              <w:t>7.</w:t>
            </w:r>
            <w:r w:rsidR="004D5254">
              <w:rPr>
                <w:rFonts w:asciiTheme="minorHAnsi" w:eastAsiaTheme="minorEastAsia" w:hAnsiTheme="minorHAnsi" w:cstheme="minorBidi"/>
                <w:b w:val="0"/>
                <w:noProof/>
                <w:sz w:val="22"/>
                <w:lang w:eastAsia="en-AU"/>
              </w:rPr>
              <w:tab/>
            </w:r>
            <w:r w:rsidR="004D5254" w:rsidRPr="007A1E82">
              <w:rPr>
                <w:rStyle w:val="Hyperlink"/>
                <w:noProof/>
              </w:rPr>
              <w:t>Clinical safety</w:t>
            </w:r>
            <w:r w:rsidR="004D5254">
              <w:rPr>
                <w:noProof/>
                <w:webHidden/>
              </w:rPr>
              <w:tab/>
            </w:r>
            <w:r>
              <w:rPr>
                <w:noProof/>
                <w:webHidden/>
              </w:rPr>
              <w:fldChar w:fldCharType="begin"/>
            </w:r>
            <w:r w:rsidR="004D5254">
              <w:rPr>
                <w:noProof/>
                <w:webHidden/>
              </w:rPr>
              <w:instrText xml:space="preserve"> PAGEREF _Toc364764905 \h </w:instrText>
            </w:r>
            <w:r>
              <w:rPr>
                <w:noProof/>
                <w:webHidden/>
              </w:rPr>
            </w:r>
            <w:r>
              <w:rPr>
                <w:noProof/>
                <w:webHidden/>
              </w:rPr>
              <w:fldChar w:fldCharType="separate"/>
            </w:r>
            <w:r w:rsidR="008F1F66">
              <w:rPr>
                <w:noProof/>
                <w:webHidden/>
              </w:rPr>
              <w:t>58</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06" w:history="1">
            <w:r w:rsidR="004D5254" w:rsidRPr="007A1E82">
              <w:rPr>
                <w:rStyle w:val="Hyperlink"/>
                <w:noProof/>
              </w:rPr>
              <w:t>7.1.</w:t>
            </w:r>
            <w:r w:rsidR="004D5254">
              <w:rPr>
                <w:rFonts w:asciiTheme="minorHAnsi" w:eastAsiaTheme="minorEastAsia" w:hAnsiTheme="minorHAnsi" w:cstheme="minorBidi"/>
                <w:noProof/>
                <w:lang w:eastAsia="en-AU"/>
              </w:rPr>
              <w:tab/>
            </w:r>
            <w:r w:rsidR="004D5254" w:rsidRPr="007A1E82">
              <w:rPr>
                <w:rStyle w:val="Hyperlink"/>
                <w:noProof/>
              </w:rPr>
              <w:t>Studies providing evaluable safety data</w:t>
            </w:r>
            <w:r w:rsidR="004D5254">
              <w:rPr>
                <w:noProof/>
                <w:webHidden/>
              </w:rPr>
              <w:tab/>
            </w:r>
            <w:r>
              <w:rPr>
                <w:noProof/>
                <w:webHidden/>
              </w:rPr>
              <w:fldChar w:fldCharType="begin"/>
            </w:r>
            <w:r w:rsidR="004D5254">
              <w:rPr>
                <w:noProof/>
                <w:webHidden/>
              </w:rPr>
              <w:instrText xml:space="preserve"> PAGEREF _Toc364764906 \h </w:instrText>
            </w:r>
            <w:r>
              <w:rPr>
                <w:noProof/>
                <w:webHidden/>
              </w:rPr>
            </w:r>
            <w:r>
              <w:rPr>
                <w:noProof/>
                <w:webHidden/>
              </w:rPr>
              <w:fldChar w:fldCharType="separate"/>
            </w:r>
            <w:r w:rsidR="008F1F66">
              <w:rPr>
                <w:noProof/>
                <w:webHidden/>
              </w:rPr>
              <w:t>58</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07" w:history="1">
            <w:r w:rsidR="004D5254" w:rsidRPr="007A1E82">
              <w:rPr>
                <w:rStyle w:val="Hyperlink"/>
                <w:noProof/>
              </w:rPr>
              <w:t>7.2.</w:t>
            </w:r>
            <w:r w:rsidR="004D5254">
              <w:rPr>
                <w:rFonts w:asciiTheme="minorHAnsi" w:eastAsiaTheme="minorEastAsia" w:hAnsiTheme="minorHAnsi" w:cstheme="minorBidi"/>
                <w:noProof/>
                <w:lang w:eastAsia="en-AU"/>
              </w:rPr>
              <w:tab/>
            </w:r>
            <w:r w:rsidR="004D5254" w:rsidRPr="007A1E82">
              <w:rPr>
                <w:rStyle w:val="Hyperlink"/>
                <w:noProof/>
              </w:rPr>
              <w:t>Pivotal studies that assessed safety as a primary outcome</w:t>
            </w:r>
            <w:r w:rsidR="004D5254">
              <w:rPr>
                <w:noProof/>
                <w:webHidden/>
              </w:rPr>
              <w:tab/>
            </w:r>
            <w:r>
              <w:rPr>
                <w:noProof/>
                <w:webHidden/>
              </w:rPr>
              <w:fldChar w:fldCharType="begin"/>
            </w:r>
            <w:r w:rsidR="004D5254">
              <w:rPr>
                <w:noProof/>
                <w:webHidden/>
              </w:rPr>
              <w:instrText xml:space="preserve"> PAGEREF _Toc364764907 \h </w:instrText>
            </w:r>
            <w:r>
              <w:rPr>
                <w:noProof/>
                <w:webHidden/>
              </w:rPr>
            </w:r>
            <w:r>
              <w:rPr>
                <w:noProof/>
                <w:webHidden/>
              </w:rPr>
              <w:fldChar w:fldCharType="separate"/>
            </w:r>
            <w:r w:rsidR="008F1F66">
              <w:rPr>
                <w:noProof/>
                <w:webHidden/>
              </w:rPr>
              <w:t>61</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08" w:history="1">
            <w:r w:rsidR="004D5254" w:rsidRPr="007A1E82">
              <w:rPr>
                <w:rStyle w:val="Hyperlink"/>
                <w:noProof/>
              </w:rPr>
              <w:t>7.3.</w:t>
            </w:r>
            <w:r w:rsidR="004D5254">
              <w:rPr>
                <w:rFonts w:asciiTheme="minorHAnsi" w:eastAsiaTheme="minorEastAsia" w:hAnsiTheme="minorHAnsi" w:cstheme="minorBidi"/>
                <w:noProof/>
                <w:lang w:eastAsia="en-AU"/>
              </w:rPr>
              <w:tab/>
            </w:r>
            <w:r w:rsidR="004D5254" w:rsidRPr="007A1E82">
              <w:rPr>
                <w:rStyle w:val="Hyperlink"/>
                <w:noProof/>
              </w:rPr>
              <w:t>Patient exposure</w:t>
            </w:r>
            <w:r w:rsidR="004D5254">
              <w:rPr>
                <w:noProof/>
                <w:webHidden/>
              </w:rPr>
              <w:tab/>
            </w:r>
            <w:r>
              <w:rPr>
                <w:noProof/>
                <w:webHidden/>
              </w:rPr>
              <w:fldChar w:fldCharType="begin"/>
            </w:r>
            <w:r w:rsidR="004D5254">
              <w:rPr>
                <w:noProof/>
                <w:webHidden/>
              </w:rPr>
              <w:instrText xml:space="preserve"> PAGEREF _Toc364764908 \h </w:instrText>
            </w:r>
            <w:r>
              <w:rPr>
                <w:noProof/>
                <w:webHidden/>
              </w:rPr>
            </w:r>
            <w:r>
              <w:rPr>
                <w:noProof/>
                <w:webHidden/>
              </w:rPr>
              <w:fldChar w:fldCharType="separate"/>
            </w:r>
            <w:r w:rsidR="008F1F66">
              <w:rPr>
                <w:noProof/>
                <w:webHidden/>
              </w:rPr>
              <w:t>61</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09" w:history="1">
            <w:r w:rsidR="004D5254" w:rsidRPr="007A1E82">
              <w:rPr>
                <w:rStyle w:val="Hyperlink"/>
                <w:noProof/>
              </w:rPr>
              <w:t>7.4.</w:t>
            </w:r>
            <w:r w:rsidR="004D5254">
              <w:rPr>
                <w:rFonts w:asciiTheme="minorHAnsi" w:eastAsiaTheme="minorEastAsia" w:hAnsiTheme="minorHAnsi" w:cstheme="minorBidi"/>
                <w:noProof/>
                <w:lang w:eastAsia="en-AU"/>
              </w:rPr>
              <w:tab/>
            </w:r>
            <w:r w:rsidR="004D5254" w:rsidRPr="007A1E82">
              <w:rPr>
                <w:rStyle w:val="Hyperlink"/>
                <w:noProof/>
              </w:rPr>
              <w:t>Adverse events</w:t>
            </w:r>
            <w:r w:rsidR="004D5254">
              <w:rPr>
                <w:noProof/>
                <w:webHidden/>
              </w:rPr>
              <w:tab/>
            </w:r>
            <w:r>
              <w:rPr>
                <w:noProof/>
                <w:webHidden/>
              </w:rPr>
              <w:fldChar w:fldCharType="begin"/>
            </w:r>
            <w:r w:rsidR="004D5254">
              <w:rPr>
                <w:noProof/>
                <w:webHidden/>
              </w:rPr>
              <w:instrText xml:space="preserve"> PAGEREF _Toc364764909 \h </w:instrText>
            </w:r>
            <w:r>
              <w:rPr>
                <w:noProof/>
                <w:webHidden/>
              </w:rPr>
            </w:r>
            <w:r>
              <w:rPr>
                <w:noProof/>
                <w:webHidden/>
              </w:rPr>
              <w:fldChar w:fldCharType="separate"/>
            </w:r>
            <w:r w:rsidR="008F1F66">
              <w:rPr>
                <w:noProof/>
                <w:webHidden/>
              </w:rPr>
              <w:t>65</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10" w:history="1">
            <w:r w:rsidR="004D5254" w:rsidRPr="007A1E82">
              <w:rPr>
                <w:rStyle w:val="Hyperlink"/>
                <w:noProof/>
              </w:rPr>
              <w:t>7.5.</w:t>
            </w:r>
            <w:r w:rsidR="004D5254">
              <w:rPr>
                <w:rFonts w:asciiTheme="minorHAnsi" w:eastAsiaTheme="minorEastAsia" w:hAnsiTheme="minorHAnsi" w:cstheme="minorBidi"/>
                <w:noProof/>
                <w:lang w:eastAsia="en-AU"/>
              </w:rPr>
              <w:tab/>
            </w:r>
            <w:r w:rsidR="004D5254" w:rsidRPr="007A1E82">
              <w:rPr>
                <w:rStyle w:val="Hyperlink"/>
                <w:noProof/>
              </w:rPr>
              <w:t>Laboratory tests</w:t>
            </w:r>
            <w:r w:rsidR="004D5254">
              <w:rPr>
                <w:noProof/>
                <w:webHidden/>
              </w:rPr>
              <w:tab/>
            </w:r>
            <w:r>
              <w:rPr>
                <w:noProof/>
                <w:webHidden/>
              </w:rPr>
              <w:fldChar w:fldCharType="begin"/>
            </w:r>
            <w:r w:rsidR="004D5254">
              <w:rPr>
                <w:noProof/>
                <w:webHidden/>
              </w:rPr>
              <w:instrText xml:space="preserve"> PAGEREF _Toc364764910 \h </w:instrText>
            </w:r>
            <w:r>
              <w:rPr>
                <w:noProof/>
                <w:webHidden/>
              </w:rPr>
            </w:r>
            <w:r>
              <w:rPr>
                <w:noProof/>
                <w:webHidden/>
              </w:rPr>
              <w:fldChar w:fldCharType="separate"/>
            </w:r>
            <w:r w:rsidR="008F1F66">
              <w:rPr>
                <w:noProof/>
                <w:webHidden/>
              </w:rPr>
              <w:t>75</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11" w:history="1">
            <w:r w:rsidR="004D5254" w:rsidRPr="007A1E82">
              <w:rPr>
                <w:rStyle w:val="Hyperlink"/>
                <w:noProof/>
              </w:rPr>
              <w:t>7.6.</w:t>
            </w:r>
            <w:r w:rsidR="004D5254">
              <w:rPr>
                <w:rFonts w:asciiTheme="minorHAnsi" w:eastAsiaTheme="minorEastAsia" w:hAnsiTheme="minorHAnsi" w:cstheme="minorBidi"/>
                <w:noProof/>
                <w:lang w:eastAsia="en-AU"/>
              </w:rPr>
              <w:tab/>
            </w:r>
            <w:r w:rsidR="004D5254" w:rsidRPr="007A1E82">
              <w:rPr>
                <w:rStyle w:val="Hyperlink"/>
                <w:noProof/>
              </w:rPr>
              <w:t>Post-marketing experience</w:t>
            </w:r>
            <w:r w:rsidR="004D5254">
              <w:rPr>
                <w:noProof/>
                <w:webHidden/>
              </w:rPr>
              <w:tab/>
            </w:r>
            <w:r>
              <w:rPr>
                <w:noProof/>
                <w:webHidden/>
              </w:rPr>
              <w:fldChar w:fldCharType="begin"/>
            </w:r>
            <w:r w:rsidR="004D5254">
              <w:rPr>
                <w:noProof/>
                <w:webHidden/>
              </w:rPr>
              <w:instrText xml:space="preserve"> PAGEREF _Toc364764911 \h </w:instrText>
            </w:r>
            <w:r>
              <w:rPr>
                <w:noProof/>
                <w:webHidden/>
              </w:rPr>
            </w:r>
            <w:r>
              <w:rPr>
                <w:noProof/>
                <w:webHidden/>
              </w:rPr>
              <w:fldChar w:fldCharType="separate"/>
            </w:r>
            <w:r w:rsidR="008F1F66">
              <w:rPr>
                <w:noProof/>
                <w:webHidden/>
              </w:rPr>
              <w:t>82</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12" w:history="1">
            <w:r w:rsidR="004D5254" w:rsidRPr="007A1E82">
              <w:rPr>
                <w:rStyle w:val="Hyperlink"/>
                <w:noProof/>
              </w:rPr>
              <w:t>7.7.</w:t>
            </w:r>
            <w:r w:rsidR="004D5254">
              <w:rPr>
                <w:rFonts w:asciiTheme="minorHAnsi" w:eastAsiaTheme="minorEastAsia" w:hAnsiTheme="minorHAnsi" w:cstheme="minorBidi"/>
                <w:noProof/>
                <w:lang w:eastAsia="en-AU"/>
              </w:rPr>
              <w:tab/>
            </w:r>
            <w:r w:rsidR="004D5254" w:rsidRPr="007A1E82">
              <w:rPr>
                <w:rStyle w:val="Hyperlink"/>
                <w:noProof/>
              </w:rPr>
              <w:t>Safety issues with the potential for major regulatory impact</w:t>
            </w:r>
            <w:r w:rsidR="004D5254">
              <w:rPr>
                <w:noProof/>
                <w:webHidden/>
              </w:rPr>
              <w:tab/>
            </w:r>
            <w:r>
              <w:rPr>
                <w:noProof/>
                <w:webHidden/>
              </w:rPr>
              <w:fldChar w:fldCharType="begin"/>
            </w:r>
            <w:r w:rsidR="004D5254">
              <w:rPr>
                <w:noProof/>
                <w:webHidden/>
              </w:rPr>
              <w:instrText xml:space="preserve"> PAGEREF _Toc364764912 \h </w:instrText>
            </w:r>
            <w:r>
              <w:rPr>
                <w:noProof/>
                <w:webHidden/>
              </w:rPr>
            </w:r>
            <w:r>
              <w:rPr>
                <w:noProof/>
                <w:webHidden/>
              </w:rPr>
              <w:fldChar w:fldCharType="separate"/>
            </w:r>
            <w:r w:rsidR="008F1F66">
              <w:rPr>
                <w:noProof/>
                <w:webHidden/>
              </w:rPr>
              <w:t>82</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13" w:history="1">
            <w:r w:rsidR="004D5254" w:rsidRPr="007A1E82">
              <w:rPr>
                <w:rStyle w:val="Hyperlink"/>
                <w:noProof/>
              </w:rPr>
              <w:t>7.8.</w:t>
            </w:r>
            <w:r w:rsidR="004D5254">
              <w:rPr>
                <w:rFonts w:asciiTheme="minorHAnsi" w:eastAsiaTheme="minorEastAsia" w:hAnsiTheme="minorHAnsi" w:cstheme="minorBidi"/>
                <w:noProof/>
                <w:lang w:eastAsia="en-AU"/>
              </w:rPr>
              <w:tab/>
            </w:r>
            <w:r w:rsidR="004D5254" w:rsidRPr="007A1E82">
              <w:rPr>
                <w:rStyle w:val="Hyperlink"/>
                <w:noProof/>
              </w:rPr>
              <w:t>Other safety issues</w:t>
            </w:r>
            <w:r w:rsidR="004D5254">
              <w:rPr>
                <w:noProof/>
                <w:webHidden/>
              </w:rPr>
              <w:tab/>
            </w:r>
            <w:r>
              <w:rPr>
                <w:noProof/>
                <w:webHidden/>
              </w:rPr>
              <w:fldChar w:fldCharType="begin"/>
            </w:r>
            <w:r w:rsidR="004D5254">
              <w:rPr>
                <w:noProof/>
                <w:webHidden/>
              </w:rPr>
              <w:instrText xml:space="preserve"> PAGEREF _Toc364764913 \h </w:instrText>
            </w:r>
            <w:r>
              <w:rPr>
                <w:noProof/>
                <w:webHidden/>
              </w:rPr>
            </w:r>
            <w:r>
              <w:rPr>
                <w:noProof/>
                <w:webHidden/>
              </w:rPr>
              <w:fldChar w:fldCharType="separate"/>
            </w:r>
            <w:r w:rsidR="008F1F66">
              <w:rPr>
                <w:noProof/>
                <w:webHidden/>
              </w:rPr>
              <w:t>85</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14" w:history="1">
            <w:r w:rsidR="004D5254" w:rsidRPr="007A1E82">
              <w:rPr>
                <w:rStyle w:val="Hyperlink"/>
                <w:noProof/>
              </w:rPr>
              <w:t>7.9.</w:t>
            </w:r>
            <w:r w:rsidR="004D5254">
              <w:rPr>
                <w:rFonts w:asciiTheme="minorHAnsi" w:eastAsiaTheme="minorEastAsia" w:hAnsiTheme="minorHAnsi" w:cstheme="minorBidi"/>
                <w:noProof/>
                <w:lang w:eastAsia="en-AU"/>
              </w:rPr>
              <w:tab/>
            </w:r>
            <w:r w:rsidR="004D5254" w:rsidRPr="007A1E82">
              <w:rPr>
                <w:rStyle w:val="Hyperlink"/>
                <w:noProof/>
              </w:rPr>
              <w:t>Evaluator’s overall conclusions on clinical safety</w:t>
            </w:r>
            <w:r w:rsidR="004D5254">
              <w:rPr>
                <w:noProof/>
                <w:webHidden/>
              </w:rPr>
              <w:tab/>
            </w:r>
            <w:r>
              <w:rPr>
                <w:noProof/>
                <w:webHidden/>
              </w:rPr>
              <w:fldChar w:fldCharType="begin"/>
            </w:r>
            <w:r w:rsidR="004D5254">
              <w:rPr>
                <w:noProof/>
                <w:webHidden/>
              </w:rPr>
              <w:instrText xml:space="preserve"> PAGEREF _Toc364764914 \h </w:instrText>
            </w:r>
            <w:r>
              <w:rPr>
                <w:noProof/>
                <w:webHidden/>
              </w:rPr>
            </w:r>
            <w:r>
              <w:rPr>
                <w:noProof/>
                <w:webHidden/>
              </w:rPr>
              <w:fldChar w:fldCharType="separate"/>
            </w:r>
            <w:r w:rsidR="008F1F66">
              <w:rPr>
                <w:noProof/>
                <w:webHidden/>
              </w:rPr>
              <w:t>88</w:t>
            </w:r>
            <w:r>
              <w:rPr>
                <w:noProof/>
                <w:webHidden/>
              </w:rPr>
              <w:fldChar w:fldCharType="end"/>
            </w:r>
          </w:hyperlink>
        </w:p>
        <w:p w:rsidR="004D5254" w:rsidRDefault="00B20FF9">
          <w:pPr>
            <w:pStyle w:val="TOC2"/>
            <w:tabs>
              <w:tab w:val="left" w:pos="1247"/>
            </w:tabs>
            <w:rPr>
              <w:rFonts w:asciiTheme="minorHAnsi" w:eastAsiaTheme="minorEastAsia" w:hAnsiTheme="minorHAnsi" w:cstheme="minorBidi"/>
              <w:b w:val="0"/>
              <w:noProof/>
              <w:sz w:val="22"/>
              <w:lang w:eastAsia="en-AU"/>
            </w:rPr>
          </w:pPr>
          <w:hyperlink w:anchor="_Toc364764915" w:history="1">
            <w:r w:rsidR="004D5254" w:rsidRPr="007A1E82">
              <w:rPr>
                <w:rStyle w:val="Hyperlink"/>
                <w:noProof/>
              </w:rPr>
              <w:t>8.</w:t>
            </w:r>
            <w:r w:rsidR="004D5254">
              <w:rPr>
                <w:rFonts w:asciiTheme="minorHAnsi" w:eastAsiaTheme="minorEastAsia" w:hAnsiTheme="minorHAnsi" w:cstheme="minorBidi"/>
                <w:b w:val="0"/>
                <w:noProof/>
                <w:sz w:val="22"/>
                <w:lang w:eastAsia="en-AU"/>
              </w:rPr>
              <w:tab/>
            </w:r>
            <w:r w:rsidR="004D5254" w:rsidRPr="007A1E82">
              <w:rPr>
                <w:rStyle w:val="Hyperlink"/>
                <w:noProof/>
              </w:rPr>
              <w:t>First round benefit-risk assessment</w:t>
            </w:r>
            <w:r w:rsidR="004D5254">
              <w:rPr>
                <w:noProof/>
                <w:webHidden/>
              </w:rPr>
              <w:tab/>
            </w:r>
            <w:r>
              <w:rPr>
                <w:noProof/>
                <w:webHidden/>
              </w:rPr>
              <w:fldChar w:fldCharType="begin"/>
            </w:r>
            <w:r w:rsidR="004D5254">
              <w:rPr>
                <w:noProof/>
                <w:webHidden/>
              </w:rPr>
              <w:instrText xml:space="preserve"> PAGEREF _Toc364764915 \h </w:instrText>
            </w:r>
            <w:r>
              <w:rPr>
                <w:noProof/>
                <w:webHidden/>
              </w:rPr>
            </w:r>
            <w:r>
              <w:rPr>
                <w:noProof/>
                <w:webHidden/>
              </w:rPr>
              <w:fldChar w:fldCharType="separate"/>
            </w:r>
            <w:r w:rsidR="008F1F66">
              <w:rPr>
                <w:noProof/>
                <w:webHidden/>
              </w:rPr>
              <w:t>90</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16" w:history="1">
            <w:r w:rsidR="004D5254" w:rsidRPr="007A1E82">
              <w:rPr>
                <w:rStyle w:val="Hyperlink"/>
                <w:noProof/>
              </w:rPr>
              <w:t>8.1.</w:t>
            </w:r>
            <w:r w:rsidR="004D5254">
              <w:rPr>
                <w:rFonts w:asciiTheme="minorHAnsi" w:eastAsiaTheme="minorEastAsia" w:hAnsiTheme="minorHAnsi" w:cstheme="minorBidi"/>
                <w:noProof/>
                <w:lang w:eastAsia="en-AU"/>
              </w:rPr>
              <w:tab/>
            </w:r>
            <w:r w:rsidR="004D5254" w:rsidRPr="007A1E82">
              <w:rPr>
                <w:rStyle w:val="Hyperlink"/>
                <w:noProof/>
              </w:rPr>
              <w:t>First round assessment of benefits</w:t>
            </w:r>
            <w:r w:rsidR="004D5254">
              <w:rPr>
                <w:noProof/>
                <w:webHidden/>
              </w:rPr>
              <w:tab/>
            </w:r>
            <w:r>
              <w:rPr>
                <w:noProof/>
                <w:webHidden/>
              </w:rPr>
              <w:fldChar w:fldCharType="begin"/>
            </w:r>
            <w:r w:rsidR="004D5254">
              <w:rPr>
                <w:noProof/>
                <w:webHidden/>
              </w:rPr>
              <w:instrText xml:space="preserve"> PAGEREF _Toc364764916 \h </w:instrText>
            </w:r>
            <w:r>
              <w:rPr>
                <w:noProof/>
                <w:webHidden/>
              </w:rPr>
            </w:r>
            <w:r>
              <w:rPr>
                <w:noProof/>
                <w:webHidden/>
              </w:rPr>
              <w:fldChar w:fldCharType="separate"/>
            </w:r>
            <w:r w:rsidR="008F1F66">
              <w:rPr>
                <w:noProof/>
                <w:webHidden/>
              </w:rPr>
              <w:t>90</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17" w:history="1">
            <w:r w:rsidR="004D5254" w:rsidRPr="007A1E82">
              <w:rPr>
                <w:rStyle w:val="Hyperlink"/>
                <w:noProof/>
              </w:rPr>
              <w:t>8.2.</w:t>
            </w:r>
            <w:r w:rsidR="004D5254">
              <w:rPr>
                <w:rFonts w:asciiTheme="minorHAnsi" w:eastAsiaTheme="minorEastAsia" w:hAnsiTheme="minorHAnsi" w:cstheme="minorBidi"/>
                <w:noProof/>
                <w:lang w:eastAsia="en-AU"/>
              </w:rPr>
              <w:tab/>
            </w:r>
            <w:r w:rsidR="004D5254" w:rsidRPr="007A1E82">
              <w:rPr>
                <w:rStyle w:val="Hyperlink"/>
                <w:noProof/>
              </w:rPr>
              <w:t>First round assessment of risks</w:t>
            </w:r>
            <w:r w:rsidR="004D5254">
              <w:rPr>
                <w:noProof/>
                <w:webHidden/>
              </w:rPr>
              <w:tab/>
            </w:r>
            <w:r>
              <w:rPr>
                <w:noProof/>
                <w:webHidden/>
              </w:rPr>
              <w:fldChar w:fldCharType="begin"/>
            </w:r>
            <w:r w:rsidR="004D5254">
              <w:rPr>
                <w:noProof/>
                <w:webHidden/>
              </w:rPr>
              <w:instrText xml:space="preserve"> PAGEREF _Toc364764917 \h </w:instrText>
            </w:r>
            <w:r>
              <w:rPr>
                <w:noProof/>
                <w:webHidden/>
              </w:rPr>
            </w:r>
            <w:r>
              <w:rPr>
                <w:noProof/>
                <w:webHidden/>
              </w:rPr>
              <w:fldChar w:fldCharType="separate"/>
            </w:r>
            <w:r w:rsidR="008F1F66">
              <w:rPr>
                <w:noProof/>
                <w:webHidden/>
              </w:rPr>
              <w:t>90</w:t>
            </w:r>
            <w:r>
              <w:rPr>
                <w:noProof/>
                <w:webHidden/>
              </w:rPr>
              <w:fldChar w:fldCharType="end"/>
            </w:r>
          </w:hyperlink>
        </w:p>
        <w:p w:rsidR="004D5254" w:rsidRDefault="00B20FF9">
          <w:pPr>
            <w:pStyle w:val="TOC3"/>
            <w:tabs>
              <w:tab w:val="left" w:pos="1575"/>
            </w:tabs>
            <w:rPr>
              <w:rFonts w:asciiTheme="minorHAnsi" w:eastAsiaTheme="minorEastAsia" w:hAnsiTheme="minorHAnsi" w:cstheme="minorBidi"/>
              <w:noProof/>
              <w:lang w:eastAsia="en-AU"/>
            </w:rPr>
          </w:pPr>
          <w:hyperlink w:anchor="_Toc364764918" w:history="1">
            <w:r w:rsidR="004D5254" w:rsidRPr="007A1E82">
              <w:rPr>
                <w:rStyle w:val="Hyperlink"/>
                <w:noProof/>
              </w:rPr>
              <w:t>8.3.</w:t>
            </w:r>
            <w:r w:rsidR="004D5254">
              <w:rPr>
                <w:rFonts w:asciiTheme="minorHAnsi" w:eastAsiaTheme="minorEastAsia" w:hAnsiTheme="minorHAnsi" w:cstheme="minorBidi"/>
                <w:noProof/>
                <w:lang w:eastAsia="en-AU"/>
              </w:rPr>
              <w:tab/>
            </w:r>
            <w:r w:rsidR="004D5254" w:rsidRPr="007A1E82">
              <w:rPr>
                <w:rStyle w:val="Hyperlink"/>
                <w:noProof/>
              </w:rPr>
              <w:t>First round assessment of benefit-risk balance</w:t>
            </w:r>
            <w:r w:rsidR="004D5254">
              <w:rPr>
                <w:noProof/>
                <w:webHidden/>
              </w:rPr>
              <w:tab/>
            </w:r>
            <w:r>
              <w:rPr>
                <w:noProof/>
                <w:webHidden/>
              </w:rPr>
              <w:fldChar w:fldCharType="begin"/>
            </w:r>
            <w:r w:rsidR="004D5254">
              <w:rPr>
                <w:noProof/>
                <w:webHidden/>
              </w:rPr>
              <w:instrText xml:space="preserve"> PAGEREF _Toc364764918 \h </w:instrText>
            </w:r>
            <w:r>
              <w:rPr>
                <w:noProof/>
                <w:webHidden/>
              </w:rPr>
            </w:r>
            <w:r>
              <w:rPr>
                <w:noProof/>
                <w:webHidden/>
              </w:rPr>
              <w:fldChar w:fldCharType="separate"/>
            </w:r>
            <w:r w:rsidR="008F1F66">
              <w:rPr>
                <w:noProof/>
                <w:webHidden/>
              </w:rPr>
              <w:t>91</w:t>
            </w:r>
            <w:r>
              <w:rPr>
                <w:noProof/>
                <w:webHidden/>
              </w:rPr>
              <w:fldChar w:fldCharType="end"/>
            </w:r>
          </w:hyperlink>
        </w:p>
        <w:p w:rsidR="004D5254" w:rsidRDefault="00B20FF9">
          <w:pPr>
            <w:pStyle w:val="TOC2"/>
            <w:tabs>
              <w:tab w:val="left" w:pos="1247"/>
            </w:tabs>
            <w:rPr>
              <w:rFonts w:asciiTheme="minorHAnsi" w:eastAsiaTheme="minorEastAsia" w:hAnsiTheme="minorHAnsi" w:cstheme="minorBidi"/>
              <w:b w:val="0"/>
              <w:noProof/>
              <w:sz w:val="22"/>
              <w:lang w:eastAsia="en-AU"/>
            </w:rPr>
          </w:pPr>
          <w:hyperlink w:anchor="_Toc364764919" w:history="1">
            <w:r w:rsidR="004D5254" w:rsidRPr="007A1E82">
              <w:rPr>
                <w:rStyle w:val="Hyperlink"/>
                <w:noProof/>
              </w:rPr>
              <w:t>9.</w:t>
            </w:r>
            <w:r w:rsidR="004D5254">
              <w:rPr>
                <w:rFonts w:asciiTheme="minorHAnsi" w:eastAsiaTheme="minorEastAsia" w:hAnsiTheme="minorHAnsi" w:cstheme="minorBidi"/>
                <w:b w:val="0"/>
                <w:noProof/>
                <w:sz w:val="22"/>
                <w:lang w:eastAsia="en-AU"/>
              </w:rPr>
              <w:tab/>
            </w:r>
            <w:r w:rsidR="004D5254" w:rsidRPr="007A1E82">
              <w:rPr>
                <w:rStyle w:val="Hyperlink"/>
                <w:noProof/>
              </w:rPr>
              <w:t>First round recommendation regarding authorisation</w:t>
            </w:r>
            <w:r w:rsidR="004D5254">
              <w:rPr>
                <w:noProof/>
                <w:webHidden/>
              </w:rPr>
              <w:tab/>
            </w:r>
            <w:r>
              <w:rPr>
                <w:noProof/>
                <w:webHidden/>
              </w:rPr>
              <w:fldChar w:fldCharType="begin"/>
            </w:r>
            <w:r w:rsidR="004D5254">
              <w:rPr>
                <w:noProof/>
                <w:webHidden/>
              </w:rPr>
              <w:instrText xml:space="preserve"> PAGEREF _Toc364764919 \h </w:instrText>
            </w:r>
            <w:r>
              <w:rPr>
                <w:noProof/>
                <w:webHidden/>
              </w:rPr>
            </w:r>
            <w:r>
              <w:rPr>
                <w:noProof/>
                <w:webHidden/>
              </w:rPr>
              <w:fldChar w:fldCharType="separate"/>
            </w:r>
            <w:r w:rsidR="008F1F66">
              <w:rPr>
                <w:noProof/>
                <w:webHidden/>
              </w:rPr>
              <w:t>91</w:t>
            </w:r>
            <w:r>
              <w:rPr>
                <w:noProof/>
                <w:webHidden/>
              </w:rPr>
              <w:fldChar w:fldCharType="end"/>
            </w:r>
          </w:hyperlink>
        </w:p>
        <w:p w:rsidR="004D5254" w:rsidRDefault="00B20FF9">
          <w:pPr>
            <w:pStyle w:val="TOC2"/>
            <w:tabs>
              <w:tab w:val="left" w:pos="1247"/>
            </w:tabs>
            <w:rPr>
              <w:rFonts w:asciiTheme="minorHAnsi" w:eastAsiaTheme="minorEastAsia" w:hAnsiTheme="minorHAnsi" w:cstheme="minorBidi"/>
              <w:b w:val="0"/>
              <w:noProof/>
              <w:sz w:val="22"/>
              <w:lang w:eastAsia="en-AU"/>
            </w:rPr>
          </w:pPr>
          <w:hyperlink w:anchor="_Toc364764920" w:history="1">
            <w:r w:rsidR="004D5254" w:rsidRPr="007A1E82">
              <w:rPr>
                <w:rStyle w:val="Hyperlink"/>
                <w:noProof/>
              </w:rPr>
              <w:t>10.</w:t>
            </w:r>
            <w:r w:rsidR="004D5254">
              <w:rPr>
                <w:rFonts w:asciiTheme="minorHAnsi" w:eastAsiaTheme="minorEastAsia" w:hAnsiTheme="minorHAnsi" w:cstheme="minorBidi"/>
                <w:b w:val="0"/>
                <w:noProof/>
                <w:sz w:val="22"/>
                <w:lang w:eastAsia="en-AU"/>
              </w:rPr>
              <w:tab/>
            </w:r>
            <w:r w:rsidR="004D5254" w:rsidRPr="007A1E82">
              <w:rPr>
                <w:rStyle w:val="Hyperlink"/>
                <w:noProof/>
              </w:rPr>
              <w:t>Clinical questions</w:t>
            </w:r>
            <w:r w:rsidR="004D5254">
              <w:rPr>
                <w:noProof/>
                <w:webHidden/>
              </w:rPr>
              <w:tab/>
            </w:r>
            <w:r>
              <w:rPr>
                <w:noProof/>
                <w:webHidden/>
              </w:rPr>
              <w:fldChar w:fldCharType="begin"/>
            </w:r>
            <w:r w:rsidR="004D5254">
              <w:rPr>
                <w:noProof/>
                <w:webHidden/>
              </w:rPr>
              <w:instrText xml:space="preserve"> PAGEREF _Toc364764920 \h </w:instrText>
            </w:r>
            <w:r>
              <w:rPr>
                <w:noProof/>
                <w:webHidden/>
              </w:rPr>
            </w:r>
            <w:r>
              <w:rPr>
                <w:noProof/>
                <w:webHidden/>
              </w:rPr>
              <w:fldChar w:fldCharType="separate"/>
            </w:r>
            <w:r w:rsidR="008F1F66">
              <w:rPr>
                <w:noProof/>
                <w:webHidden/>
              </w:rPr>
              <w:t>91</w:t>
            </w:r>
            <w:r>
              <w:rPr>
                <w:noProof/>
                <w:webHidden/>
              </w:rPr>
              <w:fldChar w:fldCharType="end"/>
            </w:r>
          </w:hyperlink>
        </w:p>
        <w:p w:rsidR="004D5254" w:rsidRDefault="00B20FF9">
          <w:pPr>
            <w:pStyle w:val="TOC3"/>
            <w:tabs>
              <w:tab w:val="left" w:pos="1697"/>
            </w:tabs>
            <w:rPr>
              <w:rFonts w:asciiTheme="minorHAnsi" w:eastAsiaTheme="minorEastAsia" w:hAnsiTheme="minorHAnsi" w:cstheme="minorBidi"/>
              <w:noProof/>
              <w:lang w:eastAsia="en-AU"/>
            </w:rPr>
          </w:pPr>
          <w:hyperlink w:anchor="_Toc364764921" w:history="1">
            <w:r w:rsidR="004D5254" w:rsidRPr="007A1E82">
              <w:rPr>
                <w:rStyle w:val="Hyperlink"/>
                <w:noProof/>
              </w:rPr>
              <w:t>10.1.</w:t>
            </w:r>
            <w:r w:rsidR="004D5254">
              <w:rPr>
                <w:rFonts w:asciiTheme="minorHAnsi" w:eastAsiaTheme="minorEastAsia" w:hAnsiTheme="minorHAnsi" w:cstheme="minorBidi"/>
                <w:noProof/>
                <w:lang w:eastAsia="en-AU"/>
              </w:rPr>
              <w:tab/>
            </w:r>
            <w:r w:rsidR="004D5254" w:rsidRPr="007A1E82">
              <w:rPr>
                <w:rStyle w:val="Hyperlink"/>
                <w:noProof/>
              </w:rPr>
              <w:t>Efficacy</w:t>
            </w:r>
            <w:r w:rsidR="004D5254">
              <w:rPr>
                <w:noProof/>
                <w:webHidden/>
              </w:rPr>
              <w:tab/>
            </w:r>
            <w:r>
              <w:rPr>
                <w:noProof/>
                <w:webHidden/>
              </w:rPr>
              <w:fldChar w:fldCharType="begin"/>
            </w:r>
            <w:r w:rsidR="004D5254">
              <w:rPr>
                <w:noProof/>
                <w:webHidden/>
              </w:rPr>
              <w:instrText xml:space="preserve"> PAGEREF _Toc364764921 \h </w:instrText>
            </w:r>
            <w:r>
              <w:rPr>
                <w:noProof/>
                <w:webHidden/>
              </w:rPr>
            </w:r>
            <w:r>
              <w:rPr>
                <w:noProof/>
                <w:webHidden/>
              </w:rPr>
              <w:fldChar w:fldCharType="separate"/>
            </w:r>
            <w:r w:rsidR="008F1F66">
              <w:rPr>
                <w:noProof/>
                <w:webHidden/>
              </w:rPr>
              <w:t>91</w:t>
            </w:r>
            <w:r>
              <w:rPr>
                <w:noProof/>
                <w:webHidden/>
              </w:rPr>
              <w:fldChar w:fldCharType="end"/>
            </w:r>
          </w:hyperlink>
        </w:p>
        <w:p w:rsidR="004D5254" w:rsidRDefault="00B20FF9">
          <w:pPr>
            <w:pStyle w:val="TOC2"/>
            <w:tabs>
              <w:tab w:val="left" w:pos="1247"/>
            </w:tabs>
            <w:rPr>
              <w:rFonts w:asciiTheme="minorHAnsi" w:eastAsiaTheme="minorEastAsia" w:hAnsiTheme="minorHAnsi" w:cstheme="minorBidi"/>
              <w:b w:val="0"/>
              <w:noProof/>
              <w:sz w:val="22"/>
              <w:lang w:eastAsia="en-AU"/>
            </w:rPr>
          </w:pPr>
          <w:hyperlink w:anchor="_Toc364764922" w:history="1">
            <w:r w:rsidR="004D5254" w:rsidRPr="007A1E82">
              <w:rPr>
                <w:rStyle w:val="Hyperlink"/>
                <w:noProof/>
              </w:rPr>
              <w:t>11.</w:t>
            </w:r>
            <w:r w:rsidR="004D5254">
              <w:rPr>
                <w:rFonts w:asciiTheme="minorHAnsi" w:eastAsiaTheme="minorEastAsia" w:hAnsiTheme="minorHAnsi" w:cstheme="minorBidi"/>
                <w:b w:val="0"/>
                <w:noProof/>
                <w:sz w:val="22"/>
                <w:lang w:eastAsia="en-AU"/>
              </w:rPr>
              <w:tab/>
            </w:r>
            <w:r w:rsidR="004D5254" w:rsidRPr="007A1E82">
              <w:rPr>
                <w:rStyle w:val="Hyperlink"/>
                <w:noProof/>
              </w:rPr>
              <w:t>References</w:t>
            </w:r>
            <w:r w:rsidR="004D5254">
              <w:rPr>
                <w:noProof/>
                <w:webHidden/>
              </w:rPr>
              <w:tab/>
            </w:r>
            <w:r>
              <w:rPr>
                <w:noProof/>
                <w:webHidden/>
              </w:rPr>
              <w:fldChar w:fldCharType="begin"/>
            </w:r>
            <w:r w:rsidR="004D5254">
              <w:rPr>
                <w:noProof/>
                <w:webHidden/>
              </w:rPr>
              <w:instrText xml:space="preserve"> PAGEREF _Toc364764922 \h </w:instrText>
            </w:r>
            <w:r>
              <w:rPr>
                <w:noProof/>
                <w:webHidden/>
              </w:rPr>
            </w:r>
            <w:r>
              <w:rPr>
                <w:noProof/>
                <w:webHidden/>
              </w:rPr>
              <w:fldChar w:fldCharType="separate"/>
            </w:r>
            <w:r w:rsidR="008F1F66">
              <w:rPr>
                <w:noProof/>
                <w:webHidden/>
              </w:rPr>
              <w:t>92</w:t>
            </w:r>
            <w:r>
              <w:rPr>
                <w:noProof/>
                <w:webHidden/>
              </w:rPr>
              <w:fldChar w:fldCharType="end"/>
            </w:r>
          </w:hyperlink>
        </w:p>
        <w:p w:rsidR="003A7F6C" w:rsidRPr="00B811C6" w:rsidRDefault="00B20FF9" w:rsidP="00B811C6">
          <w:pPr>
            <w:pStyle w:val="TOC2"/>
          </w:pPr>
          <w:r>
            <w:fldChar w:fldCharType="end"/>
          </w:r>
        </w:p>
      </w:sdtContent>
    </w:sdt>
    <w:bookmarkStart w:id="2" w:name="_Toc314842482" w:displacedByCustomXml="prev"/>
    <w:p w:rsidR="004D5254" w:rsidRDefault="004D5254" w:rsidP="004D5254">
      <w:pPr>
        <w:pStyle w:val="Heading2"/>
        <w:numPr>
          <w:ilvl w:val="0"/>
          <w:numId w:val="0"/>
        </w:numPr>
      </w:pPr>
      <w:bookmarkStart w:id="3" w:name="_Toc351716269"/>
      <w:bookmarkStart w:id="4" w:name="_Toc351718881"/>
      <w:bookmarkStart w:id="5" w:name="_Toc355338616"/>
      <w:bookmarkStart w:id="6" w:name="_Toc359930705"/>
      <w:bookmarkStart w:id="7" w:name="_Toc364764881"/>
      <w:bookmarkEnd w:id="2"/>
      <w:bookmarkEnd w:id="1"/>
      <w:bookmarkEnd w:id="0"/>
      <w:r>
        <w:t>List of abbreviations</w:t>
      </w:r>
      <w:bookmarkEnd w:id="3"/>
      <w:bookmarkEnd w:id="4"/>
      <w:bookmarkEnd w:id="5"/>
      <w:bookmarkEnd w:id="6"/>
      <w:bookmarkEnd w:id="7"/>
    </w:p>
    <w:tbl>
      <w:tblPr>
        <w:tblStyle w:val="TableTGAblue"/>
        <w:tblW w:w="0" w:type="auto"/>
        <w:tblLook w:val="04A0"/>
      </w:tblPr>
      <w:tblGrid>
        <w:gridCol w:w="2093"/>
        <w:gridCol w:w="6627"/>
      </w:tblGrid>
      <w:tr w:rsidR="004D5254" w:rsidTr="00C80331">
        <w:trPr>
          <w:cnfStyle w:val="100000000000"/>
          <w:tblHeader/>
        </w:trPr>
        <w:tc>
          <w:tcPr>
            <w:cnfStyle w:val="001000000000"/>
            <w:tcW w:w="2093" w:type="dxa"/>
          </w:tcPr>
          <w:p w:rsidR="004D5254" w:rsidRPr="00F21EE0" w:rsidRDefault="004D5254" w:rsidP="00C80331">
            <w:bookmarkStart w:id="8" w:name="_Toc359923472"/>
            <w:r w:rsidRPr="00F21EE0">
              <w:t>Abbreviation</w:t>
            </w:r>
            <w:bookmarkEnd w:id="8"/>
          </w:p>
        </w:tc>
        <w:tc>
          <w:tcPr>
            <w:tcW w:w="6627" w:type="dxa"/>
          </w:tcPr>
          <w:p w:rsidR="004D5254" w:rsidRPr="00F21EE0" w:rsidRDefault="004D5254" w:rsidP="00C80331">
            <w:pPr>
              <w:cnfStyle w:val="100000000000"/>
            </w:pPr>
            <w:bookmarkStart w:id="9" w:name="_Toc359923473"/>
            <w:r w:rsidRPr="00F21EE0">
              <w:t>Meaning</w:t>
            </w:r>
            <w:bookmarkEnd w:id="9"/>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 xml:space="preserve">ALCL </w:t>
            </w:r>
          </w:p>
        </w:tc>
        <w:tc>
          <w:tcPr>
            <w:tcW w:w="6627" w:type="dxa"/>
          </w:tcPr>
          <w:p w:rsidR="004D5254" w:rsidRPr="00F21EE0" w:rsidRDefault="004D5254" w:rsidP="00C80331">
            <w:pPr>
              <w:cnfStyle w:val="000000000000"/>
              <w:rPr>
                <w:sz w:val="20"/>
                <w:szCs w:val="20"/>
              </w:rPr>
            </w:pPr>
            <w:r w:rsidRPr="00F21EE0">
              <w:rPr>
                <w:sz w:val="20"/>
                <w:szCs w:val="20"/>
              </w:rPr>
              <w:t>anaplastic large cell lymphoma</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ALK</w:t>
            </w:r>
          </w:p>
        </w:tc>
        <w:tc>
          <w:tcPr>
            <w:tcW w:w="6627" w:type="dxa"/>
          </w:tcPr>
          <w:p w:rsidR="004D5254" w:rsidRPr="00F21EE0" w:rsidRDefault="004D5254" w:rsidP="00C80331">
            <w:pPr>
              <w:cnfStyle w:val="000000000000"/>
              <w:rPr>
                <w:sz w:val="20"/>
                <w:szCs w:val="20"/>
              </w:rPr>
            </w:pPr>
            <w:r w:rsidRPr="00F21EE0">
              <w:rPr>
                <w:sz w:val="20"/>
                <w:szCs w:val="20"/>
              </w:rPr>
              <w:t>anaplastic lymphoma kinase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ALT</w:t>
            </w:r>
          </w:p>
        </w:tc>
        <w:tc>
          <w:tcPr>
            <w:tcW w:w="6627" w:type="dxa"/>
          </w:tcPr>
          <w:p w:rsidR="004D5254" w:rsidRPr="00F21EE0" w:rsidRDefault="004D5254" w:rsidP="00C80331">
            <w:pPr>
              <w:cnfStyle w:val="000000000000"/>
              <w:rPr>
                <w:sz w:val="20"/>
                <w:szCs w:val="20"/>
              </w:rPr>
            </w:pPr>
            <w:r w:rsidRPr="00F21EE0">
              <w:rPr>
                <w:sz w:val="20"/>
                <w:szCs w:val="20"/>
              </w:rPr>
              <w:t xml:space="preserve">alanine transaminase </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ANC</w:t>
            </w:r>
          </w:p>
        </w:tc>
        <w:tc>
          <w:tcPr>
            <w:tcW w:w="6627" w:type="dxa"/>
          </w:tcPr>
          <w:p w:rsidR="004D5254" w:rsidRPr="00F21EE0" w:rsidRDefault="004D5254" w:rsidP="00C80331">
            <w:pPr>
              <w:cnfStyle w:val="000000000000"/>
              <w:rPr>
                <w:sz w:val="20"/>
                <w:szCs w:val="20"/>
              </w:rPr>
            </w:pPr>
            <w:r w:rsidRPr="00F21EE0">
              <w:rPr>
                <w:sz w:val="20"/>
                <w:szCs w:val="20"/>
              </w:rPr>
              <w:t>absolute neutrophil count</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AST</w:t>
            </w:r>
          </w:p>
        </w:tc>
        <w:tc>
          <w:tcPr>
            <w:tcW w:w="6627" w:type="dxa"/>
          </w:tcPr>
          <w:p w:rsidR="004D5254" w:rsidRPr="00F21EE0" w:rsidRDefault="004D5254" w:rsidP="00C80331">
            <w:pPr>
              <w:cnfStyle w:val="000000000000"/>
              <w:rPr>
                <w:sz w:val="20"/>
                <w:szCs w:val="20"/>
              </w:rPr>
            </w:pPr>
            <w:r w:rsidRPr="00F21EE0">
              <w:rPr>
                <w:sz w:val="20"/>
                <w:szCs w:val="20"/>
              </w:rPr>
              <w:t>aspartate transaminase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BCRP</w:t>
            </w:r>
          </w:p>
        </w:tc>
        <w:tc>
          <w:tcPr>
            <w:tcW w:w="6627" w:type="dxa"/>
          </w:tcPr>
          <w:p w:rsidR="004D5254" w:rsidRPr="00F21EE0" w:rsidRDefault="004D5254" w:rsidP="00C80331">
            <w:pPr>
              <w:cnfStyle w:val="000000000000"/>
              <w:rPr>
                <w:sz w:val="20"/>
                <w:szCs w:val="20"/>
              </w:rPr>
            </w:pPr>
            <w:r w:rsidRPr="00F21EE0">
              <w:rPr>
                <w:sz w:val="20"/>
                <w:szCs w:val="20"/>
              </w:rPr>
              <w:t>breast cancer resistance protein</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BSA</w:t>
            </w:r>
          </w:p>
        </w:tc>
        <w:tc>
          <w:tcPr>
            <w:tcW w:w="6627" w:type="dxa"/>
          </w:tcPr>
          <w:p w:rsidR="004D5254" w:rsidRPr="00F21EE0" w:rsidRDefault="004D5254" w:rsidP="00C80331">
            <w:pPr>
              <w:cnfStyle w:val="000000000000"/>
              <w:rPr>
                <w:sz w:val="20"/>
                <w:szCs w:val="20"/>
              </w:rPr>
            </w:pPr>
            <w:r w:rsidRPr="00F21EE0">
              <w:rPr>
                <w:sz w:val="20"/>
                <w:szCs w:val="20"/>
              </w:rPr>
              <w:t>body surface area</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CHOP</w:t>
            </w:r>
          </w:p>
        </w:tc>
        <w:tc>
          <w:tcPr>
            <w:tcW w:w="6627" w:type="dxa"/>
          </w:tcPr>
          <w:p w:rsidR="004D5254" w:rsidRPr="00F21EE0" w:rsidRDefault="004D5254" w:rsidP="00C80331">
            <w:pPr>
              <w:cnfStyle w:val="000000000000"/>
              <w:rPr>
                <w:sz w:val="20"/>
                <w:szCs w:val="20"/>
              </w:rPr>
            </w:pPr>
            <w:r w:rsidRPr="00F21EE0">
              <w:rPr>
                <w:sz w:val="20"/>
                <w:szCs w:val="20"/>
              </w:rPr>
              <w:t>cyclophosphamide, doxorubicin, vincristine, and prednisone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CER</w:t>
            </w:r>
          </w:p>
        </w:tc>
        <w:tc>
          <w:tcPr>
            <w:tcW w:w="6627" w:type="dxa"/>
          </w:tcPr>
          <w:p w:rsidR="004D5254" w:rsidRPr="00F21EE0" w:rsidRDefault="004D5254" w:rsidP="00C80331">
            <w:pPr>
              <w:cnfStyle w:val="000000000000"/>
              <w:rPr>
                <w:sz w:val="20"/>
                <w:szCs w:val="20"/>
              </w:rPr>
            </w:pPr>
            <w:r w:rsidRPr="00F21EE0">
              <w:rPr>
                <w:sz w:val="20"/>
                <w:szCs w:val="20"/>
              </w:rPr>
              <w:t>clinical evaluation report</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CR</w:t>
            </w:r>
          </w:p>
        </w:tc>
        <w:tc>
          <w:tcPr>
            <w:tcW w:w="6627" w:type="dxa"/>
          </w:tcPr>
          <w:p w:rsidR="004D5254" w:rsidRPr="00F21EE0" w:rsidRDefault="004D5254" w:rsidP="00C80331">
            <w:pPr>
              <w:cnfStyle w:val="000000000000"/>
              <w:rPr>
                <w:sz w:val="20"/>
                <w:szCs w:val="20"/>
              </w:rPr>
            </w:pPr>
            <w:r w:rsidRPr="00F21EE0">
              <w:rPr>
                <w:sz w:val="20"/>
                <w:szCs w:val="20"/>
              </w:rPr>
              <w:t>complete response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CRu</w:t>
            </w:r>
          </w:p>
        </w:tc>
        <w:tc>
          <w:tcPr>
            <w:tcW w:w="6627" w:type="dxa"/>
          </w:tcPr>
          <w:p w:rsidR="004D5254" w:rsidRPr="00F21EE0" w:rsidRDefault="004D5254" w:rsidP="00C80331">
            <w:pPr>
              <w:cnfStyle w:val="000000000000"/>
              <w:rPr>
                <w:sz w:val="20"/>
                <w:szCs w:val="20"/>
              </w:rPr>
            </w:pPr>
            <w:r w:rsidRPr="00F21EE0">
              <w:rPr>
                <w:sz w:val="20"/>
                <w:szCs w:val="20"/>
              </w:rPr>
              <w:t>complete response unconfirmed</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CYP</w:t>
            </w:r>
          </w:p>
        </w:tc>
        <w:tc>
          <w:tcPr>
            <w:tcW w:w="6627" w:type="dxa"/>
          </w:tcPr>
          <w:p w:rsidR="004D5254" w:rsidRPr="00F21EE0" w:rsidRDefault="004D5254" w:rsidP="00C80331">
            <w:pPr>
              <w:cnfStyle w:val="000000000000"/>
              <w:rPr>
                <w:sz w:val="20"/>
                <w:szCs w:val="20"/>
              </w:rPr>
            </w:pPr>
            <w:r w:rsidRPr="00F21EE0">
              <w:rPr>
                <w:sz w:val="20"/>
                <w:szCs w:val="20"/>
              </w:rPr>
              <w:t>cytochrome P450</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 xml:space="preserve">DLBCL </w:t>
            </w:r>
          </w:p>
        </w:tc>
        <w:tc>
          <w:tcPr>
            <w:tcW w:w="6627" w:type="dxa"/>
          </w:tcPr>
          <w:p w:rsidR="004D5254" w:rsidRPr="00F21EE0" w:rsidRDefault="004D5254" w:rsidP="00C80331">
            <w:pPr>
              <w:cnfStyle w:val="000000000000"/>
              <w:rPr>
                <w:sz w:val="20"/>
                <w:szCs w:val="20"/>
              </w:rPr>
            </w:pPr>
            <w:r w:rsidRPr="00F21EE0">
              <w:rPr>
                <w:sz w:val="20"/>
                <w:szCs w:val="20"/>
              </w:rPr>
              <w:t>diffuse large B-cell lymphoma</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DHAP</w:t>
            </w:r>
          </w:p>
        </w:tc>
        <w:tc>
          <w:tcPr>
            <w:tcW w:w="6627" w:type="dxa"/>
          </w:tcPr>
          <w:p w:rsidR="004D5254" w:rsidRPr="00F21EE0" w:rsidRDefault="004D5254" w:rsidP="00C80331">
            <w:pPr>
              <w:cnfStyle w:val="000000000000"/>
              <w:rPr>
                <w:sz w:val="20"/>
                <w:szCs w:val="20"/>
              </w:rPr>
            </w:pPr>
            <w:r w:rsidRPr="00F21EE0">
              <w:rPr>
                <w:sz w:val="20"/>
                <w:szCs w:val="20"/>
              </w:rPr>
              <w:t>dexamethasone, cisplatin and cytarabine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DHF</w:t>
            </w:r>
          </w:p>
        </w:tc>
        <w:tc>
          <w:tcPr>
            <w:tcW w:w="6627" w:type="dxa"/>
          </w:tcPr>
          <w:p w:rsidR="004D5254" w:rsidRPr="00F21EE0" w:rsidRDefault="004D5254" w:rsidP="00C80331">
            <w:pPr>
              <w:cnfStyle w:val="000000000000"/>
              <w:rPr>
                <w:sz w:val="20"/>
                <w:szCs w:val="20"/>
              </w:rPr>
            </w:pPr>
            <w:r w:rsidRPr="00F21EE0">
              <w:rPr>
                <w:sz w:val="20"/>
                <w:szCs w:val="20"/>
              </w:rPr>
              <w:t>dihydrofolate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DHFR</w:t>
            </w:r>
          </w:p>
        </w:tc>
        <w:tc>
          <w:tcPr>
            <w:tcW w:w="6627" w:type="dxa"/>
          </w:tcPr>
          <w:p w:rsidR="004D5254" w:rsidRPr="00F21EE0" w:rsidRDefault="004D5254" w:rsidP="00C80331">
            <w:pPr>
              <w:cnfStyle w:val="000000000000"/>
              <w:rPr>
                <w:sz w:val="20"/>
                <w:szCs w:val="20"/>
              </w:rPr>
            </w:pPr>
            <w:r w:rsidRPr="00F21EE0">
              <w:rPr>
                <w:sz w:val="20"/>
                <w:szCs w:val="20"/>
              </w:rPr>
              <w:t>dihydrofolate reductase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ECOG</w:t>
            </w:r>
          </w:p>
        </w:tc>
        <w:tc>
          <w:tcPr>
            <w:tcW w:w="6627" w:type="dxa"/>
          </w:tcPr>
          <w:p w:rsidR="004D5254" w:rsidRPr="00F21EE0" w:rsidRDefault="004D5254" w:rsidP="00C80331">
            <w:pPr>
              <w:cnfStyle w:val="000000000000"/>
              <w:rPr>
                <w:sz w:val="20"/>
                <w:szCs w:val="20"/>
              </w:rPr>
            </w:pPr>
            <w:r w:rsidRPr="00F21EE0">
              <w:rPr>
                <w:sz w:val="20"/>
                <w:szCs w:val="20"/>
              </w:rPr>
              <w:t>Eastern Cooperative Oncology Group</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lastRenderedPageBreak/>
              <w:t>EMA</w:t>
            </w:r>
          </w:p>
        </w:tc>
        <w:tc>
          <w:tcPr>
            <w:tcW w:w="6627" w:type="dxa"/>
          </w:tcPr>
          <w:p w:rsidR="004D5254" w:rsidRPr="00F21EE0" w:rsidRDefault="004D5254" w:rsidP="00C80331">
            <w:pPr>
              <w:cnfStyle w:val="000000000000"/>
              <w:rPr>
                <w:sz w:val="20"/>
                <w:szCs w:val="20"/>
              </w:rPr>
            </w:pPr>
            <w:r w:rsidRPr="00F21EE0">
              <w:rPr>
                <w:sz w:val="20"/>
                <w:szCs w:val="20"/>
              </w:rPr>
              <w:t>European Medicines Agency</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EPOCH</w:t>
            </w:r>
          </w:p>
        </w:tc>
        <w:tc>
          <w:tcPr>
            <w:tcW w:w="6627" w:type="dxa"/>
          </w:tcPr>
          <w:p w:rsidR="004D5254" w:rsidRPr="00F21EE0" w:rsidRDefault="004D5254" w:rsidP="00C80331">
            <w:pPr>
              <w:cnfStyle w:val="000000000000"/>
              <w:rPr>
                <w:sz w:val="20"/>
                <w:szCs w:val="20"/>
              </w:rPr>
            </w:pPr>
            <w:r w:rsidRPr="00F21EE0">
              <w:rPr>
                <w:sz w:val="20"/>
                <w:szCs w:val="20"/>
              </w:rPr>
              <w:t>infusional etoposide, doxorubicin, vincristine plus bolus cyclophosphamide and prednisone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EU</w:t>
            </w:r>
          </w:p>
        </w:tc>
        <w:tc>
          <w:tcPr>
            <w:tcW w:w="6627" w:type="dxa"/>
          </w:tcPr>
          <w:p w:rsidR="004D5254" w:rsidRPr="00F21EE0" w:rsidRDefault="004D5254" w:rsidP="00C80331">
            <w:pPr>
              <w:cnfStyle w:val="000000000000"/>
              <w:rPr>
                <w:sz w:val="20"/>
                <w:szCs w:val="20"/>
              </w:rPr>
            </w:pPr>
            <w:r w:rsidRPr="00F21EE0">
              <w:rPr>
                <w:sz w:val="20"/>
                <w:szCs w:val="20"/>
              </w:rPr>
              <w:t>European Union</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FPGS</w:t>
            </w:r>
          </w:p>
        </w:tc>
        <w:tc>
          <w:tcPr>
            <w:tcW w:w="6627" w:type="dxa"/>
          </w:tcPr>
          <w:p w:rsidR="004D5254" w:rsidRPr="00F21EE0" w:rsidRDefault="004D5254" w:rsidP="00C80331">
            <w:pPr>
              <w:cnfStyle w:val="000000000000"/>
              <w:rPr>
                <w:sz w:val="20"/>
                <w:szCs w:val="20"/>
              </w:rPr>
            </w:pPr>
            <w:r w:rsidRPr="00F21EE0">
              <w:rPr>
                <w:sz w:val="20"/>
                <w:szCs w:val="20"/>
              </w:rPr>
              <w:t>folylpolyglutamyl synthetase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GARFT</w:t>
            </w:r>
          </w:p>
        </w:tc>
        <w:tc>
          <w:tcPr>
            <w:tcW w:w="6627" w:type="dxa"/>
          </w:tcPr>
          <w:p w:rsidR="004D5254" w:rsidRPr="00F21EE0" w:rsidRDefault="004D5254" w:rsidP="00C80331">
            <w:pPr>
              <w:cnfStyle w:val="000000000000"/>
              <w:rPr>
                <w:sz w:val="20"/>
                <w:szCs w:val="20"/>
              </w:rPr>
            </w:pPr>
            <w:r w:rsidRPr="00F21EE0">
              <w:rPr>
                <w:sz w:val="20"/>
                <w:szCs w:val="20"/>
              </w:rPr>
              <w:t>glycinamide ribonucleotide formyltransferase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GCP</w:t>
            </w:r>
          </w:p>
        </w:tc>
        <w:tc>
          <w:tcPr>
            <w:tcW w:w="6627" w:type="dxa"/>
          </w:tcPr>
          <w:p w:rsidR="004D5254" w:rsidRPr="00F21EE0" w:rsidRDefault="004D5254" w:rsidP="00C80331">
            <w:pPr>
              <w:cnfStyle w:val="000000000000"/>
              <w:rPr>
                <w:sz w:val="20"/>
                <w:szCs w:val="20"/>
              </w:rPr>
            </w:pPr>
            <w:r w:rsidRPr="00F21EE0">
              <w:rPr>
                <w:sz w:val="20"/>
                <w:szCs w:val="20"/>
              </w:rPr>
              <w:t>good clinical practice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 xml:space="preserve">hERG </w:t>
            </w:r>
          </w:p>
        </w:tc>
        <w:tc>
          <w:tcPr>
            <w:tcW w:w="6627" w:type="dxa"/>
          </w:tcPr>
          <w:p w:rsidR="004D5254" w:rsidRPr="00F21EE0" w:rsidRDefault="004D5254" w:rsidP="00C80331">
            <w:pPr>
              <w:cnfStyle w:val="000000000000"/>
              <w:rPr>
                <w:sz w:val="20"/>
                <w:szCs w:val="20"/>
              </w:rPr>
            </w:pPr>
            <w:r w:rsidRPr="00F21EE0">
              <w:rPr>
                <w:sz w:val="20"/>
                <w:szCs w:val="20"/>
              </w:rPr>
              <w:t>human ether-a-go-go-related gene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Hcy</w:t>
            </w:r>
          </w:p>
        </w:tc>
        <w:tc>
          <w:tcPr>
            <w:tcW w:w="6627" w:type="dxa"/>
          </w:tcPr>
          <w:p w:rsidR="004D5254" w:rsidRPr="00F21EE0" w:rsidRDefault="004D5254" w:rsidP="00C80331">
            <w:pPr>
              <w:cnfStyle w:val="000000000000"/>
              <w:rPr>
                <w:sz w:val="20"/>
                <w:szCs w:val="20"/>
              </w:rPr>
            </w:pPr>
            <w:r w:rsidRPr="00F21EE0">
              <w:rPr>
                <w:sz w:val="20"/>
                <w:szCs w:val="20"/>
              </w:rPr>
              <w:t>homocysteine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IC</w:t>
            </w:r>
            <w:r w:rsidRPr="00D63038">
              <w:rPr>
                <w:sz w:val="20"/>
                <w:szCs w:val="20"/>
                <w:vertAlign w:val="subscript"/>
              </w:rPr>
              <w:t>50</w:t>
            </w:r>
          </w:p>
        </w:tc>
        <w:tc>
          <w:tcPr>
            <w:tcW w:w="6627" w:type="dxa"/>
          </w:tcPr>
          <w:p w:rsidR="004D5254" w:rsidRPr="00F21EE0" w:rsidRDefault="004D5254" w:rsidP="00C80331">
            <w:pPr>
              <w:cnfStyle w:val="000000000000"/>
              <w:rPr>
                <w:sz w:val="20"/>
                <w:szCs w:val="20"/>
              </w:rPr>
            </w:pPr>
            <w:r w:rsidRPr="00F21EE0">
              <w:rPr>
                <w:sz w:val="20"/>
                <w:szCs w:val="20"/>
              </w:rPr>
              <w:t>the concentration of an inhibitor causing 50% inhibition</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ICE</w:t>
            </w:r>
          </w:p>
        </w:tc>
        <w:tc>
          <w:tcPr>
            <w:tcW w:w="6627" w:type="dxa"/>
          </w:tcPr>
          <w:p w:rsidR="004D5254" w:rsidRPr="00F21EE0" w:rsidRDefault="004D5254" w:rsidP="00C80331">
            <w:pPr>
              <w:cnfStyle w:val="000000000000"/>
              <w:rPr>
                <w:sz w:val="20"/>
                <w:szCs w:val="20"/>
              </w:rPr>
            </w:pPr>
            <w:r w:rsidRPr="00F21EE0">
              <w:rPr>
                <w:sz w:val="20"/>
                <w:szCs w:val="20"/>
              </w:rPr>
              <w:t>ifosfamide, carboplatin and etoposide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IND</w:t>
            </w:r>
          </w:p>
        </w:tc>
        <w:tc>
          <w:tcPr>
            <w:tcW w:w="6627" w:type="dxa"/>
          </w:tcPr>
          <w:p w:rsidR="004D5254" w:rsidRPr="00F21EE0" w:rsidRDefault="004D5254" w:rsidP="00C80331">
            <w:pPr>
              <w:cnfStyle w:val="000000000000"/>
              <w:rPr>
                <w:sz w:val="20"/>
                <w:szCs w:val="20"/>
              </w:rPr>
            </w:pPr>
            <w:r w:rsidRPr="00F21EE0">
              <w:rPr>
                <w:sz w:val="20"/>
                <w:szCs w:val="20"/>
              </w:rPr>
              <w:t>investigational new drug (USA)</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LC/MS/MS</w:t>
            </w:r>
          </w:p>
        </w:tc>
        <w:tc>
          <w:tcPr>
            <w:tcW w:w="6627" w:type="dxa"/>
          </w:tcPr>
          <w:p w:rsidR="004D5254" w:rsidRPr="00F21EE0" w:rsidRDefault="004D5254" w:rsidP="00C80331">
            <w:pPr>
              <w:cnfStyle w:val="000000000000"/>
              <w:rPr>
                <w:sz w:val="20"/>
                <w:szCs w:val="20"/>
              </w:rPr>
            </w:pPr>
            <w:r w:rsidRPr="00F21EE0">
              <w:rPr>
                <w:sz w:val="20"/>
                <w:szCs w:val="20"/>
              </w:rPr>
              <w:t>liquid chromatography–tandem mass spectrometry</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LLOQ</w:t>
            </w:r>
          </w:p>
        </w:tc>
        <w:tc>
          <w:tcPr>
            <w:tcW w:w="6627" w:type="dxa"/>
          </w:tcPr>
          <w:p w:rsidR="004D5254" w:rsidRPr="00F21EE0" w:rsidRDefault="004D5254" w:rsidP="00C80331">
            <w:pPr>
              <w:cnfStyle w:val="000000000000"/>
              <w:rPr>
                <w:sz w:val="20"/>
                <w:szCs w:val="20"/>
              </w:rPr>
            </w:pPr>
            <w:r w:rsidRPr="00F21EE0">
              <w:rPr>
                <w:sz w:val="20"/>
                <w:szCs w:val="20"/>
              </w:rPr>
              <w:t>lower limit of quantification</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MMA</w:t>
            </w:r>
          </w:p>
        </w:tc>
        <w:tc>
          <w:tcPr>
            <w:tcW w:w="6627" w:type="dxa"/>
          </w:tcPr>
          <w:p w:rsidR="004D5254" w:rsidRPr="00F21EE0" w:rsidRDefault="004D5254" w:rsidP="00C80331">
            <w:pPr>
              <w:cnfStyle w:val="000000000000"/>
              <w:rPr>
                <w:sz w:val="20"/>
                <w:szCs w:val="20"/>
              </w:rPr>
            </w:pPr>
            <w:r w:rsidRPr="00F21EE0">
              <w:rPr>
                <w:sz w:val="20"/>
                <w:szCs w:val="20"/>
              </w:rPr>
              <w:t>methylmalonic acid</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MRP</w:t>
            </w:r>
          </w:p>
        </w:tc>
        <w:tc>
          <w:tcPr>
            <w:tcW w:w="6627" w:type="dxa"/>
          </w:tcPr>
          <w:p w:rsidR="004D5254" w:rsidRPr="00F21EE0" w:rsidRDefault="004D5254" w:rsidP="00C80331">
            <w:pPr>
              <w:cnfStyle w:val="000000000000"/>
              <w:rPr>
                <w:sz w:val="20"/>
                <w:szCs w:val="20"/>
              </w:rPr>
            </w:pPr>
            <w:r w:rsidRPr="00F21EE0">
              <w:rPr>
                <w:sz w:val="20"/>
                <w:szCs w:val="20"/>
              </w:rPr>
              <w:t>multidrug resistance-associated protein</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MTD</w:t>
            </w:r>
          </w:p>
        </w:tc>
        <w:tc>
          <w:tcPr>
            <w:tcW w:w="6627" w:type="dxa"/>
          </w:tcPr>
          <w:p w:rsidR="004D5254" w:rsidRPr="00F21EE0" w:rsidRDefault="004D5254" w:rsidP="00C80331">
            <w:pPr>
              <w:cnfStyle w:val="000000000000"/>
              <w:rPr>
                <w:sz w:val="20"/>
                <w:szCs w:val="20"/>
              </w:rPr>
            </w:pPr>
            <w:r w:rsidRPr="00F21EE0">
              <w:rPr>
                <w:sz w:val="20"/>
                <w:szCs w:val="20"/>
              </w:rPr>
              <w:t>maximum tolerated dose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NSCLC</w:t>
            </w:r>
          </w:p>
        </w:tc>
        <w:tc>
          <w:tcPr>
            <w:tcW w:w="6627" w:type="dxa"/>
          </w:tcPr>
          <w:p w:rsidR="004D5254" w:rsidRPr="00F21EE0" w:rsidRDefault="004D5254" w:rsidP="00C80331">
            <w:pPr>
              <w:cnfStyle w:val="000000000000"/>
              <w:rPr>
                <w:sz w:val="20"/>
                <w:szCs w:val="20"/>
              </w:rPr>
            </w:pPr>
            <w:r w:rsidRPr="00F21EE0">
              <w:rPr>
                <w:sz w:val="20"/>
                <w:szCs w:val="20"/>
              </w:rPr>
              <w:t>non small cell lung cancer</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NHL</w:t>
            </w:r>
          </w:p>
        </w:tc>
        <w:tc>
          <w:tcPr>
            <w:tcW w:w="6627" w:type="dxa"/>
          </w:tcPr>
          <w:p w:rsidR="004D5254" w:rsidRPr="00F21EE0" w:rsidRDefault="004D5254" w:rsidP="00C80331">
            <w:pPr>
              <w:cnfStyle w:val="000000000000"/>
              <w:rPr>
                <w:sz w:val="20"/>
                <w:szCs w:val="20"/>
              </w:rPr>
            </w:pPr>
            <w:r w:rsidRPr="00F21EE0">
              <w:rPr>
                <w:sz w:val="20"/>
                <w:szCs w:val="20"/>
              </w:rPr>
              <w:t>non-Hodgkin’s lymphoma</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OAT</w:t>
            </w:r>
          </w:p>
        </w:tc>
        <w:tc>
          <w:tcPr>
            <w:tcW w:w="6627" w:type="dxa"/>
          </w:tcPr>
          <w:p w:rsidR="004D5254" w:rsidRPr="00F21EE0" w:rsidRDefault="004D5254" w:rsidP="00C80331">
            <w:pPr>
              <w:cnfStyle w:val="000000000000"/>
              <w:rPr>
                <w:sz w:val="20"/>
                <w:szCs w:val="20"/>
              </w:rPr>
            </w:pPr>
            <w:r w:rsidRPr="00F21EE0">
              <w:rPr>
                <w:sz w:val="20"/>
                <w:szCs w:val="20"/>
              </w:rPr>
              <w:t>organic anion transporter</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OCT</w:t>
            </w:r>
          </w:p>
        </w:tc>
        <w:tc>
          <w:tcPr>
            <w:tcW w:w="6627" w:type="dxa"/>
          </w:tcPr>
          <w:p w:rsidR="004D5254" w:rsidRPr="00F21EE0" w:rsidRDefault="004D5254" w:rsidP="00C80331">
            <w:pPr>
              <w:cnfStyle w:val="000000000000"/>
              <w:rPr>
                <w:sz w:val="20"/>
                <w:szCs w:val="20"/>
              </w:rPr>
            </w:pPr>
            <w:r w:rsidRPr="00F21EE0">
              <w:rPr>
                <w:sz w:val="20"/>
                <w:szCs w:val="20"/>
              </w:rPr>
              <w:t>organic cation transporter</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OS</w:t>
            </w:r>
          </w:p>
        </w:tc>
        <w:tc>
          <w:tcPr>
            <w:tcW w:w="6627" w:type="dxa"/>
          </w:tcPr>
          <w:p w:rsidR="004D5254" w:rsidRPr="00F21EE0" w:rsidRDefault="004D5254" w:rsidP="00C80331">
            <w:pPr>
              <w:cnfStyle w:val="000000000000"/>
              <w:rPr>
                <w:sz w:val="20"/>
                <w:szCs w:val="20"/>
              </w:rPr>
            </w:pPr>
            <w:r w:rsidRPr="00F21EE0">
              <w:rPr>
                <w:sz w:val="20"/>
                <w:szCs w:val="20"/>
              </w:rPr>
              <w:t>overall survival</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 xml:space="preserve">pB-LBL </w:t>
            </w:r>
          </w:p>
        </w:tc>
        <w:tc>
          <w:tcPr>
            <w:tcW w:w="6627" w:type="dxa"/>
          </w:tcPr>
          <w:p w:rsidR="004D5254" w:rsidRPr="00F21EE0" w:rsidRDefault="004D5254" w:rsidP="00C80331">
            <w:pPr>
              <w:cnfStyle w:val="000000000000"/>
              <w:rPr>
                <w:sz w:val="20"/>
                <w:szCs w:val="20"/>
              </w:rPr>
            </w:pPr>
            <w:r w:rsidRPr="00F21EE0">
              <w:rPr>
                <w:sz w:val="20"/>
                <w:szCs w:val="20"/>
              </w:rPr>
              <w:t>precursor B-cell lymphoblastic lymphoma</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PDX</w:t>
            </w:r>
          </w:p>
        </w:tc>
        <w:tc>
          <w:tcPr>
            <w:tcW w:w="6627" w:type="dxa"/>
          </w:tcPr>
          <w:p w:rsidR="004D5254" w:rsidRPr="00F21EE0" w:rsidRDefault="004D5254" w:rsidP="00C80331">
            <w:pPr>
              <w:cnfStyle w:val="000000000000"/>
              <w:rPr>
                <w:sz w:val="20"/>
                <w:szCs w:val="20"/>
              </w:rPr>
            </w:pPr>
            <w:r w:rsidRPr="00F21EE0">
              <w:rPr>
                <w:sz w:val="20"/>
                <w:szCs w:val="20"/>
              </w:rPr>
              <w:t>pralatrexate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PET</w:t>
            </w:r>
          </w:p>
        </w:tc>
        <w:tc>
          <w:tcPr>
            <w:tcW w:w="6627" w:type="dxa"/>
          </w:tcPr>
          <w:p w:rsidR="004D5254" w:rsidRPr="00F21EE0" w:rsidRDefault="004D5254" w:rsidP="00C80331">
            <w:pPr>
              <w:cnfStyle w:val="000000000000"/>
              <w:rPr>
                <w:sz w:val="20"/>
                <w:szCs w:val="20"/>
              </w:rPr>
            </w:pPr>
            <w:r w:rsidRPr="00F21EE0">
              <w:rPr>
                <w:sz w:val="20"/>
                <w:szCs w:val="20"/>
              </w:rPr>
              <w:t>Positron-emission tomography</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PFS</w:t>
            </w:r>
          </w:p>
        </w:tc>
        <w:tc>
          <w:tcPr>
            <w:tcW w:w="6627" w:type="dxa"/>
          </w:tcPr>
          <w:p w:rsidR="004D5254" w:rsidRPr="00F21EE0" w:rsidRDefault="004D5254" w:rsidP="00C80331">
            <w:pPr>
              <w:cnfStyle w:val="000000000000"/>
              <w:rPr>
                <w:sz w:val="20"/>
                <w:szCs w:val="20"/>
              </w:rPr>
            </w:pPr>
            <w:r w:rsidRPr="00F21EE0">
              <w:rPr>
                <w:sz w:val="20"/>
                <w:szCs w:val="20"/>
              </w:rPr>
              <w:t>progression-free survival</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P-gp</w:t>
            </w:r>
          </w:p>
        </w:tc>
        <w:tc>
          <w:tcPr>
            <w:tcW w:w="6627" w:type="dxa"/>
          </w:tcPr>
          <w:p w:rsidR="004D5254" w:rsidRPr="00F21EE0" w:rsidRDefault="004D5254" w:rsidP="00C80331">
            <w:pPr>
              <w:cnfStyle w:val="000000000000"/>
              <w:rPr>
                <w:sz w:val="20"/>
                <w:szCs w:val="20"/>
              </w:rPr>
            </w:pPr>
            <w:r w:rsidRPr="00F21EE0">
              <w:rPr>
                <w:sz w:val="20"/>
                <w:szCs w:val="20"/>
              </w:rPr>
              <w:t>P-glycoproteins</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lastRenderedPageBreak/>
              <w:t>PIP</w:t>
            </w:r>
          </w:p>
        </w:tc>
        <w:tc>
          <w:tcPr>
            <w:tcW w:w="6627" w:type="dxa"/>
          </w:tcPr>
          <w:p w:rsidR="004D5254" w:rsidRPr="00F21EE0" w:rsidRDefault="004D5254" w:rsidP="00C80331">
            <w:pPr>
              <w:cnfStyle w:val="000000000000"/>
              <w:rPr>
                <w:sz w:val="20"/>
                <w:szCs w:val="20"/>
              </w:rPr>
            </w:pPr>
            <w:r w:rsidRPr="00F21EE0">
              <w:rPr>
                <w:sz w:val="20"/>
                <w:szCs w:val="20"/>
              </w:rPr>
              <w:t>paediatric investigation plan</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PPF</w:t>
            </w:r>
          </w:p>
        </w:tc>
        <w:tc>
          <w:tcPr>
            <w:tcW w:w="6627" w:type="dxa"/>
          </w:tcPr>
          <w:p w:rsidR="004D5254" w:rsidRPr="00F21EE0" w:rsidRDefault="004D5254" w:rsidP="00C80331">
            <w:pPr>
              <w:cnfStyle w:val="000000000000"/>
              <w:rPr>
                <w:sz w:val="20"/>
                <w:szCs w:val="20"/>
              </w:rPr>
            </w:pPr>
            <w:r w:rsidRPr="00F21EE0">
              <w:rPr>
                <w:sz w:val="20"/>
                <w:szCs w:val="20"/>
              </w:rPr>
              <w:t>pre-submission planning form (TGA)</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PTCL</w:t>
            </w:r>
          </w:p>
        </w:tc>
        <w:tc>
          <w:tcPr>
            <w:tcW w:w="6627" w:type="dxa"/>
          </w:tcPr>
          <w:p w:rsidR="004D5254" w:rsidRPr="00F21EE0" w:rsidRDefault="004D5254" w:rsidP="00C80331">
            <w:pPr>
              <w:cnfStyle w:val="000000000000"/>
              <w:rPr>
                <w:sz w:val="20"/>
                <w:szCs w:val="20"/>
              </w:rPr>
            </w:pPr>
            <w:r w:rsidRPr="00F21EE0">
              <w:rPr>
                <w:sz w:val="20"/>
                <w:szCs w:val="20"/>
              </w:rPr>
              <w:t>peripheral T-cell lymphoma</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PR</w:t>
            </w:r>
          </w:p>
        </w:tc>
        <w:tc>
          <w:tcPr>
            <w:tcW w:w="6627" w:type="dxa"/>
          </w:tcPr>
          <w:p w:rsidR="004D5254" w:rsidRPr="00F21EE0" w:rsidRDefault="004D5254" w:rsidP="00C80331">
            <w:pPr>
              <w:cnfStyle w:val="000000000000"/>
              <w:rPr>
                <w:sz w:val="20"/>
                <w:szCs w:val="20"/>
              </w:rPr>
            </w:pPr>
            <w:r w:rsidRPr="00F21EE0">
              <w:rPr>
                <w:sz w:val="20"/>
                <w:szCs w:val="20"/>
              </w:rPr>
              <w:t>partial response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 xml:space="preserve">PR interval </w:t>
            </w:r>
          </w:p>
        </w:tc>
        <w:tc>
          <w:tcPr>
            <w:tcW w:w="6627" w:type="dxa"/>
          </w:tcPr>
          <w:p w:rsidR="004D5254" w:rsidRPr="00F21EE0" w:rsidRDefault="004D5254" w:rsidP="00C80331">
            <w:pPr>
              <w:cnfStyle w:val="000000000000"/>
              <w:rPr>
                <w:sz w:val="20"/>
                <w:szCs w:val="20"/>
              </w:rPr>
            </w:pPr>
            <w:r w:rsidRPr="00F21EE0">
              <w:rPr>
                <w:sz w:val="20"/>
                <w:szCs w:val="20"/>
              </w:rPr>
              <w:t>time from the beginning of the P wave to the QRS complex of an ECG</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 xml:space="preserve">QT interval </w:t>
            </w:r>
          </w:p>
        </w:tc>
        <w:tc>
          <w:tcPr>
            <w:tcW w:w="6627" w:type="dxa"/>
          </w:tcPr>
          <w:p w:rsidR="004D5254" w:rsidRPr="00F21EE0" w:rsidRDefault="004D5254" w:rsidP="00C80331">
            <w:pPr>
              <w:cnfStyle w:val="000000000000"/>
              <w:rPr>
                <w:sz w:val="20"/>
                <w:szCs w:val="20"/>
              </w:rPr>
            </w:pPr>
            <w:r w:rsidRPr="00F21EE0">
              <w:rPr>
                <w:sz w:val="20"/>
                <w:szCs w:val="20"/>
              </w:rPr>
              <w:t>time between the beginning of the Q wave and the end of the T wave of an ECG</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 xml:space="preserve">QTcF </w:t>
            </w:r>
          </w:p>
        </w:tc>
        <w:tc>
          <w:tcPr>
            <w:tcW w:w="6627" w:type="dxa"/>
          </w:tcPr>
          <w:p w:rsidR="004D5254" w:rsidRPr="00F21EE0" w:rsidRDefault="004D5254" w:rsidP="00C80331">
            <w:pPr>
              <w:cnfStyle w:val="000000000000"/>
              <w:rPr>
                <w:sz w:val="20"/>
                <w:szCs w:val="20"/>
              </w:rPr>
            </w:pPr>
            <w:r w:rsidRPr="00F21EE0">
              <w:rPr>
                <w:sz w:val="20"/>
                <w:szCs w:val="20"/>
              </w:rPr>
              <w:t>Fridericia’s rate-corrected QT interval</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 xml:space="preserve">QTcB </w:t>
            </w:r>
          </w:p>
        </w:tc>
        <w:tc>
          <w:tcPr>
            <w:tcW w:w="6627" w:type="dxa"/>
          </w:tcPr>
          <w:p w:rsidR="004D5254" w:rsidRPr="00F21EE0" w:rsidRDefault="004D5254" w:rsidP="00C80331">
            <w:pPr>
              <w:cnfStyle w:val="000000000000"/>
              <w:rPr>
                <w:sz w:val="20"/>
                <w:szCs w:val="20"/>
              </w:rPr>
            </w:pPr>
            <w:r w:rsidRPr="00F21EE0">
              <w:rPr>
                <w:sz w:val="20"/>
                <w:szCs w:val="20"/>
              </w:rPr>
              <w:t>Bazett’s rate-corrected QT interval</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 xml:space="preserve">RR interval </w:t>
            </w:r>
          </w:p>
        </w:tc>
        <w:tc>
          <w:tcPr>
            <w:tcW w:w="6627" w:type="dxa"/>
          </w:tcPr>
          <w:p w:rsidR="004D5254" w:rsidRPr="00F21EE0" w:rsidRDefault="004D5254" w:rsidP="00C80331">
            <w:pPr>
              <w:cnfStyle w:val="000000000000"/>
              <w:rPr>
                <w:sz w:val="20"/>
                <w:szCs w:val="20"/>
              </w:rPr>
            </w:pPr>
            <w:r w:rsidRPr="00F21EE0">
              <w:rPr>
                <w:sz w:val="20"/>
                <w:szCs w:val="20"/>
              </w:rPr>
              <w:t>time duration between two consecutive R waves of an ECG</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RFC-1</w:t>
            </w:r>
          </w:p>
        </w:tc>
        <w:tc>
          <w:tcPr>
            <w:tcW w:w="6627" w:type="dxa"/>
          </w:tcPr>
          <w:p w:rsidR="004D5254" w:rsidRPr="00F21EE0" w:rsidRDefault="004D5254" w:rsidP="00C80331">
            <w:pPr>
              <w:cnfStyle w:val="000000000000"/>
              <w:rPr>
                <w:sz w:val="20"/>
                <w:szCs w:val="20"/>
              </w:rPr>
            </w:pPr>
            <w:r w:rsidRPr="00F21EE0">
              <w:rPr>
                <w:sz w:val="20"/>
                <w:szCs w:val="20"/>
              </w:rPr>
              <w:t>reduced folate carrier 1</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RT-PCR</w:t>
            </w:r>
          </w:p>
        </w:tc>
        <w:tc>
          <w:tcPr>
            <w:tcW w:w="6627" w:type="dxa"/>
          </w:tcPr>
          <w:p w:rsidR="004D5254" w:rsidRPr="00F21EE0" w:rsidRDefault="004D5254" w:rsidP="00C80331">
            <w:pPr>
              <w:cnfStyle w:val="000000000000"/>
              <w:rPr>
                <w:sz w:val="20"/>
                <w:szCs w:val="20"/>
              </w:rPr>
            </w:pPr>
            <w:r w:rsidRPr="00F21EE0">
              <w:rPr>
                <w:sz w:val="20"/>
                <w:szCs w:val="20"/>
              </w:rPr>
              <w:t>reverse transcription combined with polymerase chain reaction</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SCT</w:t>
            </w:r>
          </w:p>
        </w:tc>
        <w:tc>
          <w:tcPr>
            <w:tcW w:w="6627" w:type="dxa"/>
          </w:tcPr>
          <w:p w:rsidR="004D5254" w:rsidRPr="00F21EE0" w:rsidRDefault="004D5254" w:rsidP="00C80331">
            <w:pPr>
              <w:cnfStyle w:val="000000000000"/>
              <w:rPr>
                <w:sz w:val="20"/>
                <w:szCs w:val="20"/>
              </w:rPr>
            </w:pPr>
            <w:r w:rsidRPr="00F21EE0">
              <w:rPr>
                <w:sz w:val="20"/>
                <w:szCs w:val="20"/>
              </w:rPr>
              <w:t>stem cell transplant</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TCC</w:t>
            </w:r>
          </w:p>
        </w:tc>
        <w:tc>
          <w:tcPr>
            <w:tcW w:w="6627" w:type="dxa"/>
          </w:tcPr>
          <w:p w:rsidR="004D5254" w:rsidRPr="00F21EE0" w:rsidRDefault="004D5254" w:rsidP="00C80331">
            <w:pPr>
              <w:cnfStyle w:val="000000000000"/>
              <w:rPr>
                <w:sz w:val="20"/>
                <w:szCs w:val="20"/>
              </w:rPr>
            </w:pPr>
            <w:r w:rsidRPr="00F21EE0">
              <w:rPr>
                <w:sz w:val="20"/>
                <w:szCs w:val="20"/>
              </w:rPr>
              <w:t>transitional cell carcinoma</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TGA</w:t>
            </w:r>
          </w:p>
        </w:tc>
        <w:tc>
          <w:tcPr>
            <w:tcW w:w="6627" w:type="dxa"/>
          </w:tcPr>
          <w:p w:rsidR="004D5254" w:rsidRPr="00F21EE0" w:rsidRDefault="004D5254" w:rsidP="00C80331">
            <w:pPr>
              <w:cnfStyle w:val="000000000000"/>
              <w:rPr>
                <w:sz w:val="20"/>
                <w:szCs w:val="20"/>
              </w:rPr>
            </w:pPr>
            <w:r w:rsidRPr="00F21EE0">
              <w:rPr>
                <w:sz w:val="20"/>
                <w:szCs w:val="20"/>
              </w:rPr>
              <w:t>Therapeutic Goods Administration</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T-LBL</w:t>
            </w:r>
          </w:p>
        </w:tc>
        <w:tc>
          <w:tcPr>
            <w:tcW w:w="6627" w:type="dxa"/>
          </w:tcPr>
          <w:p w:rsidR="004D5254" w:rsidRPr="00F21EE0" w:rsidRDefault="004D5254" w:rsidP="00C80331">
            <w:pPr>
              <w:cnfStyle w:val="000000000000"/>
              <w:rPr>
                <w:sz w:val="20"/>
                <w:szCs w:val="20"/>
              </w:rPr>
            </w:pPr>
            <w:r w:rsidRPr="00F21EE0">
              <w:rPr>
                <w:sz w:val="20"/>
                <w:szCs w:val="20"/>
              </w:rPr>
              <w:t>T-cell lymphoblastic lymphoma</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THF</w:t>
            </w:r>
          </w:p>
        </w:tc>
        <w:tc>
          <w:tcPr>
            <w:tcW w:w="6627" w:type="dxa"/>
          </w:tcPr>
          <w:p w:rsidR="004D5254" w:rsidRPr="00F21EE0" w:rsidRDefault="004D5254" w:rsidP="00C80331">
            <w:pPr>
              <w:cnfStyle w:val="000000000000"/>
              <w:rPr>
                <w:sz w:val="20"/>
                <w:szCs w:val="20"/>
              </w:rPr>
            </w:pPr>
            <w:r w:rsidRPr="00F21EE0">
              <w:rPr>
                <w:sz w:val="20"/>
                <w:szCs w:val="20"/>
              </w:rPr>
              <w:t>tetrahydrofolate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TS</w:t>
            </w:r>
          </w:p>
        </w:tc>
        <w:tc>
          <w:tcPr>
            <w:tcW w:w="6627" w:type="dxa"/>
          </w:tcPr>
          <w:p w:rsidR="004D5254" w:rsidRPr="00F21EE0" w:rsidRDefault="004D5254" w:rsidP="00C80331">
            <w:pPr>
              <w:cnfStyle w:val="000000000000"/>
              <w:rPr>
                <w:sz w:val="20"/>
                <w:szCs w:val="20"/>
              </w:rPr>
            </w:pPr>
            <w:r w:rsidRPr="00F21EE0">
              <w:rPr>
                <w:sz w:val="20"/>
                <w:szCs w:val="20"/>
              </w:rPr>
              <w:t>thymidylate synthase</w:t>
            </w:r>
          </w:p>
        </w:tc>
      </w:tr>
      <w:tr w:rsidR="004D5254" w:rsidTr="00C80331">
        <w:tc>
          <w:tcPr>
            <w:cnfStyle w:val="001000000000"/>
            <w:tcW w:w="2093" w:type="dxa"/>
          </w:tcPr>
          <w:p w:rsidR="004D5254" w:rsidRPr="00F21EE0" w:rsidRDefault="004D5254" w:rsidP="00C80331">
            <w:pPr>
              <w:rPr>
                <w:sz w:val="20"/>
                <w:szCs w:val="20"/>
              </w:rPr>
            </w:pPr>
            <w:r w:rsidRPr="00F21EE0">
              <w:rPr>
                <w:sz w:val="20"/>
                <w:szCs w:val="20"/>
              </w:rPr>
              <w:t>WHO</w:t>
            </w:r>
          </w:p>
        </w:tc>
        <w:tc>
          <w:tcPr>
            <w:tcW w:w="6627" w:type="dxa"/>
          </w:tcPr>
          <w:p w:rsidR="004D5254" w:rsidRPr="00F21EE0" w:rsidRDefault="004D5254" w:rsidP="00C80331">
            <w:pPr>
              <w:cnfStyle w:val="000000000000"/>
              <w:rPr>
                <w:sz w:val="20"/>
                <w:szCs w:val="20"/>
              </w:rPr>
            </w:pPr>
            <w:r w:rsidRPr="00F21EE0">
              <w:rPr>
                <w:sz w:val="20"/>
                <w:szCs w:val="20"/>
              </w:rPr>
              <w:t>World Health Organization</w:t>
            </w:r>
          </w:p>
        </w:tc>
      </w:tr>
    </w:tbl>
    <w:p w:rsidR="004D5254" w:rsidRDefault="004D5254" w:rsidP="0090319D">
      <w:pPr>
        <w:pStyle w:val="Heading2"/>
        <w:pageBreakBefore/>
        <w:rPr>
          <w:lang w:eastAsia="en-AU"/>
        </w:rPr>
      </w:pPr>
      <w:bookmarkStart w:id="10" w:name="_Toc359930706"/>
      <w:bookmarkStart w:id="11" w:name="_Toc364764882"/>
      <w:bookmarkStart w:id="12" w:name="_Toc351718900"/>
      <w:bookmarkStart w:id="13" w:name="_Toc355338635"/>
      <w:r>
        <w:rPr>
          <w:lang w:eastAsia="en-AU"/>
        </w:rPr>
        <w:lastRenderedPageBreak/>
        <w:t>Clinical rationale</w:t>
      </w:r>
      <w:bookmarkEnd w:id="10"/>
      <w:bookmarkEnd w:id="11"/>
    </w:p>
    <w:p w:rsidR="004D5254" w:rsidRDefault="004D5254" w:rsidP="004D5254">
      <w:r>
        <w:t>The sponsor provided a detailed and well argued clinical rationale for the development of pralatrexate as a treatment for p</w:t>
      </w:r>
      <w:r w:rsidRPr="000F5D54">
        <w:t>eripheral T-cell lymphoma</w:t>
      </w:r>
      <w:r>
        <w:t xml:space="preserve"> (PTCL). Key elements of the sponsor’s rationale are presented below.</w:t>
      </w:r>
    </w:p>
    <w:p w:rsidR="004D5254" w:rsidRDefault="004D5254" w:rsidP="004D5254">
      <w:pPr>
        <w:pStyle w:val="Heading3"/>
        <w:numPr>
          <w:ilvl w:val="1"/>
          <w:numId w:val="5"/>
        </w:numPr>
      </w:pPr>
      <w:bookmarkStart w:id="14" w:name="_Toc359930707"/>
      <w:bookmarkStart w:id="15" w:name="_Toc364764883"/>
      <w:r>
        <w:t>Peripheral T-cell lymphoma</w:t>
      </w:r>
      <w:bookmarkEnd w:id="14"/>
      <w:bookmarkEnd w:id="15"/>
    </w:p>
    <w:p w:rsidR="004D5254" w:rsidRPr="000F5D54" w:rsidRDefault="004D5254" w:rsidP="004D5254">
      <w:pPr>
        <w:autoSpaceDE w:val="0"/>
        <w:autoSpaceDN w:val="0"/>
        <w:adjustRightInd w:val="0"/>
      </w:pPr>
      <w:r>
        <w:t>P</w:t>
      </w:r>
      <w:r w:rsidRPr="000F5D54">
        <w:t xml:space="preserve">TCL is a rare, heterogeneous group of aggressive non-Hodgkin’s lymphomas (NHLs) with a generally poorer prognosis </w:t>
      </w:r>
      <w:r>
        <w:t>than</w:t>
      </w:r>
      <w:r w:rsidRPr="000F5D54">
        <w:t xml:space="preserve"> their B-cell counterparts.</w:t>
      </w:r>
      <w:r>
        <w:t xml:space="preserve"> </w:t>
      </w:r>
      <w:r w:rsidRPr="000F5D54">
        <w:t>The natural history and outcome of PTCL varies widely with various histological subtypes.</w:t>
      </w:r>
      <w:r>
        <w:t xml:space="preserve"> </w:t>
      </w:r>
      <w:r w:rsidRPr="000F5D54">
        <w:t xml:space="preserve">Patients with anaplastic large cell </w:t>
      </w:r>
      <w:r>
        <w:t xml:space="preserve">lymphoma </w:t>
      </w:r>
      <w:r w:rsidRPr="000F5D54">
        <w:t xml:space="preserve">(particularly the subtype positive for anaplastic lymphoma kinase [ALK+]) have better survival that those with other subtypes, with 5-year survival being reported as high as 70% (Vose </w:t>
      </w:r>
      <w:r w:rsidRPr="005F61C6">
        <w:rPr>
          <w:i/>
        </w:rPr>
        <w:t>et al</w:t>
      </w:r>
      <w:r w:rsidRPr="00E13692">
        <w:t>.,</w:t>
      </w:r>
      <w:r w:rsidRPr="000F5D54">
        <w:t xml:space="preserve"> 2008).</w:t>
      </w:r>
      <w:r>
        <w:t xml:space="preserve"> </w:t>
      </w:r>
      <w:r w:rsidRPr="000F5D54">
        <w:t>However, for other subtypes in patients characteri</w:t>
      </w:r>
      <w:r>
        <w:t>s</w:t>
      </w:r>
      <w:r w:rsidRPr="000F5D54">
        <w:t xml:space="preserve">ed as high risk by the International Prognostic Index (IPI) (Shipp, 1994), 5-year survival has been reported to be as low as 6% (Sonnen </w:t>
      </w:r>
      <w:r w:rsidRPr="005F61C6">
        <w:rPr>
          <w:i/>
          <w:iCs/>
        </w:rPr>
        <w:t>et al</w:t>
      </w:r>
      <w:r w:rsidRPr="00E13692">
        <w:rPr>
          <w:iCs/>
        </w:rPr>
        <w:t>.</w:t>
      </w:r>
      <w:r w:rsidRPr="00E13692">
        <w:t>,</w:t>
      </w:r>
      <w:r w:rsidRPr="000F5D54">
        <w:t xml:space="preserve"> 2005).</w:t>
      </w:r>
      <w:r>
        <w:t xml:space="preserve"> </w:t>
      </w:r>
      <w:r w:rsidRPr="000F5D54">
        <w:t xml:space="preserve">Several clinical studies have reported a median survival of less than 2 years for patients with T-cell neoplasms and 5-year survival rates of less than 30% (Armitage &amp; Weisenburger, 1998; Lopez-Guillermo </w:t>
      </w:r>
      <w:r w:rsidRPr="005F61C6">
        <w:rPr>
          <w:i/>
          <w:iCs/>
        </w:rPr>
        <w:t>et al</w:t>
      </w:r>
      <w:r w:rsidRPr="00E13692">
        <w:rPr>
          <w:iCs/>
        </w:rPr>
        <w:t>.</w:t>
      </w:r>
      <w:r w:rsidRPr="00E13692">
        <w:t>,</w:t>
      </w:r>
      <w:r w:rsidRPr="000F5D54">
        <w:t xml:space="preserve"> 1998; Rudiger </w:t>
      </w:r>
      <w:r w:rsidRPr="005F61C6">
        <w:rPr>
          <w:i/>
          <w:iCs/>
        </w:rPr>
        <w:t>et al</w:t>
      </w:r>
      <w:r w:rsidRPr="00E13692">
        <w:rPr>
          <w:iCs/>
        </w:rPr>
        <w:t>.</w:t>
      </w:r>
      <w:r w:rsidRPr="00E13692">
        <w:t>,</w:t>
      </w:r>
      <w:r w:rsidRPr="000F5D54">
        <w:t xml:space="preserve"> 2002).</w:t>
      </w:r>
    </w:p>
    <w:p w:rsidR="004D5254" w:rsidRDefault="004D5254" w:rsidP="004D5254">
      <w:pPr>
        <w:pStyle w:val="Heading3"/>
        <w:numPr>
          <w:ilvl w:val="1"/>
          <w:numId w:val="5"/>
        </w:numPr>
      </w:pPr>
      <w:bookmarkStart w:id="16" w:name="_Toc359930708"/>
      <w:bookmarkStart w:id="17" w:name="_Toc364764884"/>
      <w:r>
        <w:t>Currently available treatment for PTCL</w:t>
      </w:r>
      <w:bookmarkEnd w:id="16"/>
      <w:bookmarkEnd w:id="17"/>
    </w:p>
    <w:p w:rsidR="004D5254" w:rsidRPr="000F5D54" w:rsidRDefault="004D5254" w:rsidP="004D5254">
      <w:pPr>
        <w:autoSpaceDE w:val="0"/>
        <w:autoSpaceDN w:val="0"/>
        <w:adjustRightInd w:val="0"/>
      </w:pPr>
      <w:r w:rsidRPr="000F5D54">
        <w:t>Currently there are no therapies specifically approved for the treatment of PTCL.</w:t>
      </w:r>
      <w:r>
        <w:t xml:space="preserve"> </w:t>
      </w:r>
      <w:r w:rsidRPr="000F5D54">
        <w:t xml:space="preserve">Given the aggressive clinical course and </w:t>
      </w:r>
      <w:r>
        <w:t xml:space="preserve">generally </w:t>
      </w:r>
      <w:r w:rsidRPr="000F5D54">
        <w:t>poor outcomes with PTCL, treatment typically involves combination chemotherapy regimens.</w:t>
      </w:r>
      <w:r>
        <w:t xml:space="preserve"> </w:t>
      </w:r>
      <w:r w:rsidRPr="000F5D54">
        <w:t>However, the regimens used have been based largely on their utility and benefit in B-cell diseases.</w:t>
      </w:r>
      <w:r>
        <w:t xml:space="preserve"> </w:t>
      </w:r>
      <w:r w:rsidRPr="000F5D54">
        <w:t>The majority of patients are initially treated with standard regimens of cyclophosphamide, doxorubicin, vincristine and prednisone (CHOP) chemotherapy (Savage, 2007).</w:t>
      </w:r>
      <w:r>
        <w:t xml:space="preserve"> </w:t>
      </w:r>
      <w:r w:rsidRPr="000F5D54">
        <w:t>A variety of other anthracycline-based combination therapies have also been</w:t>
      </w:r>
      <w:r>
        <w:t xml:space="preserve"> utilis</w:t>
      </w:r>
      <w:r w:rsidRPr="000F5D54">
        <w:t xml:space="preserve">ed as first-line treatments (Fisher </w:t>
      </w:r>
      <w:r w:rsidRPr="005F61C6">
        <w:rPr>
          <w:i/>
          <w:iCs/>
        </w:rPr>
        <w:t>et al</w:t>
      </w:r>
      <w:r w:rsidRPr="00E13692">
        <w:rPr>
          <w:iCs/>
        </w:rPr>
        <w:t>.</w:t>
      </w:r>
      <w:r w:rsidRPr="00E13692">
        <w:t>,</w:t>
      </w:r>
      <w:r w:rsidRPr="000F5D54">
        <w:t xml:space="preserve"> 1993).</w:t>
      </w:r>
      <w:r>
        <w:t xml:space="preserve"> </w:t>
      </w:r>
      <w:r w:rsidRPr="000F5D54">
        <w:t xml:space="preserve">The first-line response rates </w:t>
      </w:r>
      <w:r>
        <w:t>for</w:t>
      </w:r>
      <w:r w:rsidRPr="000F5D54">
        <w:t xml:space="preserve"> CHOP chemotherapy </w:t>
      </w:r>
      <w:r>
        <w:t>in</w:t>
      </w:r>
      <w:r w:rsidRPr="000F5D54">
        <w:t xml:space="preserve"> patients with PTCL have been reported to range between 50% and 70%.</w:t>
      </w:r>
      <w:r>
        <w:t xml:space="preserve"> </w:t>
      </w:r>
      <w:r w:rsidRPr="000F5D54">
        <w:t xml:space="preserve">However, patients </w:t>
      </w:r>
      <w:r>
        <w:t>often</w:t>
      </w:r>
      <w:r w:rsidRPr="000F5D54">
        <w:t xml:space="preserve"> relapse soon after responding to first-line treatments (Vose </w:t>
      </w:r>
      <w:r w:rsidRPr="005F61C6">
        <w:rPr>
          <w:i/>
          <w:iCs/>
        </w:rPr>
        <w:t>et al</w:t>
      </w:r>
      <w:r w:rsidRPr="00E13692">
        <w:rPr>
          <w:iCs/>
        </w:rPr>
        <w:t>.</w:t>
      </w:r>
      <w:r w:rsidRPr="00E13692">
        <w:t>,</w:t>
      </w:r>
      <w:r w:rsidRPr="000F5D54">
        <w:t xml:space="preserve"> 2008).</w:t>
      </w:r>
      <w:r>
        <w:t xml:space="preserve"> </w:t>
      </w:r>
    </w:p>
    <w:p w:rsidR="004D5254" w:rsidRPr="000F5D54" w:rsidRDefault="004D5254" w:rsidP="004D5254">
      <w:pPr>
        <w:autoSpaceDE w:val="0"/>
        <w:autoSpaceDN w:val="0"/>
        <w:adjustRightInd w:val="0"/>
      </w:pPr>
      <w:r w:rsidRPr="000F5D54">
        <w:t xml:space="preserve">Also, there have been relatively few studies of potential therapeutic agents for use in relapsed or refractory PTCL - gemcitabine (Sallah </w:t>
      </w:r>
      <w:r w:rsidRPr="005F61C6">
        <w:rPr>
          <w:i/>
          <w:iCs/>
        </w:rPr>
        <w:t>et al</w:t>
      </w:r>
      <w:r w:rsidRPr="00E13692">
        <w:rPr>
          <w:iCs/>
        </w:rPr>
        <w:t>.</w:t>
      </w:r>
      <w:r w:rsidRPr="00E13692">
        <w:t>,</w:t>
      </w:r>
      <w:r w:rsidRPr="000F5D54">
        <w:t xml:space="preserve"> 2001), denileukin diftitox (Dang </w:t>
      </w:r>
      <w:r w:rsidRPr="005F61C6">
        <w:rPr>
          <w:i/>
          <w:iCs/>
        </w:rPr>
        <w:t>et al</w:t>
      </w:r>
      <w:r w:rsidRPr="00E13692">
        <w:rPr>
          <w:iCs/>
        </w:rPr>
        <w:t>.</w:t>
      </w:r>
      <w:r w:rsidRPr="00E13692">
        <w:t>,</w:t>
      </w:r>
      <w:r w:rsidRPr="000F5D54">
        <w:t xml:space="preserve"> 2007), deoxycoformycin (Dang </w:t>
      </w:r>
      <w:r w:rsidRPr="005F61C6">
        <w:rPr>
          <w:i/>
          <w:iCs/>
        </w:rPr>
        <w:t>et al</w:t>
      </w:r>
      <w:r w:rsidRPr="00E13692">
        <w:rPr>
          <w:iCs/>
        </w:rPr>
        <w:t>.</w:t>
      </w:r>
      <w:r w:rsidRPr="00E13692">
        <w:t>,</w:t>
      </w:r>
      <w:r w:rsidRPr="000F5D54">
        <w:t xml:space="preserve"> 2003; Dearden </w:t>
      </w:r>
      <w:r w:rsidRPr="005F61C6">
        <w:rPr>
          <w:i/>
          <w:iCs/>
        </w:rPr>
        <w:t>et al</w:t>
      </w:r>
      <w:r w:rsidRPr="00E13692">
        <w:rPr>
          <w:iCs/>
        </w:rPr>
        <w:t>.</w:t>
      </w:r>
      <w:r w:rsidRPr="00E13692">
        <w:t>,</w:t>
      </w:r>
      <w:r w:rsidRPr="000F5D54">
        <w:t xml:space="preserve"> 1991; Mercieca </w:t>
      </w:r>
      <w:r w:rsidRPr="005F61C6">
        <w:rPr>
          <w:i/>
          <w:iCs/>
        </w:rPr>
        <w:t>et al</w:t>
      </w:r>
      <w:r w:rsidRPr="00E13692">
        <w:rPr>
          <w:iCs/>
        </w:rPr>
        <w:t>.</w:t>
      </w:r>
      <w:r w:rsidRPr="00E13692">
        <w:t>,</w:t>
      </w:r>
      <w:r w:rsidRPr="000F5D54">
        <w:t xml:space="preserve"> 1994) and lenalidomide (Dueck </w:t>
      </w:r>
      <w:r w:rsidRPr="005F61C6">
        <w:rPr>
          <w:i/>
          <w:iCs/>
        </w:rPr>
        <w:t>et al</w:t>
      </w:r>
      <w:r w:rsidRPr="00E13692">
        <w:rPr>
          <w:iCs/>
        </w:rPr>
        <w:t>.</w:t>
      </w:r>
      <w:r w:rsidRPr="00E13692">
        <w:t>,</w:t>
      </w:r>
      <w:r w:rsidRPr="000F5D54">
        <w:t xml:space="preserve"> 2009).</w:t>
      </w:r>
      <w:r>
        <w:t xml:space="preserve"> </w:t>
      </w:r>
      <w:r w:rsidRPr="000F5D54">
        <w:t xml:space="preserve">However, these studies have commonly included indolent tumour types, such as non-transformed mycosis fungoides, and none included more than 30 patients with the more aggressive PTCL subtypes. </w:t>
      </w:r>
    </w:p>
    <w:p w:rsidR="004D5254" w:rsidRPr="000F5D54" w:rsidRDefault="004D5254" w:rsidP="004D5254">
      <w:pPr>
        <w:pStyle w:val="Heading3"/>
        <w:numPr>
          <w:ilvl w:val="1"/>
          <w:numId w:val="5"/>
        </w:numPr>
      </w:pPr>
      <w:bookmarkStart w:id="18" w:name="_Toc359930709"/>
      <w:bookmarkStart w:id="19" w:name="_Toc364764885"/>
      <w:r w:rsidRPr="000F5D54">
        <w:t>The rationale for the clinical development of pralatrexate for use in PTCL</w:t>
      </w:r>
      <w:bookmarkEnd w:id="18"/>
      <w:bookmarkEnd w:id="19"/>
    </w:p>
    <w:p w:rsidR="004D5254" w:rsidRPr="000F5D54" w:rsidRDefault="004D5254" w:rsidP="004D5254">
      <w:pPr>
        <w:autoSpaceDE w:val="0"/>
        <w:autoSpaceDN w:val="0"/>
        <w:adjustRightInd w:val="0"/>
      </w:pPr>
      <w:r w:rsidRPr="000F5D54">
        <w:t xml:space="preserve">Pralatrexate is a 10-deazaaminopterin analogue of the widely used antifolate/antimetabolite, methotrexate that inhibits the enzyme </w:t>
      </w:r>
      <w:r w:rsidRPr="00111111">
        <w:t>dihydrofolate</w:t>
      </w:r>
      <w:r>
        <w:t xml:space="preserve"> </w:t>
      </w:r>
      <w:r w:rsidRPr="00111111">
        <w:t>reductase</w:t>
      </w:r>
      <w:r w:rsidRPr="000F5D54">
        <w:t xml:space="preserve"> </w:t>
      </w:r>
      <w:r>
        <w:t>(</w:t>
      </w:r>
      <w:r w:rsidRPr="000F5D54">
        <w:t>DHFR</w:t>
      </w:r>
      <w:r>
        <w:t>)</w:t>
      </w:r>
      <w:r w:rsidRPr="000F5D54">
        <w:t>.</w:t>
      </w:r>
      <w:r>
        <w:t xml:space="preserve"> </w:t>
      </w:r>
      <w:r w:rsidRPr="000F5D54">
        <w:t>Antifolates are well established as effective anticancer agents in the treatment of malignancies such as acute lymphoblastic leukaemia, lymphomas, and breast and lung cancer (Walling, 2006).</w:t>
      </w:r>
      <w:r>
        <w:t xml:space="preserve"> </w:t>
      </w:r>
    </w:p>
    <w:p w:rsidR="004D5254" w:rsidRDefault="004D5254" w:rsidP="004D5254">
      <w:pPr>
        <w:autoSpaceDE w:val="0"/>
        <w:autoSpaceDN w:val="0"/>
        <w:adjustRightInd w:val="0"/>
        <w:rPr>
          <w:color w:val="000000"/>
        </w:rPr>
      </w:pPr>
      <w:r w:rsidRPr="000F5D54">
        <w:t xml:space="preserve">During the preclinical development program a range of </w:t>
      </w:r>
      <w:r w:rsidRPr="000F5D54">
        <w:rPr>
          <w:i/>
        </w:rPr>
        <w:t>in vitro</w:t>
      </w:r>
      <w:r w:rsidRPr="000F5D54">
        <w:t xml:space="preserve"> and </w:t>
      </w:r>
      <w:r w:rsidRPr="000F5D54">
        <w:rPr>
          <w:i/>
        </w:rPr>
        <w:t>in vivo</w:t>
      </w:r>
      <w:r w:rsidRPr="000F5D54">
        <w:t xml:space="preserve"> pharmacodynamic studies of pralatrexate were performed using model systems of a variety of solid tumour types and haematological malignancies.</w:t>
      </w:r>
      <w:r>
        <w:t xml:space="preserve"> </w:t>
      </w:r>
      <w:r w:rsidRPr="000F5D54">
        <w:t>The</w:t>
      </w:r>
      <w:r>
        <w:t xml:space="preserve"> sponsor reported the</w:t>
      </w:r>
      <w:r w:rsidRPr="000F5D54">
        <w:t xml:space="preserve">se </w:t>
      </w:r>
      <w:r>
        <w:t xml:space="preserve">studies </w:t>
      </w:r>
      <w:r w:rsidRPr="000F5D54">
        <w:t>demonstrated pralatrexate has a broad and potent cytotoxic activity as a single agent as well as in combination with a variety of currently used chemotherapeutic agents.</w:t>
      </w:r>
      <w:r>
        <w:t xml:space="preserve"> </w:t>
      </w:r>
      <w:r w:rsidRPr="000F5D54">
        <w:t>Of note, i</w:t>
      </w:r>
      <w:r w:rsidRPr="000F5D54">
        <w:rPr>
          <w:i/>
        </w:rPr>
        <w:t>n vitro</w:t>
      </w:r>
      <w:r w:rsidRPr="000F5D54">
        <w:t xml:space="preserve"> studies in CCRF-CEM</w:t>
      </w:r>
      <w:r>
        <w:t xml:space="preserve"> human</w:t>
      </w:r>
      <w:r w:rsidRPr="000F5D54">
        <w:t xml:space="preserve"> leukaemia cells demonstrated that pralatrexate is 14 times more efficiently transported into the cells and 10 times more efficiently polyglutamated than methotrexate (Sirotnak </w:t>
      </w:r>
      <w:r w:rsidRPr="005F61C6">
        <w:rPr>
          <w:i/>
          <w:iCs/>
        </w:rPr>
        <w:t>et al</w:t>
      </w:r>
      <w:r w:rsidRPr="00E13692">
        <w:rPr>
          <w:iCs/>
        </w:rPr>
        <w:t>.</w:t>
      </w:r>
      <w:r w:rsidRPr="00E13692">
        <w:t>,</w:t>
      </w:r>
      <w:r w:rsidRPr="000F5D54">
        <w:t xml:space="preserve"> </w:t>
      </w:r>
      <w:r w:rsidRPr="000F5D54">
        <w:lastRenderedPageBreak/>
        <w:t>1998).</w:t>
      </w:r>
      <w:r>
        <w:t xml:space="preserve"> </w:t>
      </w:r>
      <w:r w:rsidRPr="000F5D54">
        <w:t>These results were reflected in a 30-fold improvement in cytotoxic activity of pralatrexate compared with methotrexate in these cells.</w:t>
      </w:r>
      <w:r>
        <w:t xml:space="preserve"> </w:t>
      </w:r>
      <w:r w:rsidRPr="000F5D54">
        <w:t xml:space="preserve">Also, after 5 days of continuous </w:t>
      </w:r>
      <w:r w:rsidRPr="000F5D54">
        <w:rPr>
          <w:i/>
        </w:rPr>
        <w:t>in vitro</w:t>
      </w:r>
      <w:r w:rsidRPr="000F5D54">
        <w:t xml:space="preserve"> exposure, pralatrexate demonstrated an 8- to 20-fold greater potency than methotrexate in 5 lymphoma cell lines.</w:t>
      </w:r>
      <w:r>
        <w:t xml:space="preserve"> </w:t>
      </w:r>
      <w:r w:rsidRPr="000F5D54">
        <w:t xml:space="preserve">It was also reported by the sponsor that this greater efficacy was confirmed </w:t>
      </w:r>
      <w:r>
        <w:t>by</w:t>
      </w:r>
      <w:r w:rsidRPr="000F5D54">
        <w:rPr>
          <w:i/>
        </w:rPr>
        <w:t xml:space="preserve"> </w:t>
      </w:r>
      <w:r>
        <w:rPr>
          <w:i/>
        </w:rPr>
        <w:t xml:space="preserve">in </w:t>
      </w:r>
      <w:r w:rsidRPr="000F5D54">
        <w:rPr>
          <w:i/>
        </w:rPr>
        <w:t>vivo</w:t>
      </w:r>
      <w:r w:rsidRPr="000F5D54">
        <w:t xml:space="preserve"> animal studies</w:t>
      </w:r>
      <w:r>
        <w:t xml:space="preserve"> that</w:t>
      </w:r>
      <w:r w:rsidRPr="000F5D54">
        <w:t xml:space="preserve"> us</w:t>
      </w:r>
      <w:r>
        <w:t>ed</w:t>
      </w:r>
      <w:r w:rsidRPr="000F5D54">
        <w:t xml:space="preserve"> </w:t>
      </w:r>
      <w:r>
        <w:t xml:space="preserve">human </w:t>
      </w:r>
      <w:r w:rsidRPr="000F5D54">
        <w:t>lymphoma xenografts.</w:t>
      </w:r>
      <w:r>
        <w:t xml:space="preserve"> A</w:t>
      </w:r>
      <w:r w:rsidRPr="000F5D54">
        <w:t xml:space="preserve"> clinical development program was </w:t>
      </w:r>
      <w:r>
        <w:t xml:space="preserve">then </w:t>
      </w:r>
      <w:r w:rsidRPr="000F5D54">
        <w:t>initiated to determine potential efficacy in patients with refractory Hodgkin’s and non-Hodgkin’s lymphoma</w:t>
      </w:r>
      <w:r>
        <w:t xml:space="preserve">s, </w:t>
      </w:r>
      <w:r w:rsidRPr="000F5D54">
        <w:t>and solid tumours (including non small cell lung cancer, malignant pleural mesothelioma, metastatic breast cancer and transitional cell carcinoma of the urinary bladder).</w:t>
      </w:r>
      <w:r>
        <w:t xml:space="preserve"> A</w:t>
      </w:r>
      <w:r w:rsidRPr="000F5D54">
        <w:t xml:space="preserve">n early clinical study in which a variety of refractory lymphoma patients were treated with pralatrexate (PDX-02-078) </w:t>
      </w:r>
      <w:r>
        <w:t>found</w:t>
      </w:r>
      <w:r w:rsidRPr="000F5D54">
        <w:t xml:space="preserve"> that PTCL patients responded particularly well.</w:t>
      </w:r>
      <w:r>
        <w:t xml:space="preserve"> Consequently, i</w:t>
      </w:r>
      <w:r w:rsidRPr="000F5D54">
        <w:t xml:space="preserve">n view of the </w:t>
      </w:r>
      <w:r>
        <w:t xml:space="preserve">strong </w:t>
      </w:r>
      <w:r w:rsidRPr="000F5D54">
        <w:t xml:space="preserve">clinical need for </w:t>
      </w:r>
      <w:r>
        <w:t>more effective treatments</w:t>
      </w:r>
      <w:r w:rsidRPr="000F5D54">
        <w:t xml:space="preserve">, </w:t>
      </w:r>
      <w:r>
        <w:t xml:space="preserve">a specific clinical development </w:t>
      </w:r>
      <w:r w:rsidRPr="000F5D54">
        <w:t xml:space="preserve">program for PTCL </w:t>
      </w:r>
      <w:r>
        <w:t>commenced</w:t>
      </w:r>
      <w:r w:rsidRPr="000F5D54">
        <w:t>.</w:t>
      </w:r>
      <w:r>
        <w:rPr>
          <w:color w:val="000000"/>
        </w:rPr>
        <w:t xml:space="preserve"> </w:t>
      </w:r>
    </w:p>
    <w:p w:rsidR="004D5254" w:rsidRPr="00C337A8" w:rsidRDefault="004D5254" w:rsidP="004D5254">
      <w:pPr>
        <w:pStyle w:val="Heading3"/>
        <w:numPr>
          <w:ilvl w:val="1"/>
          <w:numId w:val="5"/>
        </w:numPr>
      </w:pPr>
      <w:bookmarkStart w:id="20" w:name="_Toc272414607"/>
      <w:bookmarkStart w:id="21" w:name="_Toc290846229"/>
      <w:bookmarkStart w:id="22" w:name="_Toc320881409"/>
      <w:bookmarkStart w:id="23" w:name="_Toc359930710"/>
      <w:bookmarkStart w:id="24" w:name="_Toc364764886"/>
      <w:r w:rsidRPr="00C337A8">
        <w:t>Orphan drug designation</w:t>
      </w:r>
      <w:bookmarkEnd w:id="20"/>
      <w:bookmarkEnd w:id="21"/>
      <w:bookmarkEnd w:id="22"/>
      <w:bookmarkEnd w:id="23"/>
      <w:bookmarkEnd w:id="24"/>
    </w:p>
    <w:p w:rsidR="004D5254" w:rsidRDefault="004D5254" w:rsidP="004D5254">
      <w:pPr>
        <w:rPr>
          <w:rFonts w:cs="Arial"/>
        </w:rPr>
      </w:pPr>
      <w:r>
        <w:t>Pralatrexate was granted orphan drug status in Australia for the “t</w:t>
      </w:r>
      <w:r w:rsidRPr="00C66322">
        <w:rPr>
          <w:i/>
        </w:rPr>
        <w:t>reatment of adult patients with relapsed or refractory peripheral T-cell lymphoma (nodal, extranodal and leukaemic/disseminated)</w:t>
      </w:r>
      <w:r>
        <w:t xml:space="preserve">” in September 2011. Although </w:t>
      </w:r>
      <w:r w:rsidRPr="00BE3FE5">
        <w:rPr>
          <w:rFonts w:cs="Arial"/>
        </w:rPr>
        <w:t>the wording of the proposed indication is slightly different to the wording of the orphan drug designation, the meaning is the same</w:t>
      </w:r>
      <w:r>
        <w:rPr>
          <w:rFonts w:cs="Arial"/>
        </w:rPr>
        <w:t xml:space="preserve">. </w:t>
      </w:r>
    </w:p>
    <w:p w:rsidR="004D5254" w:rsidRDefault="004D5254" w:rsidP="004D5254">
      <w:r>
        <w:t>It has been estimated that the prevalence of PTCL in Australia in 2010 was approximately 840 patients.</w:t>
      </w:r>
    </w:p>
    <w:p w:rsidR="004D5254" w:rsidRPr="00AC1972" w:rsidRDefault="004D5254" w:rsidP="004D5254">
      <w:pPr>
        <w:pStyle w:val="Heading3"/>
        <w:numPr>
          <w:ilvl w:val="1"/>
          <w:numId w:val="5"/>
        </w:numPr>
      </w:pPr>
      <w:bookmarkStart w:id="25" w:name="_Toc272414609"/>
      <w:bookmarkStart w:id="26" w:name="_Toc290846231"/>
      <w:bookmarkStart w:id="27" w:name="_Toc320881410"/>
      <w:bookmarkStart w:id="28" w:name="_Toc359930711"/>
      <w:bookmarkStart w:id="29" w:name="_Toc364764887"/>
      <w:r w:rsidRPr="00AC1972">
        <w:t>Guidance</w:t>
      </w:r>
      <w:bookmarkEnd w:id="25"/>
      <w:bookmarkEnd w:id="26"/>
      <w:bookmarkEnd w:id="27"/>
      <w:bookmarkEnd w:id="28"/>
      <w:bookmarkEnd w:id="29"/>
    </w:p>
    <w:p w:rsidR="004D5254" w:rsidRPr="00AD131B" w:rsidRDefault="004D5254" w:rsidP="004D5254">
      <w:r w:rsidRPr="00AD131B">
        <w:t xml:space="preserve">The </w:t>
      </w:r>
      <w:r>
        <w:t xml:space="preserve">TGA-adopted EU </w:t>
      </w:r>
      <w:r w:rsidRPr="00AD131B">
        <w:t>guidelines applicable to this submission are:</w:t>
      </w:r>
    </w:p>
    <w:p w:rsidR="004D5254" w:rsidRDefault="004D5254" w:rsidP="004D5254">
      <w:pPr>
        <w:numPr>
          <w:ilvl w:val="0"/>
          <w:numId w:val="7"/>
        </w:numPr>
        <w:tabs>
          <w:tab w:val="left" w:pos="426"/>
        </w:tabs>
        <w:spacing w:after="0" w:line="240" w:lineRule="auto"/>
        <w:ind w:left="426" w:hanging="426"/>
        <w:rPr>
          <w:rStyle w:val="eutitle"/>
        </w:rPr>
      </w:pPr>
      <w:r w:rsidRPr="00AD131B">
        <w:rPr>
          <w:rStyle w:val="eutitle"/>
        </w:rPr>
        <w:t>Guide</w:t>
      </w:r>
      <w:r>
        <w:rPr>
          <w:rStyle w:val="eutitle"/>
        </w:rPr>
        <w:t>line on the Evaluation of Anticancer Medicinal Products in Man (CPMP/EWP/205/95/Rev.3/Corr)</w:t>
      </w:r>
      <w:r w:rsidRPr="00AD131B">
        <w:rPr>
          <w:rStyle w:val="eutitle"/>
        </w:rPr>
        <w:t xml:space="preserve">, </w:t>
      </w:r>
      <w:r>
        <w:rPr>
          <w:rStyle w:val="eutitle"/>
        </w:rPr>
        <w:t>effective June 2006;</w:t>
      </w:r>
      <w:r w:rsidRPr="00AD131B">
        <w:rPr>
          <w:rStyle w:val="eutitle"/>
        </w:rPr>
        <w:t xml:space="preserve"> </w:t>
      </w:r>
      <w:r>
        <w:rPr>
          <w:rStyle w:val="eutitle"/>
        </w:rPr>
        <w:t>and</w:t>
      </w:r>
    </w:p>
    <w:p w:rsidR="004D5254" w:rsidRDefault="004D5254" w:rsidP="004D5254">
      <w:pPr>
        <w:numPr>
          <w:ilvl w:val="0"/>
          <w:numId w:val="7"/>
        </w:numPr>
        <w:tabs>
          <w:tab w:val="left" w:pos="426"/>
        </w:tabs>
        <w:spacing w:after="0" w:line="240" w:lineRule="auto"/>
        <w:ind w:left="426" w:hanging="426"/>
        <w:rPr>
          <w:rStyle w:val="eutitle"/>
        </w:rPr>
      </w:pPr>
      <w:r>
        <w:rPr>
          <w:rStyle w:val="eutitle"/>
        </w:rPr>
        <w:t xml:space="preserve">Appendix 2 to the </w:t>
      </w:r>
      <w:r w:rsidRPr="00AD131B">
        <w:rPr>
          <w:rStyle w:val="eutitle"/>
        </w:rPr>
        <w:t>Guide</w:t>
      </w:r>
      <w:r>
        <w:rPr>
          <w:rStyle w:val="eutitle"/>
        </w:rPr>
        <w:t>line on the Evaluation of Anticancer Medicinal Products in Man (CPMP/EWP/205/95/Rev. 3) on Confirmatory studies in Haematological Malignancies, effective 17 December 2010;</w:t>
      </w:r>
    </w:p>
    <w:p w:rsidR="004D5254" w:rsidRDefault="004D5254" w:rsidP="004D5254">
      <w:pPr>
        <w:numPr>
          <w:ilvl w:val="0"/>
          <w:numId w:val="7"/>
        </w:numPr>
        <w:tabs>
          <w:tab w:val="left" w:pos="426"/>
        </w:tabs>
        <w:autoSpaceDE w:val="0"/>
        <w:autoSpaceDN w:val="0"/>
        <w:adjustRightInd w:val="0"/>
        <w:spacing w:after="0" w:line="240" w:lineRule="auto"/>
        <w:ind w:left="426" w:hanging="426"/>
      </w:pPr>
      <w:r w:rsidRPr="005815C6">
        <w:t>Guideline on Clinical Trials in Small Populations (CHMP/EWP/83561/2005)</w:t>
      </w:r>
      <w:r>
        <w:t>, effective December 2006; and</w:t>
      </w:r>
    </w:p>
    <w:p w:rsidR="004D5254" w:rsidRPr="00787855" w:rsidRDefault="004D5254" w:rsidP="004D5254">
      <w:pPr>
        <w:numPr>
          <w:ilvl w:val="0"/>
          <w:numId w:val="7"/>
        </w:numPr>
        <w:tabs>
          <w:tab w:val="left" w:pos="426"/>
        </w:tabs>
        <w:autoSpaceDE w:val="0"/>
        <w:autoSpaceDN w:val="0"/>
        <w:adjustRightInd w:val="0"/>
        <w:spacing w:after="0" w:line="240" w:lineRule="auto"/>
        <w:ind w:left="426" w:hanging="426"/>
      </w:pPr>
      <w:r w:rsidRPr="00BA6A2B">
        <w:t>Points to Consider on Validity and Interpretation of Meta-analyses, and One Pivotal Study (CPMP/EWP/2330/99), effective 27 March 2002.</w:t>
      </w:r>
    </w:p>
    <w:p w:rsidR="004D5254" w:rsidRDefault="004D5254" w:rsidP="0090319D">
      <w:pPr>
        <w:pStyle w:val="Heading2"/>
      </w:pPr>
      <w:bookmarkStart w:id="30" w:name="_Toc359930712"/>
      <w:bookmarkStart w:id="31" w:name="_Toc364764888"/>
      <w:r>
        <w:t>Contents of the clinical dossier</w:t>
      </w:r>
      <w:bookmarkEnd w:id="12"/>
      <w:bookmarkEnd w:id="13"/>
      <w:bookmarkEnd w:id="30"/>
      <w:bookmarkEnd w:id="31"/>
    </w:p>
    <w:p w:rsidR="004D5254" w:rsidRDefault="004D5254" w:rsidP="0090319D">
      <w:pPr>
        <w:pStyle w:val="Heading3"/>
      </w:pPr>
      <w:bookmarkStart w:id="32" w:name="_Toc359930713"/>
      <w:bookmarkStart w:id="33" w:name="_Toc364764889"/>
      <w:r>
        <w:t>Scope of the clinical dossier</w:t>
      </w:r>
      <w:bookmarkEnd w:id="32"/>
      <w:bookmarkEnd w:id="33"/>
    </w:p>
    <w:p w:rsidR="004D5254" w:rsidRDefault="004D5254" w:rsidP="004D5254">
      <w:r>
        <w:t>The submission contained the following clinical information:</w:t>
      </w:r>
    </w:p>
    <w:p w:rsidR="004D5254" w:rsidRPr="003665CA" w:rsidRDefault="004D5254" w:rsidP="004D5254">
      <w:pPr>
        <w:pStyle w:val="ListBullet"/>
        <w:numPr>
          <w:ilvl w:val="0"/>
          <w:numId w:val="1"/>
        </w:numPr>
      </w:pPr>
      <w:r>
        <w:t>Clinical pharmacology:</w:t>
      </w:r>
    </w:p>
    <w:p w:rsidR="004D5254" w:rsidRDefault="004D5254" w:rsidP="004D5254">
      <w:pPr>
        <w:pStyle w:val="ListBullet2"/>
        <w:numPr>
          <w:ilvl w:val="1"/>
          <w:numId w:val="1"/>
        </w:numPr>
      </w:pPr>
      <w:r>
        <w:t>Pharmacodynamic (PD) data from a Phase I/II trial in lymphoma patients (PDX-02-078);</w:t>
      </w:r>
    </w:p>
    <w:p w:rsidR="004D5254" w:rsidRPr="00C11502" w:rsidRDefault="004D5254" w:rsidP="004D5254">
      <w:pPr>
        <w:pStyle w:val="ListBullet2"/>
        <w:numPr>
          <w:ilvl w:val="1"/>
          <w:numId w:val="1"/>
        </w:numPr>
      </w:pPr>
      <w:r>
        <w:t>One study examining effects of pralatrexate on QT interval (PDX-007 QTc);</w:t>
      </w:r>
    </w:p>
    <w:p w:rsidR="004D5254" w:rsidRDefault="004D5254" w:rsidP="004D5254">
      <w:pPr>
        <w:pStyle w:val="ListBullet2"/>
        <w:numPr>
          <w:ilvl w:val="1"/>
          <w:numId w:val="1"/>
        </w:numPr>
      </w:pPr>
      <w:r>
        <w:t>One mass balance study in advanced cancer patients (PDX-016);</w:t>
      </w:r>
    </w:p>
    <w:p w:rsidR="004D5254" w:rsidRDefault="004D5254" w:rsidP="004D5254">
      <w:pPr>
        <w:pStyle w:val="ListBullet2"/>
        <w:numPr>
          <w:ilvl w:val="1"/>
          <w:numId w:val="1"/>
        </w:numPr>
      </w:pPr>
      <w:r>
        <w:t>One integrated analysis of pharmacokinetic (PK) data derived from three Phase I/II clinical studies (PDX-008, PDX-007 and PDX-99-083);</w:t>
      </w:r>
    </w:p>
    <w:p w:rsidR="004D5254" w:rsidRDefault="004D5254" w:rsidP="004D5254">
      <w:pPr>
        <w:pStyle w:val="ListBullet2"/>
        <w:numPr>
          <w:ilvl w:val="1"/>
          <w:numId w:val="1"/>
        </w:numPr>
      </w:pPr>
      <w:r>
        <w:t xml:space="preserve">One </w:t>
      </w:r>
      <w:r w:rsidRPr="00BE071B">
        <w:t xml:space="preserve">full population PK (POPPK) </w:t>
      </w:r>
      <w:r>
        <w:t>analysis;</w:t>
      </w:r>
    </w:p>
    <w:p w:rsidR="004D5254" w:rsidRPr="00CA03E0" w:rsidRDefault="004D5254" w:rsidP="004D5254">
      <w:pPr>
        <w:pStyle w:val="ListBullet2"/>
        <w:numPr>
          <w:ilvl w:val="1"/>
          <w:numId w:val="1"/>
        </w:numPr>
      </w:pPr>
      <w:r>
        <w:lastRenderedPageBreak/>
        <w:t>Protocol for an ongoing</w:t>
      </w:r>
      <w:r w:rsidRPr="00C11502">
        <w:t xml:space="preserve"> </w:t>
      </w:r>
      <w:r>
        <w:t>o</w:t>
      </w:r>
      <w:r w:rsidRPr="00C11502">
        <w:t xml:space="preserve">pen-label, </w:t>
      </w:r>
      <w:r>
        <w:t>Phase I</w:t>
      </w:r>
      <w:r w:rsidRPr="00C11502">
        <w:t xml:space="preserve"> </w:t>
      </w:r>
      <w:r>
        <w:t>s</w:t>
      </w:r>
      <w:r w:rsidRPr="00C11502">
        <w:t xml:space="preserve">tudy to </w:t>
      </w:r>
      <w:r>
        <w:t>evaluate the s</w:t>
      </w:r>
      <w:r w:rsidRPr="00C11502">
        <w:t xml:space="preserve">afety and </w:t>
      </w:r>
      <w:r>
        <w:t>PKs</w:t>
      </w:r>
      <w:r w:rsidRPr="00C11502">
        <w:t xml:space="preserve"> of </w:t>
      </w:r>
      <w:r>
        <w:t>p</w:t>
      </w:r>
      <w:r w:rsidRPr="00C11502">
        <w:t>ralatrexate in</w:t>
      </w:r>
      <w:r>
        <w:t xml:space="preserve"> cancer</w:t>
      </w:r>
      <w:r w:rsidRPr="00C11502">
        <w:t xml:space="preserve"> </w:t>
      </w:r>
      <w:r>
        <w:t>p</w:t>
      </w:r>
      <w:r w:rsidRPr="00C11502">
        <w:t xml:space="preserve">atients with </w:t>
      </w:r>
      <w:r>
        <w:t>m</w:t>
      </w:r>
      <w:r w:rsidRPr="00C11502">
        <w:t xml:space="preserve">ild, </w:t>
      </w:r>
      <w:r>
        <w:t>m</w:t>
      </w:r>
      <w:r w:rsidRPr="00C11502">
        <w:t xml:space="preserve">oderate and </w:t>
      </w:r>
      <w:r>
        <w:t>s</w:t>
      </w:r>
      <w:r w:rsidRPr="00C11502">
        <w:t xml:space="preserve">evere </w:t>
      </w:r>
      <w:r>
        <w:t>r</w:t>
      </w:r>
      <w:r w:rsidRPr="00C11502">
        <w:t xml:space="preserve">enal </w:t>
      </w:r>
      <w:r>
        <w:t>i</w:t>
      </w:r>
      <w:r w:rsidRPr="00C11502">
        <w:t>mpairment (PDX-019)</w:t>
      </w:r>
      <w:r>
        <w:t xml:space="preserve"> that is in the earliest stages of enrolment with no data generated as yet.</w:t>
      </w:r>
    </w:p>
    <w:p w:rsidR="004D5254" w:rsidRDefault="004D5254" w:rsidP="004D5254">
      <w:pPr>
        <w:pStyle w:val="ListBullet"/>
        <w:numPr>
          <w:ilvl w:val="0"/>
          <w:numId w:val="1"/>
        </w:numPr>
      </w:pPr>
      <w:r w:rsidRPr="005F51BB">
        <w:t>Efficacy</w:t>
      </w:r>
      <w:r>
        <w:t>/safety</w:t>
      </w:r>
      <w:r w:rsidRPr="005F51BB">
        <w:t xml:space="preserve"> studies:</w:t>
      </w:r>
    </w:p>
    <w:p w:rsidR="004D5254" w:rsidRDefault="004D5254" w:rsidP="004D5254">
      <w:pPr>
        <w:pStyle w:val="ListBullet2"/>
        <w:numPr>
          <w:ilvl w:val="1"/>
          <w:numId w:val="1"/>
        </w:numPr>
      </w:pPr>
      <w:r>
        <w:t xml:space="preserve">One ongoing </w:t>
      </w:r>
      <w:r w:rsidRPr="000E54DC">
        <w:rPr>
          <w:b/>
        </w:rPr>
        <w:t>pivotal</w:t>
      </w:r>
      <w:r>
        <w:t xml:space="preserve"> Phase II study involving 115 patients with </w:t>
      </w:r>
      <w:r w:rsidRPr="00535EED">
        <w:rPr>
          <w:color w:val="000000"/>
        </w:rPr>
        <w:t>relapsed or refractory PTCL</w:t>
      </w:r>
      <w:r>
        <w:rPr>
          <w:color w:val="000000"/>
        </w:rPr>
        <w:t xml:space="preserve">, of whom 111 </w:t>
      </w:r>
      <w:r w:rsidRPr="00535EED">
        <w:rPr>
          <w:color w:val="000000"/>
        </w:rPr>
        <w:t>were treated with pralatrexate</w:t>
      </w:r>
      <w:r>
        <w:t xml:space="preserve"> (PDX-008, also known as PROPEL). Enrolment was completed and a full clinical study report (CSR) was submitted;</w:t>
      </w:r>
    </w:p>
    <w:p w:rsidR="004D5254" w:rsidRPr="008B53AA" w:rsidRDefault="004D5254" w:rsidP="004D5254">
      <w:pPr>
        <w:pStyle w:val="ListBullet2"/>
        <w:numPr>
          <w:ilvl w:val="1"/>
          <w:numId w:val="1"/>
        </w:numPr>
      </w:pPr>
      <w:r>
        <w:t>One Phase I/II study involving</w:t>
      </w:r>
      <w:r>
        <w:rPr>
          <w:color w:val="000000"/>
        </w:rPr>
        <w:t xml:space="preserve"> </w:t>
      </w:r>
      <w:r w:rsidRPr="008B53AA">
        <w:rPr>
          <w:color w:val="000000"/>
        </w:rPr>
        <w:t xml:space="preserve">72 adult patients with relapsed or refractory </w:t>
      </w:r>
      <w:r>
        <w:rPr>
          <w:color w:val="000000"/>
        </w:rPr>
        <w:t>non-</w:t>
      </w:r>
      <w:r w:rsidRPr="00577EF5">
        <w:rPr>
          <w:color w:val="000000"/>
        </w:rPr>
        <w:t xml:space="preserve"> </w:t>
      </w:r>
      <w:r w:rsidRPr="008B53AA">
        <w:rPr>
          <w:color w:val="000000"/>
        </w:rPr>
        <w:t xml:space="preserve">Hodgkin’s lymphoma </w:t>
      </w:r>
      <w:r>
        <w:rPr>
          <w:color w:val="000000"/>
        </w:rPr>
        <w:t>(</w:t>
      </w:r>
      <w:r w:rsidRPr="008B53AA">
        <w:rPr>
          <w:color w:val="000000"/>
        </w:rPr>
        <w:t>NHL</w:t>
      </w:r>
      <w:r>
        <w:rPr>
          <w:color w:val="000000"/>
        </w:rPr>
        <w:t>)</w:t>
      </w:r>
      <w:r w:rsidRPr="008B53AA">
        <w:rPr>
          <w:color w:val="000000"/>
        </w:rPr>
        <w:t xml:space="preserve"> or Hodgkin’s lymphoma, of whom 36 (50%) had T/natural killer (NK)-cell lymphoma</w:t>
      </w:r>
      <w:r>
        <w:rPr>
          <w:color w:val="000000"/>
        </w:rPr>
        <w:t xml:space="preserve"> </w:t>
      </w:r>
      <w:r>
        <w:t>(PDX-02-078 – also listed under clinical pharmacology studies above). This study was completed and a full CSR was submitted;</w:t>
      </w:r>
    </w:p>
    <w:p w:rsidR="004D5254" w:rsidRDefault="004D5254" w:rsidP="004D5254">
      <w:pPr>
        <w:pStyle w:val="ListBullet2"/>
        <w:numPr>
          <w:ilvl w:val="1"/>
          <w:numId w:val="1"/>
        </w:numPr>
      </w:pPr>
      <w:r>
        <w:t>Twelve Phase I/II studies (1 controlled; 11 uncontrolled) in varied stages of completion, conducted in other cancer indications and using treatment regimens other than that proposed, and which have been evaluated only from a safety point of view in this CER:</w:t>
      </w:r>
    </w:p>
    <w:p w:rsidR="004D5254" w:rsidRDefault="004D5254" w:rsidP="004D5254">
      <w:pPr>
        <w:pStyle w:val="ListBullet3"/>
        <w:numPr>
          <w:ilvl w:val="2"/>
          <w:numId w:val="1"/>
        </w:numPr>
      </w:pPr>
      <w:r>
        <w:t xml:space="preserve">pralatrexate combined with gemcitabine for treatment of relapsed of refractory lymphoproliferative malignancies (PDX-009 - enrolment ongoing, interim CSR submitted); </w:t>
      </w:r>
    </w:p>
    <w:p w:rsidR="004D5254" w:rsidRDefault="004D5254" w:rsidP="004D5254">
      <w:pPr>
        <w:pStyle w:val="ListBullet3"/>
        <w:numPr>
          <w:ilvl w:val="2"/>
          <w:numId w:val="1"/>
        </w:numPr>
      </w:pPr>
      <w:r>
        <w:t>relapsed or refractory cutaneous T-cell lymphoma (PDX-010 – study ongoing, interim CSR submitted);</w:t>
      </w:r>
    </w:p>
    <w:p w:rsidR="004D5254" w:rsidRDefault="004D5254" w:rsidP="004D5254">
      <w:pPr>
        <w:pStyle w:val="ListBullet3"/>
        <w:numPr>
          <w:ilvl w:val="2"/>
          <w:numId w:val="1"/>
        </w:numPr>
      </w:pPr>
      <w:r>
        <w:t>advanced solid tumours (PDX-97-006, PDX-01-014 - both studies completed, abbreviated CSRs submitted);</w:t>
      </w:r>
    </w:p>
    <w:p w:rsidR="004D5254" w:rsidRDefault="004D5254" w:rsidP="004D5254">
      <w:pPr>
        <w:pStyle w:val="ListBullet3"/>
        <w:numPr>
          <w:ilvl w:val="2"/>
          <w:numId w:val="1"/>
        </w:numPr>
      </w:pPr>
      <w:r>
        <w:t>stage IIIB or IV non small cell lung cancer (PDX 99-053 - study completed, abbreviated CSR submitted; PDX-007 - study completed, full CSR submitted; PDX-012 – comparative ongoing study of PDX versus erlotinib interim CSR submitted);</w:t>
      </w:r>
    </w:p>
    <w:p w:rsidR="004D5254" w:rsidRDefault="004D5254" w:rsidP="004D5254">
      <w:pPr>
        <w:pStyle w:val="ListBullet3"/>
        <w:numPr>
          <w:ilvl w:val="2"/>
          <w:numId w:val="1"/>
        </w:numPr>
      </w:pPr>
      <w:r>
        <w:t>pralatrexate combined with a taxane (paclitaxel or docetaxel) for treatment of “advanced cancer” (PDX 99-083 - study completed, abbreviated CSR submitted);</w:t>
      </w:r>
    </w:p>
    <w:p w:rsidR="004D5254" w:rsidRDefault="004D5254" w:rsidP="004D5254">
      <w:pPr>
        <w:pStyle w:val="ListBullet3"/>
        <w:numPr>
          <w:ilvl w:val="2"/>
          <w:numId w:val="1"/>
        </w:numPr>
      </w:pPr>
      <w:r>
        <w:t xml:space="preserve"> unresectable malignant pleural mesothelioma (PDX-01-076- study completed, abbreviated CSR submitted);</w:t>
      </w:r>
    </w:p>
    <w:p w:rsidR="004D5254" w:rsidRDefault="004D5254" w:rsidP="004D5254">
      <w:pPr>
        <w:pStyle w:val="ListBullet3"/>
        <w:numPr>
          <w:ilvl w:val="2"/>
          <w:numId w:val="1"/>
        </w:numPr>
      </w:pPr>
      <w:r>
        <w:t>advanced or metastatic relapsed transitional cell carcinoma of the urinary bladder (PDX-011 – enrolment ongoing, interim CSR submitted);</w:t>
      </w:r>
    </w:p>
    <w:p w:rsidR="004D5254" w:rsidRDefault="004D5254" w:rsidP="004D5254">
      <w:pPr>
        <w:pStyle w:val="ListBullet3"/>
        <w:numPr>
          <w:ilvl w:val="2"/>
          <w:numId w:val="1"/>
        </w:numPr>
      </w:pPr>
      <w:r>
        <w:t>advanced or metastatic breast cancer (PDX-014 – enrolment ongoing, synopsis of interim CSR submitted); and</w:t>
      </w:r>
    </w:p>
    <w:p w:rsidR="004D5254" w:rsidRDefault="004D5254" w:rsidP="004D5254">
      <w:pPr>
        <w:pStyle w:val="ListBullet3"/>
        <w:numPr>
          <w:ilvl w:val="2"/>
          <w:numId w:val="1"/>
        </w:numPr>
      </w:pPr>
      <w:r w:rsidRPr="008B53AA">
        <w:rPr>
          <w:color w:val="000000"/>
        </w:rPr>
        <w:t xml:space="preserve">relapsed or refractory </w:t>
      </w:r>
      <w:r>
        <w:rPr>
          <w:color w:val="000000"/>
        </w:rPr>
        <w:t xml:space="preserve">B-cell </w:t>
      </w:r>
      <w:r w:rsidRPr="008B53AA">
        <w:rPr>
          <w:color w:val="000000"/>
        </w:rPr>
        <w:t>NHL</w:t>
      </w:r>
      <w:r>
        <w:rPr>
          <w:color w:val="000000"/>
        </w:rPr>
        <w:t xml:space="preserve"> </w:t>
      </w:r>
      <w:r>
        <w:t>(PDX-015 – enrolment ongoing, synopsis of interim CSR submitted).</w:t>
      </w:r>
    </w:p>
    <w:p w:rsidR="004D5254" w:rsidRDefault="004D5254" w:rsidP="004D5254">
      <w:pPr>
        <w:pStyle w:val="ListBullet2"/>
        <w:numPr>
          <w:ilvl w:val="1"/>
          <w:numId w:val="1"/>
        </w:numPr>
      </w:pPr>
      <w:r>
        <w:t>Details (but no data) were also submitted for two confirmatory Phase III, controlled clinical studies pertinent to the proposed indication of PTCL:</w:t>
      </w:r>
    </w:p>
    <w:p w:rsidR="004D5254" w:rsidRPr="007832F7" w:rsidRDefault="004D5254" w:rsidP="004D5254">
      <w:pPr>
        <w:pStyle w:val="ListBullet3"/>
        <w:numPr>
          <w:ilvl w:val="2"/>
          <w:numId w:val="1"/>
        </w:numPr>
      </w:pPr>
      <w:r w:rsidRPr="007832F7">
        <w:t xml:space="preserve">PDX-017 (Protocol submitted) – a randomised, study of sequential pralatrexate </w:t>
      </w:r>
      <w:r>
        <w:t xml:space="preserve">versus </w:t>
      </w:r>
      <w:r w:rsidRPr="007832F7">
        <w:t>observation in patients with previously undiagnosed PTCL who</w:t>
      </w:r>
      <w:r>
        <w:t xml:space="preserve"> </w:t>
      </w:r>
      <w:r w:rsidRPr="007832F7">
        <w:t>achieved a response after completing at least 6 cycles of cyclophosphamide, doxorubicin,</w:t>
      </w:r>
      <w:r>
        <w:t xml:space="preserve"> </w:t>
      </w:r>
      <w:r w:rsidRPr="007832F7">
        <w:t>vincristine, and prednisone (CHOP)-based treatment.</w:t>
      </w:r>
      <w:r>
        <w:t xml:space="preserve"> </w:t>
      </w:r>
      <w:r w:rsidRPr="007832F7">
        <w:rPr>
          <w:rFonts w:eastAsia="TimesNewRoman" w:cs="TimesNewRoman"/>
        </w:rPr>
        <w:t>Th</w:t>
      </w:r>
      <w:r>
        <w:rPr>
          <w:rFonts w:eastAsia="TimesNewRoman" w:cs="TimesNewRoman"/>
        </w:rPr>
        <w:t>e</w:t>
      </w:r>
      <w:r w:rsidRPr="007832F7">
        <w:rPr>
          <w:rFonts w:eastAsia="TimesNewRoman" w:cs="TimesNewRoman"/>
        </w:rPr>
        <w:t xml:space="preserve"> study is open to enrolment in the US, UK and Australia</w:t>
      </w:r>
      <w:r w:rsidRPr="007832F7">
        <w:t xml:space="preserve"> with </w:t>
      </w:r>
      <w:r>
        <w:t>a target</w:t>
      </w:r>
      <w:r w:rsidRPr="007832F7">
        <w:t xml:space="preserve"> of 549 patients randomised 2:1 to pralatrexate or observation, with follow-up through 7 years post-randomisation. </w:t>
      </w:r>
    </w:p>
    <w:p w:rsidR="004D5254" w:rsidRPr="003E49BA" w:rsidRDefault="004D5254" w:rsidP="004D5254">
      <w:pPr>
        <w:pStyle w:val="ListBullet3"/>
        <w:numPr>
          <w:ilvl w:val="2"/>
          <w:numId w:val="1"/>
        </w:numPr>
      </w:pPr>
      <w:r w:rsidRPr="003E49BA">
        <w:t>PDX-3501 (</w:t>
      </w:r>
      <w:r>
        <w:t>Protocol s</w:t>
      </w:r>
      <w:r w:rsidRPr="003E49BA">
        <w:t xml:space="preserve">ynopsis submitted) </w:t>
      </w:r>
      <w:r>
        <w:t>–</w:t>
      </w:r>
      <w:r w:rsidRPr="003E49BA">
        <w:t xml:space="preserve"> </w:t>
      </w:r>
      <w:r>
        <w:t xml:space="preserve">a </w:t>
      </w:r>
      <w:r w:rsidRPr="003E49BA">
        <w:t xml:space="preserve">randomised, comparative, open-label, study of pralatrexate </w:t>
      </w:r>
      <w:r>
        <w:t xml:space="preserve">versus </w:t>
      </w:r>
      <w:r w:rsidRPr="003E49BA">
        <w:t>treatment of physician’s choice in patients who have progressed after at least one prior therapy for PTCL.</w:t>
      </w:r>
      <w:r>
        <w:t xml:space="preserve"> </w:t>
      </w:r>
      <w:r w:rsidRPr="003E49BA">
        <w:t xml:space="preserve">This study is currently in the </w:t>
      </w:r>
      <w:r w:rsidRPr="003E49BA">
        <w:lastRenderedPageBreak/>
        <w:t>planning and initiation stages.</w:t>
      </w:r>
      <w:r>
        <w:t xml:space="preserve"> </w:t>
      </w:r>
      <w:r w:rsidRPr="003E49BA">
        <w:t>It is planned that 148 adult patients will be enrolled to obtain 108 events (deaths).</w:t>
      </w:r>
      <w:r>
        <w:t xml:space="preserve"> </w:t>
      </w:r>
      <w:r w:rsidRPr="003E49BA">
        <w:t>Subjects will be randomised in a 1:1</w:t>
      </w:r>
      <w:r>
        <w:t>.</w:t>
      </w:r>
      <w:r w:rsidRPr="003E49BA">
        <w:t xml:space="preserve"> </w:t>
      </w:r>
    </w:p>
    <w:p w:rsidR="004D5254" w:rsidRPr="002663FB" w:rsidRDefault="004D5254" w:rsidP="004D5254">
      <w:pPr>
        <w:pStyle w:val="ListBullet"/>
        <w:numPr>
          <w:ilvl w:val="0"/>
          <w:numId w:val="1"/>
        </w:numPr>
      </w:pPr>
      <w:r>
        <w:t xml:space="preserve">an </w:t>
      </w:r>
      <w:r w:rsidRPr="00105343">
        <w:rPr>
          <w:i/>
        </w:rPr>
        <w:t>Integrated Summary of Safety</w:t>
      </w:r>
      <w:r>
        <w:rPr>
          <w:i/>
        </w:rPr>
        <w:t xml:space="preserve"> Tables</w:t>
      </w:r>
      <w:r>
        <w:t xml:space="preserve"> which comprised a collation of summary safety tables for the various treatment populations in the clinical development program and a document titled </w:t>
      </w:r>
      <w:r w:rsidRPr="002663FB">
        <w:rPr>
          <w:i/>
        </w:rPr>
        <w:t>Updated Safety Tables, Listings and Narratives</w:t>
      </w:r>
      <w:r>
        <w:t xml:space="preserve"> that </w:t>
      </w:r>
      <w:r w:rsidRPr="002663FB">
        <w:t>present</w:t>
      </w:r>
      <w:r>
        <w:t xml:space="preserve">ed supplemental </w:t>
      </w:r>
      <w:r w:rsidRPr="003A0426">
        <w:t xml:space="preserve">tables and listings </w:t>
      </w:r>
      <w:r>
        <w:t>generated in</w:t>
      </w:r>
      <w:r w:rsidRPr="003A0426">
        <w:t xml:space="preserve"> response</w:t>
      </w:r>
      <w:r>
        <w:t xml:space="preserve"> </w:t>
      </w:r>
      <w:r w:rsidRPr="003A0426">
        <w:t xml:space="preserve">to the </w:t>
      </w:r>
      <w:r>
        <w:t xml:space="preserve">European </w:t>
      </w:r>
      <w:r w:rsidRPr="003A0426">
        <w:t>Day 120 List of Questions</w:t>
      </w:r>
      <w:r>
        <w:t>;</w:t>
      </w:r>
    </w:p>
    <w:p w:rsidR="004D5254" w:rsidRDefault="004D5254" w:rsidP="004D5254">
      <w:pPr>
        <w:pStyle w:val="ListBullet"/>
        <w:numPr>
          <w:ilvl w:val="0"/>
          <w:numId w:val="1"/>
        </w:numPr>
      </w:pPr>
      <w:r>
        <w:t xml:space="preserve">Post-marketing safety data from seven post-marketing safety update reports (PSURs) covering the period September 2009 to June 2011; and </w:t>
      </w:r>
    </w:p>
    <w:p w:rsidR="004D5254" w:rsidRPr="006A08A1" w:rsidRDefault="004D5254" w:rsidP="004D5254">
      <w:pPr>
        <w:pStyle w:val="ListBullet"/>
        <w:numPr>
          <w:ilvl w:val="0"/>
          <w:numId w:val="1"/>
        </w:numPr>
      </w:pPr>
      <w:r>
        <w:t>348 l</w:t>
      </w:r>
      <w:r w:rsidRPr="006A08A1">
        <w:t>iterature references</w:t>
      </w:r>
      <w:r>
        <w:t>.</w:t>
      </w:r>
    </w:p>
    <w:p w:rsidR="004D5254" w:rsidRDefault="004D5254" w:rsidP="004D5254">
      <w:pPr>
        <w:pStyle w:val="Heading3"/>
        <w:numPr>
          <w:ilvl w:val="1"/>
          <w:numId w:val="5"/>
        </w:numPr>
      </w:pPr>
      <w:bookmarkStart w:id="34" w:name="_Toc359930714"/>
      <w:bookmarkStart w:id="35" w:name="_Toc364764890"/>
      <w:r>
        <w:t>Paediatric data</w:t>
      </w:r>
      <w:bookmarkEnd w:id="34"/>
      <w:bookmarkEnd w:id="35"/>
    </w:p>
    <w:p w:rsidR="004D5254" w:rsidRDefault="004D5254" w:rsidP="004D5254">
      <w:pPr>
        <w:rPr>
          <w:rFonts w:eastAsia="TimesNewRoman" w:cs="TimesNewRoman"/>
        </w:rPr>
      </w:pPr>
      <w:r>
        <w:t xml:space="preserve">The submission did not include paediatric data. However, the sponsor has, appropriately, developed a </w:t>
      </w:r>
      <w:r w:rsidRPr="003C182A">
        <w:rPr>
          <w:rFonts w:eastAsia="TimesNewRoman" w:cs="TimesNewRoman"/>
        </w:rPr>
        <w:t xml:space="preserve">paediatric investigation plan </w:t>
      </w:r>
      <w:r>
        <w:rPr>
          <w:rFonts w:eastAsia="TimesNewRoman" w:cs="TimesNewRoman"/>
        </w:rPr>
        <w:t xml:space="preserve">(PIP) </w:t>
      </w:r>
      <w:r w:rsidRPr="003C182A">
        <w:rPr>
          <w:rFonts w:eastAsia="TimesNewRoman" w:cs="TimesNewRoman"/>
        </w:rPr>
        <w:t>for pralatrexate</w:t>
      </w:r>
      <w:r>
        <w:rPr>
          <w:rFonts w:eastAsia="TimesNewRoman" w:cs="TimesNewRoman"/>
        </w:rPr>
        <w:t xml:space="preserve">. </w:t>
      </w:r>
      <w:r w:rsidRPr="003C182A">
        <w:rPr>
          <w:rFonts w:eastAsia="TimesNewRoman" w:cs="TimesNewRoman"/>
        </w:rPr>
        <w:t xml:space="preserve">The indications targeted by the </w:t>
      </w:r>
      <w:r>
        <w:rPr>
          <w:rFonts w:eastAsia="TimesNewRoman" w:cs="TimesNewRoman"/>
        </w:rPr>
        <w:t>PIP are the</w:t>
      </w:r>
      <w:r w:rsidRPr="003C182A">
        <w:rPr>
          <w:rFonts w:eastAsia="TimesNewRoman" w:cs="TimesNewRoman"/>
        </w:rPr>
        <w:t xml:space="preserve"> treatment of</w:t>
      </w:r>
      <w:r>
        <w:rPr>
          <w:rFonts w:eastAsia="TimesNewRoman" w:cs="TimesNewRoman"/>
        </w:rPr>
        <w:t xml:space="preserve"> </w:t>
      </w:r>
      <w:r w:rsidRPr="003C182A">
        <w:rPr>
          <w:rFonts w:eastAsia="TimesNewRoman" w:cs="TimesNewRoman"/>
        </w:rPr>
        <w:t xml:space="preserve">paediatric patients </w:t>
      </w:r>
      <w:r>
        <w:rPr>
          <w:rFonts w:eastAsia="TimesNewRoman" w:cs="TimesNewRoman"/>
        </w:rPr>
        <w:t>aged 3 to 18 years with:</w:t>
      </w:r>
    </w:p>
    <w:p w:rsidR="004D5254" w:rsidRDefault="004D5254" w:rsidP="004D5254">
      <w:pPr>
        <w:pStyle w:val="Bullet2"/>
        <w:numPr>
          <w:ilvl w:val="0"/>
          <w:numId w:val="10"/>
        </w:numPr>
        <w:tabs>
          <w:tab w:val="clear" w:pos="567"/>
          <w:tab w:val="num" w:pos="426"/>
        </w:tabs>
        <w:ind w:left="426" w:hanging="426"/>
        <w:rPr>
          <w:rFonts w:eastAsia="TimesNewRoman"/>
          <w:kern w:val="0"/>
        </w:rPr>
      </w:pPr>
      <w:r w:rsidRPr="003C182A">
        <w:rPr>
          <w:rFonts w:eastAsia="TimesNewRoman"/>
          <w:kern w:val="0"/>
        </w:rPr>
        <w:t xml:space="preserve">first relapse or primary refractory mature B-cell </w:t>
      </w:r>
      <w:r>
        <w:rPr>
          <w:rFonts w:eastAsia="TimesNewRoman"/>
          <w:kern w:val="0"/>
        </w:rPr>
        <w:t>NHL;</w:t>
      </w:r>
    </w:p>
    <w:p w:rsidR="004D5254" w:rsidRDefault="004D5254" w:rsidP="004D5254">
      <w:pPr>
        <w:pStyle w:val="Bullet2"/>
        <w:numPr>
          <w:ilvl w:val="0"/>
          <w:numId w:val="10"/>
        </w:numPr>
        <w:tabs>
          <w:tab w:val="clear" w:pos="567"/>
          <w:tab w:val="num" w:pos="426"/>
        </w:tabs>
        <w:ind w:left="426" w:hanging="426"/>
        <w:rPr>
          <w:rFonts w:eastAsia="TimesNewRoman"/>
          <w:kern w:val="0"/>
        </w:rPr>
      </w:pPr>
      <w:r w:rsidRPr="003C182A">
        <w:rPr>
          <w:rFonts w:eastAsia="TimesNewRoman"/>
          <w:kern w:val="0"/>
        </w:rPr>
        <w:t>peripheral T-cell lymphoma (nodal, other</w:t>
      </w:r>
      <w:r>
        <w:rPr>
          <w:rFonts w:eastAsia="TimesNewRoman"/>
          <w:kern w:val="0"/>
        </w:rPr>
        <w:t xml:space="preserve"> </w:t>
      </w:r>
      <w:r w:rsidRPr="003C182A">
        <w:rPr>
          <w:rFonts w:eastAsia="TimesNewRoman"/>
          <w:kern w:val="0"/>
        </w:rPr>
        <w:t>extranodal and leukaemic disseminated)</w:t>
      </w:r>
      <w:r>
        <w:rPr>
          <w:rFonts w:eastAsia="TimesNewRoman"/>
          <w:kern w:val="0"/>
        </w:rPr>
        <w:t>;</w:t>
      </w:r>
      <w:r w:rsidRPr="003C182A">
        <w:rPr>
          <w:rFonts w:eastAsia="TimesNewRoman"/>
          <w:kern w:val="0"/>
        </w:rPr>
        <w:t xml:space="preserve"> </w:t>
      </w:r>
      <w:r>
        <w:rPr>
          <w:rFonts w:eastAsia="TimesNewRoman"/>
          <w:kern w:val="0"/>
        </w:rPr>
        <w:t>and</w:t>
      </w:r>
    </w:p>
    <w:p w:rsidR="004D5254" w:rsidRDefault="004D5254" w:rsidP="004D5254">
      <w:pPr>
        <w:pStyle w:val="Bullet2"/>
        <w:numPr>
          <w:ilvl w:val="0"/>
          <w:numId w:val="10"/>
        </w:numPr>
        <w:tabs>
          <w:tab w:val="clear" w:pos="567"/>
          <w:tab w:val="num" w:pos="426"/>
        </w:tabs>
        <w:ind w:left="426" w:hanging="426"/>
        <w:rPr>
          <w:rFonts w:eastAsia="TimesNewRoman"/>
          <w:kern w:val="0"/>
        </w:rPr>
      </w:pPr>
      <w:r w:rsidRPr="003C182A">
        <w:rPr>
          <w:rFonts w:eastAsia="TimesNewRoman"/>
          <w:kern w:val="0"/>
        </w:rPr>
        <w:t xml:space="preserve">lymphoblastic </w:t>
      </w:r>
      <w:r>
        <w:rPr>
          <w:rFonts w:eastAsia="TimesNewRoman"/>
          <w:kern w:val="0"/>
        </w:rPr>
        <w:t xml:space="preserve">NHL. </w:t>
      </w:r>
    </w:p>
    <w:p w:rsidR="004D5254" w:rsidRDefault="004D5254" w:rsidP="004D5254">
      <w:pPr>
        <w:rPr>
          <w:rFonts w:eastAsia="TimesNewRoman" w:cs="TimesNewRoman"/>
        </w:rPr>
      </w:pPr>
      <w:r>
        <w:rPr>
          <w:rFonts w:eastAsia="TimesNewRoman" w:cs="TimesNewRoman"/>
        </w:rPr>
        <w:t>The plan proposes to use 2 pharmaceutical forms - so</w:t>
      </w:r>
      <w:r w:rsidRPr="003C182A">
        <w:rPr>
          <w:rFonts w:eastAsia="TimesNewRoman" w:cs="TimesNewRoman"/>
        </w:rPr>
        <w:t xml:space="preserve">lution for infusion for intravenous use and </w:t>
      </w:r>
      <w:r>
        <w:rPr>
          <w:rFonts w:eastAsia="TimesNewRoman" w:cs="TimesNewRoman"/>
        </w:rPr>
        <w:t xml:space="preserve">a </w:t>
      </w:r>
      <w:r w:rsidRPr="003C182A">
        <w:rPr>
          <w:rFonts w:eastAsia="TimesNewRoman" w:cs="TimesNewRoman"/>
        </w:rPr>
        <w:t>solution for</w:t>
      </w:r>
      <w:r>
        <w:rPr>
          <w:rFonts w:eastAsia="TimesNewRoman" w:cs="TimesNewRoman"/>
        </w:rPr>
        <w:t xml:space="preserve"> </w:t>
      </w:r>
      <w:r w:rsidRPr="003C182A">
        <w:rPr>
          <w:rFonts w:eastAsia="TimesNewRoman" w:cs="TimesNewRoman"/>
        </w:rPr>
        <w:t>injection for intrathecal use</w:t>
      </w:r>
      <w:r>
        <w:rPr>
          <w:rFonts w:eastAsia="TimesNewRoman" w:cs="TimesNewRoman"/>
        </w:rPr>
        <w:t xml:space="preserve"> (to be developed)</w:t>
      </w:r>
      <w:r w:rsidRPr="003C182A">
        <w:rPr>
          <w:rFonts w:eastAsia="TimesNewRoman" w:cs="TimesNewRoman"/>
        </w:rPr>
        <w:t xml:space="preserve">. </w:t>
      </w:r>
    </w:p>
    <w:p w:rsidR="004D5254" w:rsidRDefault="004D5254" w:rsidP="004D5254">
      <w:pPr>
        <w:rPr>
          <w:rFonts w:eastAsia="TimesNewRoman" w:cs="TimesNewRoman"/>
        </w:rPr>
      </w:pPr>
      <w:r>
        <w:rPr>
          <w:rFonts w:eastAsia="TimesNewRoman" w:cs="TimesNewRoman"/>
        </w:rPr>
        <w:t>Three clinical studies are proposed in the PIP:</w:t>
      </w:r>
    </w:p>
    <w:p w:rsidR="004D5254" w:rsidRDefault="004D5254" w:rsidP="004D5254">
      <w:pPr>
        <w:numPr>
          <w:ilvl w:val="0"/>
          <w:numId w:val="12"/>
        </w:numPr>
        <w:tabs>
          <w:tab w:val="clear" w:pos="567"/>
          <w:tab w:val="num" w:pos="426"/>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425" w:hanging="425"/>
        <w:rPr>
          <w:rFonts w:eastAsia="TimesNewRoman" w:cs="TimesNewRoman"/>
        </w:rPr>
      </w:pPr>
      <w:r>
        <w:rPr>
          <w:rFonts w:eastAsia="TimesNewRoman" w:cs="TimesNewRoman"/>
        </w:rPr>
        <w:t>an open-label multicentre, single arm, dose-finding study to evaluate the safety, pharmacokinetics and activity of high-dose pralatrexate with and without leucovorin in 36 patients aged 3 -18 years with relapsed or primary refractory diffuse large B-cell lymphoma (DLBCL), anaplastic large cell lymphoma (ALCL), T-cell lymphoblastic lymphoma (T-LBL) or precursor B-cell lymphoblastic lymphoma (pB-LBL);</w:t>
      </w:r>
    </w:p>
    <w:p w:rsidR="004D5254" w:rsidRDefault="004D5254" w:rsidP="004D5254">
      <w:pPr>
        <w:numPr>
          <w:ilvl w:val="0"/>
          <w:numId w:val="12"/>
        </w:numPr>
        <w:tabs>
          <w:tab w:val="clear" w:pos="567"/>
          <w:tab w:val="num" w:pos="426"/>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425" w:hanging="425"/>
        <w:rPr>
          <w:rFonts w:eastAsia="TimesNewRoman" w:cs="TimesNewRoman"/>
        </w:rPr>
      </w:pPr>
      <w:r>
        <w:rPr>
          <w:rFonts w:eastAsia="TimesNewRoman" w:cs="TimesNewRoman"/>
        </w:rPr>
        <w:t>a randomised, controlled, centrally blinded non-inferiority study comparing the pharmacodynamics, efficacy and safety of high-dose pralatrexate with leucovorin rescue in at least 260 patients aged 3 -18 years with relapsed or primary refractory DLBCL, ALCL, T-LBL or pB-LBL; and</w:t>
      </w:r>
    </w:p>
    <w:p w:rsidR="004D5254" w:rsidRDefault="004D5254" w:rsidP="004D5254">
      <w:pPr>
        <w:numPr>
          <w:ilvl w:val="0"/>
          <w:numId w:val="12"/>
        </w:numPr>
        <w:tabs>
          <w:tab w:val="clear" w:pos="567"/>
          <w:tab w:val="num" w:pos="426"/>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425" w:hanging="425"/>
        <w:rPr>
          <w:rFonts w:eastAsia="TimesNewRoman" w:cs="TimesNewRoman"/>
        </w:rPr>
      </w:pPr>
      <w:r>
        <w:rPr>
          <w:rFonts w:eastAsia="TimesNewRoman" w:cs="TimesNewRoman"/>
        </w:rPr>
        <w:t>an open-label dose-finding study to evaluate the pharmacokinetics, safety and maximum tolerated dose (MTD) in patients aged 3 -18 years with CNS involvement of DLBCL, ALCL, T-LBL or pB-LBL previously treated with one or more systemic treatment that included intrathecal methotrexate.</w:t>
      </w:r>
    </w:p>
    <w:p w:rsidR="004D5254" w:rsidRPr="003C182A" w:rsidRDefault="004D5254" w:rsidP="004D5254">
      <w:pPr>
        <w:rPr>
          <w:rFonts w:eastAsia="TimesNewRoman" w:cs="TimesNewRoman"/>
        </w:rPr>
      </w:pPr>
      <w:r>
        <w:rPr>
          <w:rFonts w:eastAsia="TimesNewRoman" w:cs="TimesNewRoman"/>
        </w:rPr>
        <w:t>The PIP was approved by the EMA in November 2010 but t</w:t>
      </w:r>
      <w:r w:rsidRPr="003C182A">
        <w:rPr>
          <w:rFonts w:eastAsia="TimesNewRoman" w:cs="TimesNewRoman"/>
        </w:rPr>
        <w:t xml:space="preserve">he completion of </w:t>
      </w:r>
      <w:r>
        <w:rPr>
          <w:rFonts w:eastAsia="TimesNewRoman" w:cs="TimesNewRoman"/>
        </w:rPr>
        <w:t>the</w:t>
      </w:r>
      <w:r w:rsidRPr="003C182A">
        <w:rPr>
          <w:rFonts w:eastAsia="TimesNewRoman" w:cs="TimesNewRoman"/>
        </w:rPr>
        <w:t xml:space="preserve"> studies was deferred</w:t>
      </w:r>
      <w:r>
        <w:rPr>
          <w:rFonts w:eastAsia="TimesNewRoman" w:cs="TimesNewRoman"/>
        </w:rPr>
        <w:t xml:space="preserve"> until 2021</w:t>
      </w:r>
      <w:r w:rsidRPr="003C182A">
        <w:rPr>
          <w:rFonts w:eastAsia="TimesNewRoman" w:cs="TimesNewRoman"/>
        </w:rPr>
        <w:t>.</w:t>
      </w:r>
    </w:p>
    <w:p w:rsidR="004D5254" w:rsidRDefault="004D5254" w:rsidP="004D5254">
      <w:pPr>
        <w:autoSpaceDE w:val="0"/>
        <w:autoSpaceDN w:val="0"/>
        <w:adjustRightInd w:val="0"/>
        <w:rPr>
          <w:rFonts w:eastAsia="TimesNewRoman" w:cs="TimesNewRoman"/>
        </w:rPr>
      </w:pPr>
      <w:r>
        <w:rPr>
          <w:rFonts w:eastAsia="TimesNewRoman" w:cs="TimesNewRoman"/>
        </w:rPr>
        <w:t>Also, w</w:t>
      </w:r>
      <w:r w:rsidRPr="003C182A">
        <w:rPr>
          <w:rFonts w:eastAsia="TimesNewRoman" w:cs="TimesNewRoman"/>
        </w:rPr>
        <w:t>aiver</w:t>
      </w:r>
      <w:r>
        <w:rPr>
          <w:rFonts w:eastAsia="TimesNewRoman" w:cs="TimesNewRoman"/>
        </w:rPr>
        <w:t>s</w:t>
      </w:r>
      <w:r w:rsidRPr="003C182A">
        <w:rPr>
          <w:rFonts w:eastAsia="TimesNewRoman" w:cs="TimesNewRoman"/>
        </w:rPr>
        <w:t xml:space="preserve"> w</w:t>
      </w:r>
      <w:r>
        <w:rPr>
          <w:rFonts w:eastAsia="TimesNewRoman" w:cs="TimesNewRoman"/>
        </w:rPr>
        <w:t>ere</w:t>
      </w:r>
      <w:r w:rsidRPr="003C182A">
        <w:rPr>
          <w:rFonts w:eastAsia="TimesNewRoman" w:cs="TimesNewRoman"/>
        </w:rPr>
        <w:t xml:space="preserve"> granted </w:t>
      </w:r>
      <w:r>
        <w:rPr>
          <w:rFonts w:eastAsia="TimesNewRoman" w:cs="TimesNewRoman"/>
        </w:rPr>
        <w:t>on the grounds that clinical studies could not be expected to be of significant therapeutic benefit to or fulfil a need for the following paediatric populations:</w:t>
      </w:r>
    </w:p>
    <w:p w:rsidR="004D5254" w:rsidRDefault="004D5254" w:rsidP="004D5254">
      <w:pPr>
        <w:numPr>
          <w:ilvl w:val="0"/>
          <w:numId w:val="11"/>
        </w:numPr>
        <w:tabs>
          <w:tab w:val="clear" w:pos="567"/>
        </w:tabs>
        <w:autoSpaceDE w:val="0"/>
        <w:autoSpaceDN w:val="0"/>
        <w:adjustRightInd w:val="0"/>
        <w:spacing w:after="0" w:line="240" w:lineRule="auto"/>
        <w:ind w:left="425" w:hanging="425"/>
        <w:rPr>
          <w:rFonts w:eastAsia="TimesNewRoman" w:cs="TimesNewRoman"/>
        </w:rPr>
      </w:pPr>
      <w:r w:rsidRPr="003C182A">
        <w:rPr>
          <w:rFonts w:eastAsia="TimesNewRoman" w:cs="TimesNewRoman"/>
        </w:rPr>
        <w:t>Hodgkin</w:t>
      </w:r>
      <w:r>
        <w:rPr>
          <w:rFonts w:eastAsia="TimesNewRoman" w:cs="TimesNewRoman"/>
        </w:rPr>
        <w:t>’s</w:t>
      </w:r>
      <w:r w:rsidRPr="003C182A">
        <w:rPr>
          <w:rFonts w:eastAsia="TimesNewRoman" w:cs="TimesNewRoman"/>
        </w:rPr>
        <w:t xml:space="preserve"> lymphoma</w:t>
      </w:r>
      <w:r>
        <w:rPr>
          <w:rFonts w:eastAsia="TimesNewRoman" w:cs="TimesNewRoman"/>
        </w:rPr>
        <w:t xml:space="preserve">; and </w:t>
      </w:r>
    </w:p>
    <w:p w:rsidR="004D5254" w:rsidRPr="00422DAC" w:rsidRDefault="004D5254" w:rsidP="004D5254">
      <w:pPr>
        <w:numPr>
          <w:ilvl w:val="0"/>
          <w:numId w:val="11"/>
        </w:numPr>
        <w:tabs>
          <w:tab w:val="clear" w:pos="567"/>
        </w:tabs>
        <w:autoSpaceDE w:val="0"/>
        <w:autoSpaceDN w:val="0"/>
        <w:adjustRightInd w:val="0"/>
        <w:spacing w:after="0" w:line="240" w:lineRule="auto"/>
        <w:ind w:left="425" w:hanging="425"/>
        <w:rPr>
          <w:rFonts w:eastAsia="TimesNewRoman" w:cs="TimesNewRoman"/>
        </w:rPr>
      </w:pPr>
      <w:r>
        <w:rPr>
          <w:rFonts w:eastAsia="TimesNewRoman" w:cs="TimesNewRoman"/>
        </w:rPr>
        <w:t xml:space="preserve">children aged </w:t>
      </w:r>
      <w:r w:rsidRPr="003C182A">
        <w:rPr>
          <w:rFonts w:eastAsia="TimesNewRoman" w:cs="TimesNewRoman"/>
        </w:rPr>
        <w:t>less than 3 years with first relapse</w:t>
      </w:r>
      <w:r>
        <w:rPr>
          <w:rFonts w:eastAsia="TimesNewRoman" w:cs="TimesNewRoman"/>
        </w:rPr>
        <w:t xml:space="preserve"> </w:t>
      </w:r>
      <w:r w:rsidRPr="003C182A">
        <w:rPr>
          <w:rFonts w:eastAsia="TimesNewRoman" w:cs="TimesNewRoman"/>
        </w:rPr>
        <w:t>or primary refractory mature B-cell non- Hodgkin lymphoma, treatment of</w:t>
      </w:r>
      <w:r>
        <w:rPr>
          <w:rFonts w:eastAsia="TimesNewRoman" w:cs="TimesNewRoman"/>
        </w:rPr>
        <w:t xml:space="preserve"> </w:t>
      </w:r>
      <w:r w:rsidRPr="003C182A">
        <w:rPr>
          <w:rFonts w:eastAsia="TimesNewRoman" w:cs="TimesNewRoman"/>
        </w:rPr>
        <w:t>peripheral T-cell lymphoma (nodal, other extranodal and leukaemic disseminated)</w:t>
      </w:r>
      <w:r>
        <w:rPr>
          <w:rFonts w:eastAsia="TimesNewRoman" w:cs="TimesNewRoman"/>
        </w:rPr>
        <w:t xml:space="preserve"> </w:t>
      </w:r>
      <w:r w:rsidRPr="003C182A">
        <w:rPr>
          <w:rFonts w:eastAsia="TimesNewRoman" w:cs="TimesNewRoman"/>
        </w:rPr>
        <w:t>and treatment of lymphoblastic non-Hodgkin lymphoma.</w:t>
      </w:r>
    </w:p>
    <w:p w:rsidR="004D5254" w:rsidRDefault="004D5254" w:rsidP="004D5254">
      <w:pPr>
        <w:pStyle w:val="Heading3"/>
        <w:numPr>
          <w:ilvl w:val="1"/>
          <w:numId w:val="5"/>
        </w:numPr>
      </w:pPr>
      <w:bookmarkStart w:id="36" w:name="_Toc359930715"/>
      <w:bookmarkStart w:id="37" w:name="_Toc364764891"/>
      <w:r>
        <w:lastRenderedPageBreak/>
        <w:t>Good clinical practice</w:t>
      </w:r>
      <w:bookmarkEnd w:id="36"/>
      <w:bookmarkEnd w:id="37"/>
    </w:p>
    <w:p w:rsidR="004D5254" w:rsidRPr="007832F7" w:rsidRDefault="004D5254" w:rsidP="004D5254">
      <w:pPr>
        <w:autoSpaceDE w:val="0"/>
        <w:autoSpaceDN w:val="0"/>
        <w:adjustRightInd w:val="0"/>
      </w:pPr>
      <w:bookmarkStart w:id="38" w:name="_Toc241374282"/>
      <w:bookmarkStart w:id="39" w:name="_Toc355338639"/>
      <w:r w:rsidRPr="007832F7">
        <w:rPr>
          <w:rFonts w:eastAsia="TimesNewRoman" w:cs="TimesNewRoman"/>
        </w:rPr>
        <w:t xml:space="preserve">The PTCL clinical study program </w:t>
      </w:r>
      <w:r>
        <w:rPr>
          <w:rFonts w:eastAsia="TimesNewRoman" w:cs="TimesNewRoman"/>
        </w:rPr>
        <w:t>for</w:t>
      </w:r>
      <w:r w:rsidRPr="007832F7">
        <w:rPr>
          <w:rFonts w:eastAsia="TimesNewRoman" w:cs="TimesNewRoman"/>
        </w:rPr>
        <w:t xml:space="preserve"> pralatrexate </w:t>
      </w:r>
      <w:r>
        <w:rPr>
          <w:rFonts w:eastAsia="TimesNewRoman" w:cs="TimesNewRoman"/>
        </w:rPr>
        <w:t>comprised</w:t>
      </w:r>
      <w:r w:rsidRPr="007832F7">
        <w:rPr>
          <w:rFonts w:eastAsia="TimesNewRoman" w:cs="TimesNewRoman"/>
        </w:rPr>
        <w:t xml:space="preserve"> 2 </w:t>
      </w:r>
      <w:r>
        <w:rPr>
          <w:rFonts w:eastAsia="TimesNewRoman" w:cs="TimesNewRoman"/>
        </w:rPr>
        <w:t xml:space="preserve">efficacy/safety </w:t>
      </w:r>
      <w:r w:rsidRPr="007832F7">
        <w:rPr>
          <w:rFonts w:eastAsia="TimesNewRoman" w:cs="TimesNewRoman"/>
        </w:rPr>
        <w:t>studies</w:t>
      </w:r>
      <w:r>
        <w:rPr>
          <w:rFonts w:eastAsia="TimesNewRoman" w:cs="TimesNewRoman"/>
        </w:rPr>
        <w:t xml:space="preserve"> – PDX-02-078 and PDX-008, b</w:t>
      </w:r>
      <w:r w:rsidRPr="007832F7">
        <w:rPr>
          <w:rFonts w:eastAsia="TimesNewRoman" w:cs="TimesNewRoman"/>
        </w:rPr>
        <w:t xml:space="preserve">oth </w:t>
      </w:r>
      <w:r>
        <w:rPr>
          <w:rFonts w:eastAsia="TimesNewRoman" w:cs="TimesNewRoman"/>
        </w:rPr>
        <w:t xml:space="preserve">of which </w:t>
      </w:r>
      <w:r w:rsidRPr="007832F7">
        <w:rPr>
          <w:rFonts w:eastAsia="TimesNewRoman" w:cs="TimesNewRoman"/>
        </w:rPr>
        <w:t>were</w:t>
      </w:r>
      <w:r>
        <w:rPr>
          <w:rFonts w:eastAsia="TimesNewRoman" w:cs="TimesNewRoman"/>
        </w:rPr>
        <w:t xml:space="preserve"> </w:t>
      </w:r>
      <w:r w:rsidRPr="007832F7">
        <w:rPr>
          <w:rFonts w:eastAsia="TimesNewRoman" w:cs="TimesNewRoman"/>
        </w:rPr>
        <w:t xml:space="preserve">conducted </w:t>
      </w:r>
      <w:r>
        <w:rPr>
          <w:rFonts w:eastAsia="TimesNewRoman" w:cs="TimesNewRoman"/>
        </w:rPr>
        <w:t xml:space="preserve">in compliance with </w:t>
      </w:r>
      <w:r w:rsidRPr="007832F7">
        <w:rPr>
          <w:rFonts w:eastAsia="TimesNewRoman" w:cs="TimesNewRoman"/>
        </w:rPr>
        <w:t xml:space="preserve">the principles of </w:t>
      </w:r>
      <w:r>
        <w:rPr>
          <w:rFonts w:eastAsia="TimesNewRoman" w:cs="TimesNewRoman"/>
        </w:rPr>
        <w:t xml:space="preserve">ICH </w:t>
      </w:r>
      <w:r w:rsidRPr="007832F7">
        <w:rPr>
          <w:rFonts w:eastAsia="TimesNewRoman" w:cs="TimesNewRoman"/>
        </w:rPr>
        <w:t>Good Clinical Practice (GCP) and the Declaration of</w:t>
      </w:r>
      <w:r>
        <w:rPr>
          <w:rFonts w:eastAsia="TimesNewRoman" w:cs="TimesNewRoman"/>
        </w:rPr>
        <w:t xml:space="preserve"> </w:t>
      </w:r>
      <w:r w:rsidRPr="007832F7">
        <w:rPr>
          <w:rFonts w:eastAsia="TimesNewRoman" w:cs="TimesNewRoman"/>
        </w:rPr>
        <w:t>Helsinki</w:t>
      </w:r>
      <w:r>
        <w:rPr>
          <w:rFonts w:eastAsia="TimesNewRoman" w:cs="TimesNewRoman"/>
        </w:rPr>
        <w:t xml:space="preserve">. The supporting studies undertaken in various other indications were also </w:t>
      </w:r>
      <w:r w:rsidRPr="007832F7">
        <w:rPr>
          <w:rFonts w:eastAsia="TimesNewRoman" w:cs="TimesNewRoman"/>
        </w:rPr>
        <w:t xml:space="preserve">conducted according to </w:t>
      </w:r>
      <w:r>
        <w:rPr>
          <w:rFonts w:eastAsia="TimesNewRoman" w:cs="TimesNewRoman"/>
        </w:rPr>
        <w:t>GCP</w:t>
      </w:r>
      <w:r w:rsidRPr="007832F7">
        <w:rPr>
          <w:rFonts w:eastAsia="TimesNewRoman" w:cs="TimesNewRoman"/>
        </w:rPr>
        <w:t xml:space="preserve"> principles and the Declaration of</w:t>
      </w:r>
      <w:r>
        <w:rPr>
          <w:rFonts w:eastAsia="TimesNewRoman" w:cs="TimesNewRoman"/>
        </w:rPr>
        <w:t xml:space="preserve"> </w:t>
      </w:r>
      <w:r w:rsidRPr="007832F7">
        <w:rPr>
          <w:rFonts w:eastAsia="TimesNewRoman" w:cs="TimesNewRoman"/>
        </w:rPr>
        <w:t>Helsinki</w:t>
      </w:r>
      <w:r>
        <w:rPr>
          <w:rFonts w:eastAsia="TimesNewRoman" w:cs="TimesNewRoman"/>
        </w:rPr>
        <w:t>.</w:t>
      </w:r>
    </w:p>
    <w:p w:rsidR="004D5254" w:rsidRDefault="004D5254" w:rsidP="0090319D">
      <w:pPr>
        <w:pStyle w:val="Heading2"/>
      </w:pPr>
      <w:bookmarkStart w:id="40" w:name="_Toc359930716"/>
      <w:bookmarkStart w:id="41" w:name="_Toc364764892"/>
      <w:bookmarkEnd w:id="38"/>
      <w:r>
        <w:t>Pharmacokinetics</w:t>
      </w:r>
      <w:bookmarkEnd w:id="39"/>
      <w:bookmarkEnd w:id="40"/>
      <w:bookmarkEnd w:id="41"/>
      <w:r>
        <w:t xml:space="preserve"> </w:t>
      </w:r>
    </w:p>
    <w:p w:rsidR="004D5254" w:rsidRDefault="004D5254" w:rsidP="004D5254">
      <w:pPr>
        <w:pStyle w:val="Heading3"/>
        <w:numPr>
          <w:ilvl w:val="1"/>
          <w:numId w:val="5"/>
        </w:numPr>
      </w:pPr>
      <w:bookmarkStart w:id="42" w:name="_Ref271017296"/>
      <w:bookmarkStart w:id="43" w:name="_Ref271018924"/>
      <w:bookmarkStart w:id="44" w:name="_Ref271018934"/>
      <w:bookmarkStart w:id="45" w:name="_Toc272414614"/>
      <w:bookmarkStart w:id="46" w:name="_Toc290846238"/>
      <w:bookmarkStart w:id="47" w:name="_Toc320881417"/>
      <w:bookmarkStart w:id="48" w:name="_Toc359930717"/>
      <w:bookmarkStart w:id="49" w:name="_Toc364764893"/>
      <w:r>
        <w:t>Studies</w:t>
      </w:r>
      <w:bookmarkEnd w:id="42"/>
      <w:bookmarkEnd w:id="43"/>
      <w:bookmarkEnd w:id="44"/>
      <w:r>
        <w:t xml:space="preserve"> providing pharmacokinetic data</w:t>
      </w:r>
      <w:bookmarkEnd w:id="45"/>
      <w:bookmarkEnd w:id="46"/>
      <w:bookmarkEnd w:id="47"/>
      <w:bookmarkEnd w:id="48"/>
      <w:bookmarkEnd w:id="49"/>
    </w:p>
    <w:p w:rsidR="004D5254" w:rsidRDefault="004D5254" w:rsidP="004D5254">
      <w:r>
        <w:t>Table 1 shows the available data relating to each pharmacokinetic (PK) topic and the location of each study summary.</w:t>
      </w:r>
    </w:p>
    <w:p w:rsidR="004D5254" w:rsidRDefault="004D5254" w:rsidP="004D5254">
      <w:pPr>
        <w:pStyle w:val="FigureTitle"/>
        <w:keepNext/>
      </w:pPr>
      <w:bookmarkStart w:id="50" w:name="_Ref272426277"/>
      <w:bookmarkStart w:id="51" w:name="_Toc320881525"/>
      <w:r>
        <w:t xml:space="preserve">Table </w:t>
      </w:r>
      <w:bookmarkEnd w:id="50"/>
      <w:r>
        <w:t xml:space="preserve">1. </w:t>
      </w:r>
      <w:r w:rsidRPr="00686884">
        <w:t>Submitted</w:t>
      </w:r>
      <w:r>
        <w:t xml:space="preserve"> pharmacokinetic data</w:t>
      </w:r>
      <w:bookmarkEnd w:id="51"/>
    </w:p>
    <w:tbl>
      <w:tblPr>
        <w:tblStyle w:val="TableTGAblue"/>
        <w:tblW w:w="0" w:type="auto"/>
        <w:tblLayout w:type="fixed"/>
        <w:tblLook w:val="04A0"/>
      </w:tblPr>
      <w:tblGrid>
        <w:gridCol w:w="2802"/>
        <w:gridCol w:w="3069"/>
        <w:gridCol w:w="1467"/>
        <w:gridCol w:w="516"/>
      </w:tblGrid>
      <w:tr w:rsidR="004D5254" w:rsidTr="0090319D">
        <w:trPr>
          <w:cnfStyle w:val="100000000000"/>
          <w:tblHeader/>
        </w:trPr>
        <w:tc>
          <w:tcPr>
            <w:cnfStyle w:val="001000000000"/>
            <w:tcW w:w="2802" w:type="dxa"/>
          </w:tcPr>
          <w:p w:rsidR="004D5254" w:rsidRPr="00C66322" w:rsidRDefault="004D5254" w:rsidP="00C80331">
            <w:pPr>
              <w:pStyle w:val="Tabletext"/>
              <w:keepNext/>
              <w:spacing w:before="40" w:after="40"/>
            </w:pPr>
            <w:r w:rsidRPr="00C66322">
              <w:t>PK topic</w:t>
            </w:r>
          </w:p>
        </w:tc>
        <w:tc>
          <w:tcPr>
            <w:tcW w:w="3069" w:type="dxa"/>
          </w:tcPr>
          <w:p w:rsidR="004D5254" w:rsidRPr="00C66322" w:rsidRDefault="004D5254" w:rsidP="00C80331">
            <w:pPr>
              <w:pStyle w:val="Tabletext"/>
              <w:keepNext/>
              <w:spacing w:before="40" w:after="40"/>
              <w:cnfStyle w:val="100000000000"/>
            </w:pPr>
            <w:r w:rsidRPr="00C66322">
              <w:t>Subtopic</w:t>
            </w:r>
          </w:p>
        </w:tc>
        <w:tc>
          <w:tcPr>
            <w:tcW w:w="1467" w:type="dxa"/>
          </w:tcPr>
          <w:p w:rsidR="004D5254" w:rsidRPr="00C66322" w:rsidRDefault="004D5254" w:rsidP="00C80331">
            <w:pPr>
              <w:pStyle w:val="Tabletext"/>
              <w:keepNext/>
              <w:spacing w:before="40" w:after="40"/>
              <w:jc w:val="center"/>
              <w:cnfStyle w:val="100000000000"/>
            </w:pPr>
            <w:r w:rsidRPr="00C66322">
              <w:t>Study ID</w:t>
            </w:r>
          </w:p>
        </w:tc>
        <w:tc>
          <w:tcPr>
            <w:tcW w:w="516" w:type="dxa"/>
          </w:tcPr>
          <w:p w:rsidR="004D5254" w:rsidRPr="00A70D7C" w:rsidRDefault="004D5254" w:rsidP="00C80331">
            <w:pPr>
              <w:pStyle w:val="Tabletext"/>
              <w:keepNext/>
              <w:spacing w:before="40" w:after="40"/>
              <w:jc w:val="center"/>
              <w:cnfStyle w:val="100000000000"/>
              <w:rPr>
                <w:b w:val="0"/>
              </w:rPr>
            </w:pPr>
            <w:r w:rsidRPr="00DA320E">
              <w:rPr>
                <w:b w:val="0"/>
              </w:rPr>
              <w:t>*</w:t>
            </w:r>
          </w:p>
        </w:tc>
      </w:tr>
      <w:tr w:rsidR="004D5254" w:rsidTr="00C80331">
        <w:tc>
          <w:tcPr>
            <w:cnfStyle w:val="001000000000"/>
            <w:tcW w:w="2802" w:type="dxa"/>
          </w:tcPr>
          <w:p w:rsidR="004D5254" w:rsidRPr="00A70D7C" w:rsidRDefault="004D5254" w:rsidP="00C80331">
            <w:pPr>
              <w:keepNext/>
              <w:spacing w:before="40" w:after="40"/>
              <w:rPr>
                <w:sz w:val="20"/>
                <w:szCs w:val="20"/>
              </w:rPr>
            </w:pPr>
            <w:r w:rsidRPr="00DA320E">
              <w:rPr>
                <w:b/>
                <w:sz w:val="20"/>
                <w:szCs w:val="20"/>
              </w:rPr>
              <w:t>Healthy adults</w:t>
            </w:r>
          </w:p>
        </w:tc>
        <w:tc>
          <w:tcPr>
            <w:tcW w:w="3069" w:type="dxa"/>
          </w:tcPr>
          <w:p w:rsidR="004D5254" w:rsidRPr="000800CC" w:rsidRDefault="004D5254" w:rsidP="00C80331">
            <w:pPr>
              <w:pStyle w:val="Tabletext"/>
              <w:keepNext/>
              <w:spacing w:before="40" w:after="40"/>
              <w:cnfStyle w:val="000000000000"/>
            </w:pPr>
            <w:r w:rsidRPr="000800CC">
              <w:t>General PK</w:t>
            </w:r>
          </w:p>
        </w:tc>
        <w:tc>
          <w:tcPr>
            <w:tcW w:w="1467" w:type="dxa"/>
          </w:tcPr>
          <w:p w:rsidR="004D5254" w:rsidRPr="000800CC" w:rsidRDefault="004D5254" w:rsidP="00C80331">
            <w:pPr>
              <w:pStyle w:val="Tabletext"/>
              <w:keepNext/>
              <w:spacing w:before="40" w:after="40"/>
              <w:jc w:val="center"/>
              <w:cnfStyle w:val="000000000000"/>
            </w:pPr>
            <w:r>
              <w:t>Nil studies</w:t>
            </w:r>
          </w:p>
        </w:tc>
        <w:tc>
          <w:tcPr>
            <w:tcW w:w="516" w:type="dxa"/>
          </w:tcPr>
          <w:p w:rsidR="004D5254" w:rsidRPr="000800CC" w:rsidRDefault="004D5254" w:rsidP="00C80331">
            <w:pPr>
              <w:pStyle w:val="Tabletext"/>
              <w:keepNext/>
              <w:spacing w:before="40" w:after="40"/>
              <w:jc w:val="center"/>
              <w:cnfStyle w:val="000000000000"/>
            </w:pPr>
          </w:p>
        </w:tc>
      </w:tr>
      <w:tr w:rsidR="004D5254" w:rsidTr="00C80331">
        <w:tc>
          <w:tcPr>
            <w:cnfStyle w:val="001000000000"/>
            <w:tcW w:w="2802" w:type="dxa"/>
            <w:vMerge w:val="restart"/>
          </w:tcPr>
          <w:p w:rsidR="004D5254" w:rsidRPr="00A70D7C" w:rsidRDefault="004D5254" w:rsidP="00C80331">
            <w:pPr>
              <w:keepNext/>
              <w:spacing w:before="40" w:after="40"/>
              <w:rPr>
                <w:b/>
                <w:sz w:val="20"/>
                <w:szCs w:val="20"/>
              </w:rPr>
            </w:pPr>
            <w:r w:rsidRPr="00A70D7C">
              <w:rPr>
                <w:b/>
                <w:sz w:val="20"/>
                <w:szCs w:val="20"/>
              </w:rPr>
              <w:t>Target population</w:t>
            </w:r>
            <w:r>
              <w:rPr>
                <w:b/>
                <w:sz w:val="20"/>
                <w:szCs w:val="20"/>
              </w:rPr>
              <w:t xml:space="preserve"> </w:t>
            </w:r>
            <w:r w:rsidRPr="00DA320E">
              <w:rPr>
                <w:sz w:val="20"/>
                <w:szCs w:val="20"/>
              </w:rPr>
              <w:t>§</w:t>
            </w:r>
          </w:p>
        </w:tc>
        <w:tc>
          <w:tcPr>
            <w:tcW w:w="3069" w:type="dxa"/>
          </w:tcPr>
          <w:p w:rsidR="004D5254" w:rsidRPr="00A70D7C" w:rsidRDefault="004D5254" w:rsidP="00C80331">
            <w:pPr>
              <w:keepNext/>
              <w:spacing w:before="40" w:after="40"/>
              <w:cnfStyle w:val="000000000000"/>
              <w:rPr>
                <w:sz w:val="20"/>
                <w:szCs w:val="20"/>
              </w:rPr>
            </w:pPr>
            <w:r>
              <w:rPr>
                <w:sz w:val="20"/>
                <w:szCs w:val="20"/>
              </w:rPr>
              <w:t>Single dose PKs</w:t>
            </w:r>
          </w:p>
        </w:tc>
        <w:tc>
          <w:tcPr>
            <w:tcW w:w="1467" w:type="dxa"/>
          </w:tcPr>
          <w:p w:rsidR="004D5254" w:rsidRPr="000800CC" w:rsidRDefault="004D5254" w:rsidP="00C80331">
            <w:pPr>
              <w:pStyle w:val="Tabletext"/>
              <w:keepNext/>
              <w:spacing w:before="40" w:after="40"/>
              <w:jc w:val="center"/>
              <w:cnfStyle w:val="000000000000"/>
            </w:pPr>
            <w:r>
              <w:t>PDX-008</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vMerge/>
          </w:tcPr>
          <w:p w:rsidR="004D5254" w:rsidRPr="00A70D7C" w:rsidRDefault="004D5254" w:rsidP="00C80331">
            <w:pPr>
              <w:keepNext/>
              <w:spacing w:before="40" w:after="40"/>
              <w:rPr>
                <w:sz w:val="20"/>
                <w:szCs w:val="20"/>
              </w:rPr>
            </w:pPr>
          </w:p>
        </w:tc>
        <w:tc>
          <w:tcPr>
            <w:tcW w:w="3069" w:type="dxa"/>
          </w:tcPr>
          <w:p w:rsidR="004D5254" w:rsidRPr="00A70D7C" w:rsidRDefault="004D5254" w:rsidP="00C80331">
            <w:pPr>
              <w:keepNext/>
              <w:spacing w:before="40" w:after="40"/>
              <w:cnfStyle w:val="000000000000"/>
              <w:rPr>
                <w:sz w:val="20"/>
                <w:szCs w:val="20"/>
              </w:rPr>
            </w:pPr>
            <w:r>
              <w:rPr>
                <w:sz w:val="20"/>
                <w:szCs w:val="20"/>
              </w:rPr>
              <w:t>Multiple dosing PKs</w:t>
            </w:r>
          </w:p>
        </w:tc>
        <w:tc>
          <w:tcPr>
            <w:tcW w:w="1467" w:type="dxa"/>
          </w:tcPr>
          <w:p w:rsidR="004D5254" w:rsidRPr="000800CC" w:rsidRDefault="004D5254" w:rsidP="00C80331">
            <w:pPr>
              <w:pStyle w:val="Tabletext"/>
              <w:keepNext/>
              <w:spacing w:before="40" w:after="40"/>
              <w:jc w:val="center"/>
              <w:cnfStyle w:val="000000000000"/>
            </w:pPr>
            <w:r>
              <w:t>PDX-008</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vMerge w:val="restart"/>
          </w:tcPr>
          <w:p w:rsidR="004D5254" w:rsidRPr="00A70D7C" w:rsidRDefault="004D5254" w:rsidP="00C80331">
            <w:pPr>
              <w:keepNext/>
              <w:spacing w:before="40" w:after="40"/>
              <w:rPr>
                <w:sz w:val="20"/>
                <w:szCs w:val="20"/>
              </w:rPr>
            </w:pPr>
            <w:r w:rsidRPr="00A70D7C">
              <w:rPr>
                <w:b/>
                <w:sz w:val="20"/>
                <w:szCs w:val="20"/>
              </w:rPr>
              <w:t xml:space="preserve">Other </w:t>
            </w:r>
            <w:r>
              <w:rPr>
                <w:b/>
                <w:sz w:val="20"/>
                <w:szCs w:val="20"/>
              </w:rPr>
              <w:t xml:space="preserve">oncology </w:t>
            </w:r>
            <w:r w:rsidRPr="00A70D7C">
              <w:rPr>
                <w:b/>
                <w:sz w:val="20"/>
                <w:szCs w:val="20"/>
              </w:rPr>
              <w:t>populations</w:t>
            </w:r>
          </w:p>
        </w:tc>
        <w:tc>
          <w:tcPr>
            <w:tcW w:w="3069" w:type="dxa"/>
          </w:tcPr>
          <w:p w:rsidR="004D5254" w:rsidRPr="00A70D7C" w:rsidRDefault="004D5254" w:rsidP="00C80331">
            <w:pPr>
              <w:keepNext/>
              <w:spacing w:before="40" w:after="40"/>
              <w:cnfStyle w:val="000000000000"/>
              <w:rPr>
                <w:sz w:val="20"/>
                <w:szCs w:val="20"/>
              </w:rPr>
            </w:pPr>
            <w:r>
              <w:rPr>
                <w:sz w:val="20"/>
                <w:szCs w:val="20"/>
              </w:rPr>
              <w:t>Single dose PKs</w:t>
            </w:r>
          </w:p>
        </w:tc>
        <w:tc>
          <w:tcPr>
            <w:tcW w:w="1467" w:type="dxa"/>
          </w:tcPr>
          <w:p w:rsidR="004D5254" w:rsidRPr="00A70D7C" w:rsidRDefault="004D5254" w:rsidP="00C80331">
            <w:pPr>
              <w:keepNext/>
              <w:spacing w:before="40" w:after="40"/>
              <w:jc w:val="center"/>
              <w:cnfStyle w:val="000000000000"/>
              <w:rPr>
                <w:sz w:val="20"/>
                <w:szCs w:val="20"/>
              </w:rPr>
            </w:pPr>
            <w:r>
              <w:rPr>
                <w:sz w:val="20"/>
                <w:szCs w:val="20"/>
              </w:rPr>
              <w:t>PDX-007</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vMerge/>
          </w:tcPr>
          <w:p w:rsidR="004D5254" w:rsidRPr="00A70D7C" w:rsidRDefault="004D5254" w:rsidP="00C80331">
            <w:pPr>
              <w:keepNext/>
              <w:spacing w:before="40" w:after="40"/>
              <w:rPr>
                <w:b/>
                <w:sz w:val="20"/>
                <w:szCs w:val="20"/>
              </w:rPr>
            </w:pPr>
          </w:p>
        </w:tc>
        <w:tc>
          <w:tcPr>
            <w:tcW w:w="3069" w:type="dxa"/>
          </w:tcPr>
          <w:p w:rsidR="004D5254" w:rsidRPr="00A70D7C" w:rsidRDefault="004D5254" w:rsidP="00C80331">
            <w:pPr>
              <w:keepNext/>
              <w:spacing w:before="40" w:after="40"/>
              <w:cnfStyle w:val="000000000000"/>
              <w:rPr>
                <w:sz w:val="20"/>
                <w:szCs w:val="20"/>
              </w:rPr>
            </w:pPr>
          </w:p>
        </w:tc>
        <w:tc>
          <w:tcPr>
            <w:tcW w:w="1467" w:type="dxa"/>
          </w:tcPr>
          <w:p w:rsidR="004D5254" w:rsidRPr="00DA320E" w:rsidRDefault="004D5254" w:rsidP="00C80331">
            <w:pPr>
              <w:keepNext/>
              <w:spacing w:before="40" w:after="40"/>
              <w:jc w:val="center"/>
              <w:cnfStyle w:val="000000000000"/>
              <w:rPr>
                <w:sz w:val="20"/>
                <w:szCs w:val="20"/>
              </w:rPr>
            </w:pPr>
            <w:r w:rsidRPr="00DA320E">
              <w:rPr>
                <w:sz w:val="20"/>
                <w:szCs w:val="20"/>
              </w:rPr>
              <w:t>PDX-99-083</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vMerge/>
          </w:tcPr>
          <w:p w:rsidR="004D5254" w:rsidRPr="00A70D7C" w:rsidRDefault="004D5254" w:rsidP="00C80331">
            <w:pPr>
              <w:keepNext/>
              <w:spacing w:before="40" w:after="40"/>
              <w:rPr>
                <w:b/>
                <w:sz w:val="20"/>
                <w:szCs w:val="20"/>
              </w:rPr>
            </w:pPr>
          </w:p>
        </w:tc>
        <w:tc>
          <w:tcPr>
            <w:tcW w:w="3069" w:type="dxa"/>
          </w:tcPr>
          <w:p w:rsidR="004D5254" w:rsidRPr="00A70D7C" w:rsidRDefault="004D5254" w:rsidP="00C80331">
            <w:pPr>
              <w:keepNext/>
              <w:spacing w:before="40" w:after="40"/>
              <w:cnfStyle w:val="000000000000"/>
              <w:rPr>
                <w:sz w:val="20"/>
                <w:szCs w:val="20"/>
              </w:rPr>
            </w:pPr>
          </w:p>
        </w:tc>
        <w:tc>
          <w:tcPr>
            <w:tcW w:w="1467" w:type="dxa"/>
          </w:tcPr>
          <w:p w:rsidR="004D5254" w:rsidRPr="00A70D7C" w:rsidRDefault="004D5254" w:rsidP="00C80331">
            <w:pPr>
              <w:keepNext/>
              <w:spacing w:before="40" w:after="40"/>
              <w:jc w:val="center"/>
              <w:cnfStyle w:val="000000000000"/>
              <w:rPr>
                <w:sz w:val="20"/>
                <w:szCs w:val="20"/>
              </w:rPr>
            </w:pPr>
            <w:r>
              <w:rPr>
                <w:sz w:val="20"/>
                <w:szCs w:val="20"/>
              </w:rPr>
              <w:t>PDX-016</w:t>
            </w:r>
          </w:p>
        </w:tc>
        <w:tc>
          <w:tcPr>
            <w:tcW w:w="516" w:type="dxa"/>
          </w:tcPr>
          <w:p w:rsidR="004D5254" w:rsidRPr="00A70D7C" w:rsidRDefault="004D5254" w:rsidP="00C80331">
            <w:pPr>
              <w:keepNext/>
              <w:spacing w:before="40" w:after="40"/>
              <w:jc w:val="center"/>
              <w:cnfStyle w:val="000000000000"/>
              <w:rPr>
                <w:sz w:val="20"/>
                <w:szCs w:val="20"/>
              </w:rPr>
            </w:pPr>
            <w:r>
              <w:rPr>
                <w:sz w:val="20"/>
                <w:szCs w:val="20"/>
              </w:rPr>
              <w:t>*</w:t>
            </w:r>
          </w:p>
        </w:tc>
      </w:tr>
      <w:tr w:rsidR="004D5254" w:rsidTr="00C80331">
        <w:tc>
          <w:tcPr>
            <w:cnfStyle w:val="001000000000"/>
            <w:tcW w:w="2802" w:type="dxa"/>
            <w:vMerge/>
          </w:tcPr>
          <w:p w:rsidR="004D5254" w:rsidRPr="00A70D7C" w:rsidRDefault="004D5254" w:rsidP="00C80331">
            <w:pPr>
              <w:keepNext/>
              <w:spacing w:before="40" w:after="40"/>
              <w:rPr>
                <w:sz w:val="20"/>
                <w:szCs w:val="20"/>
              </w:rPr>
            </w:pPr>
          </w:p>
        </w:tc>
        <w:tc>
          <w:tcPr>
            <w:tcW w:w="3069" w:type="dxa"/>
          </w:tcPr>
          <w:p w:rsidR="004D5254" w:rsidRPr="00A70D7C" w:rsidRDefault="004D5254" w:rsidP="00C80331">
            <w:pPr>
              <w:keepNext/>
              <w:spacing w:before="40" w:after="40"/>
              <w:cnfStyle w:val="000000000000"/>
              <w:rPr>
                <w:sz w:val="20"/>
                <w:szCs w:val="20"/>
              </w:rPr>
            </w:pPr>
            <w:r>
              <w:rPr>
                <w:sz w:val="20"/>
                <w:szCs w:val="20"/>
              </w:rPr>
              <w:t>Multiple dosing PKs</w:t>
            </w:r>
          </w:p>
        </w:tc>
        <w:tc>
          <w:tcPr>
            <w:tcW w:w="1467" w:type="dxa"/>
          </w:tcPr>
          <w:p w:rsidR="004D5254" w:rsidRPr="00DA320E" w:rsidRDefault="004D5254" w:rsidP="00C80331">
            <w:pPr>
              <w:keepNext/>
              <w:spacing w:before="40" w:after="40"/>
              <w:jc w:val="center"/>
              <w:cnfStyle w:val="000000000000"/>
              <w:rPr>
                <w:sz w:val="20"/>
                <w:szCs w:val="20"/>
              </w:rPr>
            </w:pPr>
            <w:r w:rsidRPr="00DA320E">
              <w:rPr>
                <w:sz w:val="20"/>
                <w:szCs w:val="20"/>
              </w:rPr>
              <w:t>PDX-99-083</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vMerge w:val="restart"/>
          </w:tcPr>
          <w:p w:rsidR="004D5254" w:rsidRPr="00DA320E" w:rsidRDefault="004D5254" w:rsidP="00C80331">
            <w:pPr>
              <w:keepNext/>
              <w:spacing w:before="40" w:after="40"/>
              <w:rPr>
                <w:b/>
                <w:sz w:val="20"/>
                <w:szCs w:val="20"/>
              </w:rPr>
            </w:pPr>
            <w:r w:rsidRPr="00DA320E">
              <w:rPr>
                <w:b/>
                <w:sz w:val="20"/>
                <w:szCs w:val="20"/>
              </w:rPr>
              <w:t>Special populations</w:t>
            </w:r>
          </w:p>
        </w:tc>
        <w:tc>
          <w:tcPr>
            <w:tcW w:w="3069" w:type="dxa"/>
          </w:tcPr>
          <w:p w:rsidR="004D5254" w:rsidRPr="000800CC" w:rsidRDefault="004D5254" w:rsidP="00C80331">
            <w:pPr>
              <w:pStyle w:val="Tabletext"/>
              <w:keepNext/>
              <w:spacing w:before="40" w:after="40"/>
              <w:cnfStyle w:val="000000000000"/>
            </w:pPr>
            <w:r w:rsidRPr="000800CC">
              <w:t>Hepatic impairment</w:t>
            </w:r>
          </w:p>
        </w:tc>
        <w:tc>
          <w:tcPr>
            <w:tcW w:w="1467" w:type="dxa"/>
          </w:tcPr>
          <w:p w:rsidR="004D5254" w:rsidRPr="000800CC" w:rsidRDefault="004D5254" w:rsidP="00C80331">
            <w:pPr>
              <w:pStyle w:val="Tabletext"/>
              <w:keepNext/>
              <w:spacing w:before="40" w:after="40"/>
              <w:jc w:val="center"/>
              <w:cnfStyle w:val="000000000000"/>
            </w:pPr>
            <w:r>
              <w:t>Nil studies</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vMerge/>
          </w:tcPr>
          <w:p w:rsidR="004D5254" w:rsidRPr="00A70D7C" w:rsidRDefault="004D5254" w:rsidP="00C80331">
            <w:pPr>
              <w:keepNext/>
              <w:spacing w:before="40" w:after="40"/>
              <w:rPr>
                <w:sz w:val="20"/>
                <w:szCs w:val="20"/>
              </w:rPr>
            </w:pPr>
          </w:p>
        </w:tc>
        <w:tc>
          <w:tcPr>
            <w:tcW w:w="3069" w:type="dxa"/>
          </w:tcPr>
          <w:p w:rsidR="004D5254" w:rsidRPr="000800CC" w:rsidRDefault="004D5254" w:rsidP="00C80331">
            <w:pPr>
              <w:pStyle w:val="Tabletext"/>
              <w:keepNext/>
              <w:spacing w:before="40" w:after="40"/>
              <w:cnfStyle w:val="000000000000"/>
            </w:pPr>
            <w:r w:rsidRPr="000800CC">
              <w:t>Renal impairment</w:t>
            </w:r>
          </w:p>
        </w:tc>
        <w:tc>
          <w:tcPr>
            <w:tcW w:w="1467" w:type="dxa"/>
          </w:tcPr>
          <w:p w:rsidR="004D5254" w:rsidRPr="000800CC" w:rsidRDefault="004D5254" w:rsidP="00C80331">
            <w:pPr>
              <w:pStyle w:val="Tabletext"/>
              <w:keepNext/>
              <w:spacing w:before="40" w:after="40"/>
              <w:jc w:val="center"/>
              <w:cnfStyle w:val="000000000000"/>
            </w:pPr>
            <w:r>
              <w:t>Nil studies</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vMerge/>
          </w:tcPr>
          <w:p w:rsidR="004D5254" w:rsidRPr="00A70D7C" w:rsidRDefault="004D5254" w:rsidP="00C80331">
            <w:pPr>
              <w:keepNext/>
              <w:spacing w:before="40" w:after="40"/>
              <w:rPr>
                <w:sz w:val="20"/>
                <w:szCs w:val="20"/>
              </w:rPr>
            </w:pPr>
          </w:p>
        </w:tc>
        <w:tc>
          <w:tcPr>
            <w:tcW w:w="3069" w:type="dxa"/>
          </w:tcPr>
          <w:p w:rsidR="004D5254" w:rsidRPr="000800CC" w:rsidRDefault="004D5254" w:rsidP="00C80331">
            <w:pPr>
              <w:pStyle w:val="Tabletext"/>
              <w:keepNext/>
              <w:spacing w:before="40" w:after="40"/>
              <w:cnfStyle w:val="000000000000"/>
            </w:pPr>
            <w:r>
              <w:t>Neonates/infants/children/adolescents</w:t>
            </w:r>
          </w:p>
        </w:tc>
        <w:tc>
          <w:tcPr>
            <w:tcW w:w="1467" w:type="dxa"/>
          </w:tcPr>
          <w:p w:rsidR="004D5254" w:rsidRPr="000800CC" w:rsidRDefault="004D5254" w:rsidP="00C80331">
            <w:pPr>
              <w:pStyle w:val="Tabletext"/>
              <w:keepNext/>
              <w:spacing w:before="40" w:after="40"/>
              <w:jc w:val="center"/>
              <w:cnfStyle w:val="000000000000"/>
            </w:pPr>
            <w:r>
              <w:t>Nil studies</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vMerge/>
          </w:tcPr>
          <w:p w:rsidR="004D5254" w:rsidRPr="00A70D7C" w:rsidRDefault="004D5254" w:rsidP="00C80331">
            <w:pPr>
              <w:keepNext/>
              <w:spacing w:before="40" w:after="40"/>
              <w:rPr>
                <w:sz w:val="20"/>
                <w:szCs w:val="20"/>
              </w:rPr>
            </w:pPr>
          </w:p>
        </w:tc>
        <w:tc>
          <w:tcPr>
            <w:tcW w:w="3069" w:type="dxa"/>
          </w:tcPr>
          <w:p w:rsidR="004D5254" w:rsidRPr="000800CC" w:rsidRDefault="004D5254" w:rsidP="00C80331">
            <w:pPr>
              <w:pStyle w:val="Tabletext"/>
              <w:keepNext/>
              <w:spacing w:before="40" w:after="40"/>
              <w:cnfStyle w:val="000000000000"/>
            </w:pPr>
            <w:r w:rsidRPr="000800CC">
              <w:t>Elderly</w:t>
            </w:r>
          </w:p>
        </w:tc>
        <w:tc>
          <w:tcPr>
            <w:tcW w:w="1467" w:type="dxa"/>
          </w:tcPr>
          <w:p w:rsidR="004D5254" w:rsidRPr="000800CC" w:rsidRDefault="004D5254" w:rsidP="00C80331">
            <w:pPr>
              <w:pStyle w:val="Tabletext"/>
              <w:keepNext/>
              <w:spacing w:before="40" w:after="40"/>
              <w:jc w:val="center"/>
              <w:cnfStyle w:val="000000000000"/>
            </w:pPr>
            <w:r>
              <w:t>Nil studies</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tcPr>
          <w:p w:rsidR="004D5254" w:rsidRPr="00A9122B" w:rsidRDefault="004D5254" w:rsidP="00C80331">
            <w:pPr>
              <w:keepNext/>
              <w:spacing w:before="40" w:after="40"/>
              <w:rPr>
                <w:b/>
                <w:sz w:val="20"/>
                <w:szCs w:val="20"/>
              </w:rPr>
            </w:pPr>
            <w:r w:rsidRPr="00A9122B">
              <w:rPr>
                <w:b/>
                <w:sz w:val="20"/>
                <w:szCs w:val="20"/>
              </w:rPr>
              <w:t>Genetic/gender PKs</w:t>
            </w:r>
          </w:p>
        </w:tc>
        <w:tc>
          <w:tcPr>
            <w:tcW w:w="3069" w:type="dxa"/>
          </w:tcPr>
          <w:p w:rsidR="004D5254" w:rsidRPr="00A70D7C" w:rsidRDefault="004D5254" w:rsidP="00C80331">
            <w:pPr>
              <w:keepNext/>
              <w:spacing w:before="40" w:after="40"/>
              <w:cnfStyle w:val="000000000000"/>
              <w:rPr>
                <w:sz w:val="20"/>
                <w:szCs w:val="20"/>
              </w:rPr>
            </w:pPr>
          </w:p>
        </w:tc>
        <w:tc>
          <w:tcPr>
            <w:tcW w:w="1467" w:type="dxa"/>
          </w:tcPr>
          <w:p w:rsidR="004D5254" w:rsidRPr="00A9122B" w:rsidRDefault="004D5254" w:rsidP="00C80331">
            <w:pPr>
              <w:keepNext/>
              <w:spacing w:before="40" w:after="40"/>
              <w:jc w:val="center"/>
              <w:cnfStyle w:val="000000000000"/>
              <w:rPr>
                <w:sz w:val="20"/>
                <w:szCs w:val="20"/>
              </w:rPr>
            </w:pPr>
            <w:r w:rsidRPr="00A9122B">
              <w:rPr>
                <w:sz w:val="20"/>
                <w:szCs w:val="20"/>
              </w:rPr>
              <w:t>Nil studies</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tcPr>
          <w:p w:rsidR="004D5254" w:rsidRPr="00686884" w:rsidRDefault="004D5254" w:rsidP="00C80331">
            <w:pPr>
              <w:keepNext/>
              <w:spacing w:before="40" w:after="40"/>
              <w:rPr>
                <w:b/>
                <w:sz w:val="20"/>
                <w:szCs w:val="20"/>
              </w:rPr>
            </w:pPr>
            <w:r w:rsidRPr="00686884">
              <w:rPr>
                <w:b/>
                <w:sz w:val="20"/>
                <w:szCs w:val="20"/>
              </w:rPr>
              <w:t>Drug-drug interaction studies</w:t>
            </w:r>
          </w:p>
        </w:tc>
        <w:tc>
          <w:tcPr>
            <w:tcW w:w="3069" w:type="dxa"/>
          </w:tcPr>
          <w:p w:rsidR="004D5254" w:rsidRPr="00A70D7C" w:rsidRDefault="004D5254" w:rsidP="00C80331">
            <w:pPr>
              <w:keepNext/>
              <w:spacing w:before="40" w:after="40"/>
              <w:cnfStyle w:val="000000000000"/>
              <w:rPr>
                <w:sz w:val="20"/>
                <w:szCs w:val="20"/>
              </w:rPr>
            </w:pPr>
          </w:p>
        </w:tc>
        <w:tc>
          <w:tcPr>
            <w:tcW w:w="1467" w:type="dxa"/>
          </w:tcPr>
          <w:p w:rsidR="004D5254" w:rsidRPr="00A9122B" w:rsidRDefault="004D5254" w:rsidP="00C80331">
            <w:pPr>
              <w:keepNext/>
              <w:spacing w:after="40"/>
              <w:jc w:val="center"/>
              <w:cnfStyle w:val="000000000000"/>
              <w:rPr>
                <w:sz w:val="20"/>
                <w:szCs w:val="20"/>
              </w:rPr>
            </w:pPr>
            <w:r w:rsidRPr="00A9122B">
              <w:rPr>
                <w:sz w:val="20"/>
                <w:szCs w:val="20"/>
              </w:rPr>
              <w:t>Nil studies</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vMerge w:val="restart"/>
          </w:tcPr>
          <w:p w:rsidR="004D5254" w:rsidRPr="008625DD" w:rsidRDefault="004D5254" w:rsidP="00C80331">
            <w:pPr>
              <w:pStyle w:val="Tabletext"/>
              <w:keepNext/>
              <w:spacing w:before="40" w:after="40"/>
              <w:rPr>
                <w:b/>
              </w:rPr>
            </w:pPr>
            <w:r w:rsidRPr="008625DD">
              <w:rPr>
                <w:b/>
              </w:rPr>
              <w:t>Population PK analyses</w:t>
            </w:r>
          </w:p>
        </w:tc>
        <w:tc>
          <w:tcPr>
            <w:tcW w:w="3069" w:type="dxa"/>
          </w:tcPr>
          <w:p w:rsidR="004D5254" w:rsidRPr="000800CC" w:rsidRDefault="004D5254" w:rsidP="00C80331">
            <w:pPr>
              <w:pStyle w:val="Tabletext"/>
              <w:keepNext/>
              <w:spacing w:before="40" w:after="40"/>
              <w:cnfStyle w:val="000000000000"/>
            </w:pPr>
            <w:r w:rsidRPr="000800CC">
              <w:t>Healthy subjects</w:t>
            </w:r>
          </w:p>
        </w:tc>
        <w:tc>
          <w:tcPr>
            <w:tcW w:w="1467" w:type="dxa"/>
          </w:tcPr>
          <w:p w:rsidR="004D5254" w:rsidRPr="00A70D7C" w:rsidRDefault="004D5254" w:rsidP="00C80331">
            <w:pPr>
              <w:keepNext/>
              <w:spacing w:before="40" w:after="40"/>
              <w:jc w:val="center"/>
              <w:cnfStyle w:val="000000000000"/>
              <w:rPr>
                <w:sz w:val="20"/>
                <w:szCs w:val="20"/>
              </w:rPr>
            </w:pPr>
            <w:r>
              <w:rPr>
                <w:sz w:val="20"/>
                <w:szCs w:val="20"/>
              </w:rPr>
              <w:t>Nil analyses</w:t>
            </w: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vMerge/>
          </w:tcPr>
          <w:p w:rsidR="004D5254" w:rsidRPr="00A70D7C" w:rsidRDefault="004D5254" w:rsidP="00C80331">
            <w:pPr>
              <w:keepNext/>
              <w:spacing w:before="40" w:after="40"/>
              <w:rPr>
                <w:sz w:val="20"/>
                <w:szCs w:val="20"/>
              </w:rPr>
            </w:pPr>
          </w:p>
        </w:tc>
        <w:tc>
          <w:tcPr>
            <w:tcW w:w="3069" w:type="dxa"/>
          </w:tcPr>
          <w:p w:rsidR="004D5254" w:rsidRPr="000800CC" w:rsidRDefault="004D5254" w:rsidP="00C80331">
            <w:pPr>
              <w:pStyle w:val="Tabletext"/>
              <w:keepNext/>
              <w:spacing w:before="40" w:after="40"/>
              <w:cnfStyle w:val="000000000000"/>
            </w:pPr>
            <w:r>
              <w:t>Oncology</w:t>
            </w:r>
            <w:r w:rsidRPr="000800CC">
              <w:t xml:space="preserve"> population</w:t>
            </w:r>
          </w:p>
        </w:tc>
        <w:tc>
          <w:tcPr>
            <w:tcW w:w="1467" w:type="dxa"/>
          </w:tcPr>
          <w:p w:rsidR="004D5254" w:rsidRPr="00A70D7C" w:rsidRDefault="004D5254" w:rsidP="00C80331">
            <w:pPr>
              <w:keepNext/>
              <w:spacing w:before="40" w:after="40"/>
              <w:jc w:val="center"/>
              <w:cnfStyle w:val="000000000000"/>
              <w:rPr>
                <w:sz w:val="20"/>
                <w:szCs w:val="20"/>
              </w:rPr>
            </w:pPr>
          </w:p>
        </w:tc>
        <w:tc>
          <w:tcPr>
            <w:tcW w:w="516" w:type="dxa"/>
          </w:tcPr>
          <w:p w:rsidR="004D5254" w:rsidRPr="00A70D7C" w:rsidRDefault="004D5254" w:rsidP="00C80331">
            <w:pPr>
              <w:keepNext/>
              <w:spacing w:before="40" w:after="40"/>
              <w:jc w:val="center"/>
              <w:cnfStyle w:val="000000000000"/>
              <w:rPr>
                <w:sz w:val="20"/>
                <w:szCs w:val="20"/>
              </w:rPr>
            </w:pPr>
          </w:p>
        </w:tc>
      </w:tr>
      <w:tr w:rsidR="004D5254" w:rsidTr="00C80331">
        <w:tc>
          <w:tcPr>
            <w:cnfStyle w:val="001000000000"/>
            <w:tcW w:w="2802" w:type="dxa"/>
            <w:vMerge/>
          </w:tcPr>
          <w:p w:rsidR="004D5254" w:rsidRPr="00A70D7C" w:rsidRDefault="004D5254" w:rsidP="00C80331">
            <w:pPr>
              <w:keepNext/>
              <w:spacing w:before="40" w:after="40"/>
              <w:rPr>
                <w:sz w:val="20"/>
                <w:szCs w:val="20"/>
              </w:rPr>
            </w:pPr>
          </w:p>
        </w:tc>
        <w:tc>
          <w:tcPr>
            <w:tcW w:w="3069" w:type="dxa"/>
          </w:tcPr>
          <w:p w:rsidR="004D5254" w:rsidRPr="000800CC" w:rsidRDefault="004D5254" w:rsidP="00C80331">
            <w:pPr>
              <w:pStyle w:val="Tabletext"/>
              <w:keepNext/>
              <w:spacing w:before="40" w:after="40"/>
              <w:ind w:left="152"/>
              <w:cnfStyle w:val="000000000000"/>
            </w:pPr>
            <w:r>
              <w:t xml:space="preserve">Integrated PK report </w:t>
            </w:r>
          </w:p>
        </w:tc>
        <w:tc>
          <w:tcPr>
            <w:tcW w:w="1467" w:type="dxa"/>
          </w:tcPr>
          <w:p w:rsidR="004D5254" w:rsidRPr="00A70D7C" w:rsidRDefault="004D5254" w:rsidP="00C80331">
            <w:pPr>
              <w:keepNext/>
              <w:spacing w:before="40" w:after="40"/>
              <w:jc w:val="center"/>
              <w:cnfStyle w:val="000000000000"/>
              <w:rPr>
                <w:sz w:val="20"/>
                <w:szCs w:val="20"/>
              </w:rPr>
            </w:pPr>
            <w:r>
              <w:rPr>
                <w:sz w:val="20"/>
                <w:szCs w:val="20"/>
              </w:rPr>
              <w:t>-</w:t>
            </w:r>
          </w:p>
        </w:tc>
        <w:tc>
          <w:tcPr>
            <w:tcW w:w="516" w:type="dxa"/>
          </w:tcPr>
          <w:p w:rsidR="004D5254" w:rsidRPr="00A70D7C" w:rsidRDefault="004D5254" w:rsidP="00C80331">
            <w:pPr>
              <w:keepNext/>
              <w:spacing w:before="40" w:after="40"/>
              <w:jc w:val="center"/>
              <w:cnfStyle w:val="000000000000"/>
              <w:rPr>
                <w:sz w:val="20"/>
                <w:szCs w:val="20"/>
              </w:rPr>
            </w:pPr>
            <w:r>
              <w:rPr>
                <w:sz w:val="20"/>
                <w:szCs w:val="20"/>
              </w:rPr>
              <w:t>*</w:t>
            </w:r>
          </w:p>
        </w:tc>
      </w:tr>
      <w:tr w:rsidR="004D5254" w:rsidTr="00C80331">
        <w:tc>
          <w:tcPr>
            <w:cnfStyle w:val="001000000000"/>
            <w:tcW w:w="2802" w:type="dxa"/>
            <w:vMerge/>
          </w:tcPr>
          <w:p w:rsidR="004D5254" w:rsidRPr="00A70D7C" w:rsidRDefault="004D5254" w:rsidP="00C80331">
            <w:pPr>
              <w:keepNext/>
              <w:spacing w:before="40" w:after="40"/>
              <w:rPr>
                <w:sz w:val="20"/>
                <w:szCs w:val="20"/>
              </w:rPr>
            </w:pPr>
          </w:p>
        </w:tc>
        <w:tc>
          <w:tcPr>
            <w:tcW w:w="3069" w:type="dxa"/>
          </w:tcPr>
          <w:p w:rsidR="004D5254" w:rsidRPr="000800CC" w:rsidRDefault="004D5254" w:rsidP="00C80331">
            <w:pPr>
              <w:pStyle w:val="Tabletext"/>
              <w:keepNext/>
              <w:spacing w:before="40" w:after="40"/>
              <w:ind w:left="152"/>
              <w:cnfStyle w:val="000000000000"/>
            </w:pPr>
            <w:r>
              <w:t xml:space="preserve">Population PK analysis </w:t>
            </w:r>
          </w:p>
        </w:tc>
        <w:tc>
          <w:tcPr>
            <w:tcW w:w="1467" w:type="dxa"/>
          </w:tcPr>
          <w:p w:rsidR="004D5254" w:rsidRDefault="004D5254" w:rsidP="00C80331">
            <w:pPr>
              <w:keepNext/>
              <w:spacing w:before="40" w:after="40"/>
              <w:jc w:val="center"/>
              <w:cnfStyle w:val="000000000000"/>
              <w:rPr>
                <w:sz w:val="20"/>
                <w:szCs w:val="20"/>
              </w:rPr>
            </w:pPr>
            <w:r>
              <w:rPr>
                <w:sz w:val="20"/>
                <w:szCs w:val="20"/>
              </w:rPr>
              <w:t>POPPK</w:t>
            </w:r>
          </w:p>
        </w:tc>
        <w:tc>
          <w:tcPr>
            <w:tcW w:w="516" w:type="dxa"/>
          </w:tcPr>
          <w:p w:rsidR="004D5254" w:rsidRPr="00A70D7C" w:rsidRDefault="004D5254" w:rsidP="00C80331">
            <w:pPr>
              <w:keepNext/>
              <w:spacing w:before="40" w:after="40"/>
              <w:jc w:val="center"/>
              <w:cnfStyle w:val="000000000000"/>
              <w:rPr>
                <w:sz w:val="20"/>
                <w:szCs w:val="20"/>
              </w:rPr>
            </w:pPr>
            <w:r>
              <w:rPr>
                <w:sz w:val="20"/>
                <w:szCs w:val="20"/>
              </w:rPr>
              <w:t>*</w:t>
            </w:r>
          </w:p>
        </w:tc>
      </w:tr>
    </w:tbl>
    <w:p w:rsidR="004D5254" w:rsidRPr="00C81197" w:rsidRDefault="004D5254" w:rsidP="004D5254">
      <w:pPr>
        <w:keepNext/>
        <w:rPr>
          <w:sz w:val="18"/>
          <w:szCs w:val="18"/>
        </w:rPr>
      </w:pPr>
      <w:r w:rsidRPr="00C81197">
        <w:rPr>
          <w:sz w:val="18"/>
          <w:szCs w:val="18"/>
        </w:rPr>
        <w:t>* Indicates the primary aim of the study.</w:t>
      </w:r>
      <w:r>
        <w:rPr>
          <w:sz w:val="18"/>
          <w:szCs w:val="18"/>
        </w:rPr>
        <w:t xml:space="preserve"> </w:t>
      </w:r>
      <w:r w:rsidRPr="00C81197">
        <w:rPr>
          <w:sz w:val="18"/>
          <w:szCs w:val="18"/>
        </w:rPr>
        <w:t>§ Subjects who would be eligible to receive the drug if approved for the proposed indication.</w:t>
      </w:r>
    </w:p>
    <w:p w:rsidR="004D5254" w:rsidRDefault="004D5254" w:rsidP="004D5254">
      <w:r>
        <w:t>Pralatrexate is a cytotoxic agent, so no studies have been performed in healthy volunteers.</w:t>
      </w:r>
    </w:p>
    <w:p w:rsidR="004D5254" w:rsidRDefault="004D5254" w:rsidP="004D5254">
      <w:pPr>
        <w:autoSpaceDE w:val="0"/>
        <w:autoSpaceDN w:val="0"/>
        <w:adjustRightInd w:val="0"/>
        <w:rPr>
          <w:color w:val="000000"/>
        </w:rPr>
      </w:pPr>
      <w:r w:rsidRPr="001C1018">
        <w:rPr>
          <w:color w:val="000000"/>
        </w:rPr>
        <w:t xml:space="preserve">PK data for the two pralatrexate diastereomers </w:t>
      </w:r>
      <w:r w:rsidRPr="001C1018">
        <w:t xml:space="preserve">PDX-10a and PDX-10b </w:t>
      </w:r>
      <w:r w:rsidRPr="001C1018">
        <w:rPr>
          <w:color w:val="000000"/>
        </w:rPr>
        <w:t xml:space="preserve">were provided from </w:t>
      </w:r>
      <w:r>
        <w:rPr>
          <w:color w:val="000000"/>
        </w:rPr>
        <w:t xml:space="preserve">two Phase I </w:t>
      </w:r>
      <w:r w:rsidRPr="001C1018">
        <w:rPr>
          <w:color w:val="000000"/>
        </w:rPr>
        <w:t xml:space="preserve">clinical studies (PDX-007 [patients with advanced non-small cell lung cancer] and PDX-99-083 [patients with advanced cancer]) and </w:t>
      </w:r>
      <w:r>
        <w:rPr>
          <w:color w:val="000000"/>
        </w:rPr>
        <w:t>one</w:t>
      </w:r>
      <w:r w:rsidRPr="001C1018">
        <w:rPr>
          <w:color w:val="000000"/>
        </w:rPr>
        <w:t xml:space="preserve"> </w:t>
      </w:r>
      <w:r>
        <w:rPr>
          <w:color w:val="000000"/>
        </w:rPr>
        <w:t>Phase II</w:t>
      </w:r>
      <w:r w:rsidRPr="001C1018">
        <w:rPr>
          <w:color w:val="000000"/>
        </w:rPr>
        <w:t xml:space="preserve"> study (PDX-008 [patients with relapsed or refractory PTCL]).</w:t>
      </w:r>
      <w:r>
        <w:rPr>
          <w:color w:val="000000"/>
        </w:rPr>
        <w:t xml:space="preserve"> </w:t>
      </w:r>
      <w:r w:rsidRPr="001C1018">
        <w:t xml:space="preserve">Of note, only </w:t>
      </w:r>
      <w:r>
        <w:t>Study PDX-</w:t>
      </w:r>
      <w:r w:rsidRPr="001C1018">
        <w:t xml:space="preserve">008 included patients from the target </w:t>
      </w:r>
      <w:r w:rsidRPr="001C1018">
        <w:lastRenderedPageBreak/>
        <w:t>population (</w:t>
      </w:r>
      <w:r w:rsidRPr="00990CA1">
        <w:t>that is,</w:t>
      </w:r>
      <w:r w:rsidRPr="001C1018">
        <w:t xml:space="preserve"> the proposed indication of PTCL).</w:t>
      </w:r>
      <w:r>
        <w:t xml:space="preserve"> </w:t>
      </w:r>
      <w:r w:rsidRPr="001C1018">
        <w:rPr>
          <w:color w:val="000000"/>
        </w:rPr>
        <w:t>These PK data were generated with a fully validated LC/MS/MS</w:t>
      </w:r>
      <w:r>
        <w:rPr>
          <w:color w:val="000000"/>
        </w:rPr>
        <w:t xml:space="preserve"> </w:t>
      </w:r>
      <w:r w:rsidRPr="001C1018">
        <w:rPr>
          <w:color w:val="000000"/>
        </w:rPr>
        <w:t>assay method that quantifie</w:t>
      </w:r>
      <w:r>
        <w:rPr>
          <w:color w:val="000000"/>
        </w:rPr>
        <w:t>d</w:t>
      </w:r>
      <w:r w:rsidRPr="001C1018">
        <w:rPr>
          <w:color w:val="000000"/>
        </w:rPr>
        <w:t xml:space="preserve"> both pralatrexate diastereomers.</w:t>
      </w:r>
      <w:r>
        <w:rPr>
          <w:color w:val="000000"/>
        </w:rPr>
        <w:t xml:space="preserve"> </w:t>
      </w:r>
    </w:p>
    <w:p w:rsidR="004D5254" w:rsidRPr="00BE071B" w:rsidRDefault="004D5254" w:rsidP="004D5254">
      <w:r w:rsidRPr="00BE071B">
        <w:t>In addition, the sponsor provided two pooled PK analyses as follows:</w:t>
      </w:r>
    </w:p>
    <w:p w:rsidR="004D5254" w:rsidRDefault="004D5254" w:rsidP="004D5254">
      <w:pPr>
        <w:pStyle w:val="ListBullet"/>
        <w:numPr>
          <w:ilvl w:val="0"/>
          <w:numId w:val="1"/>
        </w:numPr>
      </w:pPr>
      <w:r w:rsidRPr="00BE071B">
        <w:t xml:space="preserve">a pooled, non-compartmental, integrated covariate analysis, comprising all patients </w:t>
      </w:r>
      <w:r>
        <w:t xml:space="preserve">from </w:t>
      </w:r>
      <w:r w:rsidRPr="00BE071B">
        <w:t xml:space="preserve">studies </w:t>
      </w:r>
      <w:r>
        <w:t xml:space="preserve">PDX-008, -007 and -99-083 </w:t>
      </w:r>
      <w:r w:rsidRPr="00BE071B">
        <w:t>who completed a dense PK plasma sampling schedule over 24 - 72 hours (n=54); and</w:t>
      </w:r>
    </w:p>
    <w:p w:rsidR="004D5254" w:rsidRPr="00C81197" w:rsidRDefault="004D5254" w:rsidP="004D5254">
      <w:pPr>
        <w:pStyle w:val="ListBullet"/>
        <w:numPr>
          <w:ilvl w:val="0"/>
          <w:numId w:val="1"/>
        </w:numPr>
      </w:pPr>
      <w:r>
        <w:t>a</w:t>
      </w:r>
      <w:r w:rsidRPr="00C81197">
        <w:t xml:space="preserve"> POPPK analysis population was performed to estimate population parameters for pralatrexate diastereomers PDX-10a and PDX-10b, including typical values, inter-individual variation, and residual variability after administration of pralatrexate to cancer patients, and to estimate the effects of individual-specific covariate factors that may be predictive of the unexplained random variability in pralatrexate PK.</w:t>
      </w:r>
      <w:r>
        <w:t xml:space="preserve"> </w:t>
      </w:r>
      <w:r w:rsidRPr="00C81197">
        <w:t>This analysis included all patients from the 3 studies with PK data, including those with sparse PK plasma sampling (n=154).</w:t>
      </w:r>
    </w:p>
    <w:p w:rsidR="004D5254" w:rsidRPr="00BE071B" w:rsidRDefault="004D5254" w:rsidP="004D5254">
      <w:pPr>
        <w:autoSpaceDE w:val="0"/>
        <w:autoSpaceDN w:val="0"/>
        <w:adjustRightInd w:val="0"/>
      </w:pPr>
      <w:r w:rsidRPr="00BE071B">
        <w:t>The contributions of the three clinical studies to these analyses were as follows:</w:t>
      </w:r>
    </w:p>
    <w:p w:rsidR="004D5254" w:rsidRDefault="004D5254" w:rsidP="004D5254">
      <w:pPr>
        <w:pStyle w:val="ListBullet"/>
        <w:numPr>
          <w:ilvl w:val="0"/>
          <w:numId w:val="1"/>
        </w:numPr>
      </w:pPr>
      <w:r w:rsidRPr="00BE071B">
        <w:t>PDX-008</w:t>
      </w:r>
      <w:r>
        <w:t xml:space="preserve"> (n=109)</w:t>
      </w:r>
    </w:p>
    <w:p w:rsidR="004D5254" w:rsidRPr="00BE071B" w:rsidRDefault="004D5254" w:rsidP="004D5254">
      <w:pPr>
        <w:pStyle w:val="ListBullet2"/>
        <w:numPr>
          <w:ilvl w:val="1"/>
          <w:numId w:val="1"/>
        </w:numPr>
      </w:pPr>
      <w:r w:rsidRPr="00BE071B">
        <w:t xml:space="preserve">10 of the 109 patients provided full plasma PK data and 8 provided urine PK data for the </w:t>
      </w:r>
      <w:r>
        <w:t>integrated, non-compartmental</w:t>
      </w:r>
      <w:r w:rsidRPr="00BE071B">
        <w:t xml:space="preserve"> PK analysis; </w:t>
      </w:r>
    </w:p>
    <w:p w:rsidR="004D5254" w:rsidRPr="00BE071B" w:rsidRDefault="004D5254" w:rsidP="004D5254">
      <w:pPr>
        <w:pStyle w:val="ListBullet2"/>
        <w:numPr>
          <w:ilvl w:val="1"/>
          <w:numId w:val="1"/>
        </w:numPr>
      </w:pPr>
      <w:r>
        <w:t>The remaining 99</w:t>
      </w:r>
      <w:r w:rsidRPr="00BE071B">
        <w:t xml:space="preserve"> patients provided sparse plasma</w:t>
      </w:r>
      <w:r>
        <w:t xml:space="preserve"> PK data;</w:t>
      </w:r>
    </w:p>
    <w:p w:rsidR="004D5254" w:rsidRPr="00BE071B" w:rsidRDefault="004D5254" w:rsidP="004D5254">
      <w:pPr>
        <w:pStyle w:val="ListBullet2"/>
        <w:numPr>
          <w:ilvl w:val="1"/>
          <w:numId w:val="1"/>
        </w:numPr>
      </w:pPr>
      <w:r w:rsidRPr="00BE071B">
        <w:t xml:space="preserve">All 109 patients provided PK data for </w:t>
      </w:r>
      <w:r>
        <w:t>the</w:t>
      </w:r>
      <w:r w:rsidRPr="00BE071B">
        <w:t xml:space="preserve"> POPPK analysis.</w:t>
      </w:r>
    </w:p>
    <w:p w:rsidR="004D5254" w:rsidRPr="00BE071B" w:rsidRDefault="004D5254" w:rsidP="004D5254">
      <w:pPr>
        <w:pStyle w:val="ListBullet"/>
        <w:numPr>
          <w:ilvl w:val="0"/>
          <w:numId w:val="1"/>
        </w:numPr>
      </w:pPr>
      <w:r w:rsidRPr="00BE071B">
        <w:t>PDX-007</w:t>
      </w:r>
      <w:r>
        <w:t xml:space="preserve"> (n=39)</w:t>
      </w:r>
    </w:p>
    <w:p w:rsidR="004D5254" w:rsidRPr="00BE071B" w:rsidRDefault="004D5254" w:rsidP="004D5254">
      <w:pPr>
        <w:pStyle w:val="ListBullet2"/>
        <w:numPr>
          <w:ilvl w:val="1"/>
          <w:numId w:val="1"/>
        </w:numPr>
      </w:pPr>
      <w:r w:rsidRPr="00BE071B">
        <w:t xml:space="preserve">38 of the 39 patients provided full plasma PK data and 33 provided urine PK data for the </w:t>
      </w:r>
      <w:r>
        <w:rPr>
          <w:rFonts w:eastAsia="SymbolMT"/>
        </w:rPr>
        <w:t>integrated,</w:t>
      </w:r>
      <w:r w:rsidRPr="00BE071B">
        <w:t xml:space="preserve"> non-compartmental PK analysis</w:t>
      </w:r>
      <w:r>
        <w:t>;</w:t>
      </w:r>
    </w:p>
    <w:p w:rsidR="004D5254" w:rsidRPr="00BE071B" w:rsidRDefault="004D5254" w:rsidP="004D5254">
      <w:pPr>
        <w:pStyle w:val="ListBullet2"/>
        <w:numPr>
          <w:ilvl w:val="1"/>
          <w:numId w:val="1"/>
        </w:numPr>
      </w:pPr>
      <w:r w:rsidRPr="00BE071B">
        <w:t xml:space="preserve">All 39 patients provided PK data for </w:t>
      </w:r>
      <w:r>
        <w:t xml:space="preserve">the </w:t>
      </w:r>
      <w:r w:rsidRPr="00BE071B">
        <w:t>POPPK analysis</w:t>
      </w:r>
      <w:r>
        <w:t>.</w:t>
      </w:r>
    </w:p>
    <w:p w:rsidR="004D5254" w:rsidRDefault="004D5254" w:rsidP="004D5254">
      <w:pPr>
        <w:pStyle w:val="ListBullet"/>
        <w:numPr>
          <w:ilvl w:val="0"/>
          <w:numId w:val="1"/>
        </w:numPr>
      </w:pPr>
      <w:r w:rsidRPr="00BE071B">
        <w:t>PDX-99-083</w:t>
      </w:r>
      <w:r>
        <w:t xml:space="preserve"> (n=51)</w:t>
      </w:r>
    </w:p>
    <w:p w:rsidR="004D5254" w:rsidRPr="00496982" w:rsidRDefault="004D5254" w:rsidP="004D5254">
      <w:pPr>
        <w:pStyle w:val="ListBullet2"/>
        <w:numPr>
          <w:ilvl w:val="1"/>
          <w:numId w:val="1"/>
        </w:numPr>
      </w:pPr>
      <w:r w:rsidRPr="00496982">
        <w:t>6 patients provided full PK data for both non</w:t>
      </w:r>
      <w:r>
        <w:t>-</w:t>
      </w:r>
      <w:r w:rsidRPr="00496982">
        <w:t>compartmental PK and POPPK analyses.</w:t>
      </w:r>
    </w:p>
    <w:p w:rsidR="004D5254" w:rsidRDefault="004D5254" w:rsidP="004D5254">
      <w:r>
        <w:t>Demographic and clinical characteristics of patients with full PK profiling in each of the studies are summarised i</w:t>
      </w:r>
      <w:r w:rsidRPr="00C66322">
        <w:t>n Table 2</w:t>
      </w:r>
      <w:r>
        <w:t xml:space="preserve"> </w:t>
      </w:r>
      <w:r w:rsidRPr="00C66322">
        <w:t>which</w:t>
      </w:r>
      <w:r>
        <w:t xml:space="preserve"> shows they were predominantly Caucasian, aged 50+ years, with normal hepatic and renal function. </w:t>
      </w:r>
    </w:p>
    <w:p w:rsidR="004D5254" w:rsidRDefault="004D5254" w:rsidP="004D5254">
      <w:pPr>
        <w:pStyle w:val="FigureTitle"/>
        <w:keepNext/>
      </w:pPr>
      <w:bookmarkStart w:id="52" w:name="_Toc320881526"/>
      <w:r>
        <w:lastRenderedPageBreak/>
        <w:t>Table 2. Characteristics of patients with full PK profiling of pralatrexate diastereomers</w:t>
      </w:r>
      <w:bookmarkEnd w:id="52"/>
    </w:p>
    <w:tbl>
      <w:tblPr>
        <w:tblStyle w:val="TableTGAblue"/>
        <w:tblW w:w="0" w:type="auto"/>
        <w:tblLook w:val="04A0"/>
      </w:tblPr>
      <w:tblGrid>
        <w:gridCol w:w="2961"/>
        <w:gridCol w:w="1528"/>
        <w:gridCol w:w="1581"/>
        <w:gridCol w:w="1582"/>
        <w:gridCol w:w="1590"/>
      </w:tblGrid>
      <w:tr w:rsidR="004D5254" w:rsidRPr="000A06FA" w:rsidTr="0090319D">
        <w:trPr>
          <w:cnfStyle w:val="100000000000"/>
          <w:tblHeader/>
        </w:trPr>
        <w:tc>
          <w:tcPr>
            <w:cnfStyle w:val="001000000000"/>
            <w:tcW w:w="4489" w:type="dxa"/>
            <w:gridSpan w:val="2"/>
          </w:tcPr>
          <w:p w:rsidR="004D5254" w:rsidRPr="000A06FA" w:rsidRDefault="004D5254" w:rsidP="00C80331">
            <w:pPr>
              <w:keepNext/>
              <w:keepLines/>
              <w:autoSpaceDE w:val="0"/>
              <w:autoSpaceDN w:val="0"/>
              <w:adjustRightInd w:val="0"/>
              <w:spacing w:before="40" w:after="40"/>
              <w:outlineLvl w:val="6"/>
              <w:rPr>
                <w:bCs/>
                <w:sz w:val="20"/>
                <w:szCs w:val="20"/>
              </w:rPr>
            </w:pPr>
          </w:p>
        </w:tc>
        <w:tc>
          <w:tcPr>
            <w:tcW w:w="1581" w:type="dxa"/>
          </w:tcPr>
          <w:p w:rsidR="004D5254" w:rsidRPr="00C66322" w:rsidRDefault="004D5254" w:rsidP="00C80331">
            <w:pPr>
              <w:keepNext/>
              <w:keepLines/>
              <w:autoSpaceDE w:val="0"/>
              <w:autoSpaceDN w:val="0"/>
              <w:adjustRightInd w:val="0"/>
              <w:spacing w:before="40" w:after="40"/>
              <w:jc w:val="center"/>
              <w:outlineLvl w:val="6"/>
              <w:cnfStyle w:val="100000000000"/>
              <w:rPr>
                <w:bCs/>
                <w:sz w:val="20"/>
                <w:szCs w:val="20"/>
              </w:rPr>
            </w:pPr>
            <w:r w:rsidRPr="00C66322">
              <w:rPr>
                <w:bCs/>
                <w:sz w:val="20"/>
                <w:szCs w:val="20"/>
              </w:rPr>
              <w:t>PDX-008 (n=10)</w:t>
            </w:r>
          </w:p>
        </w:tc>
        <w:tc>
          <w:tcPr>
            <w:tcW w:w="1582" w:type="dxa"/>
          </w:tcPr>
          <w:p w:rsidR="004D5254" w:rsidRPr="00C66322" w:rsidRDefault="004D5254" w:rsidP="00C80331">
            <w:pPr>
              <w:keepNext/>
              <w:keepLines/>
              <w:autoSpaceDE w:val="0"/>
              <w:autoSpaceDN w:val="0"/>
              <w:adjustRightInd w:val="0"/>
              <w:spacing w:before="40" w:after="40"/>
              <w:jc w:val="center"/>
              <w:outlineLvl w:val="6"/>
              <w:cnfStyle w:val="100000000000"/>
              <w:rPr>
                <w:bCs/>
                <w:sz w:val="20"/>
                <w:szCs w:val="20"/>
              </w:rPr>
            </w:pPr>
            <w:r w:rsidRPr="00C66322">
              <w:rPr>
                <w:bCs/>
                <w:sz w:val="20"/>
                <w:szCs w:val="20"/>
              </w:rPr>
              <w:t>PDX-007 (n=38)</w:t>
            </w:r>
          </w:p>
        </w:tc>
        <w:tc>
          <w:tcPr>
            <w:tcW w:w="1590" w:type="dxa"/>
          </w:tcPr>
          <w:p w:rsidR="004D5254" w:rsidRPr="00C66322" w:rsidRDefault="004D5254" w:rsidP="00C80331">
            <w:pPr>
              <w:keepNext/>
              <w:keepLines/>
              <w:autoSpaceDE w:val="0"/>
              <w:autoSpaceDN w:val="0"/>
              <w:adjustRightInd w:val="0"/>
              <w:spacing w:before="40" w:after="40"/>
              <w:jc w:val="center"/>
              <w:outlineLvl w:val="6"/>
              <w:cnfStyle w:val="100000000000"/>
              <w:rPr>
                <w:bCs/>
                <w:sz w:val="20"/>
                <w:szCs w:val="20"/>
              </w:rPr>
            </w:pPr>
            <w:r w:rsidRPr="00C66322">
              <w:rPr>
                <w:bCs/>
                <w:sz w:val="20"/>
                <w:szCs w:val="20"/>
              </w:rPr>
              <w:t>PDX-99-083 (n=6)</w:t>
            </w:r>
          </w:p>
        </w:tc>
      </w:tr>
      <w:tr w:rsidR="004D5254" w:rsidRPr="000A06FA" w:rsidTr="00C80331">
        <w:tc>
          <w:tcPr>
            <w:cnfStyle w:val="001000000000"/>
            <w:tcW w:w="4489" w:type="dxa"/>
            <w:gridSpan w:val="2"/>
          </w:tcPr>
          <w:p w:rsidR="004D5254" w:rsidRPr="000A06FA" w:rsidRDefault="004D5254" w:rsidP="00C80331">
            <w:pPr>
              <w:keepNext/>
              <w:keepLines/>
              <w:autoSpaceDE w:val="0"/>
              <w:autoSpaceDN w:val="0"/>
              <w:adjustRightInd w:val="0"/>
              <w:spacing w:before="40" w:after="40"/>
              <w:outlineLvl w:val="6"/>
              <w:rPr>
                <w:bCs/>
                <w:sz w:val="20"/>
                <w:szCs w:val="20"/>
              </w:rPr>
            </w:pPr>
            <w:r>
              <w:rPr>
                <w:b/>
                <w:bCs/>
                <w:sz w:val="20"/>
                <w:szCs w:val="20"/>
              </w:rPr>
              <w:t>Tumour type</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PTCL</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NSCLC</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Solid tumours</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r w:rsidRPr="000A06FA">
              <w:rPr>
                <w:b/>
                <w:bCs/>
                <w:sz w:val="20"/>
                <w:szCs w:val="20"/>
              </w:rPr>
              <w:t>Age</w:t>
            </w:r>
            <w:r>
              <w:rPr>
                <w:bCs/>
                <w:sz w:val="20"/>
                <w:szCs w:val="20"/>
              </w:rPr>
              <w:t xml:space="preserve"> </w:t>
            </w:r>
            <w:r w:rsidRPr="000A06FA">
              <w:rPr>
                <w:bCs/>
                <w:sz w:val="20"/>
                <w:szCs w:val="20"/>
              </w:rPr>
              <w:t>(yrs)</w:t>
            </w:r>
            <w:r>
              <w:rPr>
                <w:bCs/>
                <w:sz w:val="20"/>
                <w:szCs w:val="20"/>
              </w:rPr>
              <w:t xml:space="preserve"> </w:t>
            </w: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mean ± SD</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52.3 ± 14.7</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61.1 ± 9.2</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61.5 ± 13.6</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median</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51</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62</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66.5</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range</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24-75</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40-77</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37-76</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r w:rsidRPr="000A06FA">
              <w:rPr>
                <w:b/>
                <w:bCs/>
                <w:sz w:val="20"/>
                <w:szCs w:val="20"/>
              </w:rPr>
              <w:t>Gender</w:t>
            </w:r>
            <w:r>
              <w:rPr>
                <w:bCs/>
                <w:sz w:val="20"/>
                <w:szCs w:val="20"/>
              </w:rPr>
              <w:t xml:space="preserve"> </w:t>
            </w:r>
            <w:r w:rsidRPr="000A06FA">
              <w:rPr>
                <w:bCs/>
                <w:sz w:val="20"/>
                <w:szCs w:val="20"/>
              </w:rPr>
              <w:t xml:space="preserve"> </w:t>
            </w: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Male : Female</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7 : 3</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16 : 22</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3 : 3</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r w:rsidRPr="000A06FA">
              <w:rPr>
                <w:b/>
                <w:bCs/>
                <w:sz w:val="20"/>
                <w:szCs w:val="20"/>
              </w:rPr>
              <w:t>Race</w:t>
            </w:r>
            <w:r>
              <w:rPr>
                <w:bCs/>
                <w:sz w:val="20"/>
                <w:szCs w:val="20"/>
              </w:rPr>
              <w:t xml:space="preserve">  </w:t>
            </w: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Caucasian</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6</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34</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4</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Negro</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3</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4</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Asian</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Unknown</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r w:rsidRPr="000A06FA">
              <w:rPr>
                <w:b/>
                <w:bCs/>
                <w:sz w:val="20"/>
                <w:szCs w:val="20"/>
              </w:rPr>
              <w:t>BSA</w:t>
            </w:r>
            <w:r w:rsidRPr="000A06FA">
              <w:rPr>
                <w:bCs/>
                <w:sz w:val="20"/>
                <w:szCs w:val="20"/>
              </w:rPr>
              <w:t xml:space="preserve"> (m</w:t>
            </w:r>
            <w:r w:rsidRPr="000A06FA">
              <w:rPr>
                <w:bCs/>
                <w:sz w:val="20"/>
                <w:szCs w:val="20"/>
                <w:vertAlign w:val="superscript"/>
              </w:rPr>
              <w:t>2</w:t>
            </w:r>
            <w:r w:rsidRPr="000A06FA">
              <w:rPr>
                <w:bCs/>
                <w:sz w:val="20"/>
                <w:szCs w:val="20"/>
              </w:rPr>
              <w:t>)</w:t>
            </w: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mean ± SD</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1.99 ± 0.24</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1.84 ± 0.22</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1.8</w:t>
            </w:r>
            <w:r>
              <w:rPr>
                <w:bCs/>
                <w:sz w:val="20"/>
                <w:szCs w:val="20"/>
              </w:rPr>
              <w:t>2 ± 0.26</w:t>
            </w:r>
            <w:r w:rsidRPr="000A06FA">
              <w:rPr>
                <w:bCs/>
                <w:sz w:val="20"/>
                <w:szCs w:val="20"/>
              </w:rPr>
              <w:t xml:space="preserve"> </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median</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2.0</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1.87</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1.86</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range</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1.52 – 2.4</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1.36 – 2.45</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1.45 – 2.10</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r w:rsidRPr="000A06FA">
              <w:rPr>
                <w:b/>
                <w:bCs/>
                <w:sz w:val="20"/>
                <w:szCs w:val="20"/>
              </w:rPr>
              <w:t xml:space="preserve">Serum creatinine </w:t>
            </w:r>
            <w:r w:rsidRPr="000A06FA">
              <w:rPr>
                <w:bCs/>
                <w:sz w:val="20"/>
                <w:szCs w:val="20"/>
              </w:rPr>
              <w:t>(mg/dL)</w:t>
            </w: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mean ± SD</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1.16 ± 0.26</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0.96 ± 0.24</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0.88 ± 0.3</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median</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1.15</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0.9</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0.9</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range</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0.8 – 1.7</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0.5 – 1.6</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0.5 – 1.3</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r w:rsidRPr="000A06FA">
              <w:rPr>
                <w:b/>
                <w:bCs/>
                <w:sz w:val="20"/>
                <w:szCs w:val="20"/>
              </w:rPr>
              <w:t xml:space="preserve">Creatinine clearance </w:t>
            </w:r>
            <w:r w:rsidRPr="000A06FA">
              <w:rPr>
                <w:bCs/>
                <w:sz w:val="20"/>
                <w:szCs w:val="20"/>
              </w:rPr>
              <w:t>(mL/min)</w:t>
            </w:r>
            <w:r>
              <w:rPr>
                <w:bCs/>
                <w:sz w:val="20"/>
                <w:szCs w:val="20"/>
              </w:rPr>
              <w:t xml:space="preserve"> </w:t>
            </w: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mean ± SD</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86.8 ± 23.5</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88.6 ± 21.7</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90.8 ± 27.3</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median</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90.5</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83.0</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93</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range</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53</w:t>
            </w:r>
            <w:r>
              <w:rPr>
                <w:bCs/>
                <w:sz w:val="20"/>
                <w:szCs w:val="20"/>
              </w:rPr>
              <w:t xml:space="preserve"> </w:t>
            </w:r>
            <w:r w:rsidRPr="000A06FA">
              <w:rPr>
                <w:bCs/>
                <w:sz w:val="20"/>
                <w:szCs w:val="20"/>
              </w:rPr>
              <w:t>-</w:t>
            </w:r>
            <w:r>
              <w:rPr>
                <w:bCs/>
                <w:sz w:val="20"/>
                <w:szCs w:val="20"/>
              </w:rPr>
              <w:t xml:space="preserve"> </w:t>
            </w:r>
            <w:r w:rsidRPr="000A06FA">
              <w:rPr>
                <w:bCs/>
                <w:sz w:val="20"/>
                <w:szCs w:val="20"/>
              </w:rPr>
              <w:t>130</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59</w:t>
            </w:r>
            <w:r>
              <w:rPr>
                <w:bCs/>
                <w:sz w:val="20"/>
                <w:szCs w:val="20"/>
              </w:rPr>
              <w:t xml:space="preserve"> </w:t>
            </w:r>
            <w:r w:rsidRPr="000A06FA">
              <w:rPr>
                <w:bCs/>
                <w:sz w:val="20"/>
                <w:szCs w:val="20"/>
              </w:rPr>
              <w:t>-</w:t>
            </w:r>
            <w:r>
              <w:rPr>
                <w:bCs/>
                <w:sz w:val="20"/>
                <w:szCs w:val="20"/>
              </w:rPr>
              <w:t xml:space="preserve"> </w:t>
            </w:r>
            <w:r w:rsidRPr="000A06FA">
              <w:rPr>
                <w:bCs/>
                <w:sz w:val="20"/>
                <w:szCs w:val="20"/>
              </w:rPr>
              <w:t>130</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60</w:t>
            </w:r>
            <w:r>
              <w:rPr>
                <w:bCs/>
                <w:sz w:val="20"/>
                <w:szCs w:val="20"/>
              </w:rPr>
              <w:t xml:space="preserve"> </w:t>
            </w:r>
            <w:r w:rsidRPr="000A06FA">
              <w:rPr>
                <w:bCs/>
                <w:sz w:val="20"/>
                <w:szCs w:val="20"/>
              </w:rPr>
              <w:t>-</w:t>
            </w:r>
            <w:r>
              <w:rPr>
                <w:bCs/>
                <w:sz w:val="20"/>
                <w:szCs w:val="20"/>
              </w:rPr>
              <w:t xml:space="preserve"> </w:t>
            </w:r>
            <w:r w:rsidRPr="000A06FA">
              <w:rPr>
                <w:bCs/>
                <w:sz w:val="20"/>
                <w:szCs w:val="20"/>
              </w:rPr>
              <w:t>130</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
                <w:bCs/>
                <w:sz w:val="20"/>
                <w:szCs w:val="20"/>
              </w:rPr>
            </w:pPr>
            <w:r w:rsidRPr="000A06FA">
              <w:rPr>
                <w:b/>
                <w:bCs/>
                <w:sz w:val="20"/>
                <w:szCs w:val="20"/>
              </w:rPr>
              <w:t xml:space="preserve">Total bilirubin </w:t>
            </w:r>
            <w:r w:rsidRPr="000A06FA">
              <w:rPr>
                <w:bCs/>
                <w:sz w:val="20"/>
                <w:szCs w:val="20"/>
              </w:rPr>
              <w:t>(mg/dL)</w:t>
            </w: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mean ± SD</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0.56 ± 0.24</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0.73 ± 0.28</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0.70 ± 0.17</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median</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0.5</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0.7</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0.65</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range</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0.3 – 1.0</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0.2 – 1.6</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0.5 – 0.9</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r w:rsidRPr="000A06FA">
              <w:rPr>
                <w:b/>
                <w:bCs/>
                <w:sz w:val="20"/>
                <w:szCs w:val="20"/>
              </w:rPr>
              <w:t xml:space="preserve">ALT </w:t>
            </w:r>
            <w:r w:rsidRPr="000A06FA">
              <w:rPr>
                <w:bCs/>
                <w:sz w:val="20"/>
                <w:szCs w:val="20"/>
              </w:rPr>
              <w:t>(</w:t>
            </w:r>
            <w:r>
              <w:rPr>
                <w:bCs/>
                <w:sz w:val="20"/>
                <w:szCs w:val="20"/>
              </w:rPr>
              <w:t>I</w:t>
            </w:r>
            <w:r w:rsidRPr="000A06FA">
              <w:rPr>
                <w:bCs/>
                <w:sz w:val="20"/>
                <w:szCs w:val="20"/>
              </w:rPr>
              <w:t>U/L)</w:t>
            </w: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mean ± SD</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35.5 ± 42.7</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24.3 ± 12.6</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24.0 ± 10.8</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median</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21</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23</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22.5</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range</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10 – 154</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5 - 72</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12 - 41</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Cs/>
                <w:sz w:val="20"/>
                <w:szCs w:val="20"/>
              </w:rPr>
            </w:pPr>
            <w:r w:rsidRPr="000A06FA">
              <w:rPr>
                <w:b/>
                <w:bCs/>
                <w:sz w:val="20"/>
                <w:szCs w:val="20"/>
              </w:rPr>
              <w:t xml:space="preserve">AST </w:t>
            </w:r>
            <w:r w:rsidRPr="000A06FA">
              <w:rPr>
                <w:bCs/>
                <w:sz w:val="20"/>
                <w:szCs w:val="20"/>
              </w:rPr>
              <w:t>(</w:t>
            </w:r>
            <w:r>
              <w:rPr>
                <w:bCs/>
                <w:sz w:val="20"/>
                <w:szCs w:val="20"/>
              </w:rPr>
              <w:t>I</w:t>
            </w:r>
            <w:r w:rsidRPr="000A06FA">
              <w:rPr>
                <w:bCs/>
                <w:sz w:val="20"/>
                <w:szCs w:val="20"/>
              </w:rPr>
              <w:t>U/L)</w:t>
            </w: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mean ± SD</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34.3 ± 19.6</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25.0 ± 9.2</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26.7 ± 12.4</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median</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32</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23</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27</w:t>
            </w:r>
          </w:p>
        </w:tc>
      </w:tr>
      <w:tr w:rsidR="004D5254" w:rsidRPr="000A06FA" w:rsidTr="00C80331">
        <w:tc>
          <w:tcPr>
            <w:cnfStyle w:val="001000000000"/>
            <w:tcW w:w="2961" w:type="dxa"/>
          </w:tcPr>
          <w:p w:rsidR="004D5254" w:rsidRPr="000A06FA" w:rsidRDefault="004D5254" w:rsidP="00C80331">
            <w:pPr>
              <w:keepNext/>
              <w:keepLines/>
              <w:autoSpaceDE w:val="0"/>
              <w:autoSpaceDN w:val="0"/>
              <w:adjustRightInd w:val="0"/>
              <w:spacing w:before="40" w:after="40"/>
              <w:outlineLvl w:val="6"/>
              <w:rPr>
                <w:b/>
                <w:bCs/>
                <w:sz w:val="20"/>
                <w:szCs w:val="20"/>
              </w:rPr>
            </w:pPr>
          </w:p>
        </w:tc>
        <w:tc>
          <w:tcPr>
            <w:tcW w:w="1528" w:type="dxa"/>
          </w:tcPr>
          <w:p w:rsidR="004D5254" w:rsidRPr="000A06FA" w:rsidRDefault="004D5254" w:rsidP="00C80331">
            <w:pPr>
              <w:keepNext/>
              <w:keepLines/>
              <w:autoSpaceDE w:val="0"/>
              <w:autoSpaceDN w:val="0"/>
              <w:adjustRightInd w:val="0"/>
              <w:spacing w:before="40" w:after="40"/>
              <w:outlineLvl w:val="6"/>
              <w:cnfStyle w:val="000000000000"/>
              <w:rPr>
                <w:bCs/>
                <w:sz w:val="20"/>
                <w:szCs w:val="20"/>
              </w:rPr>
            </w:pPr>
            <w:r w:rsidRPr="000A06FA">
              <w:rPr>
                <w:bCs/>
                <w:sz w:val="20"/>
                <w:szCs w:val="20"/>
              </w:rPr>
              <w:t>range</w:t>
            </w:r>
          </w:p>
        </w:tc>
        <w:tc>
          <w:tcPr>
            <w:tcW w:w="1581"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10 - 79</w:t>
            </w:r>
          </w:p>
        </w:tc>
        <w:tc>
          <w:tcPr>
            <w:tcW w:w="1582"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sidRPr="000A06FA">
              <w:rPr>
                <w:bCs/>
                <w:sz w:val="20"/>
                <w:szCs w:val="20"/>
              </w:rPr>
              <w:t>11 - 59</w:t>
            </w:r>
          </w:p>
        </w:tc>
        <w:tc>
          <w:tcPr>
            <w:tcW w:w="1590" w:type="dxa"/>
          </w:tcPr>
          <w:p w:rsidR="004D5254" w:rsidRPr="000A06FA"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12 - 47</w:t>
            </w:r>
          </w:p>
        </w:tc>
      </w:tr>
    </w:tbl>
    <w:p w:rsidR="004D5254" w:rsidRDefault="004D5254" w:rsidP="004D5254">
      <w:pPr>
        <w:keepNext/>
        <w:autoSpaceDE w:val="0"/>
        <w:autoSpaceDN w:val="0"/>
        <w:adjustRightInd w:val="0"/>
        <w:rPr>
          <w:color w:val="000000"/>
          <w:sz w:val="18"/>
          <w:szCs w:val="18"/>
        </w:rPr>
      </w:pPr>
      <w:r>
        <w:rPr>
          <w:color w:val="000000"/>
          <w:sz w:val="18"/>
          <w:szCs w:val="18"/>
        </w:rPr>
        <w:t>PTCL = peripheral T-cell lymphoma</w:t>
      </w:r>
      <w:r>
        <w:rPr>
          <w:color w:val="000000"/>
          <w:sz w:val="18"/>
          <w:szCs w:val="18"/>
        </w:rPr>
        <w:tab/>
      </w:r>
      <w:r>
        <w:rPr>
          <w:color w:val="000000"/>
          <w:sz w:val="18"/>
          <w:szCs w:val="18"/>
        </w:rPr>
        <w:tab/>
        <w:t>NSCLC = non small cell lung cancer</w:t>
      </w:r>
    </w:p>
    <w:p w:rsidR="004D5254" w:rsidRDefault="004D5254" w:rsidP="004D5254">
      <w:pPr>
        <w:pStyle w:val="Heading3"/>
        <w:numPr>
          <w:ilvl w:val="1"/>
          <w:numId w:val="5"/>
        </w:numPr>
      </w:pPr>
      <w:bookmarkStart w:id="53" w:name="_Ref269118175"/>
      <w:bookmarkStart w:id="54" w:name="_Toc272414616"/>
      <w:bookmarkStart w:id="55" w:name="_Toc290846239"/>
      <w:bookmarkStart w:id="56" w:name="_Toc320881418"/>
      <w:bookmarkStart w:id="57" w:name="_Toc359930718"/>
      <w:bookmarkStart w:id="58" w:name="_Toc364764894"/>
      <w:r>
        <w:t>Summary of pharmacokinetics</w:t>
      </w:r>
      <w:bookmarkEnd w:id="53"/>
      <w:bookmarkEnd w:id="54"/>
      <w:bookmarkEnd w:id="55"/>
      <w:bookmarkEnd w:id="56"/>
      <w:bookmarkEnd w:id="57"/>
      <w:bookmarkEnd w:id="58"/>
    </w:p>
    <w:p w:rsidR="004D5254" w:rsidRDefault="004D5254" w:rsidP="004D5254">
      <w:r>
        <w:t xml:space="preserve">The information in the following summary is derived from clinical efficacy/safety studies in which PK profiling was undertaken in a subset of patients, and from </w:t>
      </w:r>
      <w:r w:rsidRPr="00D7417D">
        <w:rPr>
          <w:i/>
        </w:rPr>
        <w:t>in vitro</w:t>
      </w:r>
      <w:r>
        <w:t xml:space="preserve"> studies using human biomaterials. As noted previously, the </w:t>
      </w:r>
      <w:r w:rsidRPr="00D950FB">
        <w:rPr>
          <w:i/>
        </w:rPr>
        <w:t>in vitro</w:t>
      </w:r>
      <w:r>
        <w:t xml:space="preserve"> studies have not been evaluated as part of this CER and the information pertaining to these studies has been taken directly from the sponsor’s </w:t>
      </w:r>
      <w:r w:rsidRPr="00977FCD">
        <w:rPr>
          <w:i/>
        </w:rPr>
        <w:t>Summary of Clinical Pharmacology</w:t>
      </w:r>
      <w:r>
        <w:rPr>
          <w:i/>
        </w:rPr>
        <w:t xml:space="preserve"> Studies</w:t>
      </w:r>
      <w:r>
        <w:t xml:space="preserve"> (Module 2.7.2).</w:t>
      </w:r>
    </w:p>
    <w:p w:rsidR="004D5254" w:rsidRPr="00181088" w:rsidRDefault="004D5254" w:rsidP="004D5254">
      <w:pPr>
        <w:pStyle w:val="Heading4"/>
        <w:numPr>
          <w:ilvl w:val="2"/>
          <w:numId w:val="5"/>
        </w:numPr>
      </w:pPr>
      <w:bookmarkStart w:id="59" w:name="_Ref271189106"/>
      <w:bookmarkStart w:id="60" w:name="_Ref271189143"/>
      <w:bookmarkStart w:id="61" w:name="_Toc272414618"/>
      <w:bookmarkStart w:id="62" w:name="_Toc290846241"/>
      <w:bookmarkStart w:id="63" w:name="_Toc320881420"/>
      <w:r w:rsidRPr="00181088">
        <w:lastRenderedPageBreak/>
        <w:t xml:space="preserve">Pharmacokinetics in </w:t>
      </w:r>
      <w:bookmarkEnd w:id="59"/>
      <w:bookmarkEnd w:id="60"/>
      <w:bookmarkEnd w:id="61"/>
      <w:bookmarkEnd w:id="62"/>
      <w:r w:rsidRPr="00181088">
        <w:t>the target population</w:t>
      </w:r>
      <w:bookmarkEnd w:id="63"/>
    </w:p>
    <w:p w:rsidR="004D5254" w:rsidRPr="008B298A" w:rsidRDefault="004D5254" w:rsidP="004D5254">
      <w:pPr>
        <w:autoSpaceDE w:val="0"/>
        <w:autoSpaceDN w:val="0"/>
        <w:adjustRightInd w:val="0"/>
      </w:pPr>
      <w:bookmarkStart w:id="64" w:name="_Toc272414619"/>
      <w:bookmarkStart w:id="65" w:name="_Toc290846242"/>
      <w:r>
        <w:t>Pralatrexate Solution for Infusion is intended for intravenous administration only. It is a simple solution and is administered by injection into an IV line over 3 to 5 minutes. Thus, absorption characteristics, b</w:t>
      </w:r>
      <w:r w:rsidRPr="008B298A">
        <w:t>ioavailability and bioequivalence</w:t>
      </w:r>
      <w:r>
        <w:t>, and food effects</w:t>
      </w:r>
      <w:r w:rsidRPr="008B298A">
        <w:t xml:space="preserve"> are not applicable</w:t>
      </w:r>
      <w:r>
        <w:t>.</w:t>
      </w:r>
    </w:p>
    <w:p w:rsidR="004D5254" w:rsidRDefault="004D5254" w:rsidP="004D5254">
      <w:pPr>
        <w:pStyle w:val="Heading4"/>
        <w:numPr>
          <w:ilvl w:val="2"/>
          <w:numId w:val="5"/>
        </w:numPr>
      </w:pPr>
      <w:bookmarkStart w:id="66" w:name="_Toc320881421"/>
      <w:r>
        <w:t>Single dose pharmacokinetics</w:t>
      </w:r>
      <w:bookmarkEnd w:id="66"/>
      <w:r>
        <w:t xml:space="preserve"> </w:t>
      </w:r>
    </w:p>
    <w:p w:rsidR="004D5254" w:rsidRPr="00650793" w:rsidRDefault="004D5254" w:rsidP="004D5254">
      <w:r>
        <w:t xml:space="preserve">The mean plasma concentration-time profile for the diastereomers PDX-10a and PDX-10b obtained following IV push in 10 patients with PTCL (PDX-008) are shown in </w:t>
      </w:r>
      <w:r w:rsidRPr="00C81197">
        <w:rPr>
          <w:b/>
        </w:rPr>
        <w:t>Figure 1</w:t>
      </w:r>
      <w:r>
        <w:t xml:space="preserve">, below. There was a </w:t>
      </w:r>
      <w:r w:rsidRPr="00650793">
        <w:rPr>
          <w:color w:val="000000"/>
        </w:rPr>
        <w:t>multiphasic decline in plasma concentrations</w:t>
      </w:r>
      <w:r>
        <w:rPr>
          <w:color w:val="000000"/>
        </w:rPr>
        <w:t xml:space="preserve">, characterised by an initial rapid decline, </w:t>
      </w:r>
      <w:r w:rsidRPr="00650793">
        <w:rPr>
          <w:color w:val="000000"/>
        </w:rPr>
        <w:t>likely to reflect clearance of pralatrexate from the body by renal and non</w:t>
      </w:r>
      <w:r>
        <w:rPr>
          <w:color w:val="000000"/>
        </w:rPr>
        <w:t>-</w:t>
      </w:r>
      <w:r w:rsidRPr="00650793">
        <w:rPr>
          <w:color w:val="000000"/>
        </w:rPr>
        <w:t>renal mechanisms</w:t>
      </w:r>
      <w:r>
        <w:rPr>
          <w:color w:val="000000"/>
        </w:rPr>
        <w:t xml:space="preserve">, and a </w:t>
      </w:r>
      <w:r w:rsidRPr="00650793">
        <w:rPr>
          <w:color w:val="000000"/>
        </w:rPr>
        <w:t xml:space="preserve">slow terminal phase </w:t>
      </w:r>
      <w:r>
        <w:rPr>
          <w:color w:val="000000"/>
        </w:rPr>
        <w:t>which probably</w:t>
      </w:r>
      <w:r w:rsidRPr="00650793">
        <w:rPr>
          <w:color w:val="000000"/>
        </w:rPr>
        <w:t xml:space="preserve"> reflect</w:t>
      </w:r>
      <w:r>
        <w:rPr>
          <w:color w:val="000000"/>
        </w:rPr>
        <w:t>s</w:t>
      </w:r>
      <w:r w:rsidRPr="00650793">
        <w:rPr>
          <w:color w:val="000000"/>
        </w:rPr>
        <w:t xml:space="preserve"> return of pralatrexate from a deep</w:t>
      </w:r>
      <w:r>
        <w:rPr>
          <w:color w:val="000000"/>
        </w:rPr>
        <w:t xml:space="preserve"> </w:t>
      </w:r>
      <w:r w:rsidRPr="00650793">
        <w:rPr>
          <w:color w:val="000000"/>
        </w:rPr>
        <w:t xml:space="preserve">body compartment, </w:t>
      </w:r>
      <w:r w:rsidRPr="00E64F1B">
        <w:rPr>
          <w:color w:val="000000"/>
        </w:rPr>
        <w:t>for example,</w:t>
      </w:r>
      <w:r w:rsidRPr="00650793">
        <w:rPr>
          <w:color w:val="000000"/>
        </w:rPr>
        <w:t xml:space="preserve"> intracellular compartments, after deglutamylation, and/or</w:t>
      </w:r>
      <w:r>
        <w:rPr>
          <w:color w:val="000000"/>
        </w:rPr>
        <w:t xml:space="preserve"> </w:t>
      </w:r>
      <w:r w:rsidRPr="00650793">
        <w:rPr>
          <w:color w:val="000000"/>
        </w:rPr>
        <w:t>enterohepatic recycling of drug following biliary excretion into the gastrointestinal tract.</w:t>
      </w:r>
    </w:p>
    <w:p w:rsidR="004D5254" w:rsidRDefault="004D5254" w:rsidP="004D5254">
      <w:pPr>
        <w:autoSpaceDE w:val="0"/>
        <w:autoSpaceDN w:val="0"/>
        <w:adjustRightInd w:val="0"/>
        <w:rPr>
          <w:color w:val="000000"/>
        </w:rPr>
      </w:pPr>
      <w:r w:rsidRPr="00B44D09">
        <w:t xml:space="preserve">The key pharmacokinetic parameters in patients with PTCL are shown in </w:t>
      </w:r>
      <w:r w:rsidRPr="00047972">
        <w:rPr>
          <w:b/>
        </w:rPr>
        <w:t xml:space="preserve">Table </w:t>
      </w:r>
      <w:r>
        <w:rPr>
          <w:b/>
        </w:rPr>
        <w:t>3</w:t>
      </w:r>
      <w:r>
        <w:t>, which</w:t>
      </w:r>
      <w:r w:rsidRPr="00B44D09">
        <w:t xml:space="preserve"> also summarises the data obtained from </w:t>
      </w:r>
      <w:r>
        <w:t>non small cell lung cancer (</w:t>
      </w:r>
      <w:r w:rsidRPr="00B44D09">
        <w:t>NSCLC</w:t>
      </w:r>
      <w:r>
        <w:t xml:space="preserve">) </w:t>
      </w:r>
      <w:r w:rsidRPr="00B44D09">
        <w:t>patients</w:t>
      </w:r>
      <w:r>
        <w:t xml:space="preserve"> (PDX-007) </w:t>
      </w:r>
      <w:r w:rsidRPr="00B44D09">
        <w:t xml:space="preserve">and </w:t>
      </w:r>
      <w:r>
        <w:t xml:space="preserve">patients with </w:t>
      </w:r>
      <w:r w:rsidRPr="00B44D09">
        <w:t>advanced solid tumours</w:t>
      </w:r>
      <w:r>
        <w:t xml:space="preserve"> (PDX-99-083)</w:t>
      </w:r>
      <w:r w:rsidRPr="00B44D09">
        <w:t>.</w:t>
      </w:r>
      <w:r>
        <w:t xml:space="preserve"> </w:t>
      </w:r>
      <w:r w:rsidRPr="00B44D09">
        <w:t>The concentration-time profiles and PK parameters for other patient groups were similar to th</w:t>
      </w:r>
      <w:r>
        <w:t>ose observed in</w:t>
      </w:r>
      <w:r w:rsidRPr="00B44D09">
        <w:t xml:space="preserve"> </w:t>
      </w:r>
      <w:r>
        <w:t>Study PDX-</w:t>
      </w:r>
      <w:r w:rsidRPr="00B44D09">
        <w:t>008</w:t>
      </w:r>
      <w:r>
        <w:t>. However, it should be n</w:t>
      </w:r>
      <w:r w:rsidRPr="00B44D09">
        <w:t>ote</w:t>
      </w:r>
      <w:r>
        <w:t xml:space="preserve">d that </w:t>
      </w:r>
      <w:r w:rsidRPr="00B44D09">
        <w:t xml:space="preserve">the results shown for </w:t>
      </w:r>
      <w:r>
        <w:t>Study PDX-</w:t>
      </w:r>
      <w:r w:rsidRPr="00B44D09">
        <w:t xml:space="preserve">007 in Table </w:t>
      </w:r>
      <w:r>
        <w:t>3</w:t>
      </w:r>
      <w:r w:rsidRPr="00B44D09">
        <w:t xml:space="preserve"> are combined for all doses (150-32</w:t>
      </w:r>
      <w:r>
        <w:t>5 mg</w:t>
      </w:r>
      <w:r w:rsidRPr="00B44D09">
        <w:t>/m</w:t>
      </w:r>
      <w:r w:rsidRPr="00B44D09">
        <w:rPr>
          <w:vertAlign w:val="superscript"/>
        </w:rPr>
        <w:t>2</w:t>
      </w:r>
      <w:r w:rsidRPr="00B44D09">
        <w:t>) and for all regimens (</w:t>
      </w:r>
      <w:r>
        <w:t xml:space="preserve">3-5 minute </w:t>
      </w:r>
      <w:r w:rsidRPr="00B44D09">
        <w:t xml:space="preserve">IV push and </w:t>
      </w:r>
      <w:r>
        <w:t xml:space="preserve">60 minute </w:t>
      </w:r>
      <w:r w:rsidRPr="00B44D09">
        <w:t>IV infusion).</w:t>
      </w:r>
      <w:r>
        <w:t xml:space="preserve"> </w:t>
      </w:r>
      <w:r w:rsidRPr="00B44D09">
        <w:t xml:space="preserve">Also, </w:t>
      </w:r>
      <w:r>
        <w:t xml:space="preserve">patients </w:t>
      </w:r>
      <w:r w:rsidRPr="00B44D09">
        <w:t xml:space="preserve">in </w:t>
      </w:r>
      <w:r>
        <w:t>Study PDX-</w:t>
      </w:r>
      <w:r w:rsidRPr="00B44D09">
        <w:t>99-083 received concomitant docetaxel.</w:t>
      </w:r>
      <w:r>
        <w:t xml:space="preserve"> </w:t>
      </w:r>
      <w:r w:rsidRPr="00B44D09">
        <w:t>The sampling schedule was significantly shorter in this study, with the result that the slow terminal phase was poorly characterised.</w:t>
      </w:r>
      <w:r>
        <w:t xml:space="preserve"> </w:t>
      </w:r>
      <w:r w:rsidRPr="00B44D09">
        <w:t>This may explain the observation that the total clearance was higher and Vd</w:t>
      </w:r>
      <w:r w:rsidRPr="00D9763D">
        <w:rPr>
          <w:vertAlign w:val="subscript"/>
        </w:rPr>
        <w:t>ss</w:t>
      </w:r>
      <w:r w:rsidRPr="00B44D09">
        <w:t xml:space="preserve"> and terminal half life </w:t>
      </w:r>
      <w:r>
        <w:t>lower</w:t>
      </w:r>
      <w:r w:rsidRPr="00B44D09">
        <w:t xml:space="preserve"> than observed in studies PDX-008 and PDX-00</w:t>
      </w:r>
      <w:r>
        <w:t>7</w:t>
      </w:r>
      <w:r w:rsidRPr="00B44D09">
        <w:t>.</w:t>
      </w:r>
      <w:r>
        <w:t xml:space="preserve"> </w:t>
      </w:r>
    </w:p>
    <w:p w:rsidR="004D5254" w:rsidRDefault="004D5254" w:rsidP="004D5254">
      <w:pPr>
        <w:pStyle w:val="FigureTitle"/>
      </w:pPr>
      <w:bookmarkStart w:id="67" w:name="_Toc320881588"/>
      <w:r>
        <w:t>Figure 1. Study PDX-008 - Plasma concentration-time profiles for PDX-10a and PDX-10b after a single dose of pralatrexate (30 mg/m</w:t>
      </w:r>
      <w:r w:rsidRPr="008B0064">
        <w:rPr>
          <w:vertAlign w:val="superscript"/>
        </w:rPr>
        <w:t>2</w:t>
      </w:r>
      <w:r>
        <w:t>) in patients with PTCL</w:t>
      </w:r>
      <w:bookmarkEnd w:id="67"/>
    </w:p>
    <w:p w:rsidR="004D5254" w:rsidRDefault="004D5254" w:rsidP="004D5254">
      <w:r>
        <w:rPr>
          <w:noProof/>
          <w:sz w:val="20"/>
          <w:szCs w:val="20"/>
          <w:lang w:eastAsia="en-AU"/>
        </w:rPr>
        <w:drawing>
          <wp:inline distT="0" distB="0" distL="0" distR="0">
            <wp:extent cx="5267108" cy="3133725"/>
            <wp:effectExtent l="19050" t="0" r="0" b="0"/>
            <wp:docPr id="2" name="Picture 2" descr="Figure 1. Study PDX-008 - Plasma concentration-time profiles for PDX-10a and PDX-10b after a single dose of pralatrexate (30 mg/m2) in patients with PT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853" t="13764" r="5779"/>
                    <a:stretch>
                      <a:fillRect/>
                    </a:stretch>
                  </pic:blipFill>
                  <pic:spPr bwMode="auto">
                    <a:xfrm>
                      <a:off x="0" y="0"/>
                      <a:ext cx="5267108" cy="3133725"/>
                    </a:xfrm>
                    <a:prstGeom prst="rect">
                      <a:avLst/>
                    </a:prstGeom>
                    <a:noFill/>
                    <a:ln w="9525">
                      <a:noFill/>
                      <a:miter lim="800000"/>
                      <a:headEnd/>
                      <a:tailEnd/>
                    </a:ln>
                  </pic:spPr>
                </pic:pic>
              </a:graphicData>
            </a:graphic>
          </wp:inline>
        </w:drawing>
      </w:r>
      <w:bookmarkStart w:id="68" w:name="_Toc320881527"/>
    </w:p>
    <w:p w:rsidR="004D5254" w:rsidRDefault="004D5254" w:rsidP="004D5254"/>
    <w:p w:rsidR="004D5254" w:rsidRPr="00787855" w:rsidRDefault="004D5254" w:rsidP="004D5254">
      <w:pPr>
        <w:pStyle w:val="FigureTitle"/>
        <w:keepNext/>
      </w:pPr>
      <w:r>
        <w:lastRenderedPageBreak/>
        <w:t>Table 3. Key pharmacokinetic parameters for pralatrexate</w:t>
      </w:r>
      <w:bookmarkEnd w:id="68"/>
    </w:p>
    <w:tbl>
      <w:tblPr>
        <w:tblStyle w:val="TableTGAblue"/>
        <w:tblW w:w="9889" w:type="dxa"/>
        <w:tblLayout w:type="fixed"/>
        <w:tblLook w:val="04A0"/>
      </w:tblPr>
      <w:tblGrid>
        <w:gridCol w:w="2376"/>
        <w:gridCol w:w="1134"/>
        <w:gridCol w:w="1276"/>
        <w:gridCol w:w="1276"/>
        <w:gridCol w:w="1275"/>
        <w:gridCol w:w="1276"/>
        <w:gridCol w:w="1276"/>
      </w:tblGrid>
      <w:tr w:rsidR="004D5254" w:rsidTr="0090319D">
        <w:trPr>
          <w:cnfStyle w:val="100000000000"/>
          <w:tblHeader/>
        </w:trPr>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p>
        </w:tc>
        <w:tc>
          <w:tcPr>
            <w:tcW w:w="2410" w:type="dxa"/>
            <w:gridSpan w:val="2"/>
          </w:tcPr>
          <w:p w:rsidR="004D5254" w:rsidRPr="00E62ADE" w:rsidRDefault="004D5254" w:rsidP="00C80331">
            <w:pPr>
              <w:keepNext/>
              <w:keepLines/>
              <w:autoSpaceDE w:val="0"/>
              <w:autoSpaceDN w:val="0"/>
              <w:adjustRightInd w:val="0"/>
              <w:spacing w:before="40" w:after="40"/>
              <w:jc w:val="center"/>
              <w:outlineLvl w:val="6"/>
              <w:cnfStyle w:val="100000000000"/>
              <w:rPr>
                <w:bCs/>
                <w:sz w:val="20"/>
                <w:szCs w:val="20"/>
              </w:rPr>
            </w:pPr>
            <w:r w:rsidRPr="00E62ADE">
              <w:rPr>
                <w:bCs/>
                <w:sz w:val="20"/>
                <w:szCs w:val="20"/>
              </w:rPr>
              <w:t>Study PDX-008</w:t>
            </w:r>
          </w:p>
        </w:tc>
        <w:tc>
          <w:tcPr>
            <w:tcW w:w="2551" w:type="dxa"/>
            <w:gridSpan w:val="2"/>
          </w:tcPr>
          <w:p w:rsidR="004D5254" w:rsidRPr="00E62ADE" w:rsidRDefault="004D5254" w:rsidP="00C80331">
            <w:pPr>
              <w:keepNext/>
              <w:keepLines/>
              <w:autoSpaceDE w:val="0"/>
              <w:autoSpaceDN w:val="0"/>
              <w:adjustRightInd w:val="0"/>
              <w:spacing w:before="40" w:after="40"/>
              <w:jc w:val="center"/>
              <w:outlineLvl w:val="6"/>
              <w:cnfStyle w:val="100000000000"/>
              <w:rPr>
                <w:bCs/>
                <w:sz w:val="20"/>
                <w:szCs w:val="20"/>
              </w:rPr>
            </w:pPr>
            <w:r w:rsidRPr="00E62ADE">
              <w:rPr>
                <w:bCs/>
                <w:sz w:val="20"/>
                <w:szCs w:val="20"/>
              </w:rPr>
              <w:t>Study PDX-007</w:t>
            </w:r>
          </w:p>
        </w:tc>
        <w:tc>
          <w:tcPr>
            <w:tcW w:w="2552" w:type="dxa"/>
            <w:gridSpan w:val="2"/>
          </w:tcPr>
          <w:p w:rsidR="004D5254" w:rsidRPr="00E62ADE" w:rsidRDefault="004D5254" w:rsidP="00C80331">
            <w:pPr>
              <w:keepNext/>
              <w:keepLines/>
              <w:autoSpaceDE w:val="0"/>
              <w:autoSpaceDN w:val="0"/>
              <w:adjustRightInd w:val="0"/>
              <w:spacing w:before="40" w:after="40"/>
              <w:jc w:val="center"/>
              <w:outlineLvl w:val="6"/>
              <w:cnfStyle w:val="100000000000"/>
              <w:rPr>
                <w:bCs/>
                <w:sz w:val="20"/>
                <w:szCs w:val="20"/>
              </w:rPr>
            </w:pPr>
            <w:r w:rsidRPr="00E62ADE">
              <w:rPr>
                <w:bCs/>
                <w:sz w:val="20"/>
                <w:szCs w:val="20"/>
              </w:rPr>
              <w:t>Study PDX-99-083</w:t>
            </w: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Cs/>
                <w:sz w:val="20"/>
                <w:szCs w:val="20"/>
              </w:rPr>
              <w:t>Study description</w:t>
            </w:r>
          </w:p>
        </w:tc>
        <w:tc>
          <w:tcPr>
            <w:tcW w:w="2410"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E</w:t>
            </w:r>
            <w:r w:rsidRPr="00DB627B">
              <w:rPr>
                <w:bCs/>
                <w:sz w:val="20"/>
                <w:szCs w:val="20"/>
              </w:rPr>
              <w:t xml:space="preserve">fficacy/safety study </w:t>
            </w:r>
          </w:p>
        </w:tc>
        <w:tc>
          <w:tcPr>
            <w:tcW w:w="2551"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 xml:space="preserve">Dose escalation study </w:t>
            </w:r>
          </w:p>
        </w:tc>
        <w:tc>
          <w:tcPr>
            <w:tcW w:w="2552"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 xml:space="preserve">Dose escalation study </w:t>
            </w:r>
            <w:r w:rsidRPr="00DB627B">
              <w:rPr>
                <w:bCs/>
                <w:sz w:val="20"/>
                <w:szCs w:val="20"/>
                <w:vertAlign w:val="superscript"/>
              </w:rPr>
              <w:t>#</w:t>
            </w: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Cs/>
                <w:sz w:val="20"/>
                <w:szCs w:val="20"/>
              </w:rPr>
              <w:t>Total enrolled</w:t>
            </w:r>
          </w:p>
        </w:tc>
        <w:tc>
          <w:tcPr>
            <w:tcW w:w="2410"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109</w:t>
            </w:r>
          </w:p>
        </w:tc>
        <w:tc>
          <w:tcPr>
            <w:tcW w:w="2551"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39</w:t>
            </w:r>
          </w:p>
        </w:tc>
        <w:tc>
          <w:tcPr>
            <w:tcW w:w="2552"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48</w:t>
            </w: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Cs/>
                <w:sz w:val="20"/>
                <w:szCs w:val="20"/>
              </w:rPr>
              <w:t>Full plasma profile (n)</w:t>
            </w:r>
          </w:p>
        </w:tc>
        <w:tc>
          <w:tcPr>
            <w:tcW w:w="2410"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10</w:t>
            </w:r>
          </w:p>
        </w:tc>
        <w:tc>
          <w:tcPr>
            <w:tcW w:w="2551"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38*</w:t>
            </w:r>
          </w:p>
        </w:tc>
        <w:tc>
          <w:tcPr>
            <w:tcW w:w="2552"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6</w:t>
            </w: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Cs/>
                <w:sz w:val="20"/>
                <w:szCs w:val="20"/>
              </w:rPr>
              <w:t>Full urine profile (n)</w:t>
            </w:r>
          </w:p>
        </w:tc>
        <w:tc>
          <w:tcPr>
            <w:tcW w:w="2410"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8</w:t>
            </w:r>
          </w:p>
        </w:tc>
        <w:tc>
          <w:tcPr>
            <w:tcW w:w="2551"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33</w:t>
            </w:r>
          </w:p>
        </w:tc>
        <w:tc>
          <w:tcPr>
            <w:tcW w:w="2552"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0 (</w:t>
            </w:r>
            <w:r>
              <w:rPr>
                <w:bCs/>
                <w:sz w:val="20"/>
                <w:szCs w:val="20"/>
              </w:rPr>
              <w:t>NC</w:t>
            </w:r>
            <w:r w:rsidRPr="00DB627B">
              <w:rPr>
                <w:bCs/>
                <w:sz w:val="20"/>
                <w:szCs w:val="20"/>
              </w:rPr>
              <w:t>)</w:t>
            </w: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Cs/>
                <w:sz w:val="20"/>
                <w:szCs w:val="20"/>
              </w:rPr>
              <w:t>Pralatrexate dose(s)</w:t>
            </w:r>
          </w:p>
        </w:tc>
        <w:tc>
          <w:tcPr>
            <w:tcW w:w="2410"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w:t>
            </w:r>
            <w:r>
              <w:rPr>
                <w:bCs/>
                <w:sz w:val="20"/>
                <w:szCs w:val="20"/>
              </w:rPr>
              <w:t>0 mg</w:t>
            </w:r>
            <w:r w:rsidRPr="00DB627B">
              <w:rPr>
                <w:bCs/>
                <w:sz w:val="20"/>
                <w:szCs w:val="20"/>
              </w:rPr>
              <w:t>/m</w:t>
            </w:r>
            <w:r w:rsidRPr="00DB627B">
              <w:rPr>
                <w:bCs/>
                <w:sz w:val="20"/>
                <w:szCs w:val="20"/>
                <w:vertAlign w:val="superscript"/>
              </w:rPr>
              <w:t>2</w:t>
            </w:r>
          </w:p>
        </w:tc>
        <w:tc>
          <w:tcPr>
            <w:tcW w:w="2551"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150-32</w:t>
            </w:r>
            <w:r>
              <w:rPr>
                <w:bCs/>
                <w:sz w:val="20"/>
                <w:szCs w:val="20"/>
              </w:rPr>
              <w:t>5 mg</w:t>
            </w:r>
            <w:r w:rsidRPr="00DB627B">
              <w:rPr>
                <w:bCs/>
                <w:sz w:val="20"/>
                <w:szCs w:val="20"/>
              </w:rPr>
              <w:t>/m</w:t>
            </w:r>
            <w:r w:rsidRPr="00DB627B">
              <w:rPr>
                <w:bCs/>
                <w:sz w:val="20"/>
                <w:szCs w:val="20"/>
                <w:vertAlign w:val="superscript"/>
              </w:rPr>
              <w:t>2*</w:t>
            </w:r>
          </w:p>
        </w:tc>
        <w:tc>
          <w:tcPr>
            <w:tcW w:w="2552" w:type="dxa"/>
            <w:gridSpan w:val="2"/>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12</w:t>
            </w:r>
            <w:r>
              <w:rPr>
                <w:bCs/>
                <w:sz w:val="20"/>
                <w:szCs w:val="20"/>
              </w:rPr>
              <w:t>0 mg</w:t>
            </w:r>
            <w:r w:rsidRPr="00DB627B">
              <w:rPr>
                <w:bCs/>
                <w:sz w:val="20"/>
                <w:szCs w:val="20"/>
              </w:rPr>
              <w:t>/m</w:t>
            </w:r>
            <w:r w:rsidRPr="00DB627B">
              <w:rPr>
                <w:bCs/>
                <w:sz w:val="20"/>
                <w:szCs w:val="20"/>
                <w:vertAlign w:val="superscript"/>
              </w:rPr>
              <w:t>2#</w:t>
            </w:r>
          </w:p>
        </w:tc>
      </w:tr>
      <w:tr w:rsidR="004D5254" w:rsidTr="00C80331">
        <w:trPr>
          <w:trHeight w:val="275"/>
        </w:trPr>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
                <w:bCs/>
                <w:sz w:val="20"/>
                <w:szCs w:val="20"/>
              </w:rPr>
              <w:t>P</w:t>
            </w:r>
            <w:r>
              <w:rPr>
                <w:b/>
                <w:bCs/>
                <w:sz w:val="20"/>
                <w:szCs w:val="20"/>
              </w:rPr>
              <w:t>harmacokinetic</w:t>
            </w:r>
            <w:r w:rsidRPr="00DB627B">
              <w:rPr>
                <w:b/>
                <w:bCs/>
                <w:sz w:val="20"/>
                <w:szCs w:val="20"/>
              </w:rPr>
              <w:t xml:space="preserve"> results</w:t>
            </w:r>
            <w:r>
              <w:rPr>
                <w:b/>
                <w:bCs/>
                <w:sz w:val="20"/>
                <w:szCs w:val="20"/>
              </w:rPr>
              <w:t xml:space="preserve"> [</w:t>
            </w:r>
            <w:r w:rsidRPr="000362F5">
              <w:rPr>
                <w:b/>
                <w:bCs/>
                <w:sz w:val="20"/>
                <w:szCs w:val="20"/>
              </w:rPr>
              <w:t>mean (%CV)]</w:t>
            </w:r>
          </w:p>
        </w:tc>
        <w:tc>
          <w:tcPr>
            <w:tcW w:w="1134" w:type="dxa"/>
          </w:tcPr>
          <w:p w:rsidR="004D5254" w:rsidRPr="00927A4D" w:rsidRDefault="004D5254" w:rsidP="00C80331">
            <w:pPr>
              <w:keepNext/>
              <w:keepLines/>
              <w:autoSpaceDE w:val="0"/>
              <w:autoSpaceDN w:val="0"/>
              <w:adjustRightInd w:val="0"/>
              <w:jc w:val="center"/>
              <w:outlineLvl w:val="6"/>
              <w:cnfStyle w:val="000000000000"/>
              <w:rPr>
                <w:b/>
                <w:bCs/>
                <w:sz w:val="20"/>
                <w:szCs w:val="20"/>
              </w:rPr>
            </w:pPr>
            <w:r w:rsidRPr="00927A4D">
              <w:rPr>
                <w:b/>
                <w:bCs/>
                <w:sz w:val="20"/>
                <w:szCs w:val="20"/>
              </w:rPr>
              <w:t>PDX-10a</w:t>
            </w:r>
          </w:p>
        </w:tc>
        <w:tc>
          <w:tcPr>
            <w:tcW w:w="1276" w:type="dxa"/>
          </w:tcPr>
          <w:p w:rsidR="004D5254" w:rsidRPr="00927A4D" w:rsidRDefault="004D5254" w:rsidP="00C80331">
            <w:pPr>
              <w:keepNext/>
              <w:keepLines/>
              <w:autoSpaceDE w:val="0"/>
              <w:autoSpaceDN w:val="0"/>
              <w:adjustRightInd w:val="0"/>
              <w:jc w:val="center"/>
              <w:outlineLvl w:val="6"/>
              <w:cnfStyle w:val="000000000000"/>
              <w:rPr>
                <w:b/>
                <w:bCs/>
                <w:sz w:val="20"/>
                <w:szCs w:val="20"/>
              </w:rPr>
            </w:pPr>
            <w:r w:rsidRPr="00927A4D">
              <w:rPr>
                <w:b/>
                <w:bCs/>
                <w:sz w:val="20"/>
                <w:szCs w:val="20"/>
              </w:rPr>
              <w:t>PDX-10b</w:t>
            </w:r>
          </w:p>
        </w:tc>
        <w:tc>
          <w:tcPr>
            <w:tcW w:w="1276" w:type="dxa"/>
          </w:tcPr>
          <w:p w:rsidR="004D5254" w:rsidRPr="00927A4D" w:rsidRDefault="004D5254" w:rsidP="00C80331">
            <w:pPr>
              <w:keepNext/>
              <w:keepLines/>
              <w:autoSpaceDE w:val="0"/>
              <w:autoSpaceDN w:val="0"/>
              <w:adjustRightInd w:val="0"/>
              <w:jc w:val="center"/>
              <w:outlineLvl w:val="6"/>
              <w:cnfStyle w:val="000000000000"/>
              <w:rPr>
                <w:b/>
                <w:bCs/>
                <w:sz w:val="20"/>
                <w:szCs w:val="20"/>
              </w:rPr>
            </w:pPr>
            <w:r w:rsidRPr="00927A4D">
              <w:rPr>
                <w:b/>
                <w:bCs/>
                <w:sz w:val="20"/>
                <w:szCs w:val="20"/>
              </w:rPr>
              <w:t>PDX-10a</w:t>
            </w:r>
          </w:p>
        </w:tc>
        <w:tc>
          <w:tcPr>
            <w:tcW w:w="1275" w:type="dxa"/>
          </w:tcPr>
          <w:p w:rsidR="004D5254" w:rsidRPr="00927A4D" w:rsidRDefault="004D5254" w:rsidP="00C80331">
            <w:pPr>
              <w:keepNext/>
              <w:keepLines/>
              <w:autoSpaceDE w:val="0"/>
              <w:autoSpaceDN w:val="0"/>
              <w:adjustRightInd w:val="0"/>
              <w:jc w:val="center"/>
              <w:outlineLvl w:val="6"/>
              <w:cnfStyle w:val="000000000000"/>
              <w:rPr>
                <w:b/>
                <w:bCs/>
                <w:sz w:val="20"/>
                <w:szCs w:val="20"/>
              </w:rPr>
            </w:pPr>
            <w:r w:rsidRPr="00927A4D">
              <w:rPr>
                <w:b/>
                <w:bCs/>
                <w:sz w:val="20"/>
                <w:szCs w:val="20"/>
              </w:rPr>
              <w:t>PDX-10b</w:t>
            </w:r>
          </w:p>
        </w:tc>
        <w:tc>
          <w:tcPr>
            <w:tcW w:w="1276" w:type="dxa"/>
          </w:tcPr>
          <w:p w:rsidR="004D5254" w:rsidRPr="00927A4D" w:rsidRDefault="004D5254" w:rsidP="00C80331">
            <w:pPr>
              <w:keepNext/>
              <w:keepLines/>
              <w:autoSpaceDE w:val="0"/>
              <w:autoSpaceDN w:val="0"/>
              <w:adjustRightInd w:val="0"/>
              <w:jc w:val="center"/>
              <w:outlineLvl w:val="6"/>
              <w:cnfStyle w:val="000000000000"/>
              <w:rPr>
                <w:b/>
                <w:bCs/>
                <w:sz w:val="20"/>
                <w:szCs w:val="20"/>
              </w:rPr>
            </w:pPr>
            <w:r w:rsidRPr="00927A4D">
              <w:rPr>
                <w:b/>
                <w:bCs/>
                <w:sz w:val="20"/>
                <w:szCs w:val="20"/>
              </w:rPr>
              <w:t>PDX-10a</w:t>
            </w:r>
          </w:p>
        </w:tc>
        <w:tc>
          <w:tcPr>
            <w:tcW w:w="1276" w:type="dxa"/>
          </w:tcPr>
          <w:p w:rsidR="004D5254" w:rsidRPr="00927A4D" w:rsidRDefault="004D5254" w:rsidP="00C80331">
            <w:pPr>
              <w:keepNext/>
              <w:keepLines/>
              <w:autoSpaceDE w:val="0"/>
              <w:autoSpaceDN w:val="0"/>
              <w:adjustRightInd w:val="0"/>
              <w:jc w:val="center"/>
              <w:outlineLvl w:val="6"/>
              <w:cnfStyle w:val="000000000000"/>
              <w:rPr>
                <w:b/>
                <w:bCs/>
                <w:sz w:val="20"/>
                <w:szCs w:val="20"/>
              </w:rPr>
            </w:pPr>
            <w:r w:rsidRPr="00927A4D">
              <w:rPr>
                <w:b/>
                <w:bCs/>
                <w:sz w:val="20"/>
                <w:szCs w:val="20"/>
              </w:rPr>
              <w:t>PDX-10b</w:t>
            </w: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Cs/>
                <w:sz w:val="20"/>
                <w:szCs w:val="20"/>
              </w:rPr>
              <w:t>C</w:t>
            </w:r>
            <w:r w:rsidRPr="00DB627B">
              <w:rPr>
                <w:bCs/>
                <w:sz w:val="20"/>
                <w:szCs w:val="20"/>
                <w:vertAlign w:val="subscript"/>
              </w:rPr>
              <w:t>max</w:t>
            </w:r>
            <w:r w:rsidRPr="00DB627B">
              <w:rPr>
                <w:bCs/>
                <w:sz w:val="20"/>
                <w:szCs w:val="20"/>
              </w:rPr>
              <w:t xml:space="preserve"> (ng/mL)</w:t>
            </w:r>
          </w:p>
        </w:tc>
        <w:tc>
          <w:tcPr>
            <w:tcW w:w="1134"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2478 (68)</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3337 (41)</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c>
          <w:tcPr>
            <w:tcW w:w="1275"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7034 (42)</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10733 (27)</w:t>
            </w: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Cs/>
                <w:sz w:val="20"/>
                <w:szCs w:val="20"/>
              </w:rPr>
              <w:t>AUC (ng.min/mL)</w:t>
            </w:r>
          </w:p>
        </w:tc>
        <w:tc>
          <w:tcPr>
            <w:tcW w:w="1134"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93900 (55)</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173954(41)</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c>
          <w:tcPr>
            <w:tcW w:w="1275"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225382(53)</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Pr>
                <w:bCs/>
                <w:sz w:val="20"/>
                <w:szCs w:val="20"/>
              </w:rPr>
              <w:t>556663(35)</w:t>
            </w: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Cs/>
                <w:sz w:val="20"/>
                <w:szCs w:val="20"/>
              </w:rPr>
              <w:t>Clearance (mL/min)</w:t>
            </w:r>
          </w:p>
        </w:tc>
        <w:tc>
          <w:tcPr>
            <w:tcW w:w="1134"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c>
          <w:tcPr>
            <w:tcW w:w="1275"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Pr>
                <w:bCs/>
                <w:sz w:val="20"/>
                <w:szCs w:val="20"/>
              </w:rPr>
              <w:t xml:space="preserve"> </w:t>
            </w:r>
            <w:r w:rsidRPr="00DB627B">
              <w:rPr>
                <w:bCs/>
                <w:sz w:val="20"/>
                <w:szCs w:val="20"/>
              </w:rPr>
              <w:t xml:space="preserve">Total clearance </w:t>
            </w:r>
          </w:p>
        </w:tc>
        <w:tc>
          <w:tcPr>
            <w:tcW w:w="1134"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417 (62)</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191 (38)</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496 (58)</w:t>
            </w:r>
          </w:p>
        </w:tc>
        <w:tc>
          <w:tcPr>
            <w:tcW w:w="1275"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226 (40)</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615 (48)</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217 (33)</w:t>
            </w: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Pr>
                <w:bCs/>
                <w:sz w:val="20"/>
                <w:szCs w:val="20"/>
              </w:rPr>
              <w:t xml:space="preserve"> </w:t>
            </w:r>
            <w:r w:rsidRPr="00DB627B">
              <w:rPr>
                <w:bCs/>
                <w:sz w:val="20"/>
                <w:szCs w:val="20"/>
              </w:rPr>
              <w:t xml:space="preserve">Renal clearance </w:t>
            </w:r>
          </w:p>
        </w:tc>
        <w:tc>
          <w:tcPr>
            <w:tcW w:w="1134"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119 (68)</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70 (61)</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127 (73)</w:t>
            </w:r>
          </w:p>
        </w:tc>
        <w:tc>
          <w:tcPr>
            <w:tcW w:w="1275"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74 (61)</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Pr>
                <w:bCs/>
                <w:sz w:val="20"/>
                <w:szCs w:val="20"/>
              </w:rPr>
              <w:t xml:space="preserve"> </w:t>
            </w:r>
            <w:r w:rsidRPr="00DB627B">
              <w:rPr>
                <w:bCs/>
                <w:sz w:val="20"/>
                <w:szCs w:val="20"/>
              </w:rPr>
              <w:t>Non-renal clearance</w:t>
            </w:r>
          </w:p>
        </w:tc>
        <w:tc>
          <w:tcPr>
            <w:tcW w:w="1134"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251 (65)</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110 (44)</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369 (63)</w:t>
            </w:r>
          </w:p>
        </w:tc>
        <w:tc>
          <w:tcPr>
            <w:tcW w:w="1275"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149 (51)</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Cs/>
                <w:sz w:val="20"/>
                <w:szCs w:val="20"/>
              </w:rPr>
              <w:t>Vd</w:t>
            </w:r>
            <w:r w:rsidRPr="00DB627B">
              <w:rPr>
                <w:bCs/>
                <w:sz w:val="20"/>
                <w:szCs w:val="20"/>
                <w:vertAlign w:val="subscript"/>
              </w:rPr>
              <w:t xml:space="preserve">ss </w:t>
            </w:r>
            <w:r w:rsidRPr="00DB627B">
              <w:rPr>
                <w:bCs/>
                <w:sz w:val="20"/>
                <w:szCs w:val="20"/>
              </w:rPr>
              <w:t>(L)</w:t>
            </w:r>
          </w:p>
        </w:tc>
        <w:tc>
          <w:tcPr>
            <w:tcW w:w="1134"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105 (75)</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37 (53)</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112 (131)</w:t>
            </w:r>
          </w:p>
        </w:tc>
        <w:tc>
          <w:tcPr>
            <w:tcW w:w="1275"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38 (85)</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65 (51)</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26 (40)</w:t>
            </w: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Cs/>
                <w:sz w:val="20"/>
                <w:szCs w:val="20"/>
              </w:rPr>
              <w:t xml:space="preserve">terminal t </w:t>
            </w:r>
            <w:r w:rsidRPr="00DB627B">
              <w:rPr>
                <w:bCs/>
                <w:sz w:val="20"/>
                <w:szCs w:val="20"/>
                <w:vertAlign w:val="subscript"/>
              </w:rPr>
              <w:t>1/2</w:t>
            </w:r>
            <w:r w:rsidRPr="00DB627B">
              <w:rPr>
                <w:bCs/>
                <w:sz w:val="20"/>
                <w:szCs w:val="20"/>
              </w:rPr>
              <w:t xml:space="preserve"> (min)</w:t>
            </w:r>
          </w:p>
        </w:tc>
        <w:tc>
          <w:tcPr>
            <w:tcW w:w="1134"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1078 (120)</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714 (62)</w:t>
            </w:r>
          </w:p>
        </w:tc>
        <w:tc>
          <w:tcPr>
            <w:tcW w:w="1276" w:type="dxa"/>
          </w:tcPr>
          <w:p w:rsidR="004D5254"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1423</w:t>
            </w:r>
          </w:p>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(115)</w:t>
            </w:r>
          </w:p>
        </w:tc>
        <w:tc>
          <w:tcPr>
            <w:tcW w:w="1275"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1137 (92)</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419 (28)</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383 (13)</w:t>
            </w:r>
          </w:p>
        </w:tc>
      </w:tr>
      <w:tr w:rsidR="004D5254" w:rsidTr="00C80331">
        <w:tc>
          <w:tcPr>
            <w:cnfStyle w:val="001000000000"/>
            <w:tcW w:w="2376" w:type="dxa"/>
          </w:tcPr>
          <w:p w:rsidR="004D5254" w:rsidRPr="00DB627B" w:rsidRDefault="004D5254" w:rsidP="00C80331">
            <w:pPr>
              <w:keepNext/>
              <w:keepLines/>
              <w:autoSpaceDE w:val="0"/>
              <w:autoSpaceDN w:val="0"/>
              <w:adjustRightInd w:val="0"/>
              <w:spacing w:before="40" w:after="40"/>
              <w:outlineLvl w:val="6"/>
              <w:rPr>
                <w:bCs/>
                <w:sz w:val="20"/>
                <w:szCs w:val="20"/>
              </w:rPr>
            </w:pPr>
            <w:r w:rsidRPr="00DB627B">
              <w:rPr>
                <w:bCs/>
                <w:sz w:val="20"/>
                <w:szCs w:val="20"/>
              </w:rPr>
              <w:t>% excreted unchanged in urine</w:t>
            </w:r>
          </w:p>
        </w:tc>
        <w:tc>
          <w:tcPr>
            <w:tcW w:w="1134"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31 (47)</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38 (45)</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25 (43)</w:t>
            </w:r>
          </w:p>
        </w:tc>
        <w:tc>
          <w:tcPr>
            <w:tcW w:w="1275"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33 (40)</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NC</w:t>
            </w:r>
          </w:p>
        </w:tc>
        <w:tc>
          <w:tcPr>
            <w:tcW w:w="1276" w:type="dxa"/>
          </w:tcPr>
          <w:p w:rsidR="004D5254" w:rsidRPr="00DB627B" w:rsidRDefault="004D5254" w:rsidP="00C80331">
            <w:pPr>
              <w:keepNext/>
              <w:keepLines/>
              <w:autoSpaceDE w:val="0"/>
              <w:autoSpaceDN w:val="0"/>
              <w:adjustRightInd w:val="0"/>
              <w:spacing w:before="40" w:after="40"/>
              <w:jc w:val="center"/>
              <w:outlineLvl w:val="6"/>
              <w:cnfStyle w:val="000000000000"/>
              <w:rPr>
                <w:bCs/>
                <w:sz w:val="20"/>
                <w:szCs w:val="20"/>
              </w:rPr>
            </w:pPr>
            <w:r w:rsidRPr="00DB627B">
              <w:rPr>
                <w:bCs/>
                <w:sz w:val="20"/>
                <w:szCs w:val="20"/>
              </w:rPr>
              <w:t>NC</w:t>
            </w:r>
          </w:p>
        </w:tc>
      </w:tr>
    </w:tbl>
    <w:p w:rsidR="004D5254" w:rsidRDefault="004D5254" w:rsidP="004D5254">
      <w:pPr>
        <w:keepNext/>
        <w:autoSpaceDE w:val="0"/>
        <w:autoSpaceDN w:val="0"/>
        <w:adjustRightInd w:val="0"/>
        <w:rPr>
          <w:sz w:val="18"/>
          <w:szCs w:val="18"/>
        </w:rPr>
      </w:pPr>
      <w:r w:rsidRPr="00513443">
        <w:rPr>
          <w:sz w:val="18"/>
          <w:szCs w:val="18"/>
        </w:rPr>
        <w:t>*Dose regimens:</w:t>
      </w:r>
      <w:r w:rsidRPr="00513443">
        <w:rPr>
          <w:sz w:val="18"/>
          <w:szCs w:val="18"/>
        </w:rPr>
        <w:tab/>
        <w:t>15</w:t>
      </w:r>
      <w:r>
        <w:rPr>
          <w:sz w:val="18"/>
          <w:szCs w:val="18"/>
        </w:rPr>
        <w:t>0 mg</w:t>
      </w:r>
      <w:r w:rsidRPr="00513443">
        <w:rPr>
          <w:sz w:val="18"/>
          <w:szCs w:val="18"/>
        </w:rPr>
        <w:t>/m</w:t>
      </w:r>
      <w:r w:rsidRPr="00513443">
        <w:rPr>
          <w:sz w:val="18"/>
          <w:szCs w:val="18"/>
          <w:vertAlign w:val="superscript"/>
        </w:rPr>
        <w:t>2</w:t>
      </w:r>
      <w:r w:rsidRPr="00513443">
        <w:rPr>
          <w:sz w:val="18"/>
          <w:szCs w:val="18"/>
        </w:rPr>
        <w:t xml:space="preserve"> IV push n=1; 19</w:t>
      </w:r>
      <w:r>
        <w:rPr>
          <w:sz w:val="18"/>
          <w:szCs w:val="18"/>
        </w:rPr>
        <w:t>0 mg</w:t>
      </w:r>
      <w:r w:rsidRPr="00513443">
        <w:rPr>
          <w:sz w:val="18"/>
          <w:szCs w:val="18"/>
        </w:rPr>
        <w:t>/m</w:t>
      </w:r>
      <w:r w:rsidRPr="00513443">
        <w:rPr>
          <w:sz w:val="18"/>
          <w:szCs w:val="18"/>
          <w:vertAlign w:val="superscript"/>
        </w:rPr>
        <w:t>2</w:t>
      </w:r>
      <w:r w:rsidRPr="00513443">
        <w:rPr>
          <w:sz w:val="18"/>
          <w:szCs w:val="18"/>
        </w:rPr>
        <w:t xml:space="preserve"> IV push n=3; 23</w:t>
      </w:r>
      <w:r>
        <w:rPr>
          <w:sz w:val="18"/>
          <w:szCs w:val="18"/>
        </w:rPr>
        <w:t>0 mg</w:t>
      </w:r>
      <w:r w:rsidRPr="00513443">
        <w:rPr>
          <w:sz w:val="18"/>
          <w:szCs w:val="18"/>
        </w:rPr>
        <w:t>/m</w:t>
      </w:r>
      <w:r w:rsidRPr="00513443">
        <w:rPr>
          <w:sz w:val="18"/>
          <w:szCs w:val="18"/>
          <w:vertAlign w:val="superscript"/>
        </w:rPr>
        <w:t>2</w:t>
      </w:r>
      <w:r w:rsidRPr="00513443">
        <w:rPr>
          <w:sz w:val="18"/>
          <w:szCs w:val="18"/>
        </w:rPr>
        <w:t xml:space="preserve"> IV push n=5; 27</w:t>
      </w:r>
      <w:r>
        <w:rPr>
          <w:sz w:val="18"/>
          <w:szCs w:val="18"/>
        </w:rPr>
        <w:t>0 mg</w:t>
      </w:r>
      <w:r w:rsidRPr="00513443">
        <w:rPr>
          <w:sz w:val="18"/>
          <w:szCs w:val="18"/>
        </w:rPr>
        <w:t>/m</w:t>
      </w:r>
      <w:r w:rsidRPr="00513443">
        <w:rPr>
          <w:sz w:val="18"/>
          <w:szCs w:val="18"/>
          <w:vertAlign w:val="superscript"/>
        </w:rPr>
        <w:t>2</w:t>
      </w:r>
      <w:r w:rsidRPr="00513443">
        <w:rPr>
          <w:sz w:val="18"/>
          <w:szCs w:val="18"/>
        </w:rPr>
        <w:t xml:space="preserve"> IV push n=16; 32</w:t>
      </w:r>
      <w:r>
        <w:rPr>
          <w:sz w:val="18"/>
          <w:szCs w:val="18"/>
        </w:rPr>
        <w:t>5 mg</w:t>
      </w:r>
      <w:r w:rsidRPr="00513443">
        <w:rPr>
          <w:sz w:val="18"/>
          <w:szCs w:val="18"/>
        </w:rPr>
        <w:t>/m</w:t>
      </w:r>
      <w:r w:rsidRPr="00513443">
        <w:rPr>
          <w:sz w:val="18"/>
          <w:szCs w:val="18"/>
          <w:vertAlign w:val="superscript"/>
        </w:rPr>
        <w:t>2</w:t>
      </w:r>
      <w:r w:rsidRPr="00513443">
        <w:rPr>
          <w:sz w:val="18"/>
          <w:szCs w:val="18"/>
        </w:rPr>
        <w:t xml:space="preserve"> IV push n=3; 19</w:t>
      </w:r>
      <w:r>
        <w:rPr>
          <w:sz w:val="18"/>
          <w:szCs w:val="18"/>
        </w:rPr>
        <w:t>0 mg</w:t>
      </w:r>
      <w:r w:rsidRPr="00513443">
        <w:rPr>
          <w:sz w:val="18"/>
          <w:szCs w:val="18"/>
        </w:rPr>
        <w:t>/m</w:t>
      </w:r>
      <w:r w:rsidRPr="00513443">
        <w:rPr>
          <w:sz w:val="18"/>
          <w:szCs w:val="18"/>
          <w:vertAlign w:val="superscript"/>
        </w:rPr>
        <w:t>2</w:t>
      </w:r>
      <w:r w:rsidRPr="00513443">
        <w:rPr>
          <w:sz w:val="18"/>
          <w:szCs w:val="18"/>
        </w:rPr>
        <w:t xml:space="preserve"> IV infusion n=5; and 23</w:t>
      </w:r>
      <w:r>
        <w:rPr>
          <w:sz w:val="18"/>
          <w:szCs w:val="18"/>
        </w:rPr>
        <w:t>0 mg</w:t>
      </w:r>
      <w:r w:rsidRPr="00513443">
        <w:rPr>
          <w:sz w:val="18"/>
          <w:szCs w:val="18"/>
        </w:rPr>
        <w:t>/m</w:t>
      </w:r>
      <w:r w:rsidRPr="00513443">
        <w:rPr>
          <w:sz w:val="18"/>
          <w:szCs w:val="18"/>
          <w:vertAlign w:val="superscript"/>
        </w:rPr>
        <w:t>2</w:t>
      </w:r>
      <w:r w:rsidRPr="00513443">
        <w:rPr>
          <w:sz w:val="18"/>
          <w:szCs w:val="18"/>
        </w:rPr>
        <w:t xml:space="preserve"> IV infusion n=5.</w:t>
      </w:r>
      <w:r>
        <w:rPr>
          <w:sz w:val="18"/>
          <w:szCs w:val="18"/>
        </w:rPr>
        <w:t xml:space="preserve"> </w:t>
      </w:r>
    </w:p>
    <w:p w:rsidR="004D5254" w:rsidRDefault="004D5254" w:rsidP="004D5254">
      <w:pPr>
        <w:autoSpaceDE w:val="0"/>
        <w:autoSpaceDN w:val="0"/>
        <w:adjustRightInd w:val="0"/>
        <w:rPr>
          <w:sz w:val="18"/>
          <w:szCs w:val="18"/>
        </w:rPr>
      </w:pPr>
      <w:r w:rsidRPr="00513443">
        <w:rPr>
          <w:sz w:val="18"/>
          <w:szCs w:val="18"/>
        </w:rPr>
        <w:t>Parallel group</w:t>
      </w:r>
      <w:r>
        <w:rPr>
          <w:sz w:val="18"/>
          <w:szCs w:val="18"/>
        </w:rPr>
        <w:t>,</w:t>
      </w:r>
      <w:r w:rsidRPr="00513443">
        <w:rPr>
          <w:sz w:val="18"/>
          <w:szCs w:val="18"/>
        </w:rPr>
        <w:t xml:space="preserve"> no cross over.</w:t>
      </w:r>
      <w:r>
        <w:rPr>
          <w:sz w:val="18"/>
          <w:szCs w:val="18"/>
        </w:rPr>
        <w:t xml:space="preserve"> </w:t>
      </w:r>
      <w:r w:rsidRPr="00513443">
        <w:rPr>
          <w:sz w:val="18"/>
          <w:szCs w:val="18"/>
        </w:rPr>
        <w:t xml:space="preserve">Results are for all doses </w:t>
      </w:r>
      <w:r>
        <w:rPr>
          <w:sz w:val="18"/>
          <w:szCs w:val="18"/>
        </w:rPr>
        <w:t xml:space="preserve">and </w:t>
      </w:r>
      <w:r w:rsidRPr="00513443">
        <w:rPr>
          <w:sz w:val="18"/>
          <w:szCs w:val="18"/>
        </w:rPr>
        <w:t>all regimens.</w:t>
      </w:r>
      <w:r>
        <w:rPr>
          <w:sz w:val="18"/>
          <w:szCs w:val="18"/>
        </w:rPr>
        <w:t xml:space="preserve"> </w:t>
      </w:r>
      <w:r w:rsidRPr="00513443">
        <w:rPr>
          <w:sz w:val="18"/>
          <w:szCs w:val="18"/>
        </w:rPr>
        <w:t># All patients with PK profiling received 12</w:t>
      </w:r>
      <w:r>
        <w:rPr>
          <w:sz w:val="18"/>
          <w:szCs w:val="18"/>
        </w:rPr>
        <w:t>0 mg</w:t>
      </w:r>
      <w:r w:rsidRPr="00513443">
        <w:rPr>
          <w:sz w:val="18"/>
          <w:szCs w:val="18"/>
        </w:rPr>
        <w:t>/m</w:t>
      </w:r>
      <w:r w:rsidRPr="00513443">
        <w:rPr>
          <w:sz w:val="18"/>
          <w:szCs w:val="18"/>
          <w:vertAlign w:val="superscript"/>
        </w:rPr>
        <w:t>2</w:t>
      </w:r>
      <w:r w:rsidRPr="00513443">
        <w:rPr>
          <w:sz w:val="18"/>
          <w:szCs w:val="18"/>
        </w:rPr>
        <w:t xml:space="preserve"> pralatrexate and 3</w:t>
      </w:r>
      <w:r>
        <w:rPr>
          <w:sz w:val="18"/>
          <w:szCs w:val="18"/>
        </w:rPr>
        <w:t>5 mg</w:t>
      </w:r>
      <w:r w:rsidRPr="00513443">
        <w:rPr>
          <w:sz w:val="18"/>
          <w:szCs w:val="18"/>
        </w:rPr>
        <w:t>/m</w:t>
      </w:r>
      <w:r w:rsidRPr="00513443">
        <w:rPr>
          <w:sz w:val="18"/>
          <w:szCs w:val="18"/>
          <w:vertAlign w:val="superscript"/>
        </w:rPr>
        <w:t>2</w:t>
      </w:r>
      <w:r w:rsidRPr="00513443">
        <w:rPr>
          <w:sz w:val="18"/>
          <w:szCs w:val="18"/>
        </w:rPr>
        <w:t xml:space="preserve"> docetaxel</w:t>
      </w:r>
      <w:r>
        <w:rPr>
          <w:sz w:val="18"/>
          <w:szCs w:val="18"/>
        </w:rPr>
        <w:t xml:space="preserve">. </w:t>
      </w:r>
    </w:p>
    <w:p w:rsidR="004D5254" w:rsidRDefault="004D5254" w:rsidP="004D5254">
      <w:pPr>
        <w:autoSpaceDE w:val="0"/>
        <w:autoSpaceDN w:val="0"/>
        <w:adjustRightInd w:val="0"/>
        <w:rPr>
          <w:sz w:val="18"/>
          <w:szCs w:val="18"/>
        </w:rPr>
      </w:pPr>
      <w:r>
        <w:rPr>
          <w:sz w:val="18"/>
          <w:szCs w:val="18"/>
        </w:rPr>
        <w:t>NC not collected</w:t>
      </w:r>
    </w:p>
    <w:p w:rsidR="004D5254" w:rsidRDefault="004D5254" w:rsidP="004D5254">
      <w:pPr>
        <w:rPr>
          <w:color w:val="000000"/>
        </w:rPr>
      </w:pPr>
      <w:r>
        <w:rPr>
          <w:color w:val="000000"/>
        </w:rPr>
        <w:t>B</w:t>
      </w:r>
      <w:r w:rsidRPr="00A15319">
        <w:rPr>
          <w:color w:val="000000"/>
        </w:rPr>
        <w:t xml:space="preserve">oth </w:t>
      </w:r>
      <w:r>
        <w:rPr>
          <w:color w:val="000000"/>
        </w:rPr>
        <w:t xml:space="preserve">the </w:t>
      </w:r>
      <w:r w:rsidRPr="00A15319">
        <w:rPr>
          <w:color w:val="000000"/>
        </w:rPr>
        <w:t>renal and</w:t>
      </w:r>
      <w:r>
        <w:rPr>
          <w:color w:val="000000"/>
        </w:rPr>
        <w:t xml:space="preserve"> n</w:t>
      </w:r>
      <w:r w:rsidRPr="00A15319">
        <w:rPr>
          <w:color w:val="000000"/>
        </w:rPr>
        <w:t>on</w:t>
      </w:r>
      <w:r>
        <w:rPr>
          <w:color w:val="000000"/>
        </w:rPr>
        <w:t xml:space="preserve">-renal clearance of </w:t>
      </w:r>
      <w:r w:rsidRPr="00A15319">
        <w:rPr>
          <w:color w:val="000000"/>
        </w:rPr>
        <w:t xml:space="preserve">PDX-10b was approximately 50% lower </w:t>
      </w:r>
      <w:r>
        <w:rPr>
          <w:color w:val="000000"/>
        </w:rPr>
        <w:t xml:space="preserve">than that of </w:t>
      </w:r>
      <w:r w:rsidRPr="00DC05E2">
        <w:rPr>
          <w:bCs/>
          <w:color w:val="000000"/>
        </w:rPr>
        <w:t>PDX-</w:t>
      </w:r>
      <w:r>
        <w:rPr>
          <w:bCs/>
          <w:color w:val="000000"/>
        </w:rPr>
        <w:t>1</w:t>
      </w:r>
      <w:r w:rsidRPr="00DC05E2">
        <w:rPr>
          <w:bCs/>
          <w:color w:val="000000"/>
        </w:rPr>
        <w:t>0a</w:t>
      </w:r>
      <w:r>
        <w:rPr>
          <w:bCs/>
          <w:color w:val="000000"/>
        </w:rPr>
        <w:t xml:space="preserve"> and the </w:t>
      </w:r>
      <w:r w:rsidRPr="00A15319">
        <w:rPr>
          <w:color w:val="000000"/>
        </w:rPr>
        <w:t>volume of distribution</w:t>
      </w:r>
      <w:r>
        <w:rPr>
          <w:color w:val="000000"/>
        </w:rPr>
        <w:t xml:space="preserve"> </w:t>
      </w:r>
      <w:r w:rsidRPr="00A15319">
        <w:rPr>
          <w:color w:val="000000"/>
        </w:rPr>
        <w:t xml:space="preserve">at steady state (Vdss) </w:t>
      </w:r>
      <w:r>
        <w:rPr>
          <w:color w:val="000000"/>
        </w:rPr>
        <w:t xml:space="preserve">for </w:t>
      </w:r>
      <w:r>
        <w:rPr>
          <w:bCs/>
          <w:color w:val="000000"/>
        </w:rPr>
        <w:t>PDX-10b was one third of that for</w:t>
      </w:r>
      <w:r>
        <w:rPr>
          <w:color w:val="000000"/>
        </w:rPr>
        <w:t xml:space="preserve"> PDX-10a. These differences are reflected in a</w:t>
      </w:r>
      <w:r w:rsidRPr="00A15319">
        <w:rPr>
          <w:color w:val="000000"/>
        </w:rPr>
        <w:t xml:space="preserve"> 2-fold higher plasma</w:t>
      </w:r>
      <w:r>
        <w:rPr>
          <w:color w:val="000000"/>
        </w:rPr>
        <w:t xml:space="preserve"> </w:t>
      </w:r>
      <w:r w:rsidRPr="00A15319">
        <w:rPr>
          <w:color w:val="000000"/>
        </w:rPr>
        <w:t>exposure of PDX-10b compared with PDX-10a.</w:t>
      </w:r>
      <w:r>
        <w:rPr>
          <w:color w:val="000000"/>
        </w:rPr>
        <w:t xml:space="preserve"> </w:t>
      </w:r>
      <w:r w:rsidRPr="00A15319">
        <w:rPr>
          <w:color w:val="000000"/>
        </w:rPr>
        <w:t>However, the</w:t>
      </w:r>
      <w:r>
        <w:rPr>
          <w:color w:val="000000"/>
        </w:rPr>
        <w:t xml:space="preserve"> </w:t>
      </w:r>
      <w:r w:rsidRPr="00A15319">
        <w:rPr>
          <w:color w:val="000000"/>
        </w:rPr>
        <w:t>plasma concentration-time profiles for both diastereomers decline in parallel, and terminal</w:t>
      </w:r>
      <w:r>
        <w:rPr>
          <w:color w:val="000000"/>
        </w:rPr>
        <w:t xml:space="preserve"> </w:t>
      </w:r>
      <w:r w:rsidRPr="00A15319">
        <w:rPr>
          <w:color w:val="000000"/>
        </w:rPr>
        <w:t>elimination half-</w:t>
      </w:r>
      <w:r>
        <w:rPr>
          <w:color w:val="000000"/>
        </w:rPr>
        <w:t>life</w:t>
      </w:r>
      <w:r w:rsidRPr="00A15319">
        <w:rPr>
          <w:color w:val="000000"/>
        </w:rPr>
        <w:t xml:space="preserve"> for both diastereomers is virtually identical.</w:t>
      </w:r>
      <w:r>
        <w:rPr>
          <w:color w:val="000000"/>
        </w:rPr>
        <w:t xml:space="preserve"> The stereo-selectivity was observed across all 3 studies and its biological cause is unknown.</w:t>
      </w:r>
    </w:p>
    <w:p w:rsidR="004D5254" w:rsidRDefault="004D5254" w:rsidP="004D5254">
      <w:pPr>
        <w:autoSpaceDE w:val="0"/>
        <w:autoSpaceDN w:val="0"/>
        <w:adjustRightInd w:val="0"/>
        <w:rPr>
          <w:color w:val="000000"/>
        </w:rPr>
      </w:pPr>
      <w:r>
        <w:rPr>
          <w:color w:val="000000"/>
        </w:rPr>
        <w:t>The effect on the PK profile of prolong</w:t>
      </w:r>
      <w:r w:rsidRPr="00E8406C">
        <w:rPr>
          <w:color w:val="000000"/>
        </w:rPr>
        <w:t xml:space="preserve">ing the </w:t>
      </w:r>
      <w:r>
        <w:rPr>
          <w:color w:val="000000"/>
        </w:rPr>
        <w:t xml:space="preserve">3-5 minute </w:t>
      </w:r>
      <w:r w:rsidRPr="00E8406C">
        <w:rPr>
          <w:color w:val="000000"/>
        </w:rPr>
        <w:t xml:space="preserve">IV injection to a 60-minute infusion </w:t>
      </w:r>
      <w:r>
        <w:rPr>
          <w:color w:val="000000"/>
        </w:rPr>
        <w:t>was examined in Study PDX-007 using supra-clinical doses (190 and 230 mg/m</w:t>
      </w:r>
      <w:r w:rsidRPr="00B764B6">
        <w:rPr>
          <w:color w:val="000000"/>
          <w:vertAlign w:val="superscript"/>
        </w:rPr>
        <w:t>2</w:t>
      </w:r>
      <w:r>
        <w:rPr>
          <w:color w:val="000000"/>
        </w:rPr>
        <w:t xml:space="preserve">) of pralatrexate in patients with non small cell lung cancer. </w:t>
      </w:r>
      <w:r w:rsidRPr="009A2F9A">
        <w:t>The 60-minute IV infusion showed a less-pronounced multiphasic decline than IV push over 3-5 minutes,</w:t>
      </w:r>
      <w:r>
        <w:t xml:space="preserve"> </w:t>
      </w:r>
      <w:r>
        <w:rPr>
          <w:rFonts w:eastAsia="TimesNewRomanPSMT" w:cs="TimesNewRomanPSMT"/>
        </w:rPr>
        <w:t>possibl</w:t>
      </w:r>
      <w:r w:rsidRPr="009A2F9A">
        <w:rPr>
          <w:rFonts w:eastAsia="TimesNewRomanPSMT" w:cs="TimesNewRomanPSMT"/>
        </w:rPr>
        <w:t>y as a result of drug distribution having reached equilibrium during the infusion</w:t>
      </w:r>
      <w:r>
        <w:rPr>
          <w:rFonts w:eastAsia="TimesNewRomanPSMT" w:cs="TimesNewRomanPSMT"/>
        </w:rPr>
        <w:t xml:space="preserve"> and, </w:t>
      </w:r>
      <w:r>
        <w:rPr>
          <w:color w:val="000000"/>
        </w:rPr>
        <w:t>apart from a lower C</w:t>
      </w:r>
      <w:r w:rsidRPr="00E72545">
        <w:rPr>
          <w:color w:val="000000"/>
          <w:vertAlign w:val="subscript"/>
        </w:rPr>
        <w:t>max</w:t>
      </w:r>
      <w:r>
        <w:rPr>
          <w:color w:val="000000"/>
        </w:rPr>
        <w:t xml:space="preserve"> and longer T</w:t>
      </w:r>
      <w:r w:rsidRPr="00E72545">
        <w:rPr>
          <w:color w:val="000000"/>
          <w:vertAlign w:val="subscript"/>
        </w:rPr>
        <w:t>max</w:t>
      </w:r>
      <w:r>
        <w:rPr>
          <w:color w:val="000000"/>
        </w:rPr>
        <w:t xml:space="preserve"> following an infusion (as could be expected), there were no major </w:t>
      </w:r>
      <w:r>
        <w:t>d</w:t>
      </w:r>
      <w:r w:rsidRPr="00E8406C">
        <w:t xml:space="preserve">ifferences in </w:t>
      </w:r>
      <w:r w:rsidRPr="00E8406C">
        <w:lastRenderedPageBreak/>
        <w:t>exposure</w:t>
      </w:r>
      <w:r>
        <w:rPr>
          <w:color w:val="000000"/>
        </w:rPr>
        <w:t>. It was not possible to draw firm conclusions from the study because of low patient numbers and the use of a parallel group rather than cross-over design.</w:t>
      </w:r>
    </w:p>
    <w:p w:rsidR="004D5254" w:rsidRDefault="004D5254" w:rsidP="004D5254">
      <w:pPr>
        <w:pStyle w:val="Heading4"/>
        <w:numPr>
          <w:ilvl w:val="2"/>
          <w:numId w:val="5"/>
        </w:numPr>
      </w:pPr>
      <w:bookmarkStart w:id="69" w:name="_Toc320881422"/>
      <w:r>
        <w:t>Multiple dosing pharmacokinetics</w:t>
      </w:r>
      <w:bookmarkEnd w:id="69"/>
    </w:p>
    <w:p w:rsidR="004D5254" w:rsidRDefault="004D5254" w:rsidP="004D5254">
      <w:pPr>
        <w:autoSpaceDE w:val="0"/>
        <w:autoSpaceDN w:val="0"/>
        <w:adjustRightInd w:val="0"/>
      </w:pPr>
      <w:r>
        <w:t xml:space="preserve">Full pralatrexate pharmacokinetic profiles for Doses 1 and 6 of Cycle 1 (C1D1 and C1D6, respectively) were obtained in 5 patients with PTCL (Study PDX-008). </w:t>
      </w:r>
      <w:r>
        <w:rPr>
          <w:color w:val="000000"/>
        </w:rPr>
        <w:t>R</w:t>
      </w:r>
      <w:r w:rsidRPr="00A23372">
        <w:rPr>
          <w:color w:val="000000"/>
        </w:rPr>
        <w:t xml:space="preserve">epeat profiling at C1D6 showed no potential for clinically significant accumulation of pralatrexate with </w:t>
      </w:r>
      <w:r w:rsidRPr="00A23372">
        <w:t xml:space="preserve">a weekly </w:t>
      </w:r>
      <w:r>
        <w:t>30 mg/m</w:t>
      </w:r>
      <w:r w:rsidRPr="00A16416">
        <w:rPr>
          <w:vertAlign w:val="superscript"/>
        </w:rPr>
        <w:t>2</w:t>
      </w:r>
      <w:r>
        <w:t xml:space="preserve"> dose</w:t>
      </w:r>
      <w:r w:rsidRPr="00A23372">
        <w:rPr>
          <w:color w:val="000000"/>
        </w:rPr>
        <w:t xml:space="preserve"> over the course of a single cycle of treatment</w:t>
      </w:r>
      <w:r w:rsidRPr="00A23372">
        <w:t>.</w:t>
      </w:r>
      <w:r>
        <w:t xml:space="preserve"> The mean AUC</w:t>
      </w:r>
      <w:r w:rsidRPr="00A23372">
        <w:rPr>
          <w:vertAlign w:val="subscript"/>
        </w:rPr>
        <w:t>∞</w:t>
      </w:r>
      <w:r>
        <w:t xml:space="preserve"> accumulation ratios (C1D6/C1D1) were 0.99 for PDX-10a and 0.98 for PDX-10b, whilst the mean C</w:t>
      </w:r>
      <w:r w:rsidRPr="00B473E1">
        <w:rPr>
          <w:vertAlign w:val="subscript"/>
        </w:rPr>
        <w:t>max</w:t>
      </w:r>
      <w:r>
        <w:t xml:space="preserve"> accumulation ratios were 0.79 for PDX-10a and 0.85 for PDX-10b.</w:t>
      </w:r>
    </w:p>
    <w:tbl>
      <w:tblPr>
        <w:tblStyle w:val="TableGrid"/>
        <w:tblW w:w="0" w:type="auto"/>
        <w:tblLook w:val="04A0"/>
      </w:tblPr>
      <w:tblGrid>
        <w:gridCol w:w="9242"/>
      </w:tblGrid>
      <w:tr w:rsidR="004D5254" w:rsidTr="00C80331">
        <w:tc>
          <w:tcPr>
            <w:tcW w:w="9242" w:type="dxa"/>
            <w:shd w:val="clear" w:color="auto" w:fill="D9D9D9" w:themeFill="background1" w:themeFillShade="D9"/>
          </w:tcPr>
          <w:p w:rsidR="004D5254" w:rsidRPr="0000374C" w:rsidRDefault="004D5254" w:rsidP="00C80331">
            <w:pPr>
              <w:autoSpaceDE w:val="0"/>
              <w:autoSpaceDN w:val="0"/>
              <w:adjustRightInd w:val="0"/>
              <w:rPr>
                <w:szCs w:val="22"/>
              </w:rPr>
            </w:pPr>
            <w:r w:rsidRPr="00870691">
              <w:rPr>
                <w:szCs w:val="22"/>
                <w:u w:val="single"/>
              </w:rPr>
              <w:t>Evaluator’s comment</w:t>
            </w:r>
            <w:r>
              <w:rPr>
                <w:szCs w:val="22"/>
              </w:rPr>
              <w:t>:</w:t>
            </w:r>
          </w:p>
          <w:p w:rsidR="004D5254" w:rsidRDefault="004D5254" w:rsidP="00C80331">
            <w:pPr>
              <w:autoSpaceDE w:val="0"/>
              <w:autoSpaceDN w:val="0"/>
              <w:adjustRightInd w:val="0"/>
              <w:rPr>
                <w:szCs w:val="22"/>
              </w:rPr>
            </w:pPr>
            <w:r>
              <w:rPr>
                <w:szCs w:val="22"/>
              </w:rPr>
              <w:t xml:space="preserve">The above data are based on this evaluator’s own calculations from individual patient data reported for Study PDX-008. These figures differ from the sponsor’s analysis set out in </w:t>
            </w:r>
            <w:r w:rsidRPr="00870691">
              <w:rPr>
                <w:szCs w:val="22"/>
              </w:rPr>
              <w:t>the Integrated PK Report</w:t>
            </w:r>
            <w:r>
              <w:rPr>
                <w:szCs w:val="22"/>
              </w:rPr>
              <w:t>,</w:t>
            </w:r>
            <w:r w:rsidRPr="00870691">
              <w:rPr>
                <w:szCs w:val="22"/>
              </w:rPr>
              <w:t xml:space="preserve"> </w:t>
            </w:r>
            <w:r>
              <w:rPr>
                <w:szCs w:val="22"/>
              </w:rPr>
              <w:t>for two reasons:</w:t>
            </w:r>
          </w:p>
          <w:p w:rsidR="004D5254" w:rsidRDefault="004D5254" w:rsidP="004D5254">
            <w:pPr>
              <w:numPr>
                <w:ilvl w:val="0"/>
                <w:numId w:val="18"/>
              </w:num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0" w:line="240" w:lineRule="auto"/>
              <w:ind w:left="284" w:hanging="284"/>
              <w:rPr>
                <w:color w:val="000000"/>
                <w:szCs w:val="22"/>
              </w:rPr>
            </w:pPr>
            <w:r>
              <w:rPr>
                <w:szCs w:val="22"/>
              </w:rPr>
              <w:t xml:space="preserve">the sponsor’s analysis appeared to contain an error, whereby the data for </w:t>
            </w:r>
            <w:r w:rsidRPr="00870691">
              <w:rPr>
                <w:color w:val="000000"/>
                <w:szCs w:val="22"/>
              </w:rPr>
              <w:t>patient 109</w:t>
            </w:r>
            <w:r>
              <w:rPr>
                <w:color w:val="000000"/>
                <w:szCs w:val="22"/>
              </w:rPr>
              <w:t xml:space="preserve"> (Study PDX-008)</w:t>
            </w:r>
            <w:r w:rsidRPr="00870691">
              <w:rPr>
                <w:color w:val="000000"/>
                <w:szCs w:val="22"/>
              </w:rPr>
              <w:t xml:space="preserve"> </w:t>
            </w:r>
            <w:r>
              <w:rPr>
                <w:color w:val="000000"/>
                <w:szCs w:val="22"/>
              </w:rPr>
              <w:t xml:space="preserve">had been </w:t>
            </w:r>
            <w:r w:rsidRPr="003D3085">
              <w:rPr>
                <w:color w:val="000000"/>
                <w:szCs w:val="22"/>
              </w:rPr>
              <w:t xml:space="preserve">entered </w:t>
            </w:r>
            <w:r>
              <w:rPr>
                <w:color w:val="000000"/>
                <w:szCs w:val="22"/>
              </w:rPr>
              <w:t xml:space="preserve">incorrectly </w:t>
            </w:r>
            <w:r w:rsidRPr="00870691">
              <w:rPr>
                <w:color w:val="000000"/>
                <w:szCs w:val="22"/>
              </w:rPr>
              <w:t xml:space="preserve">in the </w:t>
            </w:r>
            <w:r>
              <w:rPr>
                <w:color w:val="000000"/>
                <w:szCs w:val="22"/>
              </w:rPr>
              <w:t xml:space="preserve">sponsor’s </w:t>
            </w:r>
            <w:r w:rsidRPr="00870691">
              <w:rPr>
                <w:color w:val="000000"/>
                <w:szCs w:val="22"/>
              </w:rPr>
              <w:t>metrics distributions</w:t>
            </w:r>
            <w:r>
              <w:rPr>
                <w:color w:val="000000"/>
                <w:szCs w:val="22"/>
              </w:rPr>
              <w:t xml:space="preserve"> in the Integrated PK Report</w:t>
            </w:r>
            <w:r w:rsidRPr="00870691">
              <w:rPr>
                <w:color w:val="000000"/>
                <w:szCs w:val="22"/>
              </w:rPr>
              <w:t xml:space="preserve"> </w:t>
            </w:r>
            <w:r>
              <w:rPr>
                <w:color w:val="000000"/>
                <w:szCs w:val="22"/>
              </w:rPr>
              <w:t>(this is discussed further in Section 18.1.1); and</w:t>
            </w:r>
          </w:p>
          <w:p w:rsidR="004D5254" w:rsidRDefault="004D5254" w:rsidP="004D5254">
            <w:pPr>
              <w:numPr>
                <w:ilvl w:val="0"/>
                <w:numId w:val="18"/>
              </w:num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0" w:line="240" w:lineRule="auto"/>
              <w:ind w:left="284" w:hanging="284"/>
              <w:rPr>
                <w:color w:val="000000"/>
                <w:szCs w:val="22"/>
              </w:rPr>
            </w:pPr>
            <w:r>
              <w:rPr>
                <w:color w:val="000000"/>
                <w:szCs w:val="22"/>
              </w:rPr>
              <w:t xml:space="preserve">the sponsor’s analysis used pooled data from all patients with repeat dosing, irrespective of the number of doses (and therefore cycles) received. Five patients had received 6 doses (1 completed cycle) and one patient had received 12 doses (2 completed cycles) before repeat profiling. </w:t>
            </w:r>
          </w:p>
          <w:p w:rsidR="004D5254" w:rsidRDefault="004D5254" w:rsidP="00C80331">
            <w:pPr>
              <w:autoSpaceDE w:val="0"/>
              <w:autoSpaceDN w:val="0"/>
              <w:adjustRightInd w:val="0"/>
              <w:rPr>
                <w:color w:val="000000"/>
                <w:szCs w:val="22"/>
              </w:rPr>
            </w:pPr>
            <w:r>
              <w:rPr>
                <w:color w:val="000000"/>
                <w:szCs w:val="22"/>
              </w:rPr>
              <w:t xml:space="preserve">This evaluator concludes there was no </w:t>
            </w:r>
            <w:r w:rsidRPr="003D3085">
              <w:rPr>
                <w:color w:val="000000"/>
                <w:szCs w:val="22"/>
              </w:rPr>
              <w:t xml:space="preserve">clinically significant accumulation of pralatrexate with </w:t>
            </w:r>
            <w:r w:rsidRPr="003D3085">
              <w:rPr>
                <w:szCs w:val="22"/>
              </w:rPr>
              <w:t>a weekly administration schedule</w:t>
            </w:r>
            <w:r w:rsidRPr="003D3085">
              <w:rPr>
                <w:color w:val="000000"/>
                <w:szCs w:val="22"/>
              </w:rPr>
              <w:t xml:space="preserve"> over the course of a single cycle of treatment</w:t>
            </w:r>
            <w:r>
              <w:rPr>
                <w:color w:val="000000"/>
                <w:szCs w:val="22"/>
              </w:rPr>
              <w:t xml:space="preserve">. (The sponsor reached the same conclusion from its analysis). </w:t>
            </w:r>
          </w:p>
          <w:p w:rsidR="004D5254" w:rsidRDefault="004D5254" w:rsidP="00C80331">
            <w:pPr>
              <w:autoSpaceDE w:val="0"/>
              <w:autoSpaceDN w:val="0"/>
              <w:adjustRightInd w:val="0"/>
            </w:pPr>
            <w:r w:rsidRPr="00870691">
              <w:rPr>
                <w:szCs w:val="22"/>
              </w:rPr>
              <w:t>The</w:t>
            </w:r>
            <w:r w:rsidRPr="003C24F5">
              <w:rPr>
                <w:szCs w:val="22"/>
              </w:rPr>
              <w:t xml:space="preserve"> situation with regard to repeated cycles of treatment is </w:t>
            </w:r>
            <w:r>
              <w:rPr>
                <w:szCs w:val="22"/>
              </w:rPr>
              <w:t xml:space="preserve">somewhat </w:t>
            </w:r>
            <w:r w:rsidRPr="003C24F5">
              <w:rPr>
                <w:szCs w:val="22"/>
              </w:rPr>
              <w:t>less clear.</w:t>
            </w:r>
            <w:r>
              <w:rPr>
                <w:szCs w:val="22"/>
              </w:rPr>
              <w:t xml:space="preserve"> The patient who</w:t>
            </w:r>
            <w:r w:rsidRPr="003C24F5">
              <w:rPr>
                <w:szCs w:val="22"/>
              </w:rPr>
              <w:t xml:space="preserve"> had repeat full PK profiling beyond the first cycle of treatment </w:t>
            </w:r>
            <w:r>
              <w:rPr>
                <w:szCs w:val="22"/>
              </w:rPr>
              <w:t>exhibited</w:t>
            </w:r>
            <w:r w:rsidRPr="003C24F5">
              <w:rPr>
                <w:szCs w:val="22"/>
              </w:rPr>
              <w:t xml:space="preserve"> a marked increase in both C</w:t>
            </w:r>
            <w:r w:rsidRPr="003C24F5">
              <w:rPr>
                <w:szCs w:val="22"/>
                <w:vertAlign w:val="subscript"/>
              </w:rPr>
              <w:t>max</w:t>
            </w:r>
            <w:r w:rsidRPr="003C24F5">
              <w:rPr>
                <w:szCs w:val="22"/>
              </w:rPr>
              <w:t xml:space="preserve"> and </w:t>
            </w:r>
            <w:r w:rsidRPr="003C24F5">
              <w:rPr>
                <w:color w:val="000000"/>
                <w:szCs w:val="22"/>
              </w:rPr>
              <w:t>AUC</w:t>
            </w:r>
            <w:r w:rsidRPr="003C24F5">
              <w:rPr>
                <w:color w:val="000000"/>
                <w:szCs w:val="22"/>
                <w:vertAlign w:val="subscript"/>
              </w:rPr>
              <w:t>∞</w:t>
            </w:r>
            <w:r w:rsidRPr="003C24F5">
              <w:rPr>
                <w:szCs w:val="22"/>
              </w:rPr>
              <w:t xml:space="preserve"> values for both diastereomers at </w:t>
            </w:r>
            <w:r>
              <w:rPr>
                <w:szCs w:val="22"/>
              </w:rPr>
              <w:t>D</w:t>
            </w:r>
            <w:r w:rsidRPr="003C24F5">
              <w:rPr>
                <w:szCs w:val="22"/>
              </w:rPr>
              <w:t xml:space="preserve">ose 6 of </w:t>
            </w:r>
            <w:r>
              <w:rPr>
                <w:szCs w:val="22"/>
              </w:rPr>
              <w:t>C</w:t>
            </w:r>
            <w:r w:rsidRPr="003C24F5">
              <w:rPr>
                <w:szCs w:val="22"/>
              </w:rPr>
              <w:t xml:space="preserve">ycle 2 (C2D6) compared to C1D1, </w:t>
            </w:r>
            <w:r>
              <w:rPr>
                <w:szCs w:val="22"/>
              </w:rPr>
              <w:t xml:space="preserve">without </w:t>
            </w:r>
            <w:r w:rsidRPr="00972C06">
              <w:rPr>
                <w:szCs w:val="22"/>
              </w:rPr>
              <w:t>significant deterioration in renal or hepatic function from C1D1 to C2D6</w:t>
            </w:r>
            <w:r>
              <w:rPr>
                <w:szCs w:val="22"/>
              </w:rPr>
              <w:t>. The</w:t>
            </w:r>
            <w:r w:rsidRPr="003C24F5">
              <w:rPr>
                <w:color w:val="000000"/>
                <w:szCs w:val="22"/>
              </w:rPr>
              <w:t xml:space="preserve"> C2D6/C1D1 ratio</w:t>
            </w:r>
            <w:r>
              <w:rPr>
                <w:color w:val="000000"/>
                <w:szCs w:val="22"/>
              </w:rPr>
              <w:t xml:space="preserve"> </w:t>
            </w:r>
            <w:r w:rsidRPr="003C24F5">
              <w:rPr>
                <w:color w:val="000000"/>
                <w:szCs w:val="22"/>
              </w:rPr>
              <w:t>for AUC</w:t>
            </w:r>
            <w:r w:rsidRPr="003C24F5">
              <w:rPr>
                <w:color w:val="000000"/>
                <w:szCs w:val="22"/>
                <w:vertAlign w:val="subscript"/>
              </w:rPr>
              <w:t>∞</w:t>
            </w:r>
            <w:r w:rsidRPr="003C24F5">
              <w:rPr>
                <w:color w:val="000000"/>
                <w:szCs w:val="22"/>
              </w:rPr>
              <w:t xml:space="preserve"> </w:t>
            </w:r>
            <w:r w:rsidRPr="00972C06">
              <w:rPr>
                <w:szCs w:val="22"/>
              </w:rPr>
              <w:t>in this patient</w:t>
            </w:r>
            <w:r w:rsidRPr="00972C06">
              <w:rPr>
                <w:color w:val="000000"/>
                <w:szCs w:val="22"/>
              </w:rPr>
              <w:t xml:space="preserve"> </w:t>
            </w:r>
            <w:r>
              <w:rPr>
                <w:color w:val="000000"/>
                <w:szCs w:val="22"/>
              </w:rPr>
              <w:t>was</w:t>
            </w:r>
            <w:r w:rsidRPr="003C24F5">
              <w:rPr>
                <w:color w:val="000000"/>
                <w:szCs w:val="22"/>
              </w:rPr>
              <w:t xml:space="preserve"> 1.9 and 1.35 for PDX-10a and PDX-10b, respectively, and </w:t>
            </w:r>
            <w:r>
              <w:rPr>
                <w:color w:val="000000"/>
                <w:szCs w:val="22"/>
              </w:rPr>
              <w:t xml:space="preserve">the </w:t>
            </w:r>
            <w:r w:rsidRPr="003C24F5">
              <w:rPr>
                <w:color w:val="000000"/>
                <w:szCs w:val="22"/>
              </w:rPr>
              <w:t>corresponding ratios for C</w:t>
            </w:r>
            <w:r w:rsidRPr="003C24F5">
              <w:rPr>
                <w:color w:val="000000"/>
                <w:szCs w:val="22"/>
                <w:vertAlign w:val="subscript"/>
              </w:rPr>
              <w:t xml:space="preserve">max </w:t>
            </w:r>
            <w:r>
              <w:rPr>
                <w:color w:val="000000"/>
                <w:szCs w:val="22"/>
              </w:rPr>
              <w:t>were</w:t>
            </w:r>
            <w:r w:rsidRPr="003C24F5">
              <w:rPr>
                <w:color w:val="000000"/>
                <w:szCs w:val="22"/>
              </w:rPr>
              <w:t xml:space="preserve"> 3.2 and 2.3.</w:t>
            </w:r>
            <w:r>
              <w:rPr>
                <w:color w:val="000000"/>
                <w:szCs w:val="22"/>
              </w:rPr>
              <w:t xml:space="preserve"> </w:t>
            </w:r>
            <w:r w:rsidRPr="003C24F5">
              <w:rPr>
                <w:color w:val="000000"/>
                <w:szCs w:val="22"/>
              </w:rPr>
              <w:t xml:space="preserve">However, there were no detectable </w:t>
            </w:r>
            <w:r w:rsidRPr="003C24F5">
              <w:rPr>
                <w:szCs w:val="22"/>
              </w:rPr>
              <w:t>pre-dosing levels of pralatrexate at C2D6</w:t>
            </w:r>
            <w:r>
              <w:rPr>
                <w:szCs w:val="22"/>
              </w:rPr>
              <w:t xml:space="preserve"> in this patient</w:t>
            </w:r>
            <w:r w:rsidRPr="003C24F5">
              <w:rPr>
                <w:szCs w:val="22"/>
              </w:rPr>
              <w:t>.</w:t>
            </w:r>
            <w:r>
              <w:rPr>
                <w:szCs w:val="22"/>
              </w:rPr>
              <w:t xml:space="preserve"> </w:t>
            </w:r>
            <w:r w:rsidRPr="003C24F5">
              <w:rPr>
                <w:szCs w:val="22"/>
              </w:rPr>
              <w:t xml:space="preserve">These </w:t>
            </w:r>
            <w:r>
              <w:rPr>
                <w:szCs w:val="22"/>
              </w:rPr>
              <w:t>observations</w:t>
            </w:r>
            <w:r w:rsidRPr="003C24F5">
              <w:rPr>
                <w:szCs w:val="22"/>
              </w:rPr>
              <w:t xml:space="preserve"> could, in fact, simply reflect intra-subject variability.</w:t>
            </w:r>
            <w:r>
              <w:rPr>
                <w:szCs w:val="22"/>
              </w:rPr>
              <w:t xml:space="preserve"> </w:t>
            </w:r>
            <w:r w:rsidRPr="003C24F5">
              <w:rPr>
                <w:szCs w:val="22"/>
              </w:rPr>
              <w:t>Furthermore, the C</w:t>
            </w:r>
            <w:r w:rsidRPr="003C24F5">
              <w:rPr>
                <w:szCs w:val="22"/>
                <w:vertAlign w:val="subscript"/>
              </w:rPr>
              <w:t>max</w:t>
            </w:r>
            <w:r w:rsidRPr="003C24F5">
              <w:rPr>
                <w:szCs w:val="22"/>
              </w:rPr>
              <w:t xml:space="preserve"> and </w:t>
            </w:r>
            <w:r w:rsidRPr="003C24F5">
              <w:rPr>
                <w:color w:val="000000"/>
                <w:szCs w:val="22"/>
              </w:rPr>
              <w:t>AUC</w:t>
            </w:r>
            <w:r w:rsidRPr="003C24F5">
              <w:rPr>
                <w:color w:val="000000"/>
                <w:szCs w:val="22"/>
                <w:vertAlign w:val="subscript"/>
              </w:rPr>
              <w:t>∞</w:t>
            </w:r>
            <w:r w:rsidRPr="003C24F5">
              <w:rPr>
                <w:szCs w:val="22"/>
              </w:rPr>
              <w:t xml:space="preserve"> values for both diastereomers at C2D6 in this patient were well within the range of values obtained at C1D1 for other patients, so that even if accumulation were occurring it would not appear to be clinically significant. </w:t>
            </w:r>
          </w:p>
        </w:tc>
      </w:tr>
    </w:tbl>
    <w:p w:rsidR="004D5254" w:rsidRDefault="004D5254" w:rsidP="004D5254">
      <w:pPr>
        <w:pStyle w:val="Heading4"/>
        <w:numPr>
          <w:ilvl w:val="2"/>
          <w:numId w:val="5"/>
        </w:numPr>
      </w:pPr>
      <w:bookmarkStart w:id="70" w:name="_Toc320881423"/>
      <w:r>
        <w:t>Linearity of dose-concentration relationship</w:t>
      </w:r>
      <w:bookmarkEnd w:id="70"/>
    </w:p>
    <w:p w:rsidR="004D5254" w:rsidRDefault="004D5254" w:rsidP="004D5254">
      <w:pPr>
        <w:autoSpaceDE w:val="0"/>
        <w:autoSpaceDN w:val="0"/>
        <w:adjustRightInd w:val="0"/>
        <w:rPr>
          <w:color w:val="000000"/>
        </w:rPr>
      </w:pPr>
      <w:r>
        <w:rPr>
          <w:color w:val="000000"/>
        </w:rPr>
        <w:t>P</w:t>
      </w:r>
      <w:r w:rsidRPr="00067841">
        <w:rPr>
          <w:color w:val="000000"/>
        </w:rPr>
        <w:t>ralatrexate PK</w:t>
      </w:r>
      <w:r>
        <w:rPr>
          <w:color w:val="000000"/>
        </w:rPr>
        <w:t>s</w:t>
      </w:r>
      <w:r w:rsidRPr="00067841">
        <w:rPr>
          <w:color w:val="000000"/>
        </w:rPr>
        <w:t xml:space="preserve"> appear to be dose-proportional </w:t>
      </w:r>
      <w:r>
        <w:rPr>
          <w:color w:val="000000"/>
        </w:rPr>
        <w:t xml:space="preserve">and linear </w:t>
      </w:r>
      <w:r w:rsidRPr="00067841">
        <w:rPr>
          <w:color w:val="000000"/>
        </w:rPr>
        <w:t>over a wide range of</w:t>
      </w:r>
      <w:r>
        <w:rPr>
          <w:color w:val="000000"/>
        </w:rPr>
        <w:t xml:space="preserve"> </w:t>
      </w:r>
      <w:r w:rsidRPr="00067841">
        <w:rPr>
          <w:color w:val="000000"/>
        </w:rPr>
        <w:t>doses (30 - 325 mg/m</w:t>
      </w:r>
      <w:r w:rsidRPr="00A16416">
        <w:rPr>
          <w:color w:val="000000"/>
          <w:vertAlign w:val="superscript"/>
        </w:rPr>
        <w:t>2</w:t>
      </w:r>
      <w:r>
        <w:rPr>
          <w:color w:val="000000"/>
        </w:rPr>
        <w:t>; studies PDX-008, -007 and -99-083). Regression plots for the total clearance and Vdss for PDX-10a are shown in</w:t>
      </w:r>
      <w:r w:rsidRPr="005F61C6">
        <w:rPr>
          <w:color w:val="000000"/>
        </w:rPr>
        <w:t xml:space="preserve"> Figure 2</w:t>
      </w:r>
      <w:r>
        <w:rPr>
          <w:color w:val="000000"/>
        </w:rPr>
        <w:t xml:space="preserve"> and Table 4</w:t>
      </w:r>
      <w:r w:rsidRPr="005F61C6">
        <w:rPr>
          <w:color w:val="000000"/>
        </w:rPr>
        <w:t>, belo</w:t>
      </w:r>
      <w:r>
        <w:rPr>
          <w:color w:val="000000"/>
        </w:rPr>
        <w:t>w (Note: pictorial results for PDX-10b were not available in the Integrated PK Report). The associated table summarises the slope, correlation coefficient (r), coefficient of determination (r</w:t>
      </w:r>
      <w:r w:rsidRPr="006B124A">
        <w:rPr>
          <w:color w:val="000000"/>
          <w:vertAlign w:val="superscript"/>
        </w:rPr>
        <w:t>2</w:t>
      </w:r>
      <w:r>
        <w:rPr>
          <w:color w:val="000000"/>
        </w:rPr>
        <w:t xml:space="preserve">) and p value of the regression plots for total clearance, renal clearance, non-renal clearance and Vdss for both pralatrexate diastereomers. </w:t>
      </w:r>
    </w:p>
    <w:p w:rsidR="004D5254" w:rsidRPr="00067841" w:rsidRDefault="004D5254" w:rsidP="004D5254">
      <w:pPr>
        <w:pStyle w:val="FigureTitle"/>
        <w:keepNext/>
        <w:rPr>
          <w:color w:val="000000"/>
        </w:rPr>
      </w:pPr>
      <w:bookmarkStart w:id="71" w:name="_Toc320881589"/>
      <w:r>
        <w:lastRenderedPageBreak/>
        <w:t>Figure 2. Linearity of PDX-10a clearance and volume of distribution</w:t>
      </w:r>
      <w:bookmarkEnd w:id="71"/>
    </w:p>
    <w:p w:rsidR="004D5254" w:rsidRDefault="004D5254" w:rsidP="004D5254">
      <w:pPr>
        <w:keepNext/>
      </w:pPr>
      <w:r>
        <w:rPr>
          <w:noProof/>
          <w:lang w:eastAsia="en-AU"/>
        </w:rPr>
        <w:drawing>
          <wp:inline distT="0" distB="0" distL="0" distR="0">
            <wp:extent cx="2314575" cy="1676400"/>
            <wp:effectExtent l="19050" t="0" r="9525" b="0"/>
            <wp:docPr id="3" name="Picture 3" descr="Figure 2.  Linearity of PDX-10a clearance and volume of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contrast="20000"/>
                    </a:blip>
                    <a:srcRect/>
                    <a:stretch>
                      <a:fillRect/>
                    </a:stretch>
                  </pic:blipFill>
                  <pic:spPr bwMode="auto">
                    <a:xfrm>
                      <a:off x="0" y="0"/>
                      <a:ext cx="2314575" cy="1676400"/>
                    </a:xfrm>
                    <a:prstGeom prst="rect">
                      <a:avLst/>
                    </a:prstGeom>
                    <a:noFill/>
                    <a:ln w="9525">
                      <a:noFill/>
                      <a:miter lim="800000"/>
                      <a:headEnd/>
                      <a:tailEnd/>
                    </a:ln>
                  </pic:spPr>
                </pic:pic>
              </a:graphicData>
            </a:graphic>
          </wp:inline>
        </w:drawing>
      </w:r>
      <w:r w:rsidRPr="00445282">
        <w:t xml:space="preserve"> </w:t>
      </w:r>
      <w:r>
        <w:rPr>
          <w:noProof/>
          <w:lang w:eastAsia="en-AU"/>
        </w:rPr>
        <w:drawing>
          <wp:inline distT="0" distB="0" distL="0" distR="0">
            <wp:extent cx="2276475" cy="1676400"/>
            <wp:effectExtent l="19050" t="0" r="9525" b="0"/>
            <wp:docPr id="4" name="Picture 4" descr="Figure 2.  Linearity of PDX-10a clearance and volume of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contrast="20000"/>
                    </a:blip>
                    <a:srcRect/>
                    <a:stretch>
                      <a:fillRect/>
                    </a:stretch>
                  </pic:blipFill>
                  <pic:spPr bwMode="auto">
                    <a:xfrm>
                      <a:off x="0" y="0"/>
                      <a:ext cx="2276475" cy="1676400"/>
                    </a:xfrm>
                    <a:prstGeom prst="rect">
                      <a:avLst/>
                    </a:prstGeom>
                    <a:noFill/>
                    <a:ln w="9525">
                      <a:noFill/>
                      <a:miter lim="800000"/>
                      <a:headEnd/>
                      <a:tailEnd/>
                    </a:ln>
                  </pic:spPr>
                </pic:pic>
              </a:graphicData>
            </a:graphic>
          </wp:inline>
        </w:drawing>
      </w:r>
    </w:p>
    <w:p w:rsidR="004D5254" w:rsidRDefault="004D5254" w:rsidP="004D5254">
      <w:pPr>
        <w:pStyle w:val="FigureTitle"/>
      </w:pPr>
      <w:r>
        <w:t>Table 4. T</w:t>
      </w:r>
      <w:r w:rsidRPr="0038288C">
        <w:t>otal clearance, renal clearance, non-renal clearance and Vdss for pralatrexate diastereomers</w:t>
      </w:r>
    </w:p>
    <w:tbl>
      <w:tblPr>
        <w:tblStyle w:val="TableGrid"/>
        <w:tblW w:w="0" w:type="auto"/>
        <w:tblInd w:w="250" w:type="dxa"/>
        <w:tblLayout w:type="fixed"/>
        <w:tblLook w:val="04A0"/>
      </w:tblPr>
      <w:tblGrid>
        <w:gridCol w:w="2552"/>
        <w:gridCol w:w="1134"/>
        <w:gridCol w:w="850"/>
        <w:gridCol w:w="851"/>
        <w:gridCol w:w="992"/>
        <w:gridCol w:w="992"/>
      </w:tblGrid>
      <w:tr w:rsidR="004D5254" w:rsidTr="0090319D">
        <w:trPr>
          <w:tblHeader/>
        </w:trPr>
        <w:tc>
          <w:tcPr>
            <w:tcW w:w="2552" w:type="dxa"/>
            <w:tcBorders>
              <w:top w:val="nil"/>
              <w:left w:val="nil"/>
              <w:bottom w:val="single" w:sz="4" w:space="0" w:color="auto"/>
            </w:tcBorders>
          </w:tcPr>
          <w:p w:rsidR="004D5254" w:rsidRPr="009555CE" w:rsidRDefault="004D5254" w:rsidP="00C80331">
            <w:pPr>
              <w:keepNext/>
              <w:rPr>
                <w:sz w:val="20"/>
                <w:szCs w:val="20"/>
              </w:rPr>
            </w:pPr>
          </w:p>
        </w:tc>
        <w:tc>
          <w:tcPr>
            <w:tcW w:w="1134" w:type="dxa"/>
            <w:tcBorders>
              <w:bottom w:val="single" w:sz="4" w:space="0" w:color="auto"/>
            </w:tcBorders>
            <w:shd w:val="clear" w:color="auto" w:fill="0070C0"/>
          </w:tcPr>
          <w:p w:rsidR="004D5254" w:rsidRPr="005F61C6" w:rsidRDefault="004D5254" w:rsidP="00C80331">
            <w:pPr>
              <w:keepNext/>
              <w:spacing w:before="40" w:after="40"/>
              <w:jc w:val="center"/>
              <w:rPr>
                <w:b/>
                <w:color w:val="FFFFFF" w:themeColor="background1"/>
                <w:sz w:val="20"/>
                <w:szCs w:val="20"/>
              </w:rPr>
            </w:pPr>
            <w:r w:rsidRPr="005F61C6">
              <w:rPr>
                <w:b/>
                <w:color w:val="FFFFFF" w:themeColor="background1"/>
                <w:sz w:val="20"/>
                <w:szCs w:val="20"/>
              </w:rPr>
              <w:t>Intercept</w:t>
            </w:r>
          </w:p>
        </w:tc>
        <w:tc>
          <w:tcPr>
            <w:tcW w:w="850" w:type="dxa"/>
            <w:tcBorders>
              <w:bottom w:val="single" w:sz="4" w:space="0" w:color="auto"/>
            </w:tcBorders>
            <w:shd w:val="clear" w:color="auto" w:fill="0070C0"/>
          </w:tcPr>
          <w:p w:rsidR="004D5254" w:rsidRPr="005F61C6" w:rsidRDefault="004D5254" w:rsidP="00C80331">
            <w:pPr>
              <w:keepNext/>
              <w:spacing w:before="40" w:after="40"/>
              <w:jc w:val="center"/>
              <w:rPr>
                <w:b/>
                <w:color w:val="FFFFFF" w:themeColor="background1"/>
                <w:sz w:val="20"/>
                <w:szCs w:val="20"/>
              </w:rPr>
            </w:pPr>
            <w:r w:rsidRPr="005F61C6">
              <w:rPr>
                <w:b/>
                <w:color w:val="FFFFFF" w:themeColor="background1"/>
                <w:sz w:val="20"/>
                <w:szCs w:val="20"/>
              </w:rPr>
              <w:t>Slope</w:t>
            </w:r>
          </w:p>
        </w:tc>
        <w:tc>
          <w:tcPr>
            <w:tcW w:w="851" w:type="dxa"/>
            <w:tcBorders>
              <w:bottom w:val="single" w:sz="4" w:space="0" w:color="auto"/>
            </w:tcBorders>
            <w:shd w:val="clear" w:color="auto" w:fill="0070C0"/>
          </w:tcPr>
          <w:p w:rsidR="004D5254" w:rsidRPr="005F61C6" w:rsidRDefault="004D5254" w:rsidP="00C80331">
            <w:pPr>
              <w:keepNext/>
              <w:spacing w:before="40" w:after="40"/>
              <w:jc w:val="center"/>
              <w:rPr>
                <w:b/>
                <w:color w:val="FFFFFF" w:themeColor="background1"/>
                <w:sz w:val="20"/>
                <w:szCs w:val="20"/>
              </w:rPr>
            </w:pPr>
            <w:r w:rsidRPr="005F61C6">
              <w:rPr>
                <w:b/>
                <w:color w:val="FFFFFF" w:themeColor="background1"/>
                <w:sz w:val="20"/>
                <w:szCs w:val="20"/>
              </w:rPr>
              <w:t>r</w:t>
            </w:r>
          </w:p>
        </w:tc>
        <w:tc>
          <w:tcPr>
            <w:tcW w:w="992" w:type="dxa"/>
            <w:tcBorders>
              <w:bottom w:val="single" w:sz="4" w:space="0" w:color="auto"/>
            </w:tcBorders>
            <w:shd w:val="clear" w:color="auto" w:fill="0070C0"/>
          </w:tcPr>
          <w:p w:rsidR="004D5254" w:rsidRPr="005F61C6" w:rsidRDefault="004D5254" w:rsidP="00C80331">
            <w:pPr>
              <w:keepNext/>
              <w:spacing w:before="40" w:after="40"/>
              <w:jc w:val="center"/>
              <w:rPr>
                <w:b/>
                <w:color w:val="FFFFFF" w:themeColor="background1"/>
                <w:sz w:val="20"/>
                <w:szCs w:val="20"/>
              </w:rPr>
            </w:pPr>
            <w:r w:rsidRPr="005F61C6">
              <w:rPr>
                <w:b/>
                <w:color w:val="FFFFFF" w:themeColor="background1"/>
                <w:sz w:val="20"/>
                <w:szCs w:val="20"/>
              </w:rPr>
              <w:t>r</w:t>
            </w:r>
            <w:r w:rsidRPr="005F61C6">
              <w:rPr>
                <w:b/>
                <w:color w:val="FFFFFF" w:themeColor="background1"/>
                <w:sz w:val="20"/>
                <w:szCs w:val="20"/>
                <w:vertAlign w:val="superscript"/>
              </w:rPr>
              <w:t>2</w:t>
            </w:r>
          </w:p>
        </w:tc>
        <w:tc>
          <w:tcPr>
            <w:tcW w:w="992" w:type="dxa"/>
            <w:tcBorders>
              <w:bottom w:val="single" w:sz="4" w:space="0" w:color="auto"/>
            </w:tcBorders>
            <w:shd w:val="clear" w:color="auto" w:fill="0070C0"/>
          </w:tcPr>
          <w:p w:rsidR="004D5254" w:rsidRPr="005F61C6" w:rsidRDefault="004D5254" w:rsidP="00C80331">
            <w:pPr>
              <w:keepNext/>
              <w:spacing w:before="40" w:after="40"/>
              <w:jc w:val="center"/>
              <w:rPr>
                <w:b/>
                <w:color w:val="FFFFFF" w:themeColor="background1"/>
                <w:sz w:val="20"/>
                <w:szCs w:val="20"/>
              </w:rPr>
            </w:pPr>
            <w:r w:rsidRPr="005F61C6">
              <w:rPr>
                <w:b/>
                <w:color w:val="FFFFFF" w:themeColor="background1"/>
                <w:sz w:val="20"/>
                <w:szCs w:val="20"/>
              </w:rPr>
              <w:t>p-value</w:t>
            </w:r>
          </w:p>
        </w:tc>
      </w:tr>
      <w:tr w:rsidR="004D5254" w:rsidTr="00C80331">
        <w:tc>
          <w:tcPr>
            <w:tcW w:w="2552" w:type="dxa"/>
            <w:tcBorders>
              <w:bottom w:val="nil"/>
            </w:tcBorders>
          </w:tcPr>
          <w:p w:rsidR="004D5254" w:rsidRPr="00201D15" w:rsidRDefault="004D5254" w:rsidP="00C80331">
            <w:pPr>
              <w:keepNext/>
              <w:spacing w:before="40"/>
              <w:rPr>
                <w:b/>
                <w:sz w:val="20"/>
                <w:szCs w:val="20"/>
              </w:rPr>
            </w:pPr>
            <w:r w:rsidRPr="00201D15">
              <w:rPr>
                <w:b/>
                <w:sz w:val="20"/>
                <w:szCs w:val="20"/>
              </w:rPr>
              <w:t>PDX-10a</w:t>
            </w:r>
          </w:p>
        </w:tc>
        <w:tc>
          <w:tcPr>
            <w:tcW w:w="1134" w:type="dxa"/>
            <w:tcBorders>
              <w:bottom w:val="nil"/>
            </w:tcBorders>
          </w:tcPr>
          <w:p w:rsidR="004D5254" w:rsidRPr="009555CE" w:rsidRDefault="004D5254" w:rsidP="00C80331">
            <w:pPr>
              <w:keepNext/>
              <w:spacing w:before="40"/>
              <w:rPr>
                <w:sz w:val="20"/>
                <w:szCs w:val="20"/>
              </w:rPr>
            </w:pPr>
          </w:p>
        </w:tc>
        <w:tc>
          <w:tcPr>
            <w:tcW w:w="850" w:type="dxa"/>
            <w:tcBorders>
              <w:bottom w:val="nil"/>
            </w:tcBorders>
          </w:tcPr>
          <w:p w:rsidR="004D5254" w:rsidRPr="009555CE" w:rsidRDefault="004D5254" w:rsidP="00C80331">
            <w:pPr>
              <w:keepNext/>
              <w:spacing w:before="40"/>
              <w:rPr>
                <w:sz w:val="20"/>
                <w:szCs w:val="20"/>
              </w:rPr>
            </w:pPr>
          </w:p>
        </w:tc>
        <w:tc>
          <w:tcPr>
            <w:tcW w:w="851" w:type="dxa"/>
            <w:tcBorders>
              <w:bottom w:val="nil"/>
            </w:tcBorders>
          </w:tcPr>
          <w:p w:rsidR="004D5254" w:rsidRPr="009555CE" w:rsidRDefault="004D5254" w:rsidP="00C80331">
            <w:pPr>
              <w:keepNext/>
              <w:spacing w:before="40"/>
              <w:rPr>
                <w:sz w:val="20"/>
                <w:szCs w:val="20"/>
              </w:rPr>
            </w:pPr>
          </w:p>
        </w:tc>
        <w:tc>
          <w:tcPr>
            <w:tcW w:w="992" w:type="dxa"/>
            <w:tcBorders>
              <w:bottom w:val="nil"/>
            </w:tcBorders>
          </w:tcPr>
          <w:p w:rsidR="004D5254" w:rsidRPr="009555CE" w:rsidRDefault="004D5254" w:rsidP="00C80331">
            <w:pPr>
              <w:keepNext/>
              <w:spacing w:before="40"/>
              <w:rPr>
                <w:sz w:val="20"/>
                <w:szCs w:val="20"/>
              </w:rPr>
            </w:pPr>
          </w:p>
        </w:tc>
        <w:tc>
          <w:tcPr>
            <w:tcW w:w="992" w:type="dxa"/>
            <w:tcBorders>
              <w:bottom w:val="nil"/>
            </w:tcBorders>
          </w:tcPr>
          <w:p w:rsidR="004D5254" w:rsidRPr="009555CE" w:rsidRDefault="004D5254" w:rsidP="00C80331">
            <w:pPr>
              <w:keepNext/>
              <w:spacing w:before="40"/>
              <w:rPr>
                <w:sz w:val="20"/>
                <w:szCs w:val="20"/>
              </w:rPr>
            </w:pPr>
          </w:p>
        </w:tc>
      </w:tr>
      <w:tr w:rsidR="004D5254" w:rsidTr="00C80331">
        <w:tc>
          <w:tcPr>
            <w:tcW w:w="2552" w:type="dxa"/>
            <w:tcBorders>
              <w:top w:val="nil"/>
              <w:bottom w:val="nil"/>
            </w:tcBorders>
          </w:tcPr>
          <w:p w:rsidR="004D5254" w:rsidRPr="009555CE" w:rsidRDefault="004D5254" w:rsidP="00C80331">
            <w:pPr>
              <w:keepNext/>
              <w:spacing w:before="40"/>
              <w:rPr>
                <w:sz w:val="20"/>
                <w:szCs w:val="20"/>
              </w:rPr>
            </w:pPr>
            <w:r>
              <w:rPr>
                <w:sz w:val="20"/>
                <w:szCs w:val="20"/>
              </w:rPr>
              <w:t>Cl</w:t>
            </w:r>
            <w:r w:rsidRPr="009555CE">
              <w:rPr>
                <w:sz w:val="20"/>
                <w:szCs w:val="20"/>
                <w:vertAlign w:val="subscript"/>
              </w:rPr>
              <w:t>tot</w:t>
            </w:r>
            <w:r>
              <w:rPr>
                <w:sz w:val="20"/>
                <w:szCs w:val="20"/>
              </w:rPr>
              <w:t xml:space="preserve"> (mL/min) versus dose</w:t>
            </w:r>
          </w:p>
        </w:tc>
        <w:tc>
          <w:tcPr>
            <w:tcW w:w="1134" w:type="dxa"/>
            <w:tcBorders>
              <w:top w:val="nil"/>
              <w:bottom w:val="nil"/>
            </w:tcBorders>
          </w:tcPr>
          <w:p w:rsidR="004D5254" w:rsidRPr="009555CE" w:rsidRDefault="004D5254" w:rsidP="00C80331">
            <w:pPr>
              <w:keepNext/>
              <w:spacing w:before="40"/>
              <w:jc w:val="center"/>
              <w:rPr>
                <w:sz w:val="20"/>
                <w:szCs w:val="20"/>
              </w:rPr>
            </w:pPr>
            <w:r>
              <w:rPr>
                <w:sz w:val="20"/>
                <w:szCs w:val="20"/>
              </w:rPr>
              <w:t>482</w:t>
            </w:r>
          </w:p>
        </w:tc>
        <w:tc>
          <w:tcPr>
            <w:tcW w:w="850" w:type="dxa"/>
            <w:tcBorders>
              <w:top w:val="nil"/>
              <w:bottom w:val="nil"/>
            </w:tcBorders>
          </w:tcPr>
          <w:p w:rsidR="004D5254" w:rsidRPr="009555CE" w:rsidRDefault="004D5254" w:rsidP="00C80331">
            <w:pPr>
              <w:keepNext/>
              <w:spacing w:before="40"/>
              <w:jc w:val="center"/>
              <w:rPr>
                <w:sz w:val="20"/>
                <w:szCs w:val="20"/>
              </w:rPr>
            </w:pPr>
            <w:r>
              <w:rPr>
                <w:sz w:val="20"/>
                <w:szCs w:val="20"/>
              </w:rPr>
              <w:t>0.07</w:t>
            </w:r>
          </w:p>
        </w:tc>
        <w:tc>
          <w:tcPr>
            <w:tcW w:w="851" w:type="dxa"/>
            <w:tcBorders>
              <w:top w:val="nil"/>
              <w:bottom w:val="nil"/>
            </w:tcBorders>
          </w:tcPr>
          <w:p w:rsidR="004D5254" w:rsidRPr="009555CE" w:rsidRDefault="004D5254" w:rsidP="00C80331">
            <w:pPr>
              <w:keepNext/>
              <w:spacing w:before="40"/>
              <w:jc w:val="center"/>
              <w:rPr>
                <w:sz w:val="20"/>
                <w:szCs w:val="20"/>
              </w:rPr>
            </w:pPr>
            <w:r>
              <w:rPr>
                <w:sz w:val="20"/>
                <w:szCs w:val="20"/>
              </w:rPr>
              <w:t>0.022</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0.0005</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0.872</w:t>
            </w:r>
          </w:p>
        </w:tc>
      </w:tr>
      <w:tr w:rsidR="004D5254" w:rsidTr="00C80331">
        <w:tc>
          <w:tcPr>
            <w:tcW w:w="2552" w:type="dxa"/>
            <w:tcBorders>
              <w:top w:val="nil"/>
              <w:bottom w:val="nil"/>
            </w:tcBorders>
          </w:tcPr>
          <w:p w:rsidR="004D5254" w:rsidRPr="009555CE" w:rsidRDefault="004D5254" w:rsidP="00C80331">
            <w:pPr>
              <w:keepNext/>
              <w:spacing w:before="40"/>
              <w:rPr>
                <w:sz w:val="20"/>
                <w:szCs w:val="20"/>
              </w:rPr>
            </w:pPr>
            <w:r>
              <w:rPr>
                <w:sz w:val="20"/>
                <w:szCs w:val="20"/>
              </w:rPr>
              <w:t>Cl</w:t>
            </w:r>
            <w:r w:rsidRPr="009555CE">
              <w:rPr>
                <w:sz w:val="20"/>
                <w:szCs w:val="20"/>
                <w:vertAlign w:val="subscript"/>
              </w:rPr>
              <w:t>renal</w:t>
            </w:r>
            <w:r>
              <w:rPr>
                <w:sz w:val="20"/>
                <w:szCs w:val="20"/>
              </w:rPr>
              <w:t xml:space="preserve"> </w:t>
            </w:r>
            <w:r w:rsidRPr="007E1B30">
              <w:rPr>
                <w:sz w:val="20"/>
                <w:szCs w:val="20"/>
              </w:rPr>
              <w:t xml:space="preserve">(mL/min) </w:t>
            </w:r>
            <w:r>
              <w:rPr>
                <w:sz w:val="20"/>
                <w:szCs w:val="20"/>
              </w:rPr>
              <w:t>versus dose</w:t>
            </w:r>
          </w:p>
        </w:tc>
        <w:tc>
          <w:tcPr>
            <w:tcW w:w="1134" w:type="dxa"/>
            <w:tcBorders>
              <w:top w:val="nil"/>
              <w:bottom w:val="nil"/>
            </w:tcBorders>
          </w:tcPr>
          <w:p w:rsidR="004D5254" w:rsidRPr="009555CE" w:rsidRDefault="004D5254" w:rsidP="00C80331">
            <w:pPr>
              <w:keepNext/>
              <w:spacing w:before="40"/>
              <w:jc w:val="center"/>
              <w:rPr>
                <w:sz w:val="20"/>
                <w:szCs w:val="20"/>
              </w:rPr>
            </w:pPr>
            <w:r>
              <w:rPr>
                <w:sz w:val="20"/>
                <w:szCs w:val="20"/>
              </w:rPr>
              <w:t>118.1</w:t>
            </w:r>
          </w:p>
        </w:tc>
        <w:tc>
          <w:tcPr>
            <w:tcW w:w="850" w:type="dxa"/>
            <w:tcBorders>
              <w:top w:val="nil"/>
              <w:bottom w:val="nil"/>
            </w:tcBorders>
          </w:tcPr>
          <w:p w:rsidR="004D5254" w:rsidRPr="009555CE" w:rsidRDefault="004D5254" w:rsidP="00C80331">
            <w:pPr>
              <w:keepNext/>
              <w:spacing w:before="40"/>
              <w:jc w:val="center"/>
              <w:rPr>
                <w:sz w:val="20"/>
                <w:szCs w:val="20"/>
              </w:rPr>
            </w:pPr>
            <w:r>
              <w:rPr>
                <w:sz w:val="20"/>
                <w:szCs w:val="20"/>
              </w:rPr>
              <w:t>0.03</w:t>
            </w:r>
          </w:p>
        </w:tc>
        <w:tc>
          <w:tcPr>
            <w:tcW w:w="851" w:type="dxa"/>
            <w:tcBorders>
              <w:top w:val="nil"/>
              <w:bottom w:val="nil"/>
            </w:tcBorders>
          </w:tcPr>
          <w:p w:rsidR="004D5254" w:rsidRPr="009555CE" w:rsidRDefault="004D5254" w:rsidP="00C80331">
            <w:pPr>
              <w:keepNext/>
              <w:spacing w:before="40"/>
              <w:jc w:val="center"/>
              <w:rPr>
                <w:sz w:val="20"/>
                <w:szCs w:val="20"/>
              </w:rPr>
            </w:pPr>
            <w:r>
              <w:rPr>
                <w:sz w:val="20"/>
                <w:szCs w:val="20"/>
              </w:rPr>
              <w:t>0.036</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0.0013</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0.820</w:t>
            </w:r>
          </w:p>
        </w:tc>
      </w:tr>
      <w:tr w:rsidR="004D5254" w:rsidTr="00C80331">
        <w:tc>
          <w:tcPr>
            <w:tcW w:w="2552" w:type="dxa"/>
            <w:tcBorders>
              <w:top w:val="nil"/>
              <w:bottom w:val="nil"/>
            </w:tcBorders>
          </w:tcPr>
          <w:p w:rsidR="004D5254" w:rsidRPr="009555CE" w:rsidRDefault="004D5254" w:rsidP="00C80331">
            <w:pPr>
              <w:keepNext/>
              <w:spacing w:before="40"/>
              <w:rPr>
                <w:sz w:val="20"/>
                <w:szCs w:val="20"/>
              </w:rPr>
            </w:pPr>
            <w:r>
              <w:rPr>
                <w:sz w:val="20"/>
                <w:szCs w:val="20"/>
              </w:rPr>
              <w:t>Cl</w:t>
            </w:r>
            <w:r w:rsidRPr="009555CE">
              <w:rPr>
                <w:sz w:val="20"/>
                <w:szCs w:val="20"/>
                <w:vertAlign w:val="subscript"/>
              </w:rPr>
              <w:t>non-renal</w:t>
            </w:r>
            <w:r>
              <w:rPr>
                <w:sz w:val="20"/>
                <w:szCs w:val="20"/>
              </w:rPr>
              <w:t xml:space="preserve"> </w:t>
            </w:r>
            <w:r w:rsidRPr="007E1B30">
              <w:rPr>
                <w:sz w:val="20"/>
                <w:szCs w:val="20"/>
              </w:rPr>
              <w:t xml:space="preserve">(mL/min) </w:t>
            </w:r>
            <w:r>
              <w:rPr>
                <w:sz w:val="20"/>
                <w:szCs w:val="20"/>
              </w:rPr>
              <w:t>versus dose</w:t>
            </w:r>
          </w:p>
        </w:tc>
        <w:tc>
          <w:tcPr>
            <w:tcW w:w="1134" w:type="dxa"/>
            <w:tcBorders>
              <w:top w:val="nil"/>
              <w:bottom w:val="nil"/>
            </w:tcBorders>
          </w:tcPr>
          <w:p w:rsidR="004D5254" w:rsidRPr="009555CE" w:rsidRDefault="004D5254" w:rsidP="00C80331">
            <w:pPr>
              <w:keepNext/>
              <w:spacing w:before="40"/>
              <w:jc w:val="center"/>
              <w:rPr>
                <w:sz w:val="20"/>
                <w:szCs w:val="20"/>
              </w:rPr>
            </w:pPr>
            <w:r>
              <w:rPr>
                <w:sz w:val="20"/>
                <w:szCs w:val="20"/>
              </w:rPr>
              <w:t>271.0</w:t>
            </w:r>
          </w:p>
        </w:tc>
        <w:tc>
          <w:tcPr>
            <w:tcW w:w="850" w:type="dxa"/>
            <w:tcBorders>
              <w:top w:val="nil"/>
              <w:bottom w:val="nil"/>
            </w:tcBorders>
          </w:tcPr>
          <w:p w:rsidR="004D5254" w:rsidRPr="009555CE" w:rsidRDefault="004D5254" w:rsidP="00C80331">
            <w:pPr>
              <w:keepNext/>
              <w:spacing w:before="40"/>
              <w:jc w:val="center"/>
              <w:rPr>
                <w:sz w:val="20"/>
                <w:szCs w:val="20"/>
              </w:rPr>
            </w:pPr>
            <w:r>
              <w:rPr>
                <w:sz w:val="20"/>
                <w:szCs w:val="20"/>
              </w:rPr>
              <w:t>0.37</w:t>
            </w:r>
          </w:p>
        </w:tc>
        <w:tc>
          <w:tcPr>
            <w:tcW w:w="851" w:type="dxa"/>
            <w:tcBorders>
              <w:top w:val="nil"/>
              <w:bottom w:val="nil"/>
            </w:tcBorders>
          </w:tcPr>
          <w:p w:rsidR="004D5254" w:rsidRPr="009555CE" w:rsidRDefault="004D5254" w:rsidP="00C80331">
            <w:pPr>
              <w:keepNext/>
              <w:spacing w:before="40"/>
              <w:jc w:val="center"/>
              <w:rPr>
                <w:sz w:val="20"/>
                <w:szCs w:val="20"/>
              </w:rPr>
            </w:pPr>
            <w:r>
              <w:rPr>
                <w:sz w:val="20"/>
                <w:szCs w:val="20"/>
              </w:rPr>
              <w:t>0.154</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0.0238</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0.335</w:t>
            </w:r>
          </w:p>
        </w:tc>
      </w:tr>
      <w:tr w:rsidR="004D5254" w:rsidTr="00C80331">
        <w:tc>
          <w:tcPr>
            <w:tcW w:w="2552" w:type="dxa"/>
            <w:tcBorders>
              <w:top w:val="nil"/>
              <w:bottom w:val="single" w:sz="4" w:space="0" w:color="auto"/>
            </w:tcBorders>
          </w:tcPr>
          <w:p w:rsidR="004D5254" w:rsidRPr="009555CE" w:rsidRDefault="004D5254" w:rsidP="00C80331">
            <w:pPr>
              <w:keepNext/>
              <w:spacing w:before="40"/>
              <w:rPr>
                <w:sz w:val="20"/>
                <w:szCs w:val="20"/>
              </w:rPr>
            </w:pPr>
            <w:r>
              <w:rPr>
                <w:sz w:val="20"/>
                <w:szCs w:val="20"/>
              </w:rPr>
              <w:t>Vd</w:t>
            </w:r>
            <w:r w:rsidRPr="009555CE">
              <w:rPr>
                <w:sz w:val="20"/>
                <w:szCs w:val="20"/>
                <w:vertAlign w:val="subscript"/>
              </w:rPr>
              <w:t>ss</w:t>
            </w:r>
            <w:r>
              <w:rPr>
                <w:sz w:val="20"/>
                <w:szCs w:val="20"/>
              </w:rPr>
              <w:t xml:space="preserve"> (L) versus dose</w:t>
            </w:r>
          </w:p>
        </w:tc>
        <w:tc>
          <w:tcPr>
            <w:tcW w:w="1134" w:type="dxa"/>
            <w:tcBorders>
              <w:top w:val="nil"/>
              <w:bottom w:val="single" w:sz="4" w:space="0" w:color="auto"/>
            </w:tcBorders>
          </w:tcPr>
          <w:p w:rsidR="004D5254" w:rsidRPr="009555CE" w:rsidRDefault="004D5254" w:rsidP="00C80331">
            <w:pPr>
              <w:keepNext/>
              <w:spacing w:before="40"/>
              <w:jc w:val="center"/>
              <w:rPr>
                <w:sz w:val="20"/>
                <w:szCs w:val="20"/>
              </w:rPr>
            </w:pPr>
            <w:r>
              <w:rPr>
                <w:sz w:val="20"/>
                <w:szCs w:val="20"/>
              </w:rPr>
              <w:t>87.5</w:t>
            </w:r>
          </w:p>
        </w:tc>
        <w:tc>
          <w:tcPr>
            <w:tcW w:w="850" w:type="dxa"/>
            <w:tcBorders>
              <w:top w:val="nil"/>
              <w:bottom w:val="single" w:sz="4" w:space="0" w:color="auto"/>
            </w:tcBorders>
          </w:tcPr>
          <w:p w:rsidR="004D5254" w:rsidRPr="009555CE" w:rsidRDefault="004D5254" w:rsidP="00C80331">
            <w:pPr>
              <w:keepNext/>
              <w:spacing w:before="40"/>
              <w:jc w:val="center"/>
              <w:rPr>
                <w:sz w:val="20"/>
                <w:szCs w:val="20"/>
              </w:rPr>
            </w:pPr>
            <w:r>
              <w:rPr>
                <w:sz w:val="20"/>
                <w:szCs w:val="20"/>
              </w:rPr>
              <w:t>0.10</w:t>
            </w:r>
          </w:p>
        </w:tc>
        <w:tc>
          <w:tcPr>
            <w:tcW w:w="851" w:type="dxa"/>
            <w:tcBorders>
              <w:top w:val="nil"/>
              <w:bottom w:val="single" w:sz="4" w:space="0" w:color="auto"/>
            </w:tcBorders>
          </w:tcPr>
          <w:p w:rsidR="004D5254" w:rsidRPr="009555CE" w:rsidRDefault="004D5254" w:rsidP="00C80331">
            <w:pPr>
              <w:keepNext/>
              <w:spacing w:before="40"/>
              <w:jc w:val="center"/>
              <w:rPr>
                <w:sz w:val="20"/>
                <w:szCs w:val="20"/>
              </w:rPr>
            </w:pPr>
            <w:r>
              <w:rPr>
                <w:sz w:val="20"/>
                <w:szCs w:val="20"/>
              </w:rPr>
              <w:t>0.071</w:t>
            </w:r>
          </w:p>
        </w:tc>
        <w:tc>
          <w:tcPr>
            <w:tcW w:w="992" w:type="dxa"/>
            <w:tcBorders>
              <w:top w:val="nil"/>
              <w:bottom w:val="single" w:sz="4" w:space="0" w:color="auto"/>
            </w:tcBorders>
          </w:tcPr>
          <w:p w:rsidR="004D5254" w:rsidRPr="009555CE" w:rsidRDefault="004D5254" w:rsidP="00C80331">
            <w:pPr>
              <w:keepNext/>
              <w:spacing w:before="40"/>
              <w:jc w:val="center"/>
              <w:rPr>
                <w:sz w:val="20"/>
                <w:szCs w:val="20"/>
              </w:rPr>
            </w:pPr>
            <w:r>
              <w:rPr>
                <w:sz w:val="20"/>
                <w:szCs w:val="20"/>
              </w:rPr>
              <w:t>0.005</w:t>
            </w:r>
          </w:p>
        </w:tc>
        <w:tc>
          <w:tcPr>
            <w:tcW w:w="992" w:type="dxa"/>
            <w:tcBorders>
              <w:top w:val="nil"/>
              <w:bottom w:val="single" w:sz="4" w:space="0" w:color="auto"/>
            </w:tcBorders>
          </w:tcPr>
          <w:p w:rsidR="004D5254" w:rsidRPr="009555CE" w:rsidRDefault="004D5254" w:rsidP="00C80331">
            <w:pPr>
              <w:keepNext/>
              <w:spacing w:before="40"/>
              <w:jc w:val="center"/>
              <w:rPr>
                <w:sz w:val="20"/>
                <w:szCs w:val="20"/>
              </w:rPr>
            </w:pPr>
            <w:r>
              <w:rPr>
                <w:sz w:val="20"/>
                <w:szCs w:val="20"/>
              </w:rPr>
              <w:t>0.619</w:t>
            </w:r>
          </w:p>
        </w:tc>
      </w:tr>
      <w:tr w:rsidR="004D5254" w:rsidTr="00C80331">
        <w:tc>
          <w:tcPr>
            <w:tcW w:w="2552" w:type="dxa"/>
            <w:tcBorders>
              <w:bottom w:val="nil"/>
            </w:tcBorders>
          </w:tcPr>
          <w:p w:rsidR="004D5254" w:rsidRPr="00201D15" w:rsidRDefault="004D5254" w:rsidP="00C80331">
            <w:pPr>
              <w:keepNext/>
              <w:spacing w:before="40"/>
              <w:rPr>
                <w:b/>
                <w:sz w:val="20"/>
                <w:szCs w:val="20"/>
              </w:rPr>
            </w:pPr>
            <w:r w:rsidRPr="00201D15">
              <w:rPr>
                <w:b/>
                <w:sz w:val="20"/>
                <w:szCs w:val="20"/>
              </w:rPr>
              <w:t>PDX-10b</w:t>
            </w:r>
          </w:p>
        </w:tc>
        <w:tc>
          <w:tcPr>
            <w:tcW w:w="1134" w:type="dxa"/>
            <w:tcBorders>
              <w:bottom w:val="nil"/>
            </w:tcBorders>
          </w:tcPr>
          <w:p w:rsidR="004D5254" w:rsidRPr="009555CE" w:rsidRDefault="004D5254" w:rsidP="00C80331">
            <w:pPr>
              <w:keepNext/>
              <w:spacing w:before="40"/>
              <w:jc w:val="center"/>
              <w:rPr>
                <w:sz w:val="20"/>
                <w:szCs w:val="20"/>
              </w:rPr>
            </w:pPr>
          </w:p>
        </w:tc>
        <w:tc>
          <w:tcPr>
            <w:tcW w:w="850" w:type="dxa"/>
            <w:tcBorders>
              <w:bottom w:val="nil"/>
            </w:tcBorders>
          </w:tcPr>
          <w:p w:rsidR="004D5254" w:rsidRPr="009555CE" w:rsidRDefault="004D5254" w:rsidP="00C80331">
            <w:pPr>
              <w:keepNext/>
              <w:spacing w:before="40"/>
              <w:jc w:val="center"/>
              <w:rPr>
                <w:sz w:val="20"/>
                <w:szCs w:val="20"/>
              </w:rPr>
            </w:pPr>
          </w:p>
        </w:tc>
        <w:tc>
          <w:tcPr>
            <w:tcW w:w="851" w:type="dxa"/>
            <w:tcBorders>
              <w:bottom w:val="nil"/>
            </w:tcBorders>
          </w:tcPr>
          <w:p w:rsidR="004D5254" w:rsidRPr="009555CE" w:rsidRDefault="004D5254" w:rsidP="00C80331">
            <w:pPr>
              <w:keepNext/>
              <w:spacing w:before="40"/>
              <w:jc w:val="center"/>
              <w:rPr>
                <w:sz w:val="20"/>
                <w:szCs w:val="20"/>
              </w:rPr>
            </w:pPr>
          </w:p>
        </w:tc>
        <w:tc>
          <w:tcPr>
            <w:tcW w:w="992" w:type="dxa"/>
            <w:tcBorders>
              <w:bottom w:val="nil"/>
            </w:tcBorders>
          </w:tcPr>
          <w:p w:rsidR="004D5254" w:rsidRPr="009555CE" w:rsidRDefault="004D5254" w:rsidP="00C80331">
            <w:pPr>
              <w:keepNext/>
              <w:spacing w:before="40"/>
              <w:jc w:val="center"/>
              <w:rPr>
                <w:sz w:val="20"/>
                <w:szCs w:val="20"/>
              </w:rPr>
            </w:pPr>
          </w:p>
        </w:tc>
        <w:tc>
          <w:tcPr>
            <w:tcW w:w="992" w:type="dxa"/>
            <w:tcBorders>
              <w:bottom w:val="nil"/>
            </w:tcBorders>
          </w:tcPr>
          <w:p w:rsidR="004D5254" w:rsidRPr="009555CE" w:rsidRDefault="004D5254" w:rsidP="00C80331">
            <w:pPr>
              <w:keepNext/>
              <w:spacing w:before="40"/>
              <w:jc w:val="center"/>
              <w:rPr>
                <w:sz w:val="20"/>
                <w:szCs w:val="20"/>
              </w:rPr>
            </w:pPr>
          </w:p>
        </w:tc>
      </w:tr>
      <w:tr w:rsidR="004D5254" w:rsidTr="00C80331">
        <w:tc>
          <w:tcPr>
            <w:tcW w:w="2552" w:type="dxa"/>
            <w:tcBorders>
              <w:top w:val="nil"/>
              <w:bottom w:val="nil"/>
            </w:tcBorders>
          </w:tcPr>
          <w:p w:rsidR="004D5254" w:rsidRPr="009555CE" w:rsidRDefault="004D5254" w:rsidP="00C80331">
            <w:pPr>
              <w:keepNext/>
              <w:spacing w:before="40"/>
              <w:rPr>
                <w:sz w:val="20"/>
                <w:szCs w:val="20"/>
              </w:rPr>
            </w:pPr>
            <w:r>
              <w:rPr>
                <w:sz w:val="20"/>
                <w:szCs w:val="20"/>
              </w:rPr>
              <w:t>Cl</w:t>
            </w:r>
            <w:r w:rsidRPr="009555CE">
              <w:rPr>
                <w:sz w:val="20"/>
                <w:szCs w:val="20"/>
                <w:vertAlign w:val="subscript"/>
              </w:rPr>
              <w:t>tot</w:t>
            </w:r>
            <w:r>
              <w:rPr>
                <w:sz w:val="20"/>
                <w:szCs w:val="20"/>
              </w:rPr>
              <w:t xml:space="preserve"> (mL/min) versus dose</w:t>
            </w:r>
          </w:p>
        </w:tc>
        <w:tc>
          <w:tcPr>
            <w:tcW w:w="1134" w:type="dxa"/>
            <w:tcBorders>
              <w:top w:val="nil"/>
              <w:bottom w:val="nil"/>
            </w:tcBorders>
          </w:tcPr>
          <w:p w:rsidR="004D5254" w:rsidRPr="009555CE" w:rsidRDefault="004D5254" w:rsidP="00C80331">
            <w:pPr>
              <w:keepNext/>
              <w:spacing w:before="40"/>
              <w:jc w:val="center"/>
              <w:rPr>
                <w:sz w:val="20"/>
                <w:szCs w:val="20"/>
              </w:rPr>
            </w:pPr>
            <w:r>
              <w:rPr>
                <w:sz w:val="20"/>
                <w:szCs w:val="20"/>
              </w:rPr>
              <w:t>201.4</w:t>
            </w:r>
          </w:p>
        </w:tc>
        <w:tc>
          <w:tcPr>
            <w:tcW w:w="850" w:type="dxa"/>
            <w:tcBorders>
              <w:top w:val="nil"/>
              <w:bottom w:val="nil"/>
            </w:tcBorders>
          </w:tcPr>
          <w:p w:rsidR="004D5254" w:rsidRPr="009555CE" w:rsidRDefault="004D5254" w:rsidP="00C80331">
            <w:pPr>
              <w:keepNext/>
              <w:spacing w:before="40"/>
              <w:jc w:val="center"/>
              <w:rPr>
                <w:sz w:val="20"/>
                <w:szCs w:val="20"/>
              </w:rPr>
            </w:pPr>
            <w:r>
              <w:rPr>
                <w:sz w:val="20"/>
                <w:szCs w:val="20"/>
              </w:rPr>
              <w:t>0.09</w:t>
            </w:r>
          </w:p>
        </w:tc>
        <w:tc>
          <w:tcPr>
            <w:tcW w:w="851" w:type="dxa"/>
            <w:tcBorders>
              <w:top w:val="nil"/>
              <w:bottom w:val="nil"/>
            </w:tcBorders>
          </w:tcPr>
          <w:p w:rsidR="004D5254" w:rsidRPr="009555CE" w:rsidRDefault="004D5254" w:rsidP="00C80331">
            <w:pPr>
              <w:keepNext/>
              <w:spacing w:before="40"/>
              <w:jc w:val="center"/>
              <w:rPr>
                <w:sz w:val="20"/>
                <w:szCs w:val="20"/>
              </w:rPr>
            </w:pPr>
            <w:r>
              <w:rPr>
                <w:sz w:val="20"/>
                <w:szCs w:val="20"/>
              </w:rPr>
              <w:t>0.087</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0.0075</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0.532</w:t>
            </w:r>
          </w:p>
        </w:tc>
      </w:tr>
      <w:tr w:rsidR="004D5254" w:rsidTr="00C80331">
        <w:tc>
          <w:tcPr>
            <w:tcW w:w="2552" w:type="dxa"/>
            <w:tcBorders>
              <w:top w:val="nil"/>
              <w:bottom w:val="nil"/>
            </w:tcBorders>
          </w:tcPr>
          <w:p w:rsidR="004D5254" w:rsidRPr="009555CE" w:rsidRDefault="004D5254" w:rsidP="00C80331">
            <w:pPr>
              <w:keepNext/>
              <w:spacing w:before="40"/>
              <w:rPr>
                <w:sz w:val="20"/>
                <w:szCs w:val="20"/>
              </w:rPr>
            </w:pPr>
            <w:r>
              <w:rPr>
                <w:sz w:val="20"/>
                <w:szCs w:val="20"/>
              </w:rPr>
              <w:t>Cl</w:t>
            </w:r>
            <w:r w:rsidRPr="009555CE">
              <w:rPr>
                <w:sz w:val="20"/>
                <w:szCs w:val="20"/>
                <w:vertAlign w:val="subscript"/>
              </w:rPr>
              <w:t>renal</w:t>
            </w:r>
            <w:r>
              <w:rPr>
                <w:sz w:val="20"/>
                <w:szCs w:val="20"/>
              </w:rPr>
              <w:t xml:space="preserve"> </w:t>
            </w:r>
            <w:r w:rsidRPr="007E1B30">
              <w:rPr>
                <w:sz w:val="20"/>
                <w:szCs w:val="20"/>
              </w:rPr>
              <w:t xml:space="preserve">(mL/min) </w:t>
            </w:r>
            <w:r>
              <w:rPr>
                <w:sz w:val="20"/>
                <w:szCs w:val="20"/>
              </w:rPr>
              <w:t>versus dose</w:t>
            </w:r>
          </w:p>
        </w:tc>
        <w:tc>
          <w:tcPr>
            <w:tcW w:w="1134" w:type="dxa"/>
            <w:tcBorders>
              <w:top w:val="nil"/>
              <w:bottom w:val="nil"/>
            </w:tcBorders>
          </w:tcPr>
          <w:p w:rsidR="004D5254" w:rsidRPr="009555CE" w:rsidRDefault="004D5254" w:rsidP="00C80331">
            <w:pPr>
              <w:keepNext/>
              <w:spacing w:before="40"/>
              <w:jc w:val="center"/>
              <w:rPr>
                <w:sz w:val="20"/>
                <w:szCs w:val="20"/>
              </w:rPr>
            </w:pPr>
            <w:r>
              <w:rPr>
                <w:sz w:val="20"/>
                <w:szCs w:val="20"/>
              </w:rPr>
              <w:t>68.8</w:t>
            </w:r>
          </w:p>
        </w:tc>
        <w:tc>
          <w:tcPr>
            <w:tcW w:w="850" w:type="dxa"/>
            <w:tcBorders>
              <w:top w:val="nil"/>
              <w:bottom w:val="nil"/>
            </w:tcBorders>
          </w:tcPr>
          <w:p w:rsidR="004D5254" w:rsidRPr="009555CE" w:rsidRDefault="004D5254" w:rsidP="00C80331">
            <w:pPr>
              <w:keepNext/>
              <w:spacing w:before="40"/>
              <w:jc w:val="center"/>
              <w:rPr>
                <w:sz w:val="20"/>
                <w:szCs w:val="20"/>
              </w:rPr>
            </w:pPr>
            <w:r>
              <w:rPr>
                <w:sz w:val="20"/>
                <w:szCs w:val="20"/>
              </w:rPr>
              <w:t>0.02</w:t>
            </w:r>
          </w:p>
        </w:tc>
        <w:tc>
          <w:tcPr>
            <w:tcW w:w="851" w:type="dxa"/>
            <w:tcBorders>
              <w:top w:val="nil"/>
              <w:bottom w:val="nil"/>
            </w:tcBorders>
          </w:tcPr>
          <w:p w:rsidR="004D5254" w:rsidRPr="009555CE" w:rsidRDefault="004D5254" w:rsidP="00C80331">
            <w:pPr>
              <w:keepNext/>
              <w:spacing w:before="40"/>
              <w:jc w:val="center"/>
              <w:rPr>
                <w:sz w:val="20"/>
                <w:szCs w:val="20"/>
              </w:rPr>
            </w:pPr>
            <w:r>
              <w:rPr>
                <w:sz w:val="20"/>
                <w:szCs w:val="20"/>
              </w:rPr>
              <w:t>0.050</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0.0025</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0.754</w:t>
            </w:r>
          </w:p>
        </w:tc>
      </w:tr>
      <w:tr w:rsidR="004D5254" w:rsidTr="00C80331">
        <w:tc>
          <w:tcPr>
            <w:tcW w:w="2552" w:type="dxa"/>
            <w:tcBorders>
              <w:top w:val="nil"/>
              <w:bottom w:val="nil"/>
            </w:tcBorders>
          </w:tcPr>
          <w:p w:rsidR="004D5254" w:rsidRPr="009555CE" w:rsidRDefault="004D5254" w:rsidP="00C80331">
            <w:pPr>
              <w:keepNext/>
              <w:spacing w:before="40"/>
              <w:rPr>
                <w:sz w:val="20"/>
                <w:szCs w:val="20"/>
              </w:rPr>
            </w:pPr>
            <w:r>
              <w:rPr>
                <w:sz w:val="20"/>
                <w:szCs w:val="20"/>
              </w:rPr>
              <w:t>Cl</w:t>
            </w:r>
            <w:r w:rsidRPr="009555CE">
              <w:rPr>
                <w:sz w:val="20"/>
                <w:szCs w:val="20"/>
                <w:vertAlign w:val="subscript"/>
              </w:rPr>
              <w:t>non-renal</w:t>
            </w:r>
            <w:r>
              <w:rPr>
                <w:sz w:val="20"/>
                <w:szCs w:val="20"/>
              </w:rPr>
              <w:t xml:space="preserve"> </w:t>
            </w:r>
            <w:r w:rsidRPr="007E1B30">
              <w:rPr>
                <w:sz w:val="20"/>
                <w:szCs w:val="20"/>
              </w:rPr>
              <w:t xml:space="preserve">(mL/min) </w:t>
            </w:r>
            <w:r>
              <w:rPr>
                <w:sz w:val="20"/>
                <w:szCs w:val="20"/>
              </w:rPr>
              <w:t>versus dose</w:t>
            </w:r>
          </w:p>
        </w:tc>
        <w:tc>
          <w:tcPr>
            <w:tcW w:w="1134" w:type="dxa"/>
            <w:tcBorders>
              <w:top w:val="nil"/>
              <w:bottom w:val="nil"/>
            </w:tcBorders>
          </w:tcPr>
          <w:p w:rsidR="004D5254" w:rsidRPr="009555CE" w:rsidRDefault="004D5254" w:rsidP="00C80331">
            <w:pPr>
              <w:keepNext/>
              <w:spacing w:before="40"/>
              <w:jc w:val="center"/>
              <w:rPr>
                <w:sz w:val="20"/>
                <w:szCs w:val="20"/>
              </w:rPr>
            </w:pPr>
            <w:r>
              <w:rPr>
                <w:sz w:val="20"/>
                <w:szCs w:val="20"/>
              </w:rPr>
              <w:t>116.3</w:t>
            </w:r>
          </w:p>
        </w:tc>
        <w:tc>
          <w:tcPr>
            <w:tcW w:w="850" w:type="dxa"/>
            <w:tcBorders>
              <w:top w:val="nil"/>
              <w:bottom w:val="nil"/>
            </w:tcBorders>
          </w:tcPr>
          <w:p w:rsidR="004D5254" w:rsidRPr="009555CE" w:rsidRDefault="004D5254" w:rsidP="00C80331">
            <w:pPr>
              <w:keepNext/>
              <w:spacing w:before="40"/>
              <w:jc w:val="center"/>
              <w:rPr>
                <w:sz w:val="20"/>
                <w:szCs w:val="20"/>
              </w:rPr>
            </w:pPr>
            <w:r>
              <w:rPr>
                <w:sz w:val="20"/>
                <w:szCs w:val="20"/>
              </w:rPr>
              <w:t>0.12</w:t>
            </w:r>
          </w:p>
        </w:tc>
        <w:tc>
          <w:tcPr>
            <w:tcW w:w="851" w:type="dxa"/>
            <w:tcBorders>
              <w:top w:val="nil"/>
              <w:bottom w:val="nil"/>
            </w:tcBorders>
          </w:tcPr>
          <w:p w:rsidR="004D5254" w:rsidRPr="009555CE" w:rsidRDefault="004D5254" w:rsidP="00C80331">
            <w:pPr>
              <w:keepNext/>
              <w:spacing w:before="40"/>
              <w:jc w:val="center"/>
              <w:rPr>
                <w:sz w:val="20"/>
                <w:szCs w:val="20"/>
              </w:rPr>
            </w:pPr>
            <w:r>
              <w:rPr>
                <w:sz w:val="20"/>
                <w:szCs w:val="20"/>
              </w:rPr>
              <w:t>0.158</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0.0252</w:t>
            </w:r>
          </w:p>
        </w:tc>
        <w:tc>
          <w:tcPr>
            <w:tcW w:w="992" w:type="dxa"/>
            <w:tcBorders>
              <w:top w:val="nil"/>
              <w:bottom w:val="nil"/>
            </w:tcBorders>
          </w:tcPr>
          <w:p w:rsidR="004D5254" w:rsidRPr="009555CE" w:rsidRDefault="004D5254" w:rsidP="00C80331">
            <w:pPr>
              <w:keepNext/>
              <w:spacing w:before="40"/>
              <w:jc w:val="center"/>
              <w:rPr>
                <w:sz w:val="20"/>
                <w:szCs w:val="20"/>
              </w:rPr>
            </w:pPr>
            <w:r>
              <w:rPr>
                <w:sz w:val="20"/>
                <w:szCs w:val="20"/>
              </w:rPr>
              <w:t>0.322</w:t>
            </w:r>
          </w:p>
        </w:tc>
      </w:tr>
      <w:tr w:rsidR="004D5254" w:rsidTr="00C80331">
        <w:tc>
          <w:tcPr>
            <w:tcW w:w="2552" w:type="dxa"/>
            <w:tcBorders>
              <w:top w:val="nil"/>
            </w:tcBorders>
          </w:tcPr>
          <w:p w:rsidR="004D5254" w:rsidRPr="009555CE" w:rsidRDefault="004D5254" w:rsidP="00C80331">
            <w:pPr>
              <w:keepNext/>
              <w:spacing w:before="40"/>
              <w:rPr>
                <w:sz w:val="20"/>
                <w:szCs w:val="20"/>
              </w:rPr>
            </w:pPr>
            <w:r>
              <w:rPr>
                <w:sz w:val="20"/>
                <w:szCs w:val="20"/>
              </w:rPr>
              <w:t>Vd</w:t>
            </w:r>
            <w:r w:rsidRPr="009555CE">
              <w:rPr>
                <w:sz w:val="20"/>
                <w:szCs w:val="20"/>
                <w:vertAlign w:val="subscript"/>
              </w:rPr>
              <w:t>ss</w:t>
            </w:r>
            <w:r>
              <w:rPr>
                <w:sz w:val="20"/>
                <w:szCs w:val="20"/>
              </w:rPr>
              <w:t xml:space="preserve"> (L) versus dose</w:t>
            </w:r>
          </w:p>
        </w:tc>
        <w:tc>
          <w:tcPr>
            <w:tcW w:w="1134" w:type="dxa"/>
            <w:tcBorders>
              <w:top w:val="nil"/>
            </w:tcBorders>
          </w:tcPr>
          <w:p w:rsidR="004D5254" w:rsidRPr="009555CE" w:rsidRDefault="004D5254" w:rsidP="00C80331">
            <w:pPr>
              <w:keepNext/>
              <w:spacing w:before="40"/>
              <w:jc w:val="center"/>
              <w:rPr>
                <w:sz w:val="20"/>
                <w:szCs w:val="20"/>
              </w:rPr>
            </w:pPr>
            <w:r>
              <w:rPr>
                <w:sz w:val="20"/>
                <w:szCs w:val="20"/>
              </w:rPr>
              <w:t>42.2</w:t>
            </w:r>
          </w:p>
        </w:tc>
        <w:tc>
          <w:tcPr>
            <w:tcW w:w="850" w:type="dxa"/>
            <w:tcBorders>
              <w:top w:val="nil"/>
            </w:tcBorders>
          </w:tcPr>
          <w:p w:rsidR="004D5254" w:rsidRPr="009555CE" w:rsidRDefault="004D5254" w:rsidP="00C80331">
            <w:pPr>
              <w:keepNext/>
              <w:spacing w:before="40"/>
              <w:jc w:val="center"/>
              <w:rPr>
                <w:sz w:val="20"/>
                <w:szCs w:val="20"/>
              </w:rPr>
            </w:pPr>
            <w:r>
              <w:rPr>
                <w:sz w:val="20"/>
                <w:szCs w:val="20"/>
              </w:rPr>
              <w:t>-0.03</w:t>
            </w:r>
          </w:p>
        </w:tc>
        <w:tc>
          <w:tcPr>
            <w:tcW w:w="851" w:type="dxa"/>
            <w:tcBorders>
              <w:top w:val="nil"/>
            </w:tcBorders>
          </w:tcPr>
          <w:p w:rsidR="004D5254" w:rsidRPr="009555CE" w:rsidRDefault="004D5254" w:rsidP="00C80331">
            <w:pPr>
              <w:keepNext/>
              <w:spacing w:before="40"/>
              <w:jc w:val="center"/>
              <w:rPr>
                <w:sz w:val="20"/>
                <w:szCs w:val="20"/>
              </w:rPr>
            </w:pPr>
            <w:r>
              <w:rPr>
                <w:sz w:val="20"/>
                <w:szCs w:val="20"/>
              </w:rPr>
              <w:t>0.102</w:t>
            </w:r>
          </w:p>
        </w:tc>
        <w:tc>
          <w:tcPr>
            <w:tcW w:w="992" w:type="dxa"/>
            <w:tcBorders>
              <w:top w:val="nil"/>
            </w:tcBorders>
          </w:tcPr>
          <w:p w:rsidR="004D5254" w:rsidRPr="009555CE" w:rsidRDefault="004D5254" w:rsidP="00C80331">
            <w:pPr>
              <w:keepNext/>
              <w:spacing w:before="40"/>
              <w:jc w:val="center"/>
              <w:rPr>
                <w:sz w:val="20"/>
                <w:szCs w:val="20"/>
              </w:rPr>
            </w:pPr>
            <w:r>
              <w:rPr>
                <w:sz w:val="20"/>
                <w:szCs w:val="20"/>
              </w:rPr>
              <w:t>0.0104</w:t>
            </w:r>
          </w:p>
        </w:tc>
        <w:tc>
          <w:tcPr>
            <w:tcW w:w="992" w:type="dxa"/>
            <w:tcBorders>
              <w:top w:val="nil"/>
            </w:tcBorders>
          </w:tcPr>
          <w:p w:rsidR="004D5254" w:rsidRPr="009555CE" w:rsidRDefault="004D5254" w:rsidP="00C80331">
            <w:pPr>
              <w:keepNext/>
              <w:spacing w:before="40"/>
              <w:jc w:val="center"/>
              <w:rPr>
                <w:sz w:val="20"/>
                <w:szCs w:val="20"/>
              </w:rPr>
            </w:pPr>
            <w:r>
              <w:rPr>
                <w:sz w:val="20"/>
                <w:szCs w:val="20"/>
              </w:rPr>
              <w:t>0.463</w:t>
            </w:r>
          </w:p>
        </w:tc>
      </w:tr>
      <w:bookmarkEnd w:id="64"/>
      <w:bookmarkEnd w:id="65"/>
    </w:tbl>
    <w:p w:rsidR="004D5254" w:rsidRDefault="004D5254" w:rsidP="004D5254">
      <w:pPr>
        <w:autoSpaceDE w:val="0"/>
        <w:autoSpaceDN w:val="0"/>
        <w:adjustRightInd w:val="0"/>
      </w:pPr>
    </w:p>
    <w:tbl>
      <w:tblPr>
        <w:tblStyle w:val="TableGrid"/>
        <w:tblW w:w="0" w:type="auto"/>
        <w:tblLook w:val="04A0"/>
      </w:tblPr>
      <w:tblGrid>
        <w:gridCol w:w="9242"/>
      </w:tblGrid>
      <w:tr w:rsidR="004D5254" w:rsidTr="00C80331">
        <w:tc>
          <w:tcPr>
            <w:tcW w:w="9548" w:type="dxa"/>
            <w:shd w:val="clear" w:color="auto" w:fill="D9D9D9" w:themeFill="background1" w:themeFillShade="D9"/>
          </w:tcPr>
          <w:p w:rsidR="004D5254" w:rsidRPr="0000374C" w:rsidRDefault="004D5254" w:rsidP="00C80331">
            <w:pPr>
              <w:autoSpaceDE w:val="0"/>
              <w:autoSpaceDN w:val="0"/>
              <w:adjustRightInd w:val="0"/>
            </w:pPr>
            <w:r w:rsidRPr="00E706A1">
              <w:rPr>
                <w:u w:val="single"/>
              </w:rPr>
              <w:t>Evaluator’s comment</w:t>
            </w:r>
            <w:r>
              <w:t>:</w:t>
            </w:r>
          </w:p>
          <w:p w:rsidR="004D5254" w:rsidRDefault="004D5254" w:rsidP="00C80331">
            <w:pPr>
              <w:autoSpaceDE w:val="0"/>
              <w:autoSpaceDN w:val="0"/>
              <w:adjustRightInd w:val="0"/>
            </w:pPr>
            <w:r w:rsidRPr="00E706A1">
              <w:rPr>
                <w:color w:val="000000"/>
                <w:szCs w:val="22"/>
              </w:rPr>
              <w:t xml:space="preserve">The correlation coefficient </w:t>
            </w:r>
            <w:r>
              <w:rPr>
                <w:color w:val="000000"/>
                <w:szCs w:val="22"/>
              </w:rPr>
              <w:t xml:space="preserve">(r) </w:t>
            </w:r>
            <w:r w:rsidRPr="00E706A1">
              <w:rPr>
                <w:color w:val="000000"/>
                <w:szCs w:val="22"/>
              </w:rPr>
              <w:t xml:space="preserve">is a measure of the linear association between dose and the parameter, whilst the coefficient of determination </w:t>
            </w:r>
            <w:r>
              <w:rPr>
                <w:color w:val="000000"/>
                <w:szCs w:val="22"/>
              </w:rPr>
              <w:t>(r</w:t>
            </w:r>
            <w:r w:rsidRPr="00B60C02">
              <w:rPr>
                <w:color w:val="000000"/>
                <w:szCs w:val="22"/>
                <w:vertAlign w:val="superscript"/>
              </w:rPr>
              <w:t>2</w:t>
            </w:r>
            <w:r>
              <w:rPr>
                <w:color w:val="000000"/>
                <w:szCs w:val="22"/>
              </w:rPr>
              <w:t xml:space="preserve">) </w:t>
            </w:r>
            <w:r w:rsidRPr="00E706A1">
              <w:rPr>
                <w:color w:val="000000"/>
                <w:szCs w:val="22"/>
              </w:rPr>
              <w:t>indicates the proportion of variation in the PK parameter that is due to variation in dose</w:t>
            </w:r>
            <w:r>
              <w:rPr>
                <w:color w:val="000000"/>
                <w:szCs w:val="22"/>
              </w:rPr>
              <w:t xml:space="preserve">. </w:t>
            </w:r>
            <w:r w:rsidRPr="00E706A1">
              <w:rPr>
                <w:color w:val="000000"/>
                <w:szCs w:val="22"/>
              </w:rPr>
              <w:t>Conversely, 1-r</w:t>
            </w:r>
            <w:r w:rsidRPr="00E706A1">
              <w:rPr>
                <w:color w:val="000000"/>
                <w:szCs w:val="22"/>
                <w:vertAlign w:val="superscript"/>
              </w:rPr>
              <w:t>2</w:t>
            </w:r>
            <w:r w:rsidRPr="00E706A1">
              <w:rPr>
                <w:color w:val="000000"/>
                <w:szCs w:val="22"/>
              </w:rPr>
              <w:t xml:space="preserve"> indicates what proportion is </w:t>
            </w:r>
            <w:r>
              <w:rPr>
                <w:color w:val="000000"/>
                <w:szCs w:val="22"/>
              </w:rPr>
              <w:t xml:space="preserve">due to </w:t>
            </w:r>
            <w:r w:rsidRPr="00E706A1">
              <w:rPr>
                <w:color w:val="000000"/>
                <w:szCs w:val="22"/>
              </w:rPr>
              <w:t>‘random’ variation.</w:t>
            </w:r>
            <w:r>
              <w:rPr>
                <w:color w:val="000000"/>
                <w:szCs w:val="22"/>
              </w:rPr>
              <w:t xml:space="preserve"> T</w:t>
            </w:r>
            <w:r w:rsidRPr="00E706A1">
              <w:rPr>
                <w:color w:val="000000"/>
                <w:szCs w:val="22"/>
              </w:rPr>
              <w:t xml:space="preserve">he linear association of the PK parameters with dose is not strong </w:t>
            </w:r>
            <w:r>
              <w:rPr>
                <w:color w:val="000000"/>
                <w:szCs w:val="22"/>
              </w:rPr>
              <w:t>(low r values) due to</w:t>
            </w:r>
            <w:r w:rsidRPr="002A3122">
              <w:rPr>
                <w:color w:val="000000"/>
                <w:szCs w:val="22"/>
              </w:rPr>
              <w:t xml:space="preserve"> considerable inter-individual variability of pralatrexate PKs</w:t>
            </w:r>
            <w:r>
              <w:rPr>
                <w:color w:val="000000"/>
                <w:szCs w:val="22"/>
              </w:rPr>
              <w:t xml:space="preserve">. Also, it can be appreciated that </w:t>
            </w:r>
            <w:r w:rsidRPr="00E706A1">
              <w:rPr>
                <w:color w:val="000000"/>
                <w:szCs w:val="22"/>
              </w:rPr>
              <w:t xml:space="preserve">there is considerable variation </w:t>
            </w:r>
            <w:r>
              <w:rPr>
                <w:color w:val="000000"/>
                <w:szCs w:val="22"/>
              </w:rPr>
              <w:t xml:space="preserve">in the pralatrexate PKs </w:t>
            </w:r>
            <w:r w:rsidRPr="00E706A1">
              <w:rPr>
                <w:color w:val="000000"/>
                <w:szCs w:val="22"/>
              </w:rPr>
              <w:t>due to factors other than dose</w:t>
            </w:r>
            <w:r>
              <w:rPr>
                <w:color w:val="000000"/>
                <w:szCs w:val="22"/>
              </w:rPr>
              <w:t xml:space="preserve"> (low r</w:t>
            </w:r>
            <w:r w:rsidRPr="002A3122">
              <w:rPr>
                <w:color w:val="000000"/>
                <w:szCs w:val="22"/>
                <w:vertAlign w:val="superscript"/>
              </w:rPr>
              <w:t>2</w:t>
            </w:r>
            <w:r>
              <w:rPr>
                <w:color w:val="000000"/>
                <w:szCs w:val="22"/>
              </w:rPr>
              <w:t xml:space="preserve"> values)</w:t>
            </w:r>
            <w:r w:rsidRPr="00E706A1">
              <w:rPr>
                <w:color w:val="000000"/>
                <w:szCs w:val="22"/>
              </w:rPr>
              <w:t>.</w:t>
            </w:r>
          </w:p>
        </w:tc>
      </w:tr>
    </w:tbl>
    <w:p w:rsidR="004D5254" w:rsidRPr="007E3A4A" w:rsidRDefault="004D5254" w:rsidP="004D5254">
      <w:pPr>
        <w:pStyle w:val="Heading4"/>
        <w:numPr>
          <w:ilvl w:val="3"/>
          <w:numId w:val="5"/>
        </w:numPr>
        <w:adjustRightInd/>
        <w:snapToGrid/>
        <w:spacing w:before="240" w:line="240" w:lineRule="auto"/>
        <w:ind w:hanging="1418"/>
      </w:pPr>
      <w:bookmarkStart w:id="72" w:name="_Toc241374288"/>
      <w:bookmarkStart w:id="73" w:name="_Toc272414621"/>
      <w:bookmarkStart w:id="74" w:name="_Toc290846244"/>
      <w:bookmarkStart w:id="75" w:name="_Toc320881424"/>
      <w:r w:rsidRPr="007E3A4A">
        <w:t>Distribution</w:t>
      </w:r>
      <w:bookmarkEnd w:id="72"/>
      <w:bookmarkEnd w:id="73"/>
      <w:bookmarkEnd w:id="74"/>
      <w:bookmarkEnd w:id="75"/>
    </w:p>
    <w:p w:rsidR="004D5254" w:rsidRPr="007E3A4A" w:rsidRDefault="004D5254" w:rsidP="004D5254">
      <w:pPr>
        <w:pStyle w:val="Heading5"/>
        <w:keepLines w:val="0"/>
        <w:numPr>
          <w:ilvl w:val="4"/>
          <w:numId w:val="5"/>
        </w:numPr>
        <w:spacing w:before="0" w:line="240" w:lineRule="auto"/>
        <w:ind w:hanging="1701"/>
      </w:pPr>
      <w:r w:rsidRPr="007E3A4A">
        <w:t>Volume of distribution</w:t>
      </w:r>
    </w:p>
    <w:p w:rsidR="004D5254" w:rsidRPr="007E3A4A" w:rsidRDefault="004D5254" w:rsidP="004D5254">
      <w:pPr>
        <w:autoSpaceDE w:val="0"/>
        <w:autoSpaceDN w:val="0"/>
        <w:adjustRightInd w:val="0"/>
      </w:pPr>
      <w:r>
        <w:t>The steady state volume of distribution (Vd</w:t>
      </w:r>
      <w:r w:rsidRPr="00A26CD1">
        <w:rPr>
          <w:vertAlign w:val="subscript"/>
        </w:rPr>
        <w:t>ss</w:t>
      </w:r>
      <w:r>
        <w:t xml:space="preserve">) in patients with PTCL was 105L for PDX-10a and 37L for PDX-10b (Study PDX-008; n=10). Similar values were obtained for patients with non </w:t>
      </w:r>
      <w:r>
        <w:lastRenderedPageBreak/>
        <w:t>small cell lung cancer (NSCLC), where the mean Vd</w:t>
      </w:r>
      <w:r w:rsidRPr="00A26CD1">
        <w:rPr>
          <w:vertAlign w:val="subscript"/>
        </w:rPr>
        <w:t>ss</w:t>
      </w:r>
      <w:r>
        <w:t xml:space="preserve"> calculated from data obtained across a range of doses (150-325 mg/m</w:t>
      </w:r>
      <w:r w:rsidRPr="00396D22">
        <w:rPr>
          <w:vertAlign w:val="superscript"/>
        </w:rPr>
        <w:t>2</w:t>
      </w:r>
      <w:r>
        <w:t>) and regimens (</w:t>
      </w:r>
      <w:r w:rsidRPr="00990CA1">
        <w:t>that is,</w:t>
      </w:r>
      <w:r>
        <w:t xml:space="preserve"> IV push and IV infusion) was 112L for PDX-10a and 38L for PDX-10b (Study PDX-007; n=38).</w:t>
      </w:r>
    </w:p>
    <w:p w:rsidR="004D5254" w:rsidRPr="007E3A4A" w:rsidRDefault="004D5254" w:rsidP="004D5254">
      <w:pPr>
        <w:pStyle w:val="Heading5"/>
        <w:keepLines w:val="0"/>
        <w:numPr>
          <w:ilvl w:val="4"/>
          <w:numId w:val="5"/>
        </w:numPr>
        <w:spacing w:before="0" w:line="240" w:lineRule="auto"/>
        <w:ind w:hanging="1701"/>
      </w:pPr>
      <w:r w:rsidRPr="007E3A4A">
        <w:t>Plasma protein binding</w:t>
      </w:r>
    </w:p>
    <w:p w:rsidR="004D5254" w:rsidRPr="00C1199B" w:rsidRDefault="004D5254" w:rsidP="004D5254">
      <w:pPr>
        <w:autoSpaceDE w:val="0"/>
        <w:autoSpaceDN w:val="0"/>
        <w:adjustRightInd w:val="0"/>
      </w:pPr>
      <w:r w:rsidRPr="00C82168">
        <w:t>Binding of racemic pralatrexate to human plasma proteins was investigated by equilibrium</w:t>
      </w:r>
      <w:r>
        <w:t xml:space="preserve"> </w:t>
      </w:r>
      <w:r w:rsidRPr="00C82168">
        <w:t>dialysis using carbon-14 (</w:t>
      </w:r>
      <w:r w:rsidRPr="005F61C6">
        <w:rPr>
          <w:vertAlign w:val="superscript"/>
        </w:rPr>
        <w:t>14</w:t>
      </w:r>
      <w:r w:rsidRPr="00C82168">
        <w:t>C)-pralatrexate and by ultrafiltration using pralatrexate</w:t>
      </w:r>
      <w:r>
        <w:t xml:space="preserve"> </w:t>
      </w:r>
      <w:r w:rsidRPr="00C1199B">
        <w:t>(</w:t>
      </w:r>
      <w:r>
        <w:t xml:space="preserve">studies </w:t>
      </w:r>
      <w:r w:rsidRPr="00C1199B">
        <w:t>PDX-K-06029-U, PDX-K-07043-U, PDX-K-07049-U, and PDX-K-08066-U)</w:t>
      </w:r>
      <w:r w:rsidRPr="00C82168">
        <w:t>.</w:t>
      </w:r>
      <w:r>
        <w:t xml:space="preserve"> </w:t>
      </w:r>
      <w:r w:rsidRPr="00C82168">
        <w:t>These</w:t>
      </w:r>
      <w:r>
        <w:t xml:space="preserve"> </w:t>
      </w:r>
      <w:r w:rsidRPr="00C82168">
        <w:rPr>
          <w:i/>
        </w:rPr>
        <w:t>in vitro</w:t>
      </w:r>
      <w:r>
        <w:t xml:space="preserve"> </w:t>
      </w:r>
      <w:r w:rsidRPr="00C82168">
        <w:t xml:space="preserve">studies indicated </w:t>
      </w:r>
      <w:r w:rsidRPr="00C1199B">
        <w:t xml:space="preserve">that racemic pralatrexate is moderately bound (67-86%) to human plasma proteins and </w:t>
      </w:r>
      <w:r>
        <w:t xml:space="preserve">that </w:t>
      </w:r>
      <w:r w:rsidRPr="00C1199B">
        <w:t>albumin appear</w:t>
      </w:r>
      <w:r>
        <w:t>s</w:t>
      </w:r>
      <w:r w:rsidRPr="00C1199B">
        <w:t xml:space="preserve"> to be </w:t>
      </w:r>
      <w:r>
        <w:t xml:space="preserve">one of </w:t>
      </w:r>
      <w:r w:rsidRPr="00C1199B">
        <w:t xml:space="preserve">the major binding </w:t>
      </w:r>
      <w:r>
        <w:t>proteins</w:t>
      </w:r>
      <w:r w:rsidRPr="00C1199B">
        <w:t>.</w:t>
      </w:r>
      <w:r>
        <w:t xml:space="preserve"> </w:t>
      </w:r>
      <w:r w:rsidRPr="00F37CB5">
        <w:t>Pralatrexate binding was constant in the concentration range 5-100</w:t>
      </w:r>
      <w:r>
        <w:t xml:space="preserve"> </w:t>
      </w:r>
      <w:r w:rsidRPr="0038288C">
        <w:rPr>
          <w:rFonts w:eastAsia="TimesNewRomanPSMT" w:cs="TimesNewRomanPSMT"/>
        </w:rPr>
        <w:t>µg</w:t>
      </w:r>
      <w:r w:rsidRPr="00F37CB5">
        <w:t>/mL (</w:t>
      </w:r>
      <w:r>
        <w:t>~</w:t>
      </w:r>
      <w:r w:rsidRPr="00F37CB5">
        <w:t>10-210</w:t>
      </w:r>
      <w:r>
        <w:t xml:space="preserve"> </w:t>
      </w:r>
      <w:r w:rsidRPr="005F61C6">
        <w:rPr>
          <w:rFonts w:eastAsia="TimesNewRomanPSMT" w:cs="TimesNewRomanPSMT"/>
        </w:rPr>
        <w:t>µM</w:t>
      </w:r>
      <w:r w:rsidRPr="00F37CB5">
        <w:t>), indicating no saturation of the binding sites</w:t>
      </w:r>
      <w:r>
        <w:t xml:space="preserve">. </w:t>
      </w:r>
    </w:p>
    <w:p w:rsidR="004D5254" w:rsidRPr="00C1199B" w:rsidRDefault="004D5254" w:rsidP="004D5254">
      <w:pPr>
        <w:autoSpaceDE w:val="0"/>
        <w:autoSpaceDN w:val="0"/>
        <w:adjustRightInd w:val="0"/>
      </w:pPr>
      <w:r w:rsidRPr="00F37CB5">
        <w:t>Plasma</w:t>
      </w:r>
      <w:r w:rsidRPr="00C1199B">
        <w:t xml:space="preserve"> protein binding of the individual pralatrexate diastereomers, PDX-10a and PDX-10b has not been assessed.</w:t>
      </w:r>
    </w:p>
    <w:p w:rsidR="004D5254" w:rsidRPr="007E3A4A" w:rsidRDefault="004D5254" w:rsidP="004D5254">
      <w:pPr>
        <w:pStyle w:val="Heading5"/>
        <w:keepLines w:val="0"/>
        <w:numPr>
          <w:ilvl w:val="4"/>
          <w:numId w:val="5"/>
        </w:numPr>
        <w:spacing w:before="0" w:line="240" w:lineRule="auto"/>
        <w:ind w:hanging="1701"/>
      </w:pPr>
      <w:r w:rsidRPr="007E3A4A">
        <w:t>Erythrocyte distribution</w:t>
      </w:r>
    </w:p>
    <w:p w:rsidR="004D5254" w:rsidRPr="00D63B7A" w:rsidRDefault="004D5254" w:rsidP="004D5254">
      <w:pPr>
        <w:autoSpaceDE w:val="0"/>
        <w:autoSpaceDN w:val="0"/>
        <w:adjustRightInd w:val="0"/>
      </w:pPr>
      <w:r>
        <w:t xml:space="preserve">There was insignificant (&lt;4%) </w:t>
      </w:r>
      <w:r w:rsidRPr="00D63B7A">
        <w:t xml:space="preserve">partitioning of </w:t>
      </w:r>
      <w:r>
        <w:t xml:space="preserve">racemic </w:t>
      </w:r>
      <w:r w:rsidRPr="00D63B7A">
        <w:t xml:space="preserve">pralatrexate </w:t>
      </w:r>
      <w:r>
        <w:t>(</w:t>
      </w:r>
      <w:r w:rsidRPr="00D63B7A">
        <w:t>5, 25 and 100</w:t>
      </w:r>
      <w:r>
        <w:t xml:space="preserve"> </w:t>
      </w:r>
      <w:r w:rsidRPr="0038288C">
        <w:t>µg</w:t>
      </w:r>
      <w:r w:rsidRPr="00D63B7A">
        <w:t>/mL</w:t>
      </w:r>
      <w:r>
        <w:t xml:space="preserve">) </w:t>
      </w:r>
      <w:r w:rsidRPr="00D63B7A">
        <w:t xml:space="preserve">into </w:t>
      </w:r>
      <w:r>
        <w:t xml:space="preserve">the red blood cells of </w:t>
      </w:r>
      <w:r w:rsidRPr="00D63B7A">
        <w:t>3 different blood samples obtained from 3 healthy volunteers</w:t>
      </w:r>
      <w:r>
        <w:t xml:space="preserve"> (</w:t>
      </w:r>
      <w:r w:rsidRPr="008F5A3E">
        <w:rPr>
          <w:i/>
        </w:rPr>
        <w:t>in vitro</w:t>
      </w:r>
      <w:r>
        <w:t xml:space="preserve"> Study PDX-K-08067-U). </w:t>
      </w:r>
    </w:p>
    <w:p w:rsidR="004D5254" w:rsidRPr="007E3A4A" w:rsidRDefault="004D5254" w:rsidP="004D5254">
      <w:pPr>
        <w:pStyle w:val="Heading5"/>
        <w:keepLines w:val="0"/>
        <w:numPr>
          <w:ilvl w:val="4"/>
          <w:numId w:val="5"/>
        </w:numPr>
        <w:spacing w:before="0" w:line="240" w:lineRule="auto"/>
        <w:ind w:hanging="1701"/>
      </w:pPr>
      <w:r w:rsidRPr="007E3A4A">
        <w:t>Tissue distribution</w:t>
      </w:r>
    </w:p>
    <w:p w:rsidR="004D5254" w:rsidRPr="007E3A4A" w:rsidRDefault="004D5254" w:rsidP="004D5254">
      <w:pPr>
        <w:autoSpaceDE w:val="0"/>
        <w:autoSpaceDN w:val="0"/>
        <w:adjustRightInd w:val="0"/>
      </w:pPr>
      <w:r>
        <w:t>The magnitude of the volume of distribution at steady state</w:t>
      </w:r>
      <w:r w:rsidRPr="007E3A4A">
        <w:t xml:space="preserve"> </w:t>
      </w:r>
      <w:r>
        <w:t>suggests there is</w:t>
      </w:r>
      <w:r w:rsidRPr="007E3A4A">
        <w:t xml:space="preserve"> moderate tissue</w:t>
      </w:r>
      <w:r>
        <w:t xml:space="preserve"> </w:t>
      </w:r>
      <w:r w:rsidRPr="007E3A4A">
        <w:t>distribution of both pralatrexate diastereomers</w:t>
      </w:r>
      <w:r>
        <w:t>.</w:t>
      </w:r>
    </w:p>
    <w:p w:rsidR="004D5254" w:rsidRPr="007E3A4A" w:rsidRDefault="004D5254" w:rsidP="004D5254">
      <w:pPr>
        <w:pStyle w:val="Heading4"/>
        <w:numPr>
          <w:ilvl w:val="3"/>
          <w:numId w:val="5"/>
        </w:numPr>
        <w:adjustRightInd/>
        <w:snapToGrid/>
        <w:spacing w:before="0" w:line="240" w:lineRule="auto"/>
        <w:ind w:hanging="1418"/>
      </w:pPr>
      <w:bookmarkStart w:id="76" w:name="_Toc272414622"/>
      <w:bookmarkStart w:id="77" w:name="_Toc290846245"/>
      <w:bookmarkStart w:id="78" w:name="_Toc320881425"/>
      <w:r w:rsidRPr="007E3A4A">
        <w:t>Metabolism</w:t>
      </w:r>
      <w:bookmarkEnd w:id="76"/>
      <w:bookmarkEnd w:id="77"/>
      <w:bookmarkEnd w:id="78"/>
    </w:p>
    <w:p w:rsidR="004D5254" w:rsidRPr="007E3A4A" w:rsidRDefault="004D5254" w:rsidP="004D5254">
      <w:pPr>
        <w:pStyle w:val="Heading5"/>
        <w:keepLines w:val="0"/>
        <w:numPr>
          <w:ilvl w:val="4"/>
          <w:numId w:val="5"/>
        </w:numPr>
        <w:spacing w:before="0" w:line="240" w:lineRule="auto"/>
        <w:ind w:hanging="1701"/>
      </w:pPr>
      <w:r w:rsidRPr="007E3A4A">
        <w:t>Interconversion between enantiomers</w:t>
      </w:r>
    </w:p>
    <w:p w:rsidR="004D5254" w:rsidRPr="007E3A4A" w:rsidRDefault="004D5254" w:rsidP="004D5254">
      <w:pPr>
        <w:autoSpaceDE w:val="0"/>
        <w:autoSpaceDN w:val="0"/>
        <w:adjustRightInd w:val="0"/>
      </w:pPr>
      <w:r w:rsidRPr="007E3A4A">
        <w:t xml:space="preserve">This has not been assessed formally in either </w:t>
      </w:r>
      <w:r w:rsidRPr="007E3A4A">
        <w:rPr>
          <w:i/>
        </w:rPr>
        <w:t>in vitro</w:t>
      </w:r>
      <w:r w:rsidRPr="007E3A4A">
        <w:t xml:space="preserve"> or </w:t>
      </w:r>
      <w:r w:rsidRPr="007E3A4A">
        <w:rPr>
          <w:i/>
        </w:rPr>
        <w:t>in vivo</w:t>
      </w:r>
      <w:r w:rsidRPr="007E3A4A">
        <w:t xml:space="preserve"> studies.</w:t>
      </w:r>
    </w:p>
    <w:p w:rsidR="004D5254" w:rsidRPr="007E3A4A" w:rsidRDefault="004D5254" w:rsidP="004D5254">
      <w:pPr>
        <w:pStyle w:val="Heading5"/>
        <w:keepLines w:val="0"/>
        <w:numPr>
          <w:ilvl w:val="4"/>
          <w:numId w:val="5"/>
        </w:numPr>
        <w:spacing w:before="0" w:line="240" w:lineRule="auto"/>
        <w:ind w:hanging="1701"/>
      </w:pPr>
      <w:r w:rsidRPr="007E3A4A">
        <w:t>Sites of metabolism and mechanisms / enzyme systems involved</w:t>
      </w:r>
    </w:p>
    <w:p w:rsidR="004D5254" w:rsidRPr="00DC1E0F" w:rsidRDefault="004D5254" w:rsidP="004D5254">
      <w:pPr>
        <w:autoSpaceDE w:val="0"/>
        <w:autoSpaceDN w:val="0"/>
        <w:adjustRightInd w:val="0"/>
      </w:pPr>
      <w:r w:rsidRPr="00DC1E0F">
        <w:rPr>
          <w:i/>
        </w:rPr>
        <w:t>In vitro</w:t>
      </w:r>
      <w:r w:rsidRPr="00DC1E0F">
        <w:t xml:space="preserve"> studies </w:t>
      </w:r>
      <w:r>
        <w:t>using human hepatic biomaterials (hepatocytes, liver microsomes and liver S9 fractions) suggest</w:t>
      </w:r>
      <w:r w:rsidRPr="00DC1E0F">
        <w:t xml:space="preserve"> that </w:t>
      </w:r>
      <w:r>
        <w:t>racemic p</w:t>
      </w:r>
      <w:r w:rsidRPr="00DC1E0F">
        <w:t xml:space="preserve">ralatrexate </w:t>
      </w:r>
      <w:r>
        <w:t>is not</w:t>
      </w:r>
      <w:r w:rsidRPr="00DC1E0F">
        <w:t xml:space="preserve"> subject to significant </w:t>
      </w:r>
      <w:r>
        <w:t xml:space="preserve">metabolism by </w:t>
      </w:r>
      <w:r>
        <w:rPr>
          <w:color w:val="000000"/>
        </w:rPr>
        <w:t>Phase I</w:t>
      </w:r>
      <w:r w:rsidRPr="00600475">
        <w:rPr>
          <w:color w:val="000000"/>
        </w:rPr>
        <w:t xml:space="preserve"> hepatic</w:t>
      </w:r>
      <w:r>
        <w:rPr>
          <w:color w:val="000000"/>
        </w:rPr>
        <w:t xml:space="preserve"> </w:t>
      </w:r>
      <w:r w:rsidRPr="00600475">
        <w:rPr>
          <w:color w:val="000000"/>
        </w:rPr>
        <w:t xml:space="preserve">CYP450 isoenzymes or </w:t>
      </w:r>
      <w:r>
        <w:rPr>
          <w:color w:val="000000"/>
        </w:rPr>
        <w:t>Phase I</w:t>
      </w:r>
      <w:r w:rsidRPr="00600475">
        <w:rPr>
          <w:color w:val="000000"/>
        </w:rPr>
        <w:t>I hepatic glucuronidases</w:t>
      </w:r>
      <w:r w:rsidRPr="00DC1E0F">
        <w:t xml:space="preserve"> </w:t>
      </w:r>
      <w:r>
        <w:t>(Studies PDX-K-06028-U, PDX-K-07030-U, PDX-K-08061-U and PDX-K-08062-U)</w:t>
      </w:r>
      <w:r w:rsidRPr="00DC1E0F">
        <w:t>.</w:t>
      </w:r>
      <w:r>
        <w:t xml:space="preserve"> </w:t>
      </w:r>
    </w:p>
    <w:p w:rsidR="004D5254" w:rsidRPr="007E3A4A" w:rsidRDefault="004D5254" w:rsidP="004D5254">
      <w:pPr>
        <w:pStyle w:val="Heading5"/>
        <w:keepLines w:val="0"/>
        <w:numPr>
          <w:ilvl w:val="4"/>
          <w:numId w:val="5"/>
        </w:numPr>
        <w:spacing w:before="0" w:line="240" w:lineRule="auto"/>
        <w:ind w:hanging="1701"/>
      </w:pPr>
      <w:r w:rsidRPr="007E3A4A">
        <w:t>Non-renal clearance</w:t>
      </w:r>
    </w:p>
    <w:p w:rsidR="004D5254" w:rsidRPr="008B298A" w:rsidRDefault="004D5254" w:rsidP="004D5254">
      <w:pPr>
        <w:autoSpaceDE w:val="0"/>
        <w:autoSpaceDN w:val="0"/>
        <w:adjustRightInd w:val="0"/>
      </w:pPr>
      <w:r>
        <w:rPr>
          <w:color w:val="000000"/>
          <w:lang w:eastAsia="en-GB"/>
        </w:rPr>
        <w:t>60-70%</w:t>
      </w:r>
      <w:r w:rsidRPr="00027441">
        <w:rPr>
          <w:color w:val="000000"/>
          <w:lang w:eastAsia="en-GB"/>
        </w:rPr>
        <w:t xml:space="preserve"> of pralatrexate is eliminated by non-renal clearance</w:t>
      </w:r>
      <w:r>
        <w:rPr>
          <w:color w:val="000000"/>
          <w:lang w:eastAsia="en-GB"/>
        </w:rPr>
        <w:t xml:space="preserve"> (Studies PDX-008 and PDX-007). The non-renal clearance in 10 patients with PTCL was 119 mL/min for PDX-10a and 70 mL/min for PDX-10b. Similar results were obtained for patients with NSCLC. In the absence of Phase I or Phase II metabolism, and extrapolating from the results of mass balance studies in rats, the non-renal clearance of pralatrexate is thought to be</w:t>
      </w:r>
      <w:r w:rsidRPr="00027441">
        <w:rPr>
          <w:color w:val="000000"/>
          <w:lang w:eastAsia="en-GB"/>
        </w:rPr>
        <w:t xml:space="preserve"> largely via hepatobiliary excretion</w:t>
      </w:r>
      <w:r>
        <w:rPr>
          <w:color w:val="000000"/>
          <w:lang w:eastAsia="en-GB"/>
        </w:rPr>
        <w:t>. (Note: a mass balance study in humans has not been completed).</w:t>
      </w:r>
    </w:p>
    <w:p w:rsidR="004D5254" w:rsidRPr="007E3A4A" w:rsidRDefault="004D5254" w:rsidP="004D5254">
      <w:pPr>
        <w:pStyle w:val="Heading5"/>
        <w:keepLines w:val="0"/>
        <w:numPr>
          <w:ilvl w:val="4"/>
          <w:numId w:val="5"/>
        </w:numPr>
        <w:spacing w:before="0" w:line="240" w:lineRule="auto"/>
        <w:ind w:hanging="1701"/>
      </w:pPr>
      <w:r w:rsidRPr="007E3A4A">
        <w:t>Metabolites identified in humans</w:t>
      </w:r>
    </w:p>
    <w:p w:rsidR="004D5254" w:rsidRPr="007E3A4A" w:rsidRDefault="004D5254" w:rsidP="004D5254">
      <w:r w:rsidRPr="008B298A">
        <w:t>No metabolites have been identified.</w:t>
      </w:r>
    </w:p>
    <w:p w:rsidR="004D5254" w:rsidRPr="007E3A4A" w:rsidRDefault="004D5254" w:rsidP="004D5254">
      <w:pPr>
        <w:pStyle w:val="Heading5"/>
        <w:keepLines w:val="0"/>
        <w:numPr>
          <w:ilvl w:val="4"/>
          <w:numId w:val="5"/>
        </w:numPr>
        <w:spacing w:before="0" w:line="240" w:lineRule="auto"/>
        <w:ind w:hanging="1701"/>
      </w:pPr>
      <w:r w:rsidRPr="007E3A4A">
        <w:t>Pharmacokinetics of metabolites</w:t>
      </w:r>
    </w:p>
    <w:p w:rsidR="004D5254" w:rsidRPr="007E3A4A" w:rsidRDefault="004D5254" w:rsidP="004D5254">
      <w:pPr>
        <w:autoSpaceDE w:val="0"/>
        <w:autoSpaceDN w:val="0"/>
        <w:adjustRightInd w:val="0"/>
      </w:pPr>
      <w:r>
        <w:t>Not applicable.</w:t>
      </w:r>
    </w:p>
    <w:p w:rsidR="004D5254" w:rsidRPr="007E3A4A" w:rsidRDefault="004D5254" w:rsidP="004D5254">
      <w:pPr>
        <w:pStyle w:val="Heading5"/>
        <w:keepLines w:val="0"/>
        <w:numPr>
          <w:ilvl w:val="4"/>
          <w:numId w:val="5"/>
        </w:numPr>
        <w:spacing w:before="0" w:line="240" w:lineRule="auto"/>
        <w:ind w:hanging="1701"/>
      </w:pPr>
      <w:r w:rsidRPr="007E3A4A">
        <w:t>Consequences of genetic polymorphism</w:t>
      </w:r>
    </w:p>
    <w:p w:rsidR="004D5254" w:rsidRPr="007E3A4A" w:rsidRDefault="004D5254" w:rsidP="004D5254">
      <w:pPr>
        <w:autoSpaceDE w:val="0"/>
        <w:autoSpaceDN w:val="0"/>
        <w:adjustRightInd w:val="0"/>
      </w:pPr>
      <w:r>
        <w:t>Nil identified to date. However, 3 patients were observed to have very low urinary excretion of pralatrexate despite normal renal function. The cause was not elucidated and could be a manifestation of genetic polymorphism. This issue is discussed further below.</w:t>
      </w:r>
    </w:p>
    <w:p w:rsidR="004D5254" w:rsidRPr="007E3A4A" w:rsidRDefault="004D5254" w:rsidP="004D5254">
      <w:pPr>
        <w:pStyle w:val="Heading4"/>
        <w:numPr>
          <w:ilvl w:val="3"/>
          <w:numId w:val="5"/>
        </w:numPr>
        <w:adjustRightInd/>
        <w:snapToGrid/>
        <w:spacing w:before="0" w:line="240" w:lineRule="auto"/>
        <w:ind w:hanging="1418"/>
      </w:pPr>
      <w:bookmarkStart w:id="79" w:name="_Toc241374289"/>
      <w:bookmarkStart w:id="80" w:name="_Toc272414623"/>
      <w:bookmarkStart w:id="81" w:name="_Toc290846246"/>
      <w:bookmarkStart w:id="82" w:name="_Toc320881426"/>
      <w:r w:rsidRPr="007E3A4A">
        <w:lastRenderedPageBreak/>
        <w:t>E</w:t>
      </w:r>
      <w:bookmarkEnd w:id="79"/>
      <w:r w:rsidRPr="007E3A4A">
        <w:t>xcretion</w:t>
      </w:r>
      <w:bookmarkEnd w:id="80"/>
      <w:bookmarkEnd w:id="81"/>
      <w:bookmarkEnd w:id="82"/>
    </w:p>
    <w:p w:rsidR="004D5254" w:rsidRPr="007E3A4A" w:rsidRDefault="004D5254" w:rsidP="004D5254">
      <w:pPr>
        <w:pStyle w:val="Heading5"/>
        <w:keepLines w:val="0"/>
        <w:numPr>
          <w:ilvl w:val="4"/>
          <w:numId w:val="5"/>
        </w:numPr>
        <w:spacing w:before="0" w:line="240" w:lineRule="auto"/>
        <w:ind w:hanging="1701"/>
      </w:pPr>
      <w:r w:rsidRPr="007E3A4A">
        <w:t>Routes and mechanisms of excretion</w:t>
      </w:r>
    </w:p>
    <w:p w:rsidR="004D5254" w:rsidRDefault="004D5254" w:rsidP="004D5254">
      <w:pPr>
        <w:rPr>
          <w:color w:val="000000"/>
        </w:rPr>
      </w:pPr>
      <w:r>
        <w:rPr>
          <w:color w:val="000000"/>
          <w:lang w:eastAsia="en-GB"/>
        </w:rPr>
        <w:t>Approximately 30%</w:t>
      </w:r>
      <w:r w:rsidRPr="00027441">
        <w:rPr>
          <w:color w:val="000000"/>
          <w:lang w:eastAsia="en-GB"/>
        </w:rPr>
        <w:t xml:space="preserve"> of pralatrexate is eliminated by </w:t>
      </w:r>
      <w:r>
        <w:rPr>
          <w:color w:val="000000"/>
          <w:lang w:eastAsia="en-GB"/>
        </w:rPr>
        <w:t xml:space="preserve">renal excretion (Studies PDX-008 and PDX-007; see </w:t>
      </w:r>
      <w:r w:rsidRPr="00220904">
        <w:rPr>
          <w:color w:val="000000"/>
          <w:lang w:eastAsia="en-GB"/>
        </w:rPr>
        <w:t xml:space="preserve">Table </w:t>
      </w:r>
      <w:r>
        <w:rPr>
          <w:color w:val="000000"/>
          <w:lang w:eastAsia="en-GB"/>
        </w:rPr>
        <w:t xml:space="preserve">3, above). </w:t>
      </w:r>
      <w:r w:rsidRPr="00600475">
        <w:rPr>
          <w:color w:val="000000"/>
        </w:rPr>
        <w:t>The</w:t>
      </w:r>
      <w:r>
        <w:rPr>
          <w:color w:val="000000"/>
        </w:rPr>
        <w:t xml:space="preserve"> mean</w:t>
      </w:r>
      <w:r w:rsidRPr="00600475">
        <w:rPr>
          <w:color w:val="000000"/>
        </w:rPr>
        <w:t xml:space="preserve"> total systemic clearance of pralatrexate diastereomers was 417 </w:t>
      </w:r>
      <w:r>
        <w:rPr>
          <w:color w:val="000000"/>
        </w:rPr>
        <w:t>mL</w:t>
      </w:r>
      <w:r w:rsidRPr="00600475">
        <w:rPr>
          <w:color w:val="000000"/>
        </w:rPr>
        <w:t xml:space="preserve">/min </w:t>
      </w:r>
      <w:r>
        <w:rPr>
          <w:color w:val="000000"/>
          <w:lang w:eastAsia="en-GB"/>
        </w:rPr>
        <w:t xml:space="preserve">for PDX-10a </w:t>
      </w:r>
      <w:r w:rsidRPr="00600475">
        <w:rPr>
          <w:color w:val="000000"/>
        </w:rPr>
        <w:t>and</w:t>
      </w:r>
      <w:r>
        <w:rPr>
          <w:color w:val="000000"/>
        </w:rPr>
        <w:t xml:space="preserve"> </w:t>
      </w:r>
      <w:r w:rsidRPr="00600475">
        <w:rPr>
          <w:color w:val="000000"/>
        </w:rPr>
        <w:t xml:space="preserve">191 </w:t>
      </w:r>
      <w:r>
        <w:rPr>
          <w:color w:val="000000"/>
        </w:rPr>
        <w:t>mL</w:t>
      </w:r>
      <w:r w:rsidRPr="00600475">
        <w:rPr>
          <w:color w:val="000000"/>
        </w:rPr>
        <w:t xml:space="preserve">/min </w:t>
      </w:r>
      <w:r>
        <w:rPr>
          <w:color w:val="000000"/>
          <w:lang w:eastAsia="en-GB"/>
        </w:rPr>
        <w:t xml:space="preserve">for PDX-10b </w:t>
      </w:r>
      <w:r>
        <w:rPr>
          <w:color w:val="000000"/>
        </w:rPr>
        <w:t>in 10 patients with PTCL</w:t>
      </w:r>
      <w:r w:rsidRPr="00600475">
        <w:rPr>
          <w:color w:val="000000"/>
        </w:rPr>
        <w:t>.</w:t>
      </w:r>
      <w:r>
        <w:rPr>
          <w:color w:val="000000"/>
        </w:rPr>
        <w:t xml:space="preserve"> </w:t>
      </w:r>
      <w:r w:rsidRPr="00600475">
        <w:rPr>
          <w:color w:val="000000"/>
        </w:rPr>
        <w:t>The mean fraction of unchanged pralatrexate</w:t>
      </w:r>
      <w:r>
        <w:rPr>
          <w:color w:val="000000"/>
        </w:rPr>
        <w:t xml:space="preserve"> </w:t>
      </w:r>
      <w:r w:rsidRPr="00600475">
        <w:rPr>
          <w:color w:val="000000"/>
        </w:rPr>
        <w:t>diastereomers excreted in urine following a pralatrexate dose of 30 mg/m</w:t>
      </w:r>
      <w:r w:rsidRPr="003F4272">
        <w:rPr>
          <w:color w:val="000000"/>
          <w:vertAlign w:val="superscript"/>
        </w:rPr>
        <w:t>2</w:t>
      </w:r>
      <w:r w:rsidRPr="00600475">
        <w:rPr>
          <w:color w:val="000000"/>
        </w:rPr>
        <w:t xml:space="preserve"> administered as an IV</w:t>
      </w:r>
      <w:r>
        <w:rPr>
          <w:color w:val="000000"/>
        </w:rPr>
        <w:t xml:space="preserve"> </w:t>
      </w:r>
      <w:r w:rsidRPr="00600475">
        <w:rPr>
          <w:color w:val="000000"/>
        </w:rPr>
        <w:t xml:space="preserve">infusion over 3-5 minutes was 31% </w:t>
      </w:r>
      <w:r>
        <w:rPr>
          <w:color w:val="000000"/>
          <w:lang w:eastAsia="en-GB"/>
        </w:rPr>
        <w:t>for PDX-10a</w:t>
      </w:r>
      <w:r w:rsidRPr="00600475">
        <w:rPr>
          <w:color w:val="000000"/>
        </w:rPr>
        <w:t xml:space="preserve"> and 38% </w:t>
      </w:r>
      <w:r>
        <w:rPr>
          <w:color w:val="000000"/>
          <w:lang w:eastAsia="en-GB"/>
        </w:rPr>
        <w:t>for PDX-10b</w:t>
      </w:r>
      <w:r w:rsidRPr="00600475">
        <w:rPr>
          <w:color w:val="000000"/>
        </w:rPr>
        <w:t>.</w:t>
      </w:r>
      <w:r>
        <w:rPr>
          <w:color w:val="000000"/>
        </w:rPr>
        <w:t xml:space="preserve"> Non-renal clearance (thought to be hepatobiliary excretion) accounts for the remaining two-thirds. </w:t>
      </w:r>
    </w:p>
    <w:p w:rsidR="004D5254" w:rsidRPr="007E3A4A" w:rsidRDefault="004D5254" w:rsidP="004D5254">
      <w:pPr>
        <w:pStyle w:val="Heading5"/>
        <w:keepLines w:val="0"/>
        <w:numPr>
          <w:ilvl w:val="4"/>
          <w:numId w:val="5"/>
        </w:numPr>
        <w:spacing w:before="0" w:line="240" w:lineRule="auto"/>
        <w:ind w:hanging="1701"/>
      </w:pPr>
      <w:r w:rsidRPr="007E3A4A">
        <w:t>Mass balance studies</w:t>
      </w:r>
    </w:p>
    <w:p w:rsidR="004D5254" w:rsidRPr="007E3A4A" w:rsidRDefault="004D5254" w:rsidP="004D5254">
      <w:pPr>
        <w:autoSpaceDE w:val="0"/>
        <w:autoSpaceDN w:val="0"/>
        <w:adjustRightInd w:val="0"/>
      </w:pPr>
      <w:r w:rsidRPr="00741553">
        <w:t xml:space="preserve">At the time of data cut-off for the submission, 2 patients had been </w:t>
      </w:r>
      <w:r>
        <w:t>enrolled</w:t>
      </w:r>
      <w:r w:rsidRPr="00741553">
        <w:t xml:space="preserve"> </w:t>
      </w:r>
      <w:r>
        <w:t xml:space="preserve">in an ongoing mass balance study </w:t>
      </w:r>
      <w:r w:rsidRPr="00741553">
        <w:t>(PDX-016)</w:t>
      </w:r>
      <w:r>
        <w:t xml:space="preserve">. </w:t>
      </w:r>
      <w:r w:rsidRPr="00741553">
        <w:t xml:space="preserve">However, these results are considered unreliable because the </w:t>
      </w:r>
      <w:r w:rsidRPr="00741553">
        <w:rPr>
          <w:vertAlign w:val="superscript"/>
        </w:rPr>
        <w:t>14</w:t>
      </w:r>
      <w:r w:rsidRPr="00741553">
        <w:t>C radioactivity recovery results suggest that the</w:t>
      </w:r>
      <w:r>
        <w:t xml:space="preserve"> current positioning of the </w:t>
      </w:r>
      <w:r w:rsidRPr="00741553">
        <w:t>radiolabel may not be sufficiently stable</w:t>
      </w:r>
      <w:r>
        <w:t>.</w:t>
      </w:r>
    </w:p>
    <w:p w:rsidR="004D5254" w:rsidRPr="007E3A4A" w:rsidRDefault="004D5254" w:rsidP="004D5254">
      <w:pPr>
        <w:pStyle w:val="Heading5"/>
        <w:keepLines w:val="0"/>
        <w:numPr>
          <w:ilvl w:val="4"/>
          <w:numId w:val="5"/>
        </w:numPr>
        <w:spacing w:before="0" w:line="240" w:lineRule="auto"/>
        <w:ind w:hanging="1701"/>
      </w:pPr>
      <w:r w:rsidRPr="007E3A4A">
        <w:t>Renal clearance</w:t>
      </w:r>
    </w:p>
    <w:p w:rsidR="004D5254" w:rsidRDefault="004D5254" w:rsidP="004D5254">
      <w:pPr>
        <w:autoSpaceDE w:val="0"/>
        <w:autoSpaceDN w:val="0"/>
        <w:adjustRightInd w:val="0"/>
      </w:pPr>
      <w:r>
        <w:rPr>
          <w:color w:val="000000"/>
          <w:lang w:eastAsia="en-GB"/>
        </w:rPr>
        <w:t xml:space="preserve">The renal clearance in 10 patients with PTCL was 119mL/min for PDX-10a and 70mL/min for PDX-10b. Similar results were obtained for patients with NSCLC. </w:t>
      </w:r>
      <w:r>
        <w:t>Urinary excretion data for pralatrexate have been generated from 41 patients (33 in Study PDX-007 and 8 in PDX-008). A</w:t>
      </w:r>
      <w:r w:rsidRPr="008F5A3E">
        <w:t>bout one third of both pralatrexate diastereomers</w:t>
      </w:r>
      <w:r>
        <w:t xml:space="preserve"> were</w:t>
      </w:r>
      <w:r w:rsidRPr="008F5A3E">
        <w:t xml:space="preserve"> excreted unchanged in urine.</w:t>
      </w:r>
      <w:r>
        <w:t xml:space="preserve"> Renal clearance</w:t>
      </w:r>
      <w:r w:rsidRPr="008F5A3E">
        <w:t xml:space="preserve"> values corrected for plasma protein</w:t>
      </w:r>
      <w:r>
        <w:t xml:space="preserve"> </w:t>
      </w:r>
      <w:r w:rsidRPr="008F5A3E">
        <w:t xml:space="preserve">binding suggest </w:t>
      </w:r>
      <w:r>
        <w:t xml:space="preserve">there is </w:t>
      </w:r>
      <w:r w:rsidRPr="008F5A3E">
        <w:t>net renal tubular secretion</w:t>
      </w:r>
      <w:r>
        <w:t>.</w:t>
      </w:r>
    </w:p>
    <w:p w:rsidR="004D5254" w:rsidRPr="00077F6A" w:rsidRDefault="004D5254" w:rsidP="004D5254">
      <w:pPr>
        <w:autoSpaceDE w:val="0"/>
        <w:autoSpaceDN w:val="0"/>
        <w:adjustRightInd w:val="0"/>
      </w:pPr>
      <w:r w:rsidRPr="00077F6A">
        <w:t>Of note, 3 patients had very low urinary excretion of pralatrexate</w:t>
      </w:r>
      <w:r>
        <w:t xml:space="preserve"> despite </w:t>
      </w:r>
      <w:r w:rsidRPr="00077F6A">
        <w:t xml:space="preserve">normal renal function </w:t>
      </w:r>
      <w:r>
        <w:t xml:space="preserve">(creatinine clearance (CrCl)) </w:t>
      </w:r>
      <w:r w:rsidRPr="00077F6A">
        <w:t xml:space="preserve">and normal urinary volumes throughout the </w:t>
      </w:r>
      <w:r>
        <w:t xml:space="preserve">urine </w:t>
      </w:r>
      <w:r w:rsidRPr="00077F6A">
        <w:t>collection period</w:t>
      </w:r>
      <w:r>
        <w:t>s</w:t>
      </w:r>
      <w:r w:rsidRPr="00077F6A">
        <w:t>:</w:t>
      </w:r>
    </w:p>
    <w:p w:rsidR="004D5254" w:rsidRPr="00077F6A" w:rsidRDefault="004D5254" w:rsidP="004D5254">
      <w:pPr>
        <w:numPr>
          <w:ilvl w:val="0"/>
          <w:numId w:val="17"/>
        </w:numPr>
        <w:autoSpaceDE w:val="0"/>
        <w:autoSpaceDN w:val="0"/>
        <w:adjustRightInd w:val="0"/>
        <w:spacing w:after="0" w:line="240" w:lineRule="auto"/>
        <w:ind w:left="425" w:hanging="425"/>
      </w:pPr>
      <w:r>
        <w:t>P</w:t>
      </w:r>
      <w:r w:rsidRPr="00077F6A">
        <w:t xml:space="preserve">atient </w:t>
      </w:r>
      <w:r>
        <w:t>A in</w:t>
      </w:r>
      <w:r w:rsidRPr="00077F6A">
        <w:t xml:space="preserve"> </w:t>
      </w:r>
      <w:r>
        <w:t>Study PDX-</w:t>
      </w:r>
      <w:r w:rsidRPr="00077F6A">
        <w:t xml:space="preserve">007 </w:t>
      </w:r>
      <w:r>
        <w:t xml:space="preserve">(CrCl 130mL/min) </w:t>
      </w:r>
      <w:r w:rsidRPr="00077F6A">
        <w:t xml:space="preserve">received </w:t>
      </w:r>
      <w:r>
        <w:t xml:space="preserve">a </w:t>
      </w:r>
      <w:r w:rsidRPr="00077F6A">
        <w:t>270 mg/m</w:t>
      </w:r>
      <w:r w:rsidRPr="00077F6A">
        <w:rPr>
          <w:vertAlign w:val="superscript"/>
        </w:rPr>
        <w:t>2</w:t>
      </w:r>
      <w:r w:rsidRPr="00077F6A">
        <w:t xml:space="preserve"> </w:t>
      </w:r>
      <w:r>
        <w:t xml:space="preserve">dose </w:t>
      </w:r>
      <w:r w:rsidRPr="00077F6A">
        <w:t>of pralatrexate as an IV push</w:t>
      </w:r>
      <w:r>
        <w:t xml:space="preserve">. </w:t>
      </w:r>
      <w:r w:rsidRPr="00600475">
        <w:rPr>
          <w:color w:val="000000"/>
        </w:rPr>
        <w:t>The fraction of unchanged pralatrexate</w:t>
      </w:r>
      <w:r>
        <w:rPr>
          <w:color w:val="000000"/>
        </w:rPr>
        <w:t xml:space="preserve"> </w:t>
      </w:r>
      <w:r w:rsidRPr="00600475">
        <w:rPr>
          <w:color w:val="000000"/>
        </w:rPr>
        <w:t>diastereomers excreted in urine</w:t>
      </w:r>
      <w:r>
        <w:t xml:space="preserve"> (f</w:t>
      </w:r>
      <w:r w:rsidRPr="00DB4E23">
        <w:rPr>
          <w:vertAlign w:val="subscript"/>
        </w:rPr>
        <w:t>e</w:t>
      </w:r>
      <w:r>
        <w:t>) was</w:t>
      </w:r>
      <w:r w:rsidRPr="00077F6A">
        <w:t xml:space="preserve"> </w:t>
      </w:r>
      <w:r>
        <w:t xml:space="preserve">only </w:t>
      </w:r>
      <w:r w:rsidRPr="00077F6A">
        <w:t xml:space="preserve">2% </w:t>
      </w:r>
      <w:r>
        <w:t>for</w:t>
      </w:r>
      <w:r w:rsidRPr="00077F6A">
        <w:t xml:space="preserve"> PDX-10a and 3% </w:t>
      </w:r>
      <w:r>
        <w:t>for</w:t>
      </w:r>
      <w:r w:rsidRPr="00077F6A">
        <w:t xml:space="preserve"> PDX-10b.</w:t>
      </w:r>
      <w:r>
        <w:t xml:space="preserve"> </w:t>
      </w:r>
      <w:r w:rsidRPr="00077F6A">
        <w:t>Concomitant medications at the time of PK sampling were omeprazole, enoxaparin, atenolol, oxycodone, zolpidem and bupropion;</w:t>
      </w:r>
    </w:p>
    <w:p w:rsidR="004D5254" w:rsidRPr="00077F6A" w:rsidRDefault="004D5254" w:rsidP="004D5254">
      <w:pPr>
        <w:numPr>
          <w:ilvl w:val="0"/>
          <w:numId w:val="17"/>
        </w:numPr>
        <w:autoSpaceDE w:val="0"/>
        <w:autoSpaceDN w:val="0"/>
        <w:adjustRightInd w:val="0"/>
        <w:spacing w:after="0" w:line="240" w:lineRule="auto"/>
        <w:ind w:left="425" w:hanging="425"/>
      </w:pPr>
      <w:r>
        <w:t>P</w:t>
      </w:r>
      <w:r w:rsidRPr="00077F6A">
        <w:t xml:space="preserve">atient </w:t>
      </w:r>
      <w:r>
        <w:t>B in</w:t>
      </w:r>
      <w:r w:rsidRPr="00077F6A">
        <w:t xml:space="preserve"> </w:t>
      </w:r>
      <w:r>
        <w:t>Study PDX-</w:t>
      </w:r>
      <w:r w:rsidRPr="00077F6A">
        <w:t xml:space="preserve">007 </w:t>
      </w:r>
      <w:r>
        <w:t xml:space="preserve">(CrCl 75mL/min) </w:t>
      </w:r>
      <w:r w:rsidRPr="00077F6A">
        <w:t>received a 270 mg/m</w:t>
      </w:r>
      <w:r w:rsidRPr="00077F6A">
        <w:rPr>
          <w:vertAlign w:val="superscript"/>
        </w:rPr>
        <w:t>2</w:t>
      </w:r>
      <w:r w:rsidRPr="00077F6A">
        <w:t xml:space="preserve"> dose of pralatrexate as an IV push</w:t>
      </w:r>
      <w:r>
        <w:t xml:space="preserve">. </w:t>
      </w:r>
      <w:r w:rsidRPr="00600475">
        <w:rPr>
          <w:color w:val="000000"/>
        </w:rPr>
        <w:t xml:space="preserve">The </w:t>
      </w:r>
      <w:r>
        <w:t>f</w:t>
      </w:r>
      <w:r w:rsidRPr="00DB4E23">
        <w:rPr>
          <w:vertAlign w:val="subscript"/>
        </w:rPr>
        <w:t>e</w:t>
      </w:r>
      <w:r>
        <w:t xml:space="preserve"> was only </w:t>
      </w:r>
      <w:r w:rsidRPr="00077F6A">
        <w:t xml:space="preserve">1% </w:t>
      </w:r>
      <w:r>
        <w:t>for</w:t>
      </w:r>
      <w:r w:rsidRPr="00077F6A">
        <w:t xml:space="preserve"> PDX-10a and 2% </w:t>
      </w:r>
      <w:r>
        <w:t>for</w:t>
      </w:r>
      <w:r w:rsidRPr="00077F6A">
        <w:t xml:space="preserve"> PDX-10b.</w:t>
      </w:r>
      <w:r>
        <w:t xml:space="preserve"> </w:t>
      </w:r>
      <w:r w:rsidRPr="00077F6A">
        <w:t>Concomitant medications were pantoprazole, ondansetron, docusate sodium, mineral oil, senna and fentanyl</w:t>
      </w:r>
      <w:r>
        <w:t>;</w:t>
      </w:r>
    </w:p>
    <w:p w:rsidR="004D5254" w:rsidRDefault="004D5254" w:rsidP="0090319D">
      <w:pPr>
        <w:numPr>
          <w:ilvl w:val="0"/>
          <w:numId w:val="17"/>
        </w:numPr>
        <w:autoSpaceDE w:val="0"/>
        <w:autoSpaceDN w:val="0"/>
        <w:adjustRightInd w:val="0"/>
        <w:spacing w:after="480" w:line="240" w:lineRule="auto"/>
        <w:ind w:left="425" w:hanging="425"/>
        <w:rPr>
          <w:rFonts w:ascii="Times New Roman" w:hAnsi="Times New Roman"/>
          <w:sz w:val="24"/>
        </w:rPr>
      </w:pPr>
      <w:r>
        <w:t>P</w:t>
      </w:r>
      <w:r w:rsidRPr="00077F6A">
        <w:t xml:space="preserve">atient </w:t>
      </w:r>
      <w:r>
        <w:t>C</w:t>
      </w:r>
      <w:r w:rsidRPr="00077F6A">
        <w:t xml:space="preserve">, </w:t>
      </w:r>
      <w:r>
        <w:t>Study PDX-</w:t>
      </w:r>
      <w:r w:rsidRPr="00077F6A">
        <w:t xml:space="preserve">008 </w:t>
      </w:r>
      <w:r>
        <w:t xml:space="preserve">(CrCl 84mL/min) </w:t>
      </w:r>
      <w:r w:rsidRPr="00077F6A">
        <w:t>received a 3</w:t>
      </w:r>
      <w:r>
        <w:t>0 mg</w:t>
      </w:r>
      <w:r w:rsidRPr="00077F6A">
        <w:t>/m</w:t>
      </w:r>
      <w:r w:rsidRPr="00077F6A">
        <w:rPr>
          <w:vertAlign w:val="superscript"/>
        </w:rPr>
        <w:t xml:space="preserve">2 </w:t>
      </w:r>
      <w:r w:rsidRPr="00077F6A">
        <w:t>dose of pralatrexate</w:t>
      </w:r>
      <w:r>
        <w:t xml:space="preserve">. </w:t>
      </w:r>
      <w:r w:rsidRPr="00600475">
        <w:rPr>
          <w:color w:val="000000"/>
        </w:rPr>
        <w:t xml:space="preserve">The </w:t>
      </w:r>
      <w:r>
        <w:t>f</w:t>
      </w:r>
      <w:r w:rsidRPr="00DB4E23">
        <w:rPr>
          <w:vertAlign w:val="subscript"/>
        </w:rPr>
        <w:t>e</w:t>
      </w:r>
      <w:r>
        <w:t xml:space="preserve"> was only </w:t>
      </w:r>
      <w:r w:rsidRPr="00077F6A">
        <w:t xml:space="preserve">0.4% </w:t>
      </w:r>
      <w:r>
        <w:t>for</w:t>
      </w:r>
      <w:r w:rsidRPr="00077F6A">
        <w:t xml:space="preserve"> PDX-10</w:t>
      </w:r>
      <w:r>
        <w:t>a</w:t>
      </w:r>
      <w:r w:rsidRPr="00077F6A">
        <w:t xml:space="preserve"> and 0.9% </w:t>
      </w:r>
      <w:r>
        <w:t xml:space="preserve">for </w:t>
      </w:r>
      <w:r w:rsidRPr="00077F6A">
        <w:t>PDX-10b</w:t>
      </w:r>
      <w:r>
        <w:t xml:space="preserve">. </w:t>
      </w:r>
      <w:r w:rsidRPr="00077F6A">
        <w:t xml:space="preserve">Concomitant medications at the time of PK sampling were </w:t>
      </w:r>
      <w:proofErr w:type="spellStart"/>
      <w:r w:rsidRPr="00077F6A">
        <w:t>pantoprazole</w:t>
      </w:r>
      <w:proofErr w:type="spellEnd"/>
      <w:r w:rsidRPr="00077F6A">
        <w:t xml:space="preserve">, </w:t>
      </w:r>
      <w:proofErr w:type="spellStart"/>
      <w:r w:rsidRPr="00077F6A">
        <w:t>azithromycin</w:t>
      </w:r>
      <w:proofErr w:type="spellEnd"/>
      <w:r w:rsidRPr="00077F6A">
        <w:t xml:space="preserve">, </w:t>
      </w:r>
      <w:proofErr w:type="spellStart"/>
      <w:r w:rsidRPr="00077F6A">
        <w:t>allopurinol</w:t>
      </w:r>
      <w:proofErr w:type="spellEnd"/>
      <w:r>
        <w:t xml:space="preserve"> and</w:t>
      </w:r>
      <w:r w:rsidRPr="00077F6A">
        <w:t xml:space="preserve"> paracet</w:t>
      </w:r>
      <w:r>
        <w:t>a</w:t>
      </w:r>
      <w:r w:rsidRPr="00077F6A">
        <w:t>mol</w:t>
      </w:r>
      <w:r>
        <w:t>.</w:t>
      </w:r>
    </w:p>
    <w:tbl>
      <w:tblPr>
        <w:tblStyle w:val="TableGrid"/>
        <w:tblW w:w="0" w:type="auto"/>
        <w:tblLook w:val="04A0"/>
      </w:tblPr>
      <w:tblGrid>
        <w:gridCol w:w="9242"/>
      </w:tblGrid>
      <w:tr w:rsidR="004D5254" w:rsidTr="00C80331">
        <w:tc>
          <w:tcPr>
            <w:tcW w:w="9242" w:type="dxa"/>
            <w:shd w:val="clear" w:color="auto" w:fill="D9D9D9" w:themeFill="background1" w:themeFillShade="D9"/>
          </w:tcPr>
          <w:p w:rsidR="004D5254" w:rsidRPr="006B2502" w:rsidRDefault="004D5254" w:rsidP="00C80331">
            <w:pPr>
              <w:autoSpaceDE w:val="0"/>
              <w:autoSpaceDN w:val="0"/>
              <w:adjustRightInd w:val="0"/>
              <w:rPr>
                <w:szCs w:val="22"/>
              </w:rPr>
            </w:pPr>
            <w:r w:rsidRPr="006B2502">
              <w:rPr>
                <w:szCs w:val="22"/>
                <w:u w:val="single"/>
              </w:rPr>
              <w:t>Evaluator’s comment</w:t>
            </w:r>
            <w:r w:rsidRPr="006B2502">
              <w:rPr>
                <w:szCs w:val="22"/>
              </w:rPr>
              <w:t>:</w:t>
            </w:r>
          </w:p>
          <w:p w:rsidR="004D5254" w:rsidRPr="006B2502" w:rsidRDefault="004D5254" w:rsidP="00C80331">
            <w:pPr>
              <w:autoSpaceDE w:val="0"/>
              <w:autoSpaceDN w:val="0"/>
              <w:adjustRightInd w:val="0"/>
              <w:rPr>
                <w:szCs w:val="22"/>
              </w:rPr>
            </w:pPr>
            <w:r w:rsidRPr="006B2502">
              <w:rPr>
                <w:szCs w:val="22"/>
              </w:rPr>
              <w:t>Within-study performance of the assay for PDX-10a and PDX-10b in urine was acceptable in the two studies</w:t>
            </w:r>
            <w:r w:rsidRPr="006B2502">
              <w:rPr>
                <w:rFonts w:eastAsia="TimesNewRoman" w:cs="TimesNewRoman"/>
                <w:szCs w:val="22"/>
              </w:rPr>
              <w:t>.</w:t>
            </w:r>
            <w:r>
              <w:rPr>
                <w:rFonts w:eastAsia="TimesNewRoman" w:cs="TimesNewRoman"/>
                <w:szCs w:val="22"/>
              </w:rPr>
              <w:t xml:space="preserve"> </w:t>
            </w:r>
            <w:r w:rsidRPr="006B2502">
              <w:rPr>
                <w:szCs w:val="22"/>
              </w:rPr>
              <w:t xml:space="preserve">This leaves pharmacogenetic or drug-drug interaction factors as possible explanations for this finding. </w:t>
            </w:r>
          </w:p>
          <w:p w:rsidR="004D5254" w:rsidRPr="00220904" w:rsidRDefault="004D5254" w:rsidP="00C80331">
            <w:pPr>
              <w:autoSpaceDE w:val="0"/>
              <w:autoSpaceDN w:val="0"/>
              <w:adjustRightInd w:val="0"/>
              <w:rPr>
                <w:szCs w:val="22"/>
              </w:rPr>
            </w:pPr>
            <w:r w:rsidRPr="006B2502">
              <w:rPr>
                <w:szCs w:val="22"/>
              </w:rPr>
              <w:t>It is of note that all three patients received a concomitant proton pump inhibitor (PPI) prior to and at the time of PK sampling.</w:t>
            </w:r>
            <w:r>
              <w:rPr>
                <w:szCs w:val="22"/>
              </w:rPr>
              <w:t xml:space="preserve"> </w:t>
            </w:r>
            <w:r w:rsidRPr="006B2502">
              <w:rPr>
                <w:szCs w:val="22"/>
              </w:rPr>
              <w:t xml:space="preserve">PPIs were not included in the </w:t>
            </w:r>
            <w:r w:rsidRPr="006B2502">
              <w:rPr>
                <w:rFonts w:eastAsia="TimesNewRomanPSMT" w:cs="TimesNewRomanPSMT"/>
                <w:szCs w:val="22"/>
              </w:rPr>
              <w:t>sponsor’s examination of potential drug-drug interaction covariates in the pooled and POPPK analyses.</w:t>
            </w:r>
            <w:r>
              <w:rPr>
                <w:rFonts w:eastAsia="TimesNewRomanPSMT" w:cs="TimesNewRomanPSMT"/>
                <w:szCs w:val="22"/>
              </w:rPr>
              <w:t xml:space="preserve"> </w:t>
            </w:r>
            <w:r w:rsidRPr="006B2502">
              <w:rPr>
                <w:rFonts w:eastAsia="TimesNewRomanPSMT" w:cs="TimesNewRomanPSMT"/>
                <w:szCs w:val="22"/>
              </w:rPr>
              <w:t xml:space="preserve">Interestingly, the co-administration of PPIs has been shown to delay the clearance of </w:t>
            </w:r>
            <w:r w:rsidRPr="005D40D2">
              <w:rPr>
                <w:rFonts w:eastAsia="TimesNewRomanPSMT" w:cs="TimesNewRomanPSMT"/>
                <w:szCs w:val="22"/>
              </w:rPr>
              <w:t xml:space="preserve">high dose </w:t>
            </w:r>
            <w:r w:rsidRPr="006B2502">
              <w:rPr>
                <w:rFonts w:eastAsia="TimesNewRomanPSMT" w:cs="TimesNewRomanPSMT"/>
                <w:szCs w:val="22"/>
              </w:rPr>
              <w:t>methotrexate</w:t>
            </w:r>
            <w:r>
              <w:rPr>
                <w:rFonts w:eastAsia="TimesNewRomanPSMT" w:cs="TimesNewRomanPSMT"/>
                <w:szCs w:val="22"/>
              </w:rPr>
              <w:t xml:space="preserve"> (which is structurally similar to pralatrexate)</w:t>
            </w:r>
            <w:r w:rsidRPr="006B2502">
              <w:rPr>
                <w:rFonts w:eastAsia="TimesNewRomanPSMT" w:cs="TimesNewRomanPSMT"/>
                <w:szCs w:val="22"/>
              </w:rPr>
              <w:t xml:space="preserve"> and, correspondingly, increase methotrexate plasma concentration (Suzuki </w:t>
            </w:r>
            <w:r w:rsidRPr="005F61C6">
              <w:rPr>
                <w:rFonts w:eastAsia="TimesNewRomanPSMT" w:cs="TimesNewRomanPSMT"/>
                <w:i/>
                <w:szCs w:val="22"/>
              </w:rPr>
              <w:t>et al</w:t>
            </w:r>
            <w:r>
              <w:rPr>
                <w:rFonts w:eastAsia="TimesNewRomanPSMT" w:cs="TimesNewRomanPSMT"/>
                <w:szCs w:val="22"/>
              </w:rPr>
              <w:t>.,</w:t>
            </w:r>
            <w:r w:rsidRPr="006B2502">
              <w:rPr>
                <w:rFonts w:eastAsia="TimesNewRomanPSMT" w:cs="TimesNewRomanPSMT"/>
                <w:szCs w:val="22"/>
              </w:rPr>
              <w:t xml:space="preserve"> 2008).</w:t>
            </w:r>
            <w:r>
              <w:rPr>
                <w:rFonts w:eastAsia="TimesNewRomanPSMT" w:cs="TimesNewRomanPSMT"/>
                <w:szCs w:val="22"/>
              </w:rPr>
              <w:t xml:space="preserve"> </w:t>
            </w:r>
            <w:r w:rsidRPr="006B2502">
              <w:rPr>
                <w:rFonts w:eastAsia="TimesNewRomanPSMT" w:cs="TimesNewRomanPSMT"/>
                <w:szCs w:val="22"/>
              </w:rPr>
              <w:t xml:space="preserve">It has been postulated that this may be due to inhibitory activity of PPIs on breast cancer resistance protein (BCRP) or </w:t>
            </w:r>
            <w:r>
              <w:rPr>
                <w:rFonts w:eastAsia="TimesNewRomanPSMT" w:cs="TimesNewRomanPSMT"/>
                <w:szCs w:val="22"/>
              </w:rPr>
              <w:t xml:space="preserve">due to </w:t>
            </w:r>
            <w:r w:rsidRPr="006B2502">
              <w:rPr>
                <w:rFonts w:eastAsia="TimesNewRomanPSMT" w:cs="TimesNewRomanPSMT"/>
                <w:szCs w:val="22"/>
              </w:rPr>
              <w:t>polymorphism of CYP2C19.</w:t>
            </w:r>
            <w:r>
              <w:rPr>
                <w:rFonts w:eastAsia="TimesNewRomanPSMT" w:cs="TimesNewRomanPSMT"/>
                <w:szCs w:val="22"/>
              </w:rPr>
              <w:t xml:space="preserve"> </w:t>
            </w:r>
            <w:r>
              <w:rPr>
                <w:rFonts w:eastAsia="TimesNewRomanPSMT" w:cs="TimesNewRomanPSMT"/>
                <w:i/>
                <w:szCs w:val="22"/>
              </w:rPr>
              <w:t>I</w:t>
            </w:r>
            <w:r w:rsidRPr="006B2502">
              <w:rPr>
                <w:rFonts w:eastAsia="TimesNewRomanPSMT" w:cs="TimesNewRomanPSMT"/>
                <w:i/>
                <w:szCs w:val="22"/>
              </w:rPr>
              <w:t>n vitro</w:t>
            </w:r>
            <w:r w:rsidRPr="006B2502">
              <w:rPr>
                <w:rFonts w:eastAsia="TimesNewRomanPSMT" w:cs="TimesNewRomanPSMT"/>
                <w:szCs w:val="22"/>
              </w:rPr>
              <w:t xml:space="preserve"> studies were reported by the sponsor to have shown that p</w:t>
            </w:r>
            <w:r w:rsidRPr="006B2502">
              <w:rPr>
                <w:szCs w:val="22"/>
              </w:rPr>
              <w:t xml:space="preserve">ralatrexate is not a substrate for </w:t>
            </w:r>
            <w:r>
              <w:rPr>
                <w:szCs w:val="22"/>
              </w:rPr>
              <w:t xml:space="preserve">the </w:t>
            </w:r>
            <w:r w:rsidRPr="006B2502">
              <w:rPr>
                <w:szCs w:val="22"/>
              </w:rPr>
              <w:t>CYP450</w:t>
            </w:r>
            <w:r>
              <w:rPr>
                <w:szCs w:val="22"/>
              </w:rPr>
              <w:t xml:space="preserve"> system, is a weak </w:t>
            </w:r>
            <w:r>
              <w:rPr>
                <w:szCs w:val="22"/>
              </w:rPr>
              <w:lastRenderedPageBreak/>
              <w:t>inhibitor of CYP2C19</w:t>
            </w:r>
            <w:r w:rsidRPr="006B2502">
              <w:rPr>
                <w:szCs w:val="22"/>
              </w:rPr>
              <w:t xml:space="preserve"> and </w:t>
            </w:r>
            <w:r>
              <w:rPr>
                <w:szCs w:val="22"/>
              </w:rPr>
              <w:t xml:space="preserve">is </w:t>
            </w:r>
            <w:r w:rsidRPr="006B2502">
              <w:rPr>
                <w:szCs w:val="22"/>
              </w:rPr>
              <w:t>a low to moderate substrate for BCRP</w:t>
            </w:r>
            <w:r>
              <w:rPr>
                <w:szCs w:val="22"/>
              </w:rPr>
              <w:t>, a moderate to low substrate for OATP1B1 and a moderate substrate for OATP1B3</w:t>
            </w:r>
            <w:r w:rsidRPr="006B2502">
              <w:rPr>
                <w:szCs w:val="22"/>
              </w:rPr>
              <w:t>.</w:t>
            </w:r>
          </w:p>
        </w:tc>
      </w:tr>
      <w:tr w:rsidR="004D5254" w:rsidTr="00C80331">
        <w:tc>
          <w:tcPr>
            <w:tcW w:w="9242" w:type="dxa"/>
            <w:shd w:val="clear" w:color="auto" w:fill="D9D9D9" w:themeFill="background1" w:themeFillShade="D9"/>
          </w:tcPr>
          <w:p w:rsidR="004D5254" w:rsidRDefault="004D5254" w:rsidP="00C80331">
            <w:pPr>
              <w:autoSpaceDE w:val="0"/>
              <w:autoSpaceDN w:val="0"/>
              <w:adjustRightInd w:val="0"/>
              <w:rPr>
                <w:szCs w:val="22"/>
              </w:rPr>
            </w:pPr>
            <w:r w:rsidRPr="00220904">
              <w:rPr>
                <w:rFonts w:eastAsia="TimesNewRomanPSMT" w:cs="TimesNewRomanPSMT"/>
                <w:szCs w:val="22"/>
              </w:rPr>
              <w:lastRenderedPageBreak/>
              <w:t>An exploratory examination of f</w:t>
            </w:r>
            <w:r w:rsidRPr="00220904">
              <w:rPr>
                <w:rFonts w:eastAsia="TimesNewRomanPSMT" w:cs="TimesNewRomanPSMT"/>
                <w:szCs w:val="22"/>
                <w:vertAlign w:val="subscript"/>
              </w:rPr>
              <w:t>e</w:t>
            </w:r>
            <w:r w:rsidRPr="00220904">
              <w:rPr>
                <w:rFonts w:eastAsia="TimesNewRomanPSMT" w:cs="TimesNewRomanPSMT"/>
                <w:szCs w:val="22"/>
              </w:rPr>
              <w:t xml:space="preserve"> by this evaluator found that the mean f</w:t>
            </w:r>
            <w:r w:rsidRPr="00220904">
              <w:rPr>
                <w:rFonts w:eastAsia="TimesNewRomanPSMT" w:cs="TimesNewRomanPSMT"/>
                <w:szCs w:val="22"/>
                <w:vertAlign w:val="subscript"/>
              </w:rPr>
              <w:t>e</w:t>
            </w:r>
            <w:r w:rsidRPr="00220904">
              <w:rPr>
                <w:rFonts w:eastAsia="TimesNewRomanPSMT" w:cs="TimesNewRomanPSMT"/>
                <w:szCs w:val="22"/>
              </w:rPr>
              <w:t xml:space="preserve"> in patients receiving PPIs (n=16) was lower than in patients not receiving concomitant PPIs (n=25) for both </w:t>
            </w:r>
            <w:r w:rsidRPr="00220904">
              <w:rPr>
                <w:szCs w:val="22"/>
              </w:rPr>
              <w:t xml:space="preserve">PDX-10a (19.7% </w:t>
            </w:r>
            <w:r>
              <w:rPr>
                <w:szCs w:val="22"/>
              </w:rPr>
              <w:t xml:space="preserve">versus </w:t>
            </w:r>
            <w:r w:rsidRPr="00220904">
              <w:rPr>
                <w:szCs w:val="22"/>
              </w:rPr>
              <w:t xml:space="preserve">30.7%; t-test p = 0.002) and PDX-10b (27.7% </w:t>
            </w:r>
            <w:r>
              <w:rPr>
                <w:szCs w:val="22"/>
              </w:rPr>
              <w:t xml:space="preserve">versus </w:t>
            </w:r>
            <w:r w:rsidRPr="00220904">
              <w:rPr>
                <w:szCs w:val="22"/>
              </w:rPr>
              <w:t>38.5%; t-test p = 0.01).</w:t>
            </w:r>
            <w:r>
              <w:rPr>
                <w:szCs w:val="22"/>
              </w:rPr>
              <w:t xml:space="preserve"> </w:t>
            </w:r>
            <w:r w:rsidRPr="00220904">
              <w:rPr>
                <w:szCs w:val="22"/>
              </w:rPr>
              <w:t>However, the clinical significance of this finding is unclear.</w:t>
            </w:r>
            <w:r>
              <w:rPr>
                <w:szCs w:val="22"/>
              </w:rPr>
              <w:t xml:space="preserve"> </w:t>
            </w:r>
            <w:r w:rsidRPr="00220904">
              <w:rPr>
                <w:szCs w:val="22"/>
              </w:rPr>
              <w:t>Firstly, for the individual patients identified above, total clearance of each of the diastereomers was within the range of values reported for patients with “normal” f</w:t>
            </w:r>
            <w:r w:rsidRPr="00220904">
              <w:rPr>
                <w:szCs w:val="22"/>
                <w:vertAlign w:val="subscript"/>
              </w:rPr>
              <w:t>e</w:t>
            </w:r>
            <w:r w:rsidRPr="00220904">
              <w:rPr>
                <w:szCs w:val="22"/>
              </w:rPr>
              <w:t xml:space="preserve"> values, suggesting any decrease in renal clearance was offset by increased non-renal excretion.</w:t>
            </w:r>
            <w:r>
              <w:rPr>
                <w:szCs w:val="22"/>
              </w:rPr>
              <w:t xml:space="preserve"> </w:t>
            </w:r>
            <w:r w:rsidRPr="00220904">
              <w:rPr>
                <w:szCs w:val="22"/>
              </w:rPr>
              <w:t>The overall systemic exposure (AUC) in these patients was also well within the range of values reported for other patients.</w:t>
            </w:r>
            <w:r>
              <w:rPr>
                <w:szCs w:val="22"/>
              </w:rPr>
              <w:t xml:space="preserve"> </w:t>
            </w:r>
            <w:r w:rsidRPr="00220904">
              <w:rPr>
                <w:szCs w:val="22"/>
              </w:rPr>
              <w:t xml:space="preserve">Secondly, this evaluator found no difference between those patients receiving and not receiving </w:t>
            </w:r>
            <w:r w:rsidRPr="00220904">
              <w:rPr>
                <w:rFonts w:eastAsia="TimesNewRomanPSMT" w:cs="TimesNewRomanPSMT"/>
                <w:szCs w:val="22"/>
              </w:rPr>
              <w:t>PPIs for</w:t>
            </w:r>
            <w:r w:rsidRPr="00220904">
              <w:rPr>
                <w:szCs w:val="22"/>
              </w:rPr>
              <w:t xml:space="preserve"> the mean total clearance of PDX-10a (462.8 </w:t>
            </w:r>
            <w:r>
              <w:rPr>
                <w:szCs w:val="22"/>
              </w:rPr>
              <w:t xml:space="preserve">versus </w:t>
            </w:r>
            <w:r w:rsidRPr="00220904">
              <w:rPr>
                <w:szCs w:val="22"/>
              </w:rPr>
              <w:t xml:space="preserve">476.2mL/min; t-test p=0.89) and PDX-10b (214.6 </w:t>
            </w:r>
            <w:r>
              <w:rPr>
                <w:szCs w:val="22"/>
              </w:rPr>
              <w:t xml:space="preserve">versus </w:t>
            </w:r>
            <w:r w:rsidRPr="00220904">
              <w:rPr>
                <w:szCs w:val="22"/>
              </w:rPr>
              <w:t>214.7mL/min; t-test p=0.99.</w:t>
            </w:r>
            <w:r>
              <w:rPr>
                <w:szCs w:val="22"/>
              </w:rPr>
              <w:t xml:space="preserve"> </w:t>
            </w:r>
            <w:r w:rsidRPr="00220904">
              <w:rPr>
                <w:szCs w:val="22"/>
              </w:rPr>
              <w:t xml:space="preserve">All but 2 of the patients who received concomitant PPIs were from </w:t>
            </w:r>
            <w:r>
              <w:rPr>
                <w:szCs w:val="22"/>
              </w:rPr>
              <w:t>Study PDX-</w:t>
            </w:r>
            <w:r w:rsidRPr="00220904">
              <w:rPr>
                <w:szCs w:val="22"/>
              </w:rPr>
              <w:t>007 and therefore received higher than recommended doses of pralatrexate, ranging from 190-27</w:t>
            </w:r>
            <w:r>
              <w:rPr>
                <w:szCs w:val="22"/>
              </w:rPr>
              <w:t>0 mg</w:t>
            </w:r>
            <w:r w:rsidRPr="00220904">
              <w:rPr>
                <w:szCs w:val="22"/>
              </w:rPr>
              <w:t>/m</w:t>
            </w:r>
            <w:r w:rsidRPr="00220904">
              <w:rPr>
                <w:szCs w:val="22"/>
                <w:vertAlign w:val="superscript"/>
              </w:rPr>
              <w:t>2</w:t>
            </w:r>
            <w:r w:rsidRPr="00220904">
              <w:rPr>
                <w:szCs w:val="22"/>
              </w:rPr>
              <w:t>.</w:t>
            </w:r>
          </w:p>
        </w:tc>
      </w:tr>
    </w:tbl>
    <w:p w:rsidR="004D5254" w:rsidRDefault="004D5254" w:rsidP="004D5254">
      <w:pPr>
        <w:autoSpaceDE w:val="0"/>
        <w:autoSpaceDN w:val="0"/>
        <w:adjustRightInd w:val="0"/>
        <w:rPr>
          <w:sz w:val="20"/>
          <w:szCs w:val="20"/>
        </w:rPr>
      </w:pPr>
      <w:r>
        <w:t>T</w:t>
      </w:r>
      <w:r w:rsidRPr="006B2502">
        <w:t xml:space="preserve">he POPPK analysis </w:t>
      </w:r>
      <w:r>
        <w:t xml:space="preserve">found a </w:t>
      </w:r>
      <w:r w:rsidRPr="006B2502">
        <w:t>study-specific effect on PDX-10a and PDX-10b clearance, where</w:t>
      </w:r>
      <w:r>
        <w:t>by</w:t>
      </w:r>
      <w:r w:rsidRPr="006B2502">
        <w:t xml:space="preserve"> clearance was reduced by a factor of 0.581 and 0.682, respectively, for </w:t>
      </w:r>
      <w:r>
        <w:t>Study PDX-</w:t>
      </w:r>
      <w:r w:rsidRPr="006B2502">
        <w:t>008.</w:t>
      </w:r>
      <w:r>
        <w:t xml:space="preserve"> </w:t>
      </w:r>
      <w:r w:rsidRPr="006B2502">
        <w:t xml:space="preserve">The sponsor considered this effect was most likely an artefact of sparse sampling </w:t>
      </w:r>
      <w:r>
        <w:t>as</w:t>
      </w:r>
      <w:r w:rsidRPr="006B2502">
        <w:t xml:space="preserve"> it could be shown that patients with full PK sampling in PDX-008 (n=10) were adequately described in further simulations that did not include a study specific effect on clearance</w:t>
      </w:r>
      <w:r>
        <w:t xml:space="preserve">. </w:t>
      </w:r>
      <w:r w:rsidRPr="006B2502">
        <w:t xml:space="preserve">This conclusion seems reasonable and is in keeping with the findings of the </w:t>
      </w:r>
      <w:r w:rsidRPr="00BE071B">
        <w:t>non-compartmental, integrated covariate analysis</w:t>
      </w:r>
      <w:r>
        <w:t xml:space="preserve"> </w:t>
      </w:r>
      <w:r w:rsidRPr="006B2502">
        <w:t>of patients with full PK data, where there was no significant correlation between study and the total clearance of either PDX-10a or PDX-10b</w:t>
      </w:r>
      <w:r>
        <w:t>.</w:t>
      </w:r>
    </w:p>
    <w:p w:rsidR="004D5254" w:rsidRPr="007E3A4A" w:rsidRDefault="004D5254" w:rsidP="004D5254">
      <w:pPr>
        <w:pStyle w:val="Heading4"/>
        <w:numPr>
          <w:ilvl w:val="3"/>
          <w:numId w:val="5"/>
        </w:numPr>
        <w:adjustRightInd/>
        <w:snapToGrid/>
        <w:spacing w:before="0" w:line="240" w:lineRule="auto"/>
        <w:ind w:hanging="1418"/>
      </w:pPr>
      <w:bookmarkStart w:id="83" w:name="_Toc241374291"/>
      <w:bookmarkStart w:id="84" w:name="_Toc272414624"/>
      <w:bookmarkStart w:id="85" w:name="_Toc290846247"/>
      <w:bookmarkStart w:id="86" w:name="_Toc320881427"/>
      <w:r w:rsidRPr="007E3A4A">
        <w:t>Intra- and inter-individual variability</w:t>
      </w:r>
      <w:bookmarkEnd w:id="83"/>
      <w:r w:rsidRPr="007E3A4A">
        <w:t xml:space="preserve"> of pharmacokinetics</w:t>
      </w:r>
      <w:bookmarkEnd w:id="84"/>
      <w:bookmarkEnd w:id="85"/>
      <w:bookmarkEnd w:id="86"/>
    </w:p>
    <w:p w:rsidR="004D5254" w:rsidRDefault="004D5254" w:rsidP="004D5254">
      <w:pPr>
        <w:autoSpaceDE w:val="0"/>
        <w:autoSpaceDN w:val="0"/>
        <w:adjustRightInd w:val="0"/>
        <w:rPr>
          <w:rFonts w:eastAsia="TimesNewRomanPSMT" w:cs="TimesNewRomanPSMT"/>
        </w:rPr>
      </w:pPr>
      <w:r w:rsidRPr="005F61C6">
        <w:t xml:space="preserve">Table 3 </w:t>
      </w:r>
      <w:r w:rsidRPr="004B7F0A">
        <w:t xml:space="preserve">shows there was </w:t>
      </w:r>
      <w:r>
        <w:t>substantial</w:t>
      </w:r>
      <w:r w:rsidRPr="004B7F0A">
        <w:t xml:space="preserve"> </w:t>
      </w:r>
      <w:r>
        <w:rPr>
          <w:rFonts w:eastAsia="TimesNewRomanPSMT" w:cs="TimesNewRomanPSMT"/>
        </w:rPr>
        <w:t>inter-individual</w:t>
      </w:r>
      <w:r w:rsidRPr="004B7F0A">
        <w:rPr>
          <w:rFonts w:eastAsia="TimesNewRomanPSMT" w:cs="TimesNewRomanPSMT"/>
        </w:rPr>
        <w:t xml:space="preserve"> variability, </w:t>
      </w:r>
      <w:r>
        <w:rPr>
          <w:rFonts w:eastAsia="TimesNewRomanPSMT" w:cs="TimesNewRomanPSMT"/>
        </w:rPr>
        <w:t>reflected in the high</w:t>
      </w:r>
      <w:r w:rsidRPr="004B7F0A">
        <w:rPr>
          <w:rFonts w:eastAsia="TimesNewRomanPSMT" w:cs="TimesNewRomanPSMT"/>
        </w:rPr>
        <w:t xml:space="preserve"> coefficient</w:t>
      </w:r>
      <w:r>
        <w:rPr>
          <w:rFonts w:eastAsia="TimesNewRomanPSMT" w:cs="TimesNewRomanPSMT"/>
        </w:rPr>
        <w:t>s</w:t>
      </w:r>
      <w:r w:rsidRPr="004B7F0A">
        <w:rPr>
          <w:rFonts w:eastAsia="TimesNewRomanPSMT" w:cs="TimesNewRomanPSMT"/>
        </w:rPr>
        <w:t xml:space="preserve"> of variation (</w:t>
      </w:r>
      <w:r>
        <w:rPr>
          <w:rFonts w:eastAsia="TimesNewRomanPSMT" w:cs="TimesNewRomanPSMT"/>
        </w:rPr>
        <w:t>%</w:t>
      </w:r>
      <w:r w:rsidRPr="004B7F0A">
        <w:rPr>
          <w:rFonts w:eastAsia="TimesNewRomanPSMT" w:cs="TimesNewRomanPSMT"/>
        </w:rPr>
        <w:t xml:space="preserve">CV) for all </w:t>
      </w:r>
      <w:r>
        <w:rPr>
          <w:rFonts w:eastAsia="TimesNewRomanPSMT" w:cs="TimesNewRomanPSMT"/>
        </w:rPr>
        <w:t xml:space="preserve">PK </w:t>
      </w:r>
      <w:r w:rsidRPr="004B7F0A">
        <w:rPr>
          <w:rFonts w:eastAsia="TimesNewRomanPSMT" w:cs="TimesNewRomanPSMT"/>
        </w:rPr>
        <w:t>parameters</w:t>
      </w:r>
      <w:r>
        <w:rPr>
          <w:rFonts w:eastAsia="TimesNewRomanPSMT" w:cs="TimesNewRomanPSMT"/>
        </w:rPr>
        <w:t xml:space="preserve"> after a single dose of pralatrexate. In Study PDX-008, the CVs exceeded 40% for all PK parameters. </w:t>
      </w:r>
    </w:p>
    <w:p w:rsidR="004D5254" w:rsidRPr="004B7F0A" w:rsidRDefault="004D5254" w:rsidP="004D5254">
      <w:pPr>
        <w:autoSpaceDE w:val="0"/>
        <w:autoSpaceDN w:val="0"/>
        <w:adjustRightInd w:val="0"/>
      </w:pPr>
      <w:r>
        <w:rPr>
          <w:rFonts w:eastAsia="TimesNewRomanPSMT" w:cs="TimesNewRomanPSMT"/>
        </w:rPr>
        <w:t>Intra-individual variability could be assessed only in the context of repeat dosing in a small number of patients.</w:t>
      </w:r>
    </w:p>
    <w:p w:rsidR="004D5254" w:rsidRDefault="004D5254" w:rsidP="004D5254">
      <w:pPr>
        <w:pStyle w:val="Heading4"/>
        <w:numPr>
          <w:ilvl w:val="2"/>
          <w:numId w:val="5"/>
        </w:numPr>
      </w:pPr>
      <w:bookmarkStart w:id="87" w:name="_Toc241374293"/>
      <w:bookmarkStart w:id="88" w:name="_Toc272414626"/>
      <w:bookmarkStart w:id="89" w:name="_Toc290846249"/>
      <w:bookmarkStart w:id="90" w:name="_Toc320881428"/>
      <w:bookmarkStart w:id="91" w:name="_Toc359930719"/>
      <w:r w:rsidRPr="0025080F">
        <w:t>Pharmacokinetics in other special populations</w:t>
      </w:r>
      <w:bookmarkEnd w:id="87"/>
      <w:bookmarkEnd w:id="88"/>
      <w:bookmarkEnd w:id="89"/>
      <w:bookmarkEnd w:id="90"/>
      <w:bookmarkEnd w:id="91"/>
    </w:p>
    <w:p w:rsidR="004D5254" w:rsidRPr="00D47DE0" w:rsidRDefault="004D5254" w:rsidP="004D5254">
      <w:r>
        <w:t>No studies in specific populations were performed and, consequently, l</w:t>
      </w:r>
      <w:r w:rsidRPr="00D47DE0">
        <w:t xml:space="preserve">imited data are available on pralatrexate PK in </w:t>
      </w:r>
      <w:r>
        <w:t>those</w:t>
      </w:r>
      <w:r w:rsidRPr="00D47DE0">
        <w:t xml:space="preserve"> populations.</w:t>
      </w:r>
    </w:p>
    <w:p w:rsidR="004D5254" w:rsidRPr="0025080F" w:rsidRDefault="004D5254" w:rsidP="004D5254">
      <w:pPr>
        <w:pStyle w:val="Heading5"/>
        <w:numPr>
          <w:ilvl w:val="3"/>
          <w:numId w:val="5"/>
        </w:numPr>
      </w:pPr>
      <w:bookmarkStart w:id="92" w:name="_Toc272414627"/>
      <w:bookmarkStart w:id="93" w:name="_Toc290846250"/>
      <w:bookmarkStart w:id="94" w:name="_Toc320881429"/>
      <w:r w:rsidRPr="0025080F">
        <w:t xml:space="preserve">Pharmacokinetics in </w:t>
      </w:r>
      <w:r>
        <w:t>patients</w:t>
      </w:r>
      <w:r w:rsidRPr="0025080F">
        <w:t xml:space="preserve"> with impaired hepatic function</w:t>
      </w:r>
      <w:bookmarkEnd w:id="92"/>
      <w:bookmarkEnd w:id="93"/>
      <w:bookmarkEnd w:id="94"/>
    </w:p>
    <w:p w:rsidR="004D5254" w:rsidRDefault="004D5254" w:rsidP="004D5254">
      <w:pPr>
        <w:autoSpaceDE w:val="0"/>
        <w:autoSpaceDN w:val="0"/>
        <w:adjustRightInd w:val="0"/>
      </w:pPr>
      <w:r>
        <w:rPr>
          <w:bCs/>
        </w:rPr>
        <w:t xml:space="preserve">No studies have been performed in patients with </w:t>
      </w:r>
      <w:r w:rsidRPr="0025080F">
        <w:t>hepatic impairment.</w:t>
      </w:r>
      <w:r>
        <w:t xml:space="preserve"> </w:t>
      </w:r>
    </w:p>
    <w:p w:rsidR="004D5254" w:rsidRDefault="004D5254" w:rsidP="004D5254">
      <w:pPr>
        <w:autoSpaceDE w:val="0"/>
        <w:autoSpaceDN w:val="0"/>
        <w:adjustRightInd w:val="0"/>
        <w:rPr>
          <w:bCs/>
        </w:rPr>
      </w:pPr>
      <w:r>
        <w:rPr>
          <w:bCs/>
        </w:rPr>
        <w:t>The selection criteria used in the studies were such that no patients who underwent PK profiling had a baseline serum bilirubin level above 1.3mg/dL. Furthermore, only two patients had ALT and/or AST levels greater than 1.5 x ULN - patient 109 in Study PDX-008, who had a baseline ALT of 4.2 x ULN and an AST of 2.1 x ULN; and patient 22 in Study PDX-007, who had a baseline ALT of 1.9 x ULN and an AST of 1.6 x ULN. Patient 22 had PK parameters that were well within the range of values obtained from all patients. Interestingly, patient 109 had the highest non-renal clearance as well as the highest renal and total clearance, and the lowest AUC values for both pralatrexate diastereomers among all the patients who had both plasma and urine PK profiling in Study PDX-008.</w:t>
      </w:r>
    </w:p>
    <w:p w:rsidR="004D5254" w:rsidRPr="0025080F" w:rsidRDefault="004D5254" w:rsidP="004D5254">
      <w:pPr>
        <w:autoSpaceDE w:val="0"/>
        <w:autoSpaceDN w:val="0"/>
        <w:adjustRightInd w:val="0"/>
      </w:pPr>
      <w:r>
        <w:t xml:space="preserve">Neither the </w:t>
      </w:r>
      <w:r w:rsidRPr="00BE071B">
        <w:t>non-compartmental, integrated covariate analysis</w:t>
      </w:r>
      <w:r>
        <w:t xml:space="preserve"> nor the POPPK analysis identified total bilirubin or transaminase levels as significant covariates for pralatrexate clearance. However, given that </w:t>
      </w:r>
      <w:r>
        <w:rPr>
          <w:color w:val="000000"/>
          <w:lang w:eastAsia="en-GB"/>
        </w:rPr>
        <w:t>60-70%</w:t>
      </w:r>
      <w:r w:rsidRPr="00027441">
        <w:rPr>
          <w:color w:val="000000"/>
          <w:lang w:eastAsia="en-GB"/>
        </w:rPr>
        <w:t xml:space="preserve"> of pralatrexate is eliminated by non-renal clearance</w:t>
      </w:r>
      <w:r>
        <w:rPr>
          <w:color w:val="000000"/>
          <w:lang w:eastAsia="en-GB"/>
        </w:rPr>
        <w:t xml:space="preserve">, and </w:t>
      </w:r>
      <w:r w:rsidRPr="00027441">
        <w:rPr>
          <w:color w:val="000000"/>
          <w:lang w:eastAsia="en-GB"/>
        </w:rPr>
        <w:t xml:space="preserve">that </w:t>
      </w:r>
      <w:r>
        <w:rPr>
          <w:color w:val="000000"/>
          <w:lang w:eastAsia="en-GB"/>
        </w:rPr>
        <w:t>this is likely to be</w:t>
      </w:r>
      <w:r w:rsidRPr="00027441">
        <w:rPr>
          <w:color w:val="000000"/>
          <w:lang w:eastAsia="en-GB"/>
        </w:rPr>
        <w:t xml:space="preserve"> largely via hepatobiliary excretion, a risk for increased exposure in patients with hepatic impairment cannot be excluded</w:t>
      </w:r>
      <w:r>
        <w:rPr>
          <w:color w:val="000000"/>
          <w:lang w:eastAsia="en-GB"/>
        </w:rPr>
        <w:t xml:space="preserve">. </w:t>
      </w:r>
      <w:r>
        <w:t xml:space="preserve">The proposed Product Information (PI) appropriately </w:t>
      </w:r>
      <w:r>
        <w:lastRenderedPageBreak/>
        <w:t>advises that the administration of pralatrexate to patients with hepatic impairment should be done with caution and that liver function and adverse events should be monitored closely.</w:t>
      </w:r>
    </w:p>
    <w:p w:rsidR="004D5254" w:rsidRPr="0025080F" w:rsidRDefault="004D5254" w:rsidP="004D5254">
      <w:pPr>
        <w:pStyle w:val="Heading5"/>
        <w:numPr>
          <w:ilvl w:val="3"/>
          <w:numId w:val="5"/>
        </w:numPr>
      </w:pPr>
      <w:bookmarkStart w:id="95" w:name="_Toc272414628"/>
      <w:bookmarkStart w:id="96" w:name="_Toc290846251"/>
      <w:bookmarkStart w:id="97" w:name="_Toc320881430"/>
      <w:r w:rsidRPr="0025080F">
        <w:t xml:space="preserve">Pharmacokinetics in </w:t>
      </w:r>
      <w:r>
        <w:t>patients</w:t>
      </w:r>
      <w:r w:rsidRPr="0025080F">
        <w:t xml:space="preserve"> with impaired renal function</w:t>
      </w:r>
      <w:bookmarkEnd w:id="95"/>
      <w:bookmarkEnd w:id="96"/>
      <w:bookmarkEnd w:id="97"/>
    </w:p>
    <w:p w:rsidR="004D5254" w:rsidRDefault="004D5254" w:rsidP="004D5254">
      <w:pPr>
        <w:autoSpaceDE w:val="0"/>
        <w:autoSpaceDN w:val="0"/>
        <w:adjustRightInd w:val="0"/>
        <w:rPr>
          <w:bCs/>
        </w:rPr>
      </w:pPr>
      <w:r>
        <w:rPr>
          <w:bCs/>
        </w:rPr>
        <w:t xml:space="preserve">No studies have been performed in patients with renal impairment. </w:t>
      </w:r>
    </w:p>
    <w:p w:rsidR="004D5254" w:rsidRPr="00D66F16" w:rsidRDefault="004D5254" w:rsidP="004D5254">
      <w:pPr>
        <w:autoSpaceDE w:val="0"/>
        <w:autoSpaceDN w:val="0"/>
        <w:adjustRightInd w:val="0"/>
        <w:rPr>
          <w:bCs/>
        </w:rPr>
      </w:pPr>
      <w:r>
        <w:rPr>
          <w:bCs/>
        </w:rPr>
        <w:t xml:space="preserve">The selection criteria used in the studies were such that only 3 patients who underwent full PK profiling had a baseline serum creatinine level above 1.5 mg/dL. The PK parameters obtained from these patients (patients 41 and 47 in Study PDX-007 and patient 7 in Study PDX-008) were well within the range of values obtained from all patients in these studies, suggesting it is unlikely there are any appreciable changes in the PKs of pralatrexate in patients with mild renal impairment. However, given the </w:t>
      </w:r>
      <w:r>
        <w:t xml:space="preserve">significant contribution of </w:t>
      </w:r>
      <w:r w:rsidRPr="00CC3B13">
        <w:t xml:space="preserve">renal excretion of </w:t>
      </w:r>
      <w:r>
        <w:t xml:space="preserve">pralatrexate to overall clearance of pralatrexate, it is possible that moderate to severe renal impairment may increase exposure to the drug. In this regard, both the sponsor’s </w:t>
      </w:r>
      <w:r w:rsidRPr="00BE071B">
        <w:t>non-compartmental, integrated covariate analysis</w:t>
      </w:r>
      <w:r>
        <w:t xml:space="preserve"> and POPPK analysis identified creatinine clearance as a covariate for pralatrexate clearance. In particular, the POPPK analysis estimated that the clearances of PDX-10a and PDX-10b would decrease by 21% and 24%, respectively, </w:t>
      </w:r>
      <w:r w:rsidRPr="007D39C4">
        <w:t>in a patient with a creatinine clearance of 30 mL/min</w:t>
      </w:r>
      <w:r>
        <w:t>.</w:t>
      </w:r>
    </w:p>
    <w:p w:rsidR="004D5254" w:rsidRDefault="004D5254" w:rsidP="004D5254">
      <w:pPr>
        <w:autoSpaceDE w:val="0"/>
        <w:autoSpaceDN w:val="0"/>
        <w:adjustRightInd w:val="0"/>
      </w:pPr>
      <w:r w:rsidRPr="00CC3B13">
        <w:t>Patients with renal impairment have been identified</w:t>
      </w:r>
      <w:r>
        <w:t xml:space="preserve"> </w:t>
      </w:r>
      <w:r w:rsidRPr="00CC3B13">
        <w:t xml:space="preserve">as a special population of interest and </w:t>
      </w:r>
      <w:r>
        <w:t xml:space="preserve">the sponsor submitted the protocol for </w:t>
      </w:r>
      <w:r w:rsidRPr="00CC3B13">
        <w:t>a study in patients with advanced</w:t>
      </w:r>
      <w:r>
        <w:t xml:space="preserve"> </w:t>
      </w:r>
      <w:r w:rsidRPr="00CC3B13">
        <w:t xml:space="preserve">cancer and </w:t>
      </w:r>
      <w:r>
        <w:t>m</w:t>
      </w:r>
      <w:r w:rsidRPr="00C11502">
        <w:t xml:space="preserve">ild, </w:t>
      </w:r>
      <w:r>
        <w:t>moderate, and severe renal i</w:t>
      </w:r>
      <w:r w:rsidRPr="00C11502">
        <w:t>mpairment (</w:t>
      </w:r>
      <w:r>
        <w:t xml:space="preserve">Study </w:t>
      </w:r>
      <w:r w:rsidRPr="00C11502">
        <w:t>PDX-019)</w:t>
      </w:r>
      <w:r>
        <w:t>. This study is in the earliest stages of enrolment and no data had been generated at the time of submission</w:t>
      </w:r>
      <w:r w:rsidRPr="00CC3B13">
        <w:t>.</w:t>
      </w:r>
      <w:r>
        <w:t xml:space="preserve"> The proposed PI appropriately advises that the administration of pralatrexate to patients with moderate to severe renal impairment should be done with caution and that renal function and adverse events should be monitored closely.</w:t>
      </w:r>
    </w:p>
    <w:p w:rsidR="004D5254" w:rsidRPr="0025080F" w:rsidRDefault="004D5254" w:rsidP="004D5254">
      <w:pPr>
        <w:pStyle w:val="Heading5"/>
        <w:numPr>
          <w:ilvl w:val="3"/>
          <w:numId w:val="5"/>
        </w:numPr>
      </w:pPr>
      <w:bookmarkStart w:id="98" w:name="_Toc272414629"/>
      <w:bookmarkStart w:id="99" w:name="_Toc290846252"/>
      <w:bookmarkStart w:id="100" w:name="_Toc320881431"/>
      <w:r w:rsidRPr="0025080F">
        <w:t>Pharmacokinetics according to age</w:t>
      </w:r>
      <w:bookmarkEnd w:id="98"/>
      <w:bookmarkEnd w:id="99"/>
      <w:bookmarkEnd w:id="100"/>
    </w:p>
    <w:p w:rsidR="004D5254" w:rsidRPr="0025080F" w:rsidRDefault="004D5254" w:rsidP="004D5254">
      <w:pPr>
        <w:autoSpaceDE w:val="0"/>
        <w:autoSpaceDN w:val="0"/>
        <w:adjustRightInd w:val="0"/>
        <w:rPr>
          <w:bCs/>
        </w:rPr>
      </w:pPr>
      <w:r>
        <w:rPr>
          <w:color w:val="000000"/>
        </w:rPr>
        <w:t xml:space="preserve">PK data were obtained from patients aged 21-85 years, with an average age of 60 years. </w:t>
      </w:r>
      <w:r>
        <w:t>In the sponsor’s POPPK analysis,</w:t>
      </w:r>
      <w:r w:rsidRPr="007D39C4">
        <w:t xml:space="preserve"> models that included age as a covariate were unsuccessful, most likely due to the high degree of correlation between age and </w:t>
      </w:r>
      <w:r>
        <w:t>creatinine clearance</w:t>
      </w:r>
      <w:r w:rsidRPr="007D39C4">
        <w:t>.</w:t>
      </w:r>
      <w:r>
        <w:t xml:space="preserve"> After accounting for renal function, age was not a relevant covariate. Consequently, c</w:t>
      </w:r>
      <w:r w:rsidRPr="007D39C4">
        <w:t>reatinine clearance was deemed a more clinically important predictor and was selected to represent both renal function and age dependencies in the POPPK model</w:t>
      </w:r>
      <w:r w:rsidRPr="00A74A40">
        <w:t>.</w:t>
      </w:r>
      <w:r>
        <w:t xml:space="preserve"> Whilst no dosage adjust</w:t>
      </w:r>
      <w:r w:rsidRPr="00A74A40">
        <w:t>ments are recommended for age</w:t>
      </w:r>
      <w:r>
        <w:t xml:space="preserve"> </w:t>
      </w:r>
      <w:r w:rsidRPr="00A74A40">
        <w:rPr>
          <w:i/>
        </w:rPr>
        <w:t>per se</w:t>
      </w:r>
      <w:r w:rsidRPr="00A74A40">
        <w:t>, age</w:t>
      </w:r>
      <w:r w:rsidRPr="00F46103">
        <w:t xml:space="preserve">-related decline in renal function </w:t>
      </w:r>
      <w:r>
        <w:t>could</w:t>
      </w:r>
      <w:r w:rsidRPr="00F46103">
        <w:t xml:space="preserve"> potentially lead to reduced</w:t>
      </w:r>
      <w:r>
        <w:t xml:space="preserve"> </w:t>
      </w:r>
      <w:r w:rsidRPr="00F46103">
        <w:t>clearance</w:t>
      </w:r>
      <w:r>
        <w:t>. This is reflected appropriately in the proposed PI.</w:t>
      </w:r>
    </w:p>
    <w:p w:rsidR="004D5254" w:rsidRPr="0025080F" w:rsidRDefault="004D5254" w:rsidP="004D5254">
      <w:pPr>
        <w:pStyle w:val="Heading5"/>
        <w:numPr>
          <w:ilvl w:val="3"/>
          <w:numId w:val="5"/>
        </w:numPr>
      </w:pPr>
      <w:bookmarkStart w:id="101" w:name="_Toc272414630"/>
      <w:bookmarkStart w:id="102" w:name="_Toc290846253"/>
      <w:bookmarkStart w:id="103" w:name="_Toc320881432"/>
      <w:r w:rsidRPr="0025080F">
        <w:t>Pharmacokinetics related to genetic factors</w:t>
      </w:r>
      <w:bookmarkEnd w:id="101"/>
      <w:bookmarkEnd w:id="102"/>
      <w:bookmarkEnd w:id="103"/>
    </w:p>
    <w:p w:rsidR="004D5254" w:rsidRPr="0025080F" w:rsidRDefault="004D5254" w:rsidP="004D5254">
      <w:pPr>
        <w:autoSpaceDE w:val="0"/>
        <w:autoSpaceDN w:val="0"/>
        <w:adjustRightInd w:val="0"/>
        <w:rPr>
          <w:bCs/>
        </w:rPr>
      </w:pPr>
      <w:r>
        <w:rPr>
          <w:bCs/>
        </w:rPr>
        <w:t>Specific pharmacogenetic studies of pralatrexate have not been conducted.</w:t>
      </w:r>
    </w:p>
    <w:p w:rsidR="004D5254" w:rsidRPr="0025080F" w:rsidRDefault="004D5254" w:rsidP="004D5254">
      <w:pPr>
        <w:pStyle w:val="Heading5"/>
        <w:numPr>
          <w:ilvl w:val="3"/>
          <w:numId w:val="5"/>
        </w:numPr>
      </w:pPr>
      <w:bookmarkStart w:id="104" w:name="_Toc272414631"/>
      <w:bookmarkStart w:id="105" w:name="_Toc290846254"/>
      <w:bookmarkStart w:id="106" w:name="_Toc320881433"/>
      <w:r w:rsidRPr="0025080F">
        <w:t xml:space="preserve">Pharmacokinetics according to </w:t>
      </w:r>
      <w:bookmarkEnd w:id="104"/>
      <w:bookmarkEnd w:id="105"/>
      <w:r>
        <w:t>gender and race</w:t>
      </w:r>
      <w:bookmarkEnd w:id="106"/>
    </w:p>
    <w:p w:rsidR="004D5254" w:rsidRPr="00806128" w:rsidRDefault="004D5254" w:rsidP="004D5254">
      <w:pPr>
        <w:autoSpaceDE w:val="0"/>
        <w:autoSpaceDN w:val="0"/>
        <w:adjustRightInd w:val="0"/>
        <w:rPr>
          <w:color w:val="000000"/>
        </w:rPr>
      </w:pPr>
      <w:r w:rsidRPr="00806128">
        <w:rPr>
          <w:color w:val="000000"/>
        </w:rPr>
        <w:t>There w</w:t>
      </w:r>
      <w:r>
        <w:rPr>
          <w:color w:val="000000"/>
        </w:rPr>
        <w:t>ere</w:t>
      </w:r>
      <w:r w:rsidRPr="00806128">
        <w:rPr>
          <w:color w:val="000000"/>
        </w:rPr>
        <w:t xml:space="preserve"> no significant gender or racial</w:t>
      </w:r>
      <w:r>
        <w:rPr>
          <w:color w:val="000000"/>
        </w:rPr>
        <w:t>/ethnic</w:t>
      </w:r>
      <w:r w:rsidRPr="00806128">
        <w:rPr>
          <w:color w:val="000000"/>
        </w:rPr>
        <w:t xml:space="preserve"> differences observed in the </w:t>
      </w:r>
      <w:r w:rsidRPr="00BE071B">
        <w:t xml:space="preserve">non-compartmental, </w:t>
      </w:r>
      <w:r>
        <w:t>i</w:t>
      </w:r>
      <w:r w:rsidRPr="00BE071B">
        <w:t>ntegrated covariate analysis</w:t>
      </w:r>
      <w:r>
        <w:t xml:space="preserve"> or </w:t>
      </w:r>
      <w:r>
        <w:rPr>
          <w:color w:val="000000"/>
        </w:rPr>
        <w:t>POP</w:t>
      </w:r>
      <w:r w:rsidRPr="00806128">
        <w:rPr>
          <w:color w:val="000000"/>
        </w:rPr>
        <w:t>PK analysis.</w:t>
      </w:r>
      <w:r>
        <w:rPr>
          <w:color w:val="000000"/>
        </w:rPr>
        <w:t xml:space="preserve"> Of note though, the patient population enrolled in the 3 contributing studies was predominantly Caucasian.</w:t>
      </w:r>
    </w:p>
    <w:p w:rsidR="004D5254" w:rsidRPr="0025080F" w:rsidRDefault="004D5254" w:rsidP="004D5254">
      <w:pPr>
        <w:pStyle w:val="Heading4"/>
        <w:numPr>
          <w:ilvl w:val="2"/>
          <w:numId w:val="5"/>
        </w:numPr>
      </w:pPr>
      <w:bookmarkStart w:id="107" w:name="_Toc241374294"/>
      <w:bookmarkStart w:id="108" w:name="_Toc272414632"/>
      <w:bookmarkStart w:id="109" w:name="_Toc290846255"/>
      <w:bookmarkStart w:id="110" w:name="_Toc320881434"/>
      <w:bookmarkStart w:id="111" w:name="_Toc359930720"/>
      <w:r w:rsidRPr="0025080F">
        <w:t>Pharmacokinetic interactions</w:t>
      </w:r>
      <w:bookmarkEnd w:id="107"/>
      <w:bookmarkEnd w:id="108"/>
      <w:bookmarkEnd w:id="109"/>
      <w:bookmarkEnd w:id="110"/>
      <w:bookmarkEnd w:id="111"/>
    </w:p>
    <w:p w:rsidR="004D5254" w:rsidRPr="0025080F" w:rsidRDefault="004D5254" w:rsidP="004D5254">
      <w:pPr>
        <w:pStyle w:val="Heading5"/>
        <w:numPr>
          <w:ilvl w:val="3"/>
          <w:numId w:val="5"/>
        </w:numPr>
      </w:pPr>
      <w:bookmarkStart w:id="112" w:name="_Toc272414633"/>
      <w:bookmarkStart w:id="113" w:name="_Toc290846256"/>
      <w:bookmarkStart w:id="114" w:name="_Toc320881435"/>
      <w:r w:rsidRPr="0025080F">
        <w:t>Pharmacokinetic interactions demonstrated in human studies</w:t>
      </w:r>
      <w:bookmarkEnd w:id="112"/>
      <w:bookmarkEnd w:id="113"/>
      <w:bookmarkEnd w:id="114"/>
    </w:p>
    <w:p w:rsidR="004D5254" w:rsidRDefault="004D5254" w:rsidP="004D5254">
      <w:pPr>
        <w:autoSpaceDE w:val="0"/>
        <w:autoSpaceDN w:val="0"/>
        <w:adjustRightInd w:val="0"/>
        <w:rPr>
          <w:color w:val="000000"/>
        </w:rPr>
      </w:pPr>
      <w:r w:rsidRPr="00600475">
        <w:rPr>
          <w:color w:val="000000"/>
        </w:rPr>
        <w:t xml:space="preserve">No formal </w:t>
      </w:r>
      <w:r>
        <w:rPr>
          <w:color w:val="000000"/>
        </w:rPr>
        <w:t xml:space="preserve">drug-drug </w:t>
      </w:r>
      <w:r w:rsidRPr="00600475">
        <w:rPr>
          <w:color w:val="000000"/>
        </w:rPr>
        <w:t>interaction studies have been performed.</w:t>
      </w:r>
      <w:r>
        <w:rPr>
          <w:color w:val="000000"/>
        </w:rPr>
        <w:t xml:space="preserve"> </w:t>
      </w:r>
    </w:p>
    <w:p w:rsidR="004D5254" w:rsidRDefault="004D5254" w:rsidP="004D5254">
      <w:pPr>
        <w:autoSpaceDE w:val="0"/>
        <w:autoSpaceDN w:val="0"/>
        <w:adjustRightInd w:val="0"/>
      </w:pPr>
      <w:r w:rsidRPr="00675ECE">
        <w:t>Co-administration of probenecid resulted in dose-dependent reduction in clearance of pralatrexate and a commensurate increase in systemic exposure and half-life, and reduced tolerability of pralatrexate (</w:t>
      </w:r>
      <w:r>
        <w:t>S</w:t>
      </w:r>
      <w:r w:rsidRPr="00675ECE">
        <w:t>tudy PDX-01-014).</w:t>
      </w:r>
      <w:r>
        <w:t xml:space="preserve"> </w:t>
      </w:r>
      <w:r w:rsidRPr="00675ECE">
        <w:t xml:space="preserve">Although this study was conducted using </w:t>
      </w:r>
      <w:r>
        <w:t>a non-</w:t>
      </w:r>
      <w:r w:rsidRPr="00675ECE">
        <w:t>validated</w:t>
      </w:r>
      <w:r>
        <w:t>,</w:t>
      </w:r>
      <w:r w:rsidRPr="00675ECE">
        <w:t xml:space="preserve"> non</w:t>
      </w:r>
      <w:r>
        <w:t>-</w:t>
      </w:r>
      <w:r w:rsidRPr="00675ECE">
        <w:t xml:space="preserve">chiral assay, </w:t>
      </w:r>
      <w:r>
        <w:t xml:space="preserve">and there was no control group, </w:t>
      </w:r>
      <w:r w:rsidRPr="00675ECE">
        <w:t xml:space="preserve">the results are consistent with those observed when probenecid </w:t>
      </w:r>
      <w:r>
        <w:t>i</w:t>
      </w:r>
      <w:r w:rsidRPr="00675ECE">
        <w:t xml:space="preserve">s co-administered with methotrexate (Aherne </w:t>
      </w:r>
      <w:r w:rsidRPr="005F61C6">
        <w:rPr>
          <w:i/>
          <w:iCs/>
        </w:rPr>
        <w:t>et al</w:t>
      </w:r>
      <w:r w:rsidRPr="00E13692">
        <w:rPr>
          <w:iCs/>
        </w:rPr>
        <w:t>.</w:t>
      </w:r>
      <w:r w:rsidRPr="00E13692">
        <w:t>,</w:t>
      </w:r>
      <w:r>
        <w:t xml:space="preserve"> </w:t>
      </w:r>
      <w:r w:rsidRPr="00675ECE">
        <w:t>1978)</w:t>
      </w:r>
      <w:r>
        <w:t xml:space="preserve">. </w:t>
      </w:r>
      <w:r>
        <w:lastRenderedPageBreak/>
        <w:t>Therefore, the sponsor has included precautionary information about the co-administration of these agents in the proposed PI. This is reasonable.</w:t>
      </w:r>
    </w:p>
    <w:p w:rsidR="004D5254" w:rsidRPr="00675ECE" w:rsidRDefault="004D5254" w:rsidP="004D5254">
      <w:pPr>
        <w:autoSpaceDE w:val="0"/>
        <w:autoSpaceDN w:val="0"/>
        <w:adjustRightInd w:val="0"/>
      </w:pPr>
      <w:r w:rsidRPr="008331CB">
        <w:rPr>
          <w:color w:val="000000"/>
        </w:rPr>
        <w:t xml:space="preserve">Pralatrexate was studied in combination with docetaxel in </w:t>
      </w:r>
      <w:r>
        <w:rPr>
          <w:color w:val="000000"/>
        </w:rPr>
        <w:t xml:space="preserve">6 patients enrolled in Study </w:t>
      </w:r>
      <w:r w:rsidRPr="008331CB">
        <w:rPr>
          <w:color w:val="000000"/>
        </w:rPr>
        <w:t>PDX-99-083</w:t>
      </w:r>
      <w:r>
        <w:rPr>
          <w:color w:val="000000"/>
        </w:rPr>
        <w:t xml:space="preserve">. As previously mentioned, the </w:t>
      </w:r>
      <w:r w:rsidRPr="00B44D09">
        <w:t xml:space="preserve">sampling schedule was significantly shorter </w:t>
      </w:r>
      <w:r>
        <w:t xml:space="preserve">in this study than in studies PDX-008 and PDX-007. Furthermore, there was no patient cross-over and no patients received either pralatrexate or docetaxel alone. Consequently no firm conclusions can be made about the effect of docetaxel on pralatrexate pharmacokinetics and vice versa. </w:t>
      </w:r>
    </w:p>
    <w:p w:rsidR="004D5254" w:rsidRPr="002F2003" w:rsidRDefault="004D5254" w:rsidP="004D5254">
      <w:pPr>
        <w:autoSpaceDE w:val="0"/>
        <w:autoSpaceDN w:val="0"/>
        <w:adjustRightInd w:val="0"/>
        <w:rPr>
          <w:color w:val="000000"/>
          <w:lang w:val="en-GB" w:eastAsia="en-GB"/>
        </w:rPr>
      </w:pPr>
      <w:r>
        <w:rPr>
          <w:color w:val="000000"/>
        </w:rPr>
        <w:t>C</w:t>
      </w:r>
      <w:r w:rsidRPr="002F2003">
        <w:rPr>
          <w:color w:val="000000"/>
        </w:rPr>
        <w:t>ovariate PK analys</w:t>
      </w:r>
      <w:r>
        <w:rPr>
          <w:color w:val="000000"/>
        </w:rPr>
        <w:t>e</w:t>
      </w:r>
      <w:r w:rsidRPr="002F2003">
        <w:rPr>
          <w:color w:val="000000"/>
        </w:rPr>
        <w:t>s of potential drug-drug interactions did not show any significant correlation between pralatrexate and the concomitant administration of diuretics, non-steroidal anti-inflammatory drugs (NSAIDS), sulfonamides, and penicillin.</w:t>
      </w:r>
      <w:r>
        <w:rPr>
          <w:color w:val="000000"/>
        </w:rPr>
        <w:t xml:space="preserve"> </w:t>
      </w:r>
      <w:r w:rsidRPr="002F2003">
        <w:rPr>
          <w:color w:val="000000"/>
        </w:rPr>
        <w:t>H</w:t>
      </w:r>
      <w:r w:rsidRPr="002F2003">
        <w:t xml:space="preserve">owever, these </w:t>
      </w:r>
      <w:r>
        <w:t>m</w:t>
      </w:r>
      <w:r w:rsidRPr="002F2003">
        <w:t>edicines were used infrequen</w:t>
      </w:r>
      <w:r>
        <w:t>tl</w:t>
      </w:r>
      <w:r w:rsidRPr="002F2003">
        <w:t>y and the available information for the analysis was suboptimal (there was scant information about the actual NSAIDs or their dose/duration).</w:t>
      </w:r>
      <w:r>
        <w:t xml:space="preserve"> </w:t>
      </w:r>
      <w:r w:rsidRPr="002F2003">
        <w:t>The sponsor considered that the analysis had not excluded the possibility of</w:t>
      </w:r>
      <w:r>
        <w:t xml:space="preserve"> </w:t>
      </w:r>
      <w:r w:rsidRPr="002F2003">
        <w:t xml:space="preserve">underlying drug-drug interactions and, given </w:t>
      </w:r>
      <w:r w:rsidRPr="002F2003">
        <w:rPr>
          <w:color w:val="000000"/>
        </w:rPr>
        <w:t>the significant contribution of renal excretion to the overall clearance of pralatrexate,</w:t>
      </w:r>
      <w:r w:rsidRPr="002F2003">
        <w:t xml:space="preserve"> has appropriately, included precautionary statements that concomitant </w:t>
      </w:r>
      <w:r w:rsidRPr="002F2003">
        <w:rPr>
          <w:color w:val="000000"/>
        </w:rPr>
        <w:t xml:space="preserve">administration of drugs that affect glomerular filtration and/or renal tubular secretion, and </w:t>
      </w:r>
      <w:r w:rsidRPr="002F2003">
        <w:rPr>
          <w:color w:val="000000"/>
          <w:lang w:val="en-GB" w:eastAsia="en-GB"/>
        </w:rPr>
        <w:t>nephrotoxic drugs (aminoglycosides, loop diuretics, platinum compounds, cyclosporine) could also potentially result in reduced clearance of pralatrexate.</w:t>
      </w:r>
    </w:p>
    <w:p w:rsidR="004D5254" w:rsidRPr="0025080F" w:rsidRDefault="004D5254" w:rsidP="004D5254">
      <w:pPr>
        <w:pStyle w:val="Heading5"/>
        <w:numPr>
          <w:ilvl w:val="3"/>
          <w:numId w:val="5"/>
        </w:numPr>
      </w:pPr>
      <w:bookmarkStart w:id="115" w:name="_Toc272414634"/>
      <w:bookmarkStart w:id="116" w:name="_Toc290846257"/>
      <w:bookmarkStart w:id="117" w:name="_Toc320881436"/>
      <w:r w:rsidRPr="0025080F">
        <w:t>Clinical implications of in vitro findings</w:t>
      </w:r>
      <w:bookmarkEnd w:id="115"/>
      <w:bookmarkEnd w:id="116"/>
      <w:bookmarkEnd w:id="117"/>
    </w:p>
    <w:p w:rsidR="004D5254" w:rsidRDefault="004D5254" w:rsidP="004D5254">
      <w:pPr>
        <w:pStyle w:val="Heading6"/>
        <w:numPr>
          <w:ilvl w:val="4"/>
          <w:numId w:val="5"/>
        </w:numPr>
        <w:ind w:left="1702" w:hanging="1418"/>
      </w:pPr>
      <w:r>
        <w:t>Protein binding</w:t>
      </w:r>
    </w:p>
    <w:p w:rsidR="004D5254" w:rsidRDefault="004D5254" w:rsidP="004D5254">
      <w:pPr>
        <w:autoSpaceDE w:val="0"/>
        <w:autoSpaceDN w:val="0"/>
        <w:adjustRightInd w:val="0"/>
      </w:pPr>
      <w:r w:rsidRPr="00C1199B">
        <w:t xml:space="preserve">In the </w:t>
      </w:r>
      <w:r w:rsidRPr="0075643F">
        <w:rPr>
          <w:i/>
        </w:rPr>
        <w:t>in vitro</w:t>
      </w:r>
      <w:r w:rsidRPr="00C1199B">
        <w:t xml:space="preserve"> </w:t>
      </w:r>
      <w:r>
        <w:t>Study PDX-</w:t>
      </w:r>
      <w:r w:rsidRPr="00C1199B">
        <w:t>K-07043-U</w:t>
      </w:r>
      <w:r>
        <w:t>, racemic p</w:t>
      </w:r>
      <w:r w:rsidRPr="00C1199B">
        <w:t xml:space="preserve">ralatrexate </w:t>
      </w:r>
      <w:r>
        <w:t>at a test concentration of 17</w:t>
      </w:r>
      <w:r w:rsidRPr="005F61C6">
        <w:t xml:space="preserve"> µM</w:t>
      </w:r>
      <w:r>
        <w:t xml:space="preserve"> </w:t>
      </w:r>
      <w:r w:rsidRPr="00C1199B">
        <w:t>was not significantly displaced from its human plasma protein binding sites by phenytoin (albumin site I), warfarin (albumin site I), ceftriaxone (albumin site II), digoxin (albumin site III), disopyramide (α1-acid glycoprotein and albumin) or propranolol (α1-acid glycoprotein, albumin and lipoproteins)</w:t>
      </w:r>
      <w:r>
        <w:t xml:space="preserve">. Of note, the pralatrexate concentration used in this study approximated the mean </w:t>
      </w:r>
      <w:r w:rsidRPr="0075643F">
        <w:rPr>
          <w:i/>
        </w:rPr>
        <w:t>in vivo</w:t>
      </w:r>
      <w:r>
        <w:t xml:space="preserve"> C</w:t>
      </w:r>
      <w:r w:rsidRPr="0075643F">
        <w:rPr>
          <w:vertAlign w:val="subscript"/>
        </w:rPr>
        <w:t>max</w:t>
      </w:r>
      <w:r>
        <w:t xml:space="preserve"> (sum of both stereo-isomers) of 13</w:t>
      </w:r>
      <w:r w:rsidRPr="005F61C6">
        <w:t xml:space="preserve"> µM</w:t>
      </w:r>
      <w:r>
        <w:t xml:space="preserve"> (~</w:t>
      </w:r>
      <w:r w:rsidRPr="00927A4D">
        <w:t>6 μg/mL</w:t>
      </w:r>
      <w:r>
        <w:t>) observed in the pivotal Study PDX-008.</w:t>
      </w:r>
    </w:p>
    <w:p w:rsidR="004D5254" w:rsidRDefault="004D5254" w:rsidP="004D5254">
      <w:pPr>
        <w:autoSpaceDE w:val="0"/>
        <w:autoSpaceDN w:val="0"/>
        <w:adjustRightInd w:val="0"/>
      </w:pPr>
      <w:r>
        <w:t>Conversely, in Study PDX-</w:t>
      </w:r>
      <w:r w:rsidRPr="00C1199B">
        <w:t>07049-U</w:t>
      </w:r>
      <w:r>
        <w:t xml:space="preserve">, racemic pralatrexate at a concentration of </w:t>
      </w:r>
      <w:r w:rsidRPr="00F04743">
        <w:t>160</w:t>
      </w:r>
      <w:r>
        <w:t xml:space="preserve"> </w:t>
      </w:r>
      <w:r w:rsidRPr="00F04743">
        <w:rPr>
          <w:rFonts w:eastAsia="TimesNewRomanPSMT" w:cs="TimesNewRomanPSMT"/>
        </w:rPr>
        <w:t>μ</w:t>
      </w:r>
      <w:r w:rsidRPr="00F04743">
        <w:t>g/mL</w:t>
      </w:r>
      <w:r>
        <w:t xml:space="preserve"> did not significantly displace these same reference drugs (change in </w:t>
      </w:r>
      <w:r w:rsidRPr="00C1199B">
        <w:t>unbound fraction</w:t>
      </w:r>
      <w:r>
        <w:t xml:space="preserve"> </w:t>
      </w:r>
      <w:r>
        <w:rPr>
          <w:rFonts w:eastAsia="TimesNewRomanPSMT" w:cs="TimesNewRomanPSMT"/>
        </w:rPr>
        <w:t>≤</w:t>
      </w:r>
      <w:r w:rsidRPr="00C1199B">
        <w:rPr>
          <w:rFonts w:eastAsia="TimesNewRomanPSMT" w:cs="TimesNewRomanPSMT"/>
        </w:rPr>
        <w:t xml:space="preserve"> </w:t>
      </w:r>
      <w:r>
        <w:t xml:space="preserve">2%). Of note, the </w:t>
      </w:r>
      <w:r w:rsidRPr="005639C4">
        <w:t>highest observed C</w:t>
      </w:r>
      <w:r w:rsidRPr="005639C4">
        <w:rPr>
          <w:vertAlign w:val="subscript"/>
        </w:rPr>
        <w:t>max</w:t>
      </w:r>
      <w:r w:rsidRPr="005639C4">
        <w:t xml:space="preserve"> </w:t>
      </w:r>
      <w:r>
        <w:t xml:space="preserve">(sum of both stereo-isomers) in Study PDX-008 was 11.11 </w:t>
      </w:r>
      <w:r w:rsidRPr="005639C4">
        <w:t>μg/mL</w:t>
      </w:r>
      <w:r>
        <w:t xml:space="preserve"> ~23</w:t>
      </w:r>
      <w:r w:rsidRPr="005F61C6">
        <w:t xml:space="preserve"> µM</w:t>
      </w:r>
      <w:r>
        <w:t xml:space="preserve"> (in patient 93) which is approximately 14 times lower than the concentration used in this study.</w:t>
      </w:r>
    </w:p>
    <w:p w:rsidR="004D5254" w:rsidRPr="00473700" w:rsidRDefault="004D5254" w:rsidP="004D5254">
      <w:pPr>
        <w:autoSpaceDE w:val="0"/>
        <w:autoSpaceDN w:val="0"/>
        <w:adjustRightInd w:val="0"/>
      </w:pPr>
      <w:r>
        <w:t xml:space="preserve">On the basis of these findings </w:t>
      </w:r>
      <w:r w:rsidRPr="002F2003">
        <w:t>, it is unlikely that pralatrexate at therapeutic concentrations will</w:t>
      </w:r>
      <w:r>
        <w:t xml:space="preserve"> be displaced</w:t>
      </w:r>
      <w:r w:rsidRPr="00473700">
        <w:rPr>
          <w:color w:val="000000"/>
        </w:rPr>
        <w:t xml:space="preserve"> from human plasma proteins by other drugs</w:t>
      </w:r>
      <w:r>
        <w:rPr>
          <w:color w:val="000000"/>
        </w:rPr>
        <w:t xml:space="preserve"> </w:t>
      </w:r>
      <w:r w:rsidRPr="00473700">
        <w:rPr>
          <w:color w:val="000000"/>
        </w:rPr>
        <w:t>(phenytoin, warfarin, ceftriaxone, digoxin, propranolol, and</w:t>
      </w:r>
      <w:r>
        <w:rPr>
          <w:color w:val="000000"/>
        </w:rPr>
        <w:t xml:space="preserve"> </w:t>
      </w:r>
      <w:r w:rsidRPr="00473700">
        <w:rPr>
          <w:color w:val="000000"/>
        </w:rPr>
        <w:t>disopyramide)</w:t>
      </w:r>
      <w:r>
        <w:rPr>
          <w:color w:val="000000"/>
        </w:rPr>
        <w:t xml:space="preserve"> or </w:t>
      </w:r>
      <w:r w:rsidRPr="002F2003">
        <w:t xml:space="preserve">cause clinically relevant increases in unbound drug concentrations of other drugs as a result of </w:t>
      </w:r>
      <w:r>
        <w:t xml:space="preserve">their </w:t>
      </w:r>
      <w:r w:rsidRPr="002F2003">
        <w:t>displacement from plasma proteins</w:t>
      </w:r>
      <w:r>
        <w:t>.</w:t>
      </w:r>
    </w:p>
    <w:p w:rsidR="004D5254" w:rsidRDefault="004D5254" w:rsidP="004D5254">
      <w:pPr>
        <w:pStyle w:val="Heading6"/>
        <w:numPr>
          <w:ilvl w:val="4"/>
          <w:numId w:val="5"/>
        </w:numPr>
        <w:ind w:left="1702" w:hanging="1418"/>
      </w:pPr>
      <w:r>
        <w:t>CYP450 interaction</w:t>
      </w:r>
    </w:p>
    <w:p w:rsidR="004D5254" w:rsidRDefault="004D5254" w:rsidP="004D5254">
      <w:pPr>
        <w:autoSpaceDE w:val="0"/>
        <w:autoSpaceDN w:val="0"/>
        <w:adjustRightInd w:val="0"/>
      </w:pPr>
      <w:r w:rsidRPr="00951779">
        <w:t>Pralatrexate is not a substrate for the CYP450 microsomes</w:t>
      </w:r>
      <w:r>
        <w:t xml:space="preserve"> (Study PDX-K-08062-U)</w:t>
      </w:r>
      <w:r w:rsidRPr="00951779">
        <w:t>.</w:t>
      </w:r>
      <w:r>
        <w:t xml:space="preserve"> Five</w:t>
      </w:r>
      <w:r w:rsidRPr="00951779">
        <w:t xml:space="preserve"> </w:t>
      </w:r>
      <w:r w:rsidRPr="00156510">
        <w:rPr>
          <w:i/>
        </w:rPr>
        <w:t>in vitro</w:t>
      </w:r>
      <w:r>
        <w:t xml:space="preserve"> </w:t>
      </w:r>
      <w:r w:rsidRPr="00951779">
        <w:t xml:space="preserve">studies examined the potential </w:t>
      </w:r>
      <w:r>
        <w:t>of</w:t>
      </w:r>
      <w:r w:rsidRPr="00951779">
        <w:t xml:space="preserve"> pralatrexate to </w:t>
      </w:r>
      <w:r w:rsidRPr="00F13485">
        <w:rPr>
          <w:u w:val="single"/>
        </w:rPr>
        <w:t>inhibit</w:t>
      </w:r>
      <w:r w:rsidRPr="00951779">
        <w:t xml:space="preserve"> </w:t>
      </w:r>
      <w:r>
        <w:t>the CYP450 system. Key findings from these studies were:</w:t>
      </w:r>
    </w:p>
    <w:p w:rsidR="004D5254" w:rsidRPr="00403653" w:rsidRDefault="004D5254" w:rsidP="004D5254">
      <w:pPr>
        <w:pStyle w:val="ListBullet"/>
        <w:numPr>
          <w:ilvl w:val="0"/>
          <w:numId w:val="1"/>
        </w:numPr>
      </w:pPr>
      <w:r>
        <w:t>There was no significant inhibition of</w:t>
      </w:r>
      <w:r w:rsidRPr="00156510">
        <w:t xml:space="preserve"> CYP1A2, CYP2A6, CYP2C9,</w:t>
      </w:r>
      <w:r>
        <w:t xml:space="preserve"> </w:t>
      </w:r>
      <w:r w:rsidRPr="00447B54">
        <w:t>CYP2D6, or CYP2E1 by pralatrexate at concentrations of 20</w:t>
      </w:r>
      <w:r>
        <w:t>,</w:t>
      </w:r>
      <w:r w:rsidRPr="00447B54">
        <w:t xml:space="preserve"> 50 and 100</w:t>
      </w:r>
      <w:r w:rsidRPr="005F61C6">
        <w:t xml:space="preserve"> µM</w:t>
      </w:r>
      <w:r>
        <w:t xml:space="preserve"> (Study PDX-K-07032-U) and no significant</w:t>
      </w:r>
      <w:r w:rsidRPr="00156510">
        <w:t xml:space="preserve"> inhibition of CYP1A2, CYP2</w:t>
      </w:r>
      <w:r>
        <w:t>C8, CYP2C9 or CYP3A4 at a pralatrexate concentration of 100</w:t>
      </w:r>
      <w:r w:rsidRPr="005F61C6">
        <w:t xml:space="preserve"> µM</w:t>
      </w:r>
      <w:r>
        <w:t xml:space="preserve"> (Study PDX-K-07033-U);</w:t>
      </w:r>
    </w:p>
    <w:p w:rsidR="004D5254" w:rsidRDefault="004D5254" w:rsidP="004D5254">
      <w:pPr>
        <w:pStyle w:val="ListBullet"/>
        <w:numPr>
          <w:ilvl w:val="0"/>
          <w:numId w:val="1"/>
        </w:numPr>
      </w:pPr>
      <w:r>
        <w:rPr>
          <w:color w:val="000000"/>
        </w:rPr>
        <w:t>Pralatrexate has very weak inhibitory potential on CYP2B6, shown by an IC</w:t>
      </w:r>
      <w:r w:rsidRPr="005012CE">
        <w:rPr>
          <w:color w:val="000000"/>
          <w:vertAlign w:val="subscript"/>
        </w:rPr>
        <w:t>50</w:t>
      </w:r>
      <w:r>
        <w:rPr>
          <w:color w:val="000000"/>
        </w:rPr>
        <w:t xml:space="preserve"> &gt; 5000</w:t>
      </w:r>
      <w:r w:rsidRPr="005F61C6">
        <w:rPr>
          <w:color w:val="000000"/>
        </w:rPr>
        <w:t xml:space="preserve"> µM</w:t>
      </w:r>
      <w:r>
        <w:rPr>
          <w:color w:val="000000"/>
        </w:rPr>
        <w:t xml:space="preserve"> (Study PDX-K-11089)</w:t>
      </w:r>
    </w:p>
    <w:p w:rsidR="004D5254" w:rsidRPr="00403653" w:rsidRDefault="004D5254" w:rsidP="004D5254">
      <w:pPr>
        <w:pStyle w:val="ListBullet"/>
        <w:numPr>
          <w:ilvl w:val="0"/>
          <w:numId w:val="1"/>
        </w:numPr>
        <w:rPr>
          <w:color w:val="000000"/>
        </w:rPr>
      </w:pPr>
      <w:r w:rsidRPr="00403653">
        <w:t xml:space="preserve">Pralatrexate produced &gt;50% inhibition of CYP2C19 at concentrations </w:t>
      </w:r>
      <w:r>
        <w:t xml:space="preserve">≥ </w:t>
      </w:r>
      <w:r w:rsidRPr="00403653">
        <w:t>50</w:t>
      </w:r>
      <w:r w:rsidRPr="005F61C6">
        <w:t xml:space="preserve"> µM</w:t>
      </w:r>
      <w:r w:rsidRPr="00403653">
        <w:t xml:space="preserve"> (Study PDX-K-07032-U), including 53% inhibition at 100</w:t>
      </w:r>
      <w:r w:rsidRPr="005F61C6">
        <w:t xml:space="preserve"> µM</w:t>
      </w:r>
      <w:r w:rsidRPr="00403653">
        <w:t xml:space="preserve"> Study PDX-K-07033-U.</w:t>
      </w:r>
      <w:r>
        <w:t xml:space="preserve"> Furthermore, </w:t>
      </w:r>
      <w:r>
        <w:rPr>
          <w:color w:val="000000"/>
        </w:rPr>
        <w:lastRenderedPageBreak/>
        <w:t>p</w:t>
      </w:r>
      <w:r w:rsidRPr="00403653">
        <w:rPr>
          <w:color w:val="000000"/>
        </w:rPr>
        <w:t>ralatrexate was found to inhibit CYP2C19 by either a mixed or a non-competitive model</w:t>
      </w:r>
      <w:r>
        <w:rPr>
          <w:color w:val="000000"/>
        </w:rPr>
        <w:t>, with a</w:t>
      </w:r>
      <w:r w:rsidRPr="00403653">
        <w:rPr>
          <w:color w:val="000000"/>
        </w:rPr>
        <w:t xml:space="preserve"> K</w:t>
      </w:r>
      <w:r w:rsidRPr="00403653">
        <w:rPr>
          <w:color w:val="000000"/>
          <w:vertAlign w:val="subscript"/>
        </w:rPr>
        <w:t>i</w:t>
      </w:r>
      <w:r w:rsidRPr="00403653">
        <w:rPr>
          <w:color w:val="000000"/>
        </w:rPr>
        <w:t xml:space="preserve"> of CYP2C19 inhibition &gt; 1mM (Study PDX-K-07044-U).</w:t>
      </w:r>
      <w:r>
        <w:rPr>
          <w:color w:val="000000"/>
        </w:rPr>
        <w:t xml:space="preserve"> Based on </w:t>
      </w:r>
      <w:r w:rsidRPr="00403653">
        <w:rPr>
          <w:color w:val="000000"/>
        </w:rPr>
        <w:t>the highest observed C</w:t>
      </w:r>
      <w:r w:rsidRPr="00403653">
        <w:rPr>
          <w:color w:val="000000"/>
          <w:vertAlign w:val="subscript"/>
        </w:rPr>
        <w:t>max</w:t>
      </w:r>
      <w:r w:rsidRPr="00403653">
        <w:rPr>
          <w:color w:val="000000"/>
        </w:rPr>
        <w:t xml:space="preserve"> in </w:t>
      </w:r>
      <w:r>
        <w:rPr>
          <w:color w:val="000000"/>
        </w:rPr>
        <w:t>Study PDX-</w:t>
      </w:r>
      <w:r w:rsidRPr="00403653">
        <w:rPr>
          <w:color w:val="000000"/>
        </w:rPr>
        <w:t xml:space="preserve">008, pralatrexate is unlikely to inhibit CYP2C19 </w:t>
      </w:r>
      <w:r w:rsidRPr="00403653">
        <w:rPr>
          <w:i/>
          <w:color w:val="000000"/>
        </w:rPr>
        <w:t>in vivo</w:t>
      </w:r>
      <w:r>
        <w:rPr>
          <w:color w:val="000000"/>
        </w:rPr>
        <w:t xml:space="preserve"> when used at the recommended dose of 30 mg/m</w:t>
      </w:r>
      <w:r w:rsidRPr="008D7ED7">
        <w:rPr>
          <w:color w:val="000000"/>
          <w:vertAlign w:val="superscript"/>
        </w:rPr>
        <w:t>2</w:t>
      </w:r>
      <w:r w:rsidRPr="00403653">
        <w:rPr>
          <w:color w:val="000000"/>
        </w:rPr>
        <w:t>;</w:t>
      </w:r>
      <w:r>
        <w:rPr>
          <w:color w:val="000000"/>
        </w:rPr>
        <w:t xml:space="preserve"> and</w:t>
      </w:r>
    </w:p>
    <w:p w:rsidR="004D5254" w:rsidRPr="00403653" w:rsidRDefault="004D5254" w:rsidP="004D5254">
      <w:pPr>
        <w:pStyle w:val="ListBullet"/>
        <w:numPr>
          <w:ilvl w:val="0"/>
          <w:numId w:val="1"/>
        </w:numPr>
        <w:rPr>
          <w:color w:val="000000"/>
        </w:rPr>
      </w:pPr>
      <w:r>
        <w:rPr>
          <w:color w:val="000000"/>
        </w:rPr>
        <w:t>Further to Study PDX-K-07044-U, the IC</w:t>
      </w:r>
      <w:r w:rsidRPr="00F13485">
        <w:rPr>
          <w:color w:val="000000"/>
          <w:vertAlign w:val="subscript"/>
        </w:rPr>
        <w:t>50</w:t>
      </w:r>
      <w:r>
        <w:rPr>
          <w:color w:val="000000"/>
        </w:rPr>
        <w:t xml:space="preserve"> values of pralatrexate for </w:t>
      </w:r>
      <w:r w:rsidRPr="00447B54">
        <w:rPr>
          <w:color w:val="000000"/>
        </w:rPr>
        <w:t>CYP2C19</w:t>
      </w:r>
      <w:r>
        <w:rPr>
          <w:color w:val="000000"/>
        </w:rPr>
        <w:t xml:space="preserve"> in human liver microsomes were found to be high (&gt;3500 </w:t>
      </w:r>
      <w:r w:rsidRPr="005F61C6">
        <w:rPr>
          <w:color w:val="000000"/>
        </w:rPr>
        <w:t>µM</w:t>
      </w:r>
      <w:r>
        <w:rPr>
          <w:color w:val="000000"/>
        </w:rPr>
        <w:t>) under both reversible and irreversible incubation conditions, indicating that the inhibition of CYP2C19 by pralatrexate is very weak (Study PDX-K-11090).</w:t>
      </w:r>
    </w:p>
    <w:p w:rsidR="004D5254" w:rsidRDefault="004D5254" w:rsidP="004D5254">
      <w:pPr>
        <w:autoSpaceDE w:val="0"/>
        <w:autoSpaceDN w:val="0"/>
        <w:adjustRightInd w:val="0"/>
      </w:pPr>
      <w:r>
        <w:t xml:space="preserve">Also, pralatrexate </w:t>
      </w:r>
      <w:r w:rsidRPr="00447B54">
        <w:t>at concentrations of 2, 10 and 50</w:t>
      </w:r>
      <w:r w:rsidRPr="00447B54">
        <w:rPr>
          <w:rFonts w:eastAsia="TimesNewRomanPSMT" w:cs="TimesNewRomanPSMT"/>
        </w:rPr>
        <w:t>μ</w:t>
      </w:r>
      <w:r w:rsidRPr="00447B54">
        <w:t xml:space="preserve">M </w:t>
      </w:r>
      <w:r>
        <w:t xml:space="preserve">did not </w:t>
      </w:r>
      <w:r w:rsidRPr="00F13485">
        <w:rPr>
          <w:color w:val="000000"/>
          <w:u w:val="single"/>
        </w:rPr>
        <w:t>induce</w:t>
      </w:r>
      <w:r w:rsidRPr="00447B54">
        <w:rPr>
          <w:color w:val="000000"/>
        </w:rPr>
        <w:t xml:space="preserve"> </w:t>
      </w:r>
      <w:r w:rsidRPr="00447B54">
        <w:t>CYP1A2, CYP2C19</w:t>
      </w:r>
      <w:r>
        <w:t xml:space="preserve"> or </w:t>
      </w:r>
      <w:r w:rsidRPr="00447B54">
        <w:t xml:space="preserve">CYP3A4 </w:t>
      </w:r>
      <w:r>
        <w:t xml:space="preserve">when </w:t>
      </w:r>
      <w:r w:rsidRPr="00447B54">
        <w:t>tested in fresh hepatocytes from 3 human</w:t>
      </w:r>
      <w:r>
        <w:t xml:space="preserve"> </w:t>
      </w:r>
      <w:r w:rsidRPr="00447B54">
        <w:t>donors</w:t>
      </w:r>
      <w:r>
        <w:t xml:space="preserve"> (Study PDX-K-08060-U).</w:t>
      </w:r>
    </w:p>
    <w:p w:rsidR="004D5254" w:rsidRDefault="004D5254" w:rsidP="004D5254">
      <w:pPr>
        <w:autoSpaceDE w:val="0"/>
        <w:autoSpaceDN w:val="0"/>
        <w:adjustRightInd w:val="0"/>
      </w:pPr>
      <w:r>
        <w:t xml:space="preserve">The maximum pralatrexate </w:t>
      </w:r>
      <w:r w:rsidRPr="00502E21">
        <w:t xml:space="preserve">concentrations </w:t>
      </w:r>
      <w:r>
        <w:t xml:space="preserve">used in these studies were </w:t>
      </w:r>
      <w:r w:rsidRPr="00502E21">
        <w:t xml:space="preserve">in access of </w:t>
      </w:r>
      <w:r>
        <w:t xml:space="preserve">maximum </w:t>
      </w:r>
      <w:r w:rsidRPr="00502E21">
        <w:t>plasma concentrations achieved in the</w:t>
      </w:r>
      <w:r>
        <w:t xml:space="preserve"> </w:t>
      </w:r>
      <w:r w:rsidRPr="00502E21">
        <w:t xml:space="preserve">pivotal clinical </w:t>
      </w:r>
      <w:r>
        <w:t>Study PDX-</w:t>
      </w:r>
      <w:r w:rsidRPr="00502E21">
        <w:t>008</w:t>
      </w:r>
      <w:r>
        <w:t xml:space="preserve">. </w:t>
      </w:r>
      <w:r w:rsidRPr="00502E21">
        <w:t>Therefore, pralatrexate is not likely to affect</w:t>
      </w:r>
      <w:r>
        <w:t xml:space="preserve"> </w:t>
      </w:r>
      <w:r w:rsidRPr="00502E21">
        <w:t xml:space="preserve">CYP450-mediated metabolism of other drugs </w:t>
      </w:r>
      <w:r>
        <w:t>when used at the</w:t>
      </w:r>
      <w:r w:rsidRPr="00502E21">
        <w:t xml:space="preserve"> doses </w:t>
      </w:r>
      <w:r>
        <w:t>recommended</w:t>
      </w:r>
      <w:r w:rsidRPr="00502E21">
        <w:t xml:space="preserve"> for the </w:t>
      </w:r>
      <w:r>
        <w:t xml:space="preserve">proposed </w:t>
      </w:r>
      <w:r w:rsidRPr="00502E21">
        <w:t>clinical indication.</w:t>
      </w:r>
    </w:p>
    <w:p w:rsidR="004D5254" w:rsidRDefault="004D5254" w:rsidP="004D5254">
      <w:pPr>
        <w:pStyle w:val="Heading6"/>
        <w:numPr>
          <w:ilvl w:val="4"/>
          <w:numId w:val="5"/>
        </w:numPr>
        <w:ind w:left="1702" w:hanging="1418"/>
      </w:pPr>
      <w:r>
        <w:t>Interaction with transporter systems</w:t>
      </w:r>
    </w:p>
    <w:p w:rsidR="004D5254" w:rsidRDefault="004D5254" w:rsidP="004D5254">
      <w:pPr>
        <w:autoSpaceDE w:val="0"/>
        <w:autoSpaceDN w:val="0"/>
        <w:adjustRightInd w:val="0"/>
        <w:rPr>
          <w:color w:val="000000"/>
        </w:rPr>
      </w:pPr>
      <w:r>
        <w:rPr>
          <w:iCs/>
          <w:color w:val="000000"/>
        </w:rPr>
        <w:t>S</w:t>
      </w:r>
      <w:r>
        <w:rPr>
          <w:color w:val="000000"/>
        </w:rPr>
        <w:t xml:space="preserve">tudy </w:t>
      </w:r>
      <w:r w:rsidRPr="00847240">
        <w:t>PDX-</w:t>
      </w:r>
      <w:r>
        <w:t>K-</w:t>
      </w:r>
      <w:r w:rsidRPr="00847240">
        <w:t>08059-U</w:t>
      </w:r>
      <w:r>
        <w:rPr>
          <w:color w:val="000000"/>
        </w:rPr>
        <w:t xml:space="preserve"> demonstrated that pralatrexate </w:t>
      </w:r>
      <w:r w:rsidRPr="00847240">
        <w:t>is not a substrate for</w:t>
      </w:r>
      <w:r>
        <w:t xml:space="preserve"> P-gp</w:t>
      </w:r>
      <w:r w:rsidRPr="00847240">
        <w:t xml:space="preserve">, </w:t>
      </w:r>
      <w:r>
        <w:t xml:space="preserve">and </w:t>
      </w:r>
      <w:r w:rsidRPr="00847240">
        <w:t xml:space="preserve">does </w:t>
      </w:r>
      <w:r>
        <w:t>not</w:t>
      </w:r>
      <w:r w:rsidRPr="00847240">
        <w:t xml:space="preserve"> </w:t>
      </w:r>
      <w:r>
        <w:t>significantly i</w:t>
      </w:r>
      <w:r w:rsidRPr="00847240">
        <w:t>nhibit</w:t>
      </w:r>
      <w:r>
        <w:t xml:space="preserve"> or </w:t>
      </w:r>
      <w:r w:rsidRPr="00847240">
        <w:t>induce</w:t>
      </w:r>
      <w:r>
        <w:t xml:space="preserve"> </w:t>
      </w:r>
      <w:r w:rsidRPr="00847240">
        <w:t>P</w:t>
      </w:r>
      <w:r>
        <w:t>-</w:t>
      </w:r>
      <w:r w:rsidRPr="00847240">
        <w:t>gp</w:t>
      </w:r>
      <w:r>
        <w:t xml:space="preserve">. The </w:t>
      </w:r>
      <w:r>
        <w:rPr>
          <w:color w:val="000000"/>
        </w:rPr>
        <w:t xml:space="preserve">maximum </w:t>
      </w:r>
      <w:r w:rsidRPr="00F04743">
        <w:rPr>
          <w:color w:val="000000"/>
        </w:rPr>
        <w:t xml:space="preserve">concentration </w:t>
      </w:r>
      <w:r>
        <w:rPr>
          <w:color w:val="000000"/>
        </w:rPr>
        <w:t>(</w:t>
      </w:r>
      <w:r w:rsidRPr="00F04743">
        <w:rPr>
          <w:color w:val="000000"/>
        </w:rPr>
        <w:t>500</w:t>
      </w:r>
      <w:r>
        <w:rPr>
          <w:color w:val="000000"/>
        </w:rPr>
        <w:t xml:space="preserve"> </w:t>
      </w:r>
      <w:r w:rsidRPr="00F04743">
        <w:rPr>
          <w:color w:val="000000"/>
        </w:rPr>
        <w:t>μM</w:t>
      </w:r>
      <w:r>
        <w:rPr>
          <w:color w:val="000000"/>
        </w:rPr>
        <w:t xml:space="preserve">) used in this study </w:t>
      </w:r>
      <w:r w:rsidRPr="00F04743">
        <w:rPr>
          <w:color w:val="000000"/>
        </w:rPr>
        <w:t>far exceed</w:t>
      </w:r>
      <w:r>
        <w:rPr>
          <w:color w:val="000000"/>
        </w:rPr>
        <w:t>ed</w:t>
      </w:r>
      <w:r w:rsidRPr="00F04743">
        <w:rPr>
          <w:color w:val="000000"/>
        </w:rPr>
        <w:t xml:space="preserve"> the highest observed C</w:t>
      </w:r>
      <w:r w:rsidRPr="00847240">
        <w:rPr>
          <w:color w:val="000000"/>
          <w:vertAlign w:val="subscript"/>
        </w:rPr>
        <w:t>max</w:t>
      </w:r>
      <w:r w:rsidRPr="00F04743">
        <w:rPr>
          <w:color w:val="000000"/>
        </w:rPr>
        <w:t xml:space="preserve"> in the pivotal</w:t>
      </w:r>
      <w:r>
        <w:rPr>
          <w:color w:val="000000"/>
        </w:rPr>
        <w:t xml:space="preserve"> </w:t>
      </w:r>
      <w:r w:rsidRPr="00F04743">
        <w:rPr>
          <w:color w:val="000000"/>
        </w:rPr>
        <w:t xml:space="preserve">clinical </w:t>
      </w:r>
      <w:r>
        <w:rPr>
          <w:color w:val="000000"/>
        </w:rPr>
        <w:t>Study PDX-</w:t>
      </w:r>
      <w:r w:rsidRPr="00F04743">
        <w:rPr>
          <w:color w:val="000000"/>
        </w:rPr>
        <w:t>008 (</w:t>
      </w:r>
      <w:r>
        <w:rPr>
          <w:color w:val="000000"/>
        </w:rPr>
        <w:t>~</w:t>
      </w:r>
      <w:r w:rsidRPr="00F04743">
        <w:rPr>
          <w:rFonts w:eastAsia="TimesNewRomanPSMT" w:cs="TimesNewRomanPSMT"/>
          <w:color w:val="000000"/>
        </w:rPr>
        <w:t xml:space="preserve"> </w:t>
      </w:r>
      <w:r>
        <w:rPr>
          <w:rFonts w:eastAsia="TimesNewRomanPSMT" w:cs="TimesNewRomanPSMT"/>
          <w:color w:val="000000"/>
        </w:rPr>
        <w:t>23</w:t>
      </w:r>
      <w:r w:rsidRPr="00F04743">
        <w:rPr>
          <w:color w:val="000000"/>
        </w:rPr>
        <w:t xml:space="preserve"> μM [mean C</w:t>
      </w:r>
      <w:r w:rsidRPr="00150661">
        <w:rPr>
          <w:color w:val="000000"/>
          <w:vertAlign w:val="subscript"/>
        </w:rPr>
        <w:t>max</w:t>
      </w:r>
      <w:r w:rsidRPr="00F04743">
        <w:rPr>
          <w:color w:val="000000"/>
        </w:rPr>
        <w:t xml:space="preserve">: </w:t>
      </w:r>
      <w:r>
        <w:rPr>
          <w:color w:val="000000"/>
        </w:rPr>
        <w:t>~</w:t>
      </w:r>
      <w:r w:rsidRPr="00F04743">
        <w:rPr>
          <w:rFonts w:eastAsia="TimesNewRomanPSMT" w:cs="TimesNewRomanPSMT"/>
          <w:color w:val="000000"/>
        </w:rPr>
        <w:t xml:space="preserve"> </w:t>
      </w:r>
      <w:r w:rsidRPr="00F04743">
        <w:rPr>
          <w:color w:val="000000"/>
        </w:rPr>
        <w:t>13 μM]).</w:t>
      </w:r>
      <w:r>
        <w:rPr>
          <w:color w:val="000000"/>
        </w:rPr>
        <w:t xml:space="preserve"> Thus, it is </w:t>
      </w:r>
      <w:r w:rsidRPr="00F04743">
        <w:rPr>
          <w:color w:val="000000"/>
        </w:rPr>
        <w:t>unlikely that pralatrexate will affect excretion of other</w:t>
      </w:r>
      <w:r>
        <w:rPr>
          <w:color w:val="000000"/>
        </w:rPr>
        <w:t xml:space="preserve"> </w:t>
      </w:r>
      <w:r w:rsidRPr="00F04743">
        <w:rPr>
          <w:color w:val="000000"/>
        </w:rPr>
        <w:t xml:space="preserve">drugs </w:t>
      </w:r>
      <w:r w:rsidRPr="00847240">
        <w:rPr>
          <w:i/>
          <w:color w:val="000000"/>
        </w:rPr>
        <w:t>in vivo</w:t>
      </w:r>
      <w:r>
        <w:rPr>
          <w:color w:val="000000"/>
        </w:rPr>
        <w:t xml:space="preserve"> </w:t>
      </w:r>
      <w:r w:rsidRPr="00F04743">
        <w:rPr>
          <w:color w:val="000000"/>
        </w:rPr>
        <w:t>through an interaction with P-gp.</w:t>
      </w:r>
    </w:p>
    <w:p w:rsidR="004D5254" w:rsidRDefault="004D5254" w:rsidP="004D5254">
      <w:pPr>
        <w:autoSpaceDE w:val="0"/>
        <w:autoSpaceDN w:val="0"/>
        <w:adjustRightInd w:val="0"/>
        <w:rPr>
          <w:rFonts w:eastAsia="TimesNewRoman" w:cs="TimesNewRoman"/>
        </w:rPr>
      </w:pPr>
      <w:r>
        <w:rPr>
          <w:rFonts w:eastAsia="TimesNewRoman" w:cs="TimesNewRoman"/>
        </w:rPr>
        <w:t>P</w:t>
      </w:r>
      <w:r w:rsidRPr="00C56F41">
        <w:rPr>
          <w:rFonts w:eastAsia="TimesNewRoman" w:cs="TimesNewRoman"/>
        </w:rPr>
        <w:t xml:space="preserve">ralatrexate was </w:t>
      </w:r>
      <w:r>
        <w:rPr>
          <w:rFonts w:eastAsia="TimesNewRoman" w:cs="TimesNewRoman"/>
        </w:rPr>
        <w:t xml:space="preserve">found to be </w:t>
      </w:r>
      <w:r w:rsidRPr="00C56F41">
        <w:rPr>
          <w:rFonts w:eastAsia="TimesNewRoman" w:cs="TimesNewRoman"/>
        </w:rPr>
        <w:t>a low</w:t>
      </w:r>
      <w:r>
        <w:rPr>
          <w:rFonts w:eastAsia="TimesNewRoman" w:cs="TimesNewRoman"/>
        </w:rPr>
        <w:t>-</w:t>
      </w:r>
      <w:r w:rsidRPr="00C56F41">
        <w:rPr>
          <w:rFonts w:eastAsia="TimesNewRoman" w:cs="TimesNewRoman"/>
        </w:rPr>
        <w:t>to</w:t>
      </w:r>
      <w:r>
        <w:rPr>
          <w:rFonts w:eastAsia="TimesNewRoman" w:cs="TimesNewRoman"/>
        </w:rPr>
        <w:t>-</w:t>
      </w:r>
      <w:r w:rsidRPr="00C56F41">
        <w:rPr>
          <w:rFonts w:eastAsia="TimesNewRoman" w:cs="TimesNewRoman"/>
        </w:rPr>
        <w:t xml:space="preserve">moderate substrate for </w:t>
      </w:r>
      <w:r>
        <w:rPr>
          <w:rFonts w:eastAsia="TimesNewRoman" w:cs="TimesNewRoman"/>
        </w:rPr>
        <w:t xml:space="preserve">the membrane efflux transporters </w:t>
      </w:r>
      <w:r w:rsidRPr="00C56F41">
        <w:rPr>
          <w:rFonts w:eastAsia="TimesNewRoman" w:cs="TimesNewRoman"/>
        </w:rPr>
        <w:t>BCRP,</w:t>
      </w:r>
      <w:r>
        <w:rPr>
          <w:rFonts w:eastAsia="TimesNewRoman" w:cs="TimesNewRoman"/>
        </w:rPr>
        <w:t xml:space="preserve"> </w:t>
      </w:r>
      <w:r w:rsidRPr="00C56F41">
        <w:rPr>
          <w:rFonts w:eastAsia="TimesNewRoman" w:cs="TimesNewRoman"/>
        </w:rPr>
        <w:t>MRP2 and MRP3</w:t>
      </w:r>
      <w:r>
        <w:rPr>
          <w:rFonts w:eastAsia="TimesNewRoman" w:cs="TimesNewRoman"/>
        </w:rPr>
        <w:t xml:space="preserve"> (Studies </w:t>
      </w:r>
      <w:r w:rsidRPr="00C56F41">
        <w:rPr>
          <w:rFonts w:eastAsia="TimesNewRoman" w:cs="TimesNewRoman"/>
        </w:rPr>
        <w:t>PDX-K-10078-U</w:t>
      </w:r>
      <w:r>
        <w:rPr>
          <w:rFonts w:eastAsia="TimesNewRoman" w:cs="TimesNewRoman"/>
        </w:rPr>
        <w:t xml:space="preserve"> and </w:t>
      </w:r>
      <w:r w:rsidRPr="00C56F41">
        <w:rPr>
          <w:rFonts w:eastAsia="TimesNewRoman" w:cs="TimesNewRoman"/>
        </w:rPr>
        <w:t>PDX-K-1008</w:t>
      </w:r>
      <w:r>
        <w:rPr>
          <w:rFonts w:eastAsia="TimesNewRoman" w:cs="TimesNewRoman"/>
        </w:rPr>
        <w:t>1</w:t>
      </w:r>
      <w:r w:rsidRPr="00C56F41">
        <w:rPr>
          <w:rFonts w:eastAsia="TimesNewRoman" w:cs="TimesNewRoman"/>
        </w:rPr>
        <w:t>-U</w:t>
      </w:r>
      <w:r>
        <w:rPr>
          <w:rFonts w:eastAsia="TimesNewRoman" w:cs="TimesNewRoman"/>
        </w:rPr>
        <w:t xml:space="preserve">). Study </w:t>
      </w:r>
      <w:r w:rsidRPr="00C56F41">
        <w:rPr>
          <w:rFonts w:eastAsia="TimesNewRoman" w:cs="TimesNewRoman"/>
        </w:rPr>
        <w:t>PDX-K-10078-U</w:t>
      </w:r>
      <w:r>
        <w:rPr>
          <w:rFonts w:eastAsia="TimesNewRoman" w:cs="TimesNewRoman"/>
        </w:rPr>
        <w:t xml:space="preserve"> also demonstrated that pralatrexate is a not a significant inhibitor of BRCP but is a moderate inhibitor of </w:t>
      </w:r>
      <w:r w:rsidRPr="00C56F41">
        <w:rPr>
          <w:rFonts w:eastAsia="TimesNewRoman" w:cs="TimesNewRoman"/>
        </w:rPr>
        <w:t>MRP2 (IC</w:t>
      </w:r>
      <w:r w:rsidRPr="00C56F41">
        <w:rPr>
          <w:rFonts w:eastAsia="TimesNewRoman" w:cs="TimesNewRoman"/>
          <w:vertAlign w:val="subscript"/>
        </w:rPr>
        <w:t>50</w:t>
      </w:r>
      <w:r w:rsidRPr="00C56F41">
        <w:rPr>
          <w:rFonts w:eastAsia="TimesNewRoman" w:cs="TimesNewRoman"/>
        </w:rPr>
        <w:t xml:space="preserve"> = 43.5 μM)</w:t>
      </w:r>
      <w:r>
        <w:rPr>
          <w:rFonts w:eastAsia="TimesNewRoman" w:cs="TimesNewRoman"/>
        </w:rPr>
        <w:t xml:space="preserve"> and a potent inhibitor of </w:t>
      </w:r>
      <w:r w:rsidRPr="00C56F41">
        <w:rPr>
          <w:rFonts w:eastAsia="TimesNewRoman" w:cs="TimesNewRoman"/>
        </w:rPr>
        <w:t>MRP3 (IC</w:t>
      </w:r>
      <w:r w:rsidRPr="00C56F41">
        <w:rPr>
          <w:rFonts w:eastAsia="TimesNewRoman" w:cs="TimesNewRoman"/>
          <w:vertAlign w:val="subscript"/>
        </w:rPr>
        <w:t>50</w:t>
      </w:r>
      <w:r w:rsidRPr="00C56F41">
        <w:rPr>
          <w:rFonts w:eastAsia="TimesNewRoman" w:cs="TimesNewRoman"/>
        </w:rPr>
        <w:t xml:space="preserve"> &lt; 0.3 μM)</w:t>
      </w:r>
      <w:r>
        <w:rPr>
          <w:rFonts w:eastAsia="TimesNewRoman" w:cs="TimesNewRoman"/>
        </w:rPr>
        <w:t>. Clinically significant inhibition of MRP2 by pralatrexate is most unlikely occur with the recommended dosing regimen, given the highest C</w:t>
      </w:r>
      <w:r w:rsidRPr="005015F3">
        <w:rPr>
          <w:rFonts w:eastAsia="TimesNewRoman" w:cs="TimesNewRoman"/>
          <w:vertAlign w:val="subscript"/>
        </w:rPr>
        <w:t>max</w:t>
      </w:r>
      <w:r>
        <w:rPr>
          <w:rFonts w:eastAsia="TimesNewRoman" w:cs="TimesNewRoman"/>
        </w:rPr>
        <w:t xml:space="preserve"> of 23</w:t>
      </w:r>
      <w:r w:rsidRPr="005F61C6">
        <w:rPr>
          <w:rFonts w:eastAsia="TimesNewRoman" w:cs="TimesNewRoman"/>
        </w:rPr>
        <w:t xml:space="preserve"> µM</w:t>
      </w:r>
      <w:r>
        <w:rPr>
          <w:rFonts w:eastAsia="TimesNewRoman" w:cs="TimesNewRoman"/>
        </w:rPr>
        <w:t xml:space="preserve"> achieved in Study PDX-008. However, t</w:t>
      </w:r>
      <w:r>
        <w:rPr>
          <w:color w:val="000000"/>
          <w:lang w:val="en-GB" w:eastAsia="en-GB"/>
        </w:rPr>
        <w:t xml:space="preserve">he finding that </w:t>
      </w:r>
      <w:r w:rsidRPr="00E515E6">
        <w:rPr>
          <w:color w:val="000000"/>
          <w:lang w:val="en-GB" w:eastAsia="en-GB"/>
        </w:rPr>
        <w:t xml:space="preserve">pralatrexate </w:t>
      </w:r>
      <w:r>
        <w:rPr>
          <w:color w:val="000000"/>
          <w:lang w:val="en-GB" w:eastAsia="en-GB"/>
        </w:rPr>
        <w:t>is</w:t>
      </w:r>
      <w:r w:rsidRPr="00E515E6">
        <w:rPr>
          <w:color w:val="000000"/>
          <w:lang w:val="en-GB" w:eastAsia="en-GB"/>
        </w:rPr>
        <w:t xml:space="preserve"> a potent inhibitor of MRP3</w:t>
      </w:r>
      <w:r>
        <w:rPr>
          <w:color w:val="000000"/>
          <w:lang w:val="en-GB" w:eastAsia="en-GB"/>
        </w:rPr>
        <w:t xml:space="preserve"> at concentrations readily achieved </w:t>
      </w:r>
      <w:r>
        <w:rPr>
          <w:rFonts w:eastAsia="TimesNewRoman" w:cs="TimesNewRoman"/>
        </w:rPr>
        <w:t>with the recommended dosing regimen</w:t>
      </w:r>
      <w:r>
        <w:rPr>
          <w:color w:val="000000"/>
          <w:lang w:val="en-GB" w:eastAsia="en-GB"/>
        </w:rPr>
        <w:t xml:space="preserve"> for PTCL has significance with respect to the potential effects from </w:t>
      </w:r>
      <w:r w:rsidRPr="00E515E6">
        <w:rPr>
          <w:color w:val="000000"/>
          <w:lang w:val="en-GB" w:eastAsia="en-GB"/>
        </w:rPr>
        <w:t xml:space="preserve">concomitant use of </w:t>
      </w:r>
      <w:r>
        <w:rPr>
          <w:color w:val="000000"/>
          <w:lang w:val="en-GB" w:eastAsia="en-GB"/>
        </w:rPr>
        <w:t>a number of other oncologic agents that are thought to rely on this</w:t>
      </w:r>
      <w:r w:rsidRPr="00E515E6">
        <w:rPr>
          <w:color w:val="000000"/>
          <w:lang w:val="en-GB" w:eastAsia="en-GB"/>
        </w:rPr>
        <w:t xml:space="preserve"> liver transporter</w:t>
      </w:r>
      <w:r>
        <w:rPr>
          <w:color w:val="000000"/>
          <w:lang w:val="en-GB" w:eastAsia="en-GB"/>
        </w:rPr>
        <w:t xml:space="preserve">. These agents include </w:t>
      </w:r>
      <w:r w:rsidRPr="00E515E6">
        <w:rPr>
          <w:color w:val="000000"/>
          <w:lang w:val="en-GB" w:eastAsia="en-GB"/>
        </w:rPr>
        <w:t>etoposide, teniposide and methotrexate</w:t>
      </w:r>
      <w:r>
        <w:rPr>
          <w:color w:val="000000"/>
          <w:lang w:val="en-GB" w:eastAsia="en-GB"/>
        </w:rPr>
        <w:t>. The proposed PI appropriately includes a cautionary statement about the co-administration of such agents.</w:t>
      </w:r>
    </w:p>
    <w:p w:rsidR="004D5254" w:rsidRPr="00502E21" w:rsidRDefault="004D5254" w:rsidP="004D5254">
      <w:pPr>
        <w:autoSpaceDE w:val="0"/>
        <w:autoSpaceDN w:val="0"/>
        <w:adjustRightInd w:val="0"/>
      </w:pPr>
      <w:r>
        <w:rPr>
          <w:rFonts w:eastAsia="TimesNewRoman" w:cs="TimesNewRoman"/>
        </w:rPr>
        <w:t xml:space="preserve">Pralatrexate was also found to be a moderate-to-low affinity </w:t>
      </w:r>
      <w:r w:rsidRPr="00C56F41">
        <w:rPr>
          <w:rFonts w:eastAsia="TimesNewRoman" w:cs="TimesNewRoman"/>
        </w:rPr>
        <w:t xml:space="preserve">substrate </w:t>
      </w:r>
      <w:r>
        <w:rPr>
          <w:rFonts w:eastAsia="TimesNewRoman" w:cs="TimesNewRoman"/>
        </w:rPr>
        <w:t xml:space="preserve">and a very </w:t>
      </w:r>
      <w:r w:rsidRPr="00C56F41">
        <w:rPr>
          <w:rFonts w:eastAsia="TimesNewRoman" w:cs="TimesNewRoman"/>
        </w:rPr>
        <w:t>weak inhibitor of OATP1B1</w:t>
      </w:r>
      <w:r>
        <w:rPr>
          <w:rFonts w:eastAsia="TimesNewRoman" w:cs="TimesNewRoman"/>
        </w:rPr>
        <w:t xml:space="preserve"> </w:t>
      </w:r>
      <w:r w:rsidRPr="00C56F41">
        <w:rPr>
          <w:rFonts w:eastAsia="TimesNewRoman" w:cs="TimesNewRoman"/>
        </w:rPr>
        <w:t>(</w:t>
      </w:r>
      <w:r>
        <w:rPr>
          <w:rFonts w:eastAsia="TimesNewRoman" w:cs="TimesNewRoman"/>
        </w:rPr>
        <w:t>IC</w:t>
      </w:r>
      <w:r w:rsidRPr="004031F9">
        <w:rPr>
          <w:rFonts w:eastAsia="TimesNewRoman" w:cs="TimesNewRoman"/>
          <w:vertAlign w:val="subscript"/>
        </w:rPr>
        <w:t>50</w:t>
      </w:r>
      <w:r>
        <w:rPr>
          <w:rFonts w:eastAsia="TimesNewRoman" w:cs="TimesNewRoman"/>
        </w:rPr>
        <w:t xml:space="preserve"> &gt;</w:t>
      </w:r>
      <w:r w:rsidRPr="00C56F41">
        <w:rPr>
          <w:rFonts w:eastAsia="TimesNewRoman" w:cs="TimesNewRoman"/>
        </w:rPr>
        <w:t xml:space="preserve"> 100 μM)</w:t>
      </w:r>
      <w:r>
        <w:rPr>
          <w:rFonts w:eastAsia="TimesNewRoman" w:cs="TimesNewRoman"/>
        </w:rPr>
        <w:t>, whilst methotrexate was neither a substrate nor a significant inhibitor at concentrations ≤ 100</w:t>
      </w:r>
      <w:r w:rsidRPr="004031F9">
        <w:rPr>
          <w:rFonts w:eastAsia="TimesNewRoman" w:cs="TimesNewRoman"/>
        </w:rPr>
        <w:t xml:space="preserve"> </w:t>
      </w:r>
      <w:r w:rsidRPr="00C56F41">
        <w:rPr>
          <w:rFonts w:eastAsia="TimesNewRoman" w:cs="TimesNewRoman"/>
        </w:rPr>
        <w:t>μM</w:t>
      </w:r>
      <w:r>
        <w:rPr>
          <w:rFonts w:eastAsia="TimesNewRoman" w:cs="TimesNewRoman"/>
        </w:rPr>
        <w:t xml:space="preserve"> (Study </w:t>
      </w:r>
      <w:r w:rsidRPr="00C56F41">
        <w:rPr>
          <w:rFonts w:eastAsia="TimesNewRoman" w:cs="TimesNewRoman"/>
        </w:rPr>
        <w:t>PDX-K-1108</w:t>
      </w:r>
      <w:r>
        <w:rPr>
          <w:rFonts w:eastAsia="TimesNewRoman" w:cs="TimesNewRoman"/>
        </w:rPr>
        <w:t>0</w:t>
      </w:r>
      <w:r w:rsidRPr="00C56F41">
        <w:rPr>
          <w:rFonts w:eastAsia="TimesNewRoman" w:cs="TimesNewRoman"/>
        </w:rPr>
        <w:t>-U</w:t>
      </w:r>
      <w:r>
        <w:rPr>
          <w:rFonts w:eastAsia="TimesNewRoman" w:cs="TimesNewRoman"/>
        </w:rPr>
        <w:t>). Also, p</w:t>
      </w:r>
      <w:r w:rsidRPr="00C56F41">
        <w:rPr>
          <w:rFonts w:eastAsia="TimesNewRoman" w:cs="TimesNewRoman"/>
        </w:rPr>
        <w:t>ralatrexate was not a significant substrate for</w:t>
      </w:r>
      <w:r>
        <w:rPr>
          <w:rFonts w:eastAsia="TimesNewRoman" w:cs="TimesNewRoman"/>
        </w:rPr>
        <w:t xml:space="preserve"> </w:t>
      </w:r>
      <w:r w:rsidRPr="00C56F41">
        <w:rPr>
          <w:rFonts w:eastAsia="TimesNewRoman" w:cs="TimesNewRoman"/>
        </w:rPr>
        <w:t>OCT2, OAT1, OAT3 and</w:t>
      </w:r>
      <w:r>
        <w:rPr>
          <w:rFonts w:eastAsia="TimesNewRoman" w:cs="TimesNewRoman"/>
        </w:rPr>
        <w:t xml:space="preserve"> a moderate affinity substrate </w:t>
      </w:r>
      <w:r w:rsidRPr="00C56F41">
        <w:rPr>
          <w:rFonts w:eastAsia="TimesNewRoman" w:cs="TimesNewRoman"/>
        </w:rPr>
        <w:t>for</w:t>
      </w:r>
      <w:r>
        <w:rPr>
          <w:rFonts w:eastAsia="TimesNewRoman" w:cs="TimesNewRoman"/>
        </w:rPr>
        <w:t xml:space="preserve"> </w:t>
      </w:r>
      <w:r w:rsidRPr="00C56F41">
        <w:rPr>
          <w:rFonts w:eastAsia="TimesNewRoman" w:cs="TimesNewRoman"/>
        </w:rPr>
        <w:t>OATP1B3</w:t>
      </w:r>
      <w:r>
        <w:rPr>
          <w:rFonts w:eastAsia="TimesNewRoman" w:cs="TimesNewRoman"/>
        </w:rPr>
        <w:t xml:space="preserve"> (Study </w:t>
      </w:r>
      <w:r w:rsidRPr="00C56F41">
        <w:rPr>
          <w:rFonts w:eastAsia="TimesNewRoman" w:cs="TimesNewRoman"/>
        </w:rPr>
        <w:t>PDX-K-1108</w:t>
      </w:r>
      <w:r>
        <w:rPr>
          <w:rFonts w:eastAsia="TimesNewRoman" w:cs="TimesNewRoman"/>
        </w:rPr>
        <w:t>8</w:t>
      </w:r>
      <w:r w:rsidRPr="00C56F41">
        <w:rPr>
          <w:rFonts w:eastAsia="TimesNewRoman" w:cs="TimesNewRoman"/>
        </w:rPr>
        <w:t>-U</w:t>
      </w:r>
      <w:r>
        <w:rPr>
          <w:rFonts w:eastAsia="TimesNewRoman" w:cs="TimesNewRoman"/>
        </w:rPr>
        <w:t xml:space="preserve">). In the same study methotrexate was shown to be a significant substrate for </w:t>
      </w:r>
      <w:r w:rsidRPr="00C56F41">
        <w:rPr>
          <w:rFonts w:eastAsia="TimesNewRoman" w:cs="TimesNewRoman"/>
        </w:rPr>
        <w:t>OCT2, OAT1</w:t>
      </w:r>
      <w:r>
        <w:rPr>
          <w:rFonts w:eastAsia="TimesNewRoman" w:cs="TimesNewRoman"/>
        </w:rPr>
        <w:t xml:space="preserve"> and </w:t>
      </w:r>
      <w:r w:rsidRPr="00C56F41">
        <w:rPr>
          <w:rFonts w:eastAsia="TimesNewRoman" w:cs="TimesNewRoman"/>
        </w:rPr>
        <w:t>OATP1B3</w:t>
      </w:r>
      <w:r>
        <w:rPr>
          <w:rFonts w:eastAsia="TimesNewRoman" w:cs="TimesNewRoman"/>
        </w:rPr>
        <w:t xml:space="preserve">, and a low affinity substrate for </w:t>
      </w:r>
      <w:r w:rsidRPr="00C56F41">
        <w:rPr>
          <w:rFonts w:eastAsia="TimesNewRoman" w:cs="TimesNewRoman"/>
        </w:rPr>
        <w:t>OAT3</w:t>
      </w:r>
      <w:r>
        <w:rPr>
          <w:rFonts w:eastAsia="TimesNewRoman" w:cs="TimesNewRoman"/>
        </w:rPr>
        <w:t xml:space="preserve">. Pralatrexate did not exhibit concentration-dependent inhibition of </w:t>
      </w:r>
      <w:r w:rsidRPr="00C56F41">
        <w:rPr>
          <w:rFonts w:eastAsia="TimesNewRoman" w:cs="TimesNewRoman"/>
        </w:rPr>
        <w:t>OCT2, OAT1, OAT3</w:t>
      </w:r>
      <w:r>
        <w:rPr>
          <w:rFonts w:eastAsia="TimesNewRoman" w:cs="TimesNewRoman"/>
        </w:rPr>
        <w:t xml:space="preserve"> or </w:t>
      </w:r>
      <w:r w:rsidRPr="00C56F41">
        <w:rPr>
          <w:rFonts w:eastAsia="TimesNewRoman" w:cs="TimesNewRoman"/>
        </w:rPr>
        <w:t>OATP1B3</w:t>
      </w:r>
      <w:r>
        <w:rPr>
          <w:rFonts w:eastAsia="TimesNewRoman" w:cs="TimesNewRoman"/>
        </w:rPr>
        <w:t xml:space="preserve"> in the range 0.3 – 100</w:t>
      </w:r>
      <w:r w:rsidRPr="005F61C6">
        <w:rPr>
          <w:rFonts w:eastAsia="TimesNewRoman" w:cs="TimesNewRoman"/>
        </w:rPr>
        <w:t xml:space="preserve"> µM</w:t>
      </w:r>
      <w:r>
        <w:rPr>
          <w:rFonts w:eastAsia="TimesNewRoman" w:cs="TimesNewRoman"/>
        </w:rPr>
        <w:t xml:space="preserve">, with </w:t>
      </w:r>
      <w:r w:rsidRPr="00403653">
        <w:rPr>
          <w:rFonts w:eastAsia="TimesNewRoman" w:cs="TimesNewRoman"/>
        </w:rPr>
        <w:t>IC</w:t>
      </w:r>
      <w:r w:rsidRPr="0038288C">
        <w:rPr>
          <w:rFonts w:eastAsia="TimesNewRoman" w:cs="TimesNewRoman"/>
          <w:vertAlign w:val="subscript"/>
        </w:rPr>
        <w:t>50</w:t>
      </w:r>
      <w:r>
        <w:rPr>
          <w:rFonts w:eastAsia="TimesNewRoman" w:cs="TimesNewRoman"/>
        </w:rPr>
        <w:t xml:space="preserve"> value</w:t>
      </w:r>
      <w:r w:rsidRPr="00403653">
        <w:rPr>
          <w:rFonts w:eastAsia="TimesNewRoman" w:cs="TimesNewRoman"/>
        </w:rPr>
        <w:t>s</w:t>
      </w:r>
      <w:r>
        <w:rPr>
          <w:rFonts w:eastAsia="TimesNewRoman" w:cs="TimesNewRoman"/>
        </w:rPr>
        <w:t xml:space="preserve"> &gt;100 </w:t>
      </w:r>
      <w:r w:rsidRPr="005F61C6">
        <w:rPr>
          <w:rFonts w:eastAsia="TimesNewRoman" w:cs="TimesNewRoman"/>
        </w:rPr>
        <w:t>µM</w:t>
      </w:r>
      <w:r>
        <w:rPr>
          <w:rFonts w:eastAsia="TimesNewRoman" w:cs="TimesNewRoman"/>
        </w:rPr>
        <w:t xml:space="preserve"> for each of the transporters (Study PDX-K-11084-U). </w:t>
      </w:r>
      <w:r>
        <w:rPr>
          <w:color w:val="000000"/>
        </w:rPr>
        <w:t xml:space="preserve">Thus, it is </w:t>
      </w:r>
      <w:r w:rsidRPr="00F04743">
        <w:rPr>
          <w:color w:val="000000"/>
        </w:rPr>
        <w:t>unlikely that pralatrexate will affect excretion of other</w:t>
      </w:r>
      <w:r>
        <w:rPr>
          <w:color w:val="000000"/>
        </w:rPr>
        <w:t xml:space="preserve"> </w:t>
      </w:r>
      <w:r w:rsidRPr="00F04743">
        <w:rPr>
          <w:color w:val="000000"/>
        </w:rPr>
        <w:t xml:space="preserve">drugs </w:t>
      </w:r>
      <w:r w:rsidRPr="00847240">
        <w:rPr>
          <w:i/>
          <w:color w:val="000000"/>
        </w:rPr>
        <w:t>in vivo</w:t>
      </w:r>
      <w:r>
        <w:rPr>
          <w:color w:val="000000"/>
        </w:rPr>
        <w:t xml:space="preserve"> </w:t>
      </w:r>
      <w:r w:rsidRPr="00F04743">
        <w:rPr>
          <w:color w:val="000000"/>
        </w:rPr>
        <w:t>through an interaction with</w:t>
      </w:r>
      <w:r>
        <w:rPr>
          <w:color w:val="000000"/>
        </w:rPr>
        <w:t xml:space="preserve"> these transporters.</w:t>
      </w:r>
    </w:p>
    <w:p w:rsidR="004D5254" w:rsidRDefault="004D5254" w:rsidP="004D5254">
      <w:pPr>
        <w:pStyle w:val="Heading3"/>
        <w:numPr>
          <w:ilvl w:val="1"/>
          <w:numId w:val="5"/>
        </w:numPr>
      </w:pPr>
      <w:bookmarkStart w:id="118" w:name="_Toc241374296"/>
      <w:bookmarkStart w:id="119" w:name="_Ref269982040"/>
      <w:bookmarkStart w:id="120" w:name="_Ref271018704"/>
      <w:bookmarkStart w:id="121" w:name="_Ref271018755"/>
      <w:bookmarkStart w:id="122" w:name="_Toc272414635"/>
      <w:bookmarkStart w:id="123" w:name="_Toc290846258"/>
      <w:bookmarkStart w:id="124" w:name="_Toc320881437"/>
      <w:bookmarkStart w:id="125" w:name="_Toc359930721"/>
      <w:bookmarkStart w:id="126" w:name="_Toc364764895"/>
      <w:r>
        <w:t>Evaluator’s overall conclusions on pharmacokinetics</w:t>
      </w:r>
      <w:bookmarkEnd w:id="118"/>
      <w:bookmarkEnd w:id="119"/>
      <w:bookmarkEnd w:id="120"/>
      <w:bookmarkEnd w:id="121"/>
      <w:bookmarkEnd w:id="122"/>
      <w:bookmarkEnd w:id="123"/>
      <w:bookmarkEnd w:id="124"/>
      <w:bookmarkEnd w:id="125"/>
      <w:bookmarkEnd w:id="126"/>
    </w:p>
    <w:p w:rsidR="004D5254" w:rsidRDefault="004D5254" w:rsidP="004D5254">
      <w:pPr>
        <w:autoSpaceDE w:val="0"/>
        <w:autoSpaceDN w:val="0"/>
        <w:adjustRightInd w:val="0"/>
        <w:rPr>
          <w:color w:val="000000"/>
        </w:rPr>
      </w:pPr>
      <w:r w:rsidRPr="00A8545F">
        <w:t>Pralatrexate Solution for Infusion contains pralatrexate as</w:t>
      </w:r>
      <w:r w:rsidRPr="00A8545F">
        <w:rPr>
          <w:color w:val="000000"/>
        </w:rPr>
        <w:t xml:space="preserve"> an approximately 1:1 racemic mixture of the </w:t>
      </w:r>
      <w:r w:rsidRPr="00A8545F">
        <w:rPr>
          <w:i/>
          <w:iCs/>
          <w:color w:val="000000"/>
        </w:rPr>
        <w:t>S</w:t>
      </w:r>
      <w:r w:rsidRPr="00A8545F">
        <w:rPr>
          <w:color w:val="000000"/>
        </w:rPr>
        <w:t xml:space="preserve">- and </w:t>
      </w:r>
      <w:r w:rsidRPr="00A8545F">
        <w:rPr>
          <w:i/>
          <w:iCs/>
          <w:color w:val="000000"/>
        </w:rPr>
        <w:t>R</w:t>
      </w:r>
      <w:r w:rsidRPr="00A8545F">
        <w:rPr>
          <w:color w:val="000000"/>
        </w:rPr>
        <w:t>- configurations at C10 (known as PDX-10a and PDX-10b, respectively).</w:t>
      </w:r>
      <w:r>
        <w:rPr>
          <w:color w:val="000000"/>
        </w:rPr>
        <w:t xml:space="preserve"> </w:t>
      </w:r>
      <w:r w:rsidRPr="00A8545F">
        <w:rPr>
          <w:color w:val="000000"/>
        </w:rPr>
        <w:t>The PKs of the</w:t>
      </w:r>
      <w:r>
        <w:rPr>
          <w:color w:val="000000"/>
        </w:rPr>
        <w:t>se</w:t>
      </w:r>
      <w:r w:rsidRPr="00A8545F">
        <w:rPr>
          <w:color w:val="000000"/>
        </w:rPr>
        <w:t xml:space="preserve"> pralatrexate diastereomers have been reasonably well characterised using data from subsets of oncology patients who underwent full plasma profiling in 3 efficacy/safety studies.</w:t>
      </w:r>
      <w:r>
        <w:rPr>
          <w:color w:val="000000"/>
        </w:rPr>
        <w:t xml:space="preserve"> It has been demonstrated that pralatrexate has stereo-selective pharmacokinetics, the biological cause of which is unknown. </w:t>
      </w:r>
    </w:p>
    <w:p w:rsidR="004D5254" w:rsidRPr="00A8545F" w:rsidRDefault="004D5254" w:rsidP="004D5254">
      <w:pPr>
        <w:autoSpaceDE w:val="0"/>
        <w:autoSpaceDN w:val="0"/>
        <w:adjustRightInd w:val="0"/>
        <w:rPr>
          <w:bCs/>
          <w:color w:val="000000"/>
        </w:rPr>
      </w:pPr>
      <w:r>
        <w:rPr>
          <w:color w:val="000000"/>
        </w:rPr>
        <w:lastRenderedPageBreak/>
        <w:t>F</w:t>
      </w:r>
      <w:r w:rsidRPr="00A8545F">
        <w:rPr>
          <w:color w:val="000000"/>
        </w:rPr>
        <w:t>ollowing IV push over 3-5 minutes t</w:t>
      </w:r>
      <w:r w:rsidRPr="00A8545F">
        <w:t xml:space="preserve">here is a multiphasic decline in the levels of both </w:t>
      </w:r>
      <w:r>
        <w:t xml:space="preserve">pralatrexate </w:t>
      </w:r>
      <w:r w:rsidRPr="00A8545F">
        <w:t>diastereomers, characterised by an initial rapid fall in plasma concentrations followed by a slow terminal phase.</w:t>
      </w:r>
      <w:r>
        <w:t xml:space="preserve"> </w:t>
      </w:r>
      <w:r w:rsidRPr="00A8545F">
        <w:t xml:space="preserve">The decline of both diastereomers occurs in parallel, with </w:t>
      </w:r>
      <w:r w:rsidRPr="00A8545F">
        <w:rPr>
          <w:color w:val="000000"/>
        </w:rPr>
        <w:t>a 2-fold higher plasma exposure of PDX-10b compared with PDX-10a.</w:t>
      </w:r>
      <w:r>
        <w:rPr>
          <w:color w:val="000000"/>
        </w:rPr>
        <w:t xml:space="preserve"> </w:t>
      </w:r>
      <w:r w:rsidRPr="00A8545F">
        <w:rPr>
          <w:color w:val="000000"/>
        </w:rPr>
        <w:t>Approximately one third of pralatrexate clearance is via renal excretion and two thirds by non-renal mechanisms</w:t>
      </w:r>
      <w:r>
        <w:rPr>
          <w:color w:val="000000"/>
        </w:rPr>
        <w:t>. Of note, a mass balance study is yet to be completed</w:t>
      </w:r>
      <w:r w:rsidRPr="00A8545F">
        <w:rPr>
          <w:color w:val="000000"/>
        </w:rPr>
        <w:t>.</w:t>
      </w:r>
      <w:r>
        <w:rPr>
          <w:color w:val="000000"/>
        </w:rPr>
        <w:t xml:space="preserve"> It is apparent however, that b</w:t>
      </w:r>
      <w:r w:rsidRPr="00A8545F">
        <w:rPr>
          <w:color w:val="000000"/>
        </w:rPr>
        <w:t xml:space="preserve">oth renal and non-renal clearance of PDX-10b </w:t>
      </w:r>
      <w:r>
        <w:rPr>
          <w:color w:val="000000"/>
        </w:rPr>
        <w:t>i</w:t>
      </w:r>
      <w:r w:rsidRPr="00A8545F">
        <w:rPr>
          <w:color w:val="000000"/>
        </w:rPr>
        <w:t xml:space="preserve">s approximately 50% lower than that of </w:t>
      </w:r>
      <w:r w:rsidRPr="00A8545F">
        <w:rPr>
          <w:bCs/>
          <w:color w:val="000000"/>
        </w:rPr>
        <w:t>PDX-10a.</w:t>
      </w:r>
      <w:r>
        <w:rPr>
          <w:bCs/>
          <w:color w:val="000000"/>
        </w:rPr>
        <w:t xml:space="preserve"> Also, t</w:t>
      </w:r>
      <w:r w:rsidRPr="00A8545F">
        <w:rPr>
          <w:bCs/>
          <w:color w:val="000000"/>
        </w:rPr>
        <w:t>he volume of distribution indicates that pralatrexate has moderate tissue distribution</w:t>
      </w:r>
      <w:r>
        <w:rPr>
          <w:bCs/>
          <w:color w:val="000000"/>
        </w:rPr>
        <w:t xml:space="preserve"> (with PDX-10a &gt; PDX-10b)</w:t>
      </w:r>
      <w:r w:rsidRPr="00A8545F">
        <w:rPr>
          <w:bCs/>
          <w:color w:val="000000"/>
        </w:rPr>
        <w:t xml:space="preserve">. </w:t>
      </w:r>
    </w:p>
    <w:p w:rsidR="004D5254" w:rsidRPr="00A8545F" w:rsidRDefault="004D5254" w:rsidP="004D5254">
      <w:pPr>
        <w:autoSpaceDE w:val="0"/>
        <w:autoSpaceDN w:val="0"/>
        <w:adjustRightInd w:val="0"/>
      </w:pPr>
      <w:r w:rsidRPr="00A8545F">
        <w:rPr>
          <w:bCs/>
          <w:color w:val="000000"/>
        </w:rPr>
        <w:t xml:space="preserve">The </w:t>
      </w:r>
      <w:r w:rsidRPr="00A8545F">
        <w:rPr>
          <w:color w:val="000000"/>
        </w:rPr>
        <w:t xml:space="preserve">rapid drop in plasma concentrations is </w:t>
      </w:r>
      <w:r>
        <w:rPr>
          <w:color w:val="000000"/>
        </w:rPr>
        <w:t>thought</w:t>
      </w:r>
      <w:r w:rsidRPr="00A8545F">
        <w:rPr>
          <w:color w:val="000000"/>
        </w:rPr>
        <w:t xml:space="preserve"> to reflect clearance of pralatrexate from the body by renal and non-renal mechanisms, whilst the slow terminal phase could reflect return of pralatrexate from intracellular compartments, after deglutamylation, and/or enterohepatic recycling of drug following biliary excretion into the gastrointestinal tract.</w:t>
      </w:r>
      <w:r>
        <w:rPr>
          <w:color w:val="000000"/>
        </w:rPr>
        <w:t xml:space="preserve"> </w:t>
      </w:r>
      <w:r w:rsidRPr="00A8545F">
        <w:rPr>
          <w:color w:val="000000"/>
        </w:rPr>
        <w:t>The slow terminal phase does not appear to contribute significantly to total exposure to the drug.</w:t>
      </w:r>
      <w:r>
        <w:rPr>
          <w:color w:val="000000"/>
        </w:rPr>
        <w:t xml:space="preserve"> </w:t>
      </w:r>
      <w:r w:rsidRPr="00A8545F">
        <w:rPr>
          <w:color w:val="000000"/>
        </w:rPr>
        <w:t xml:space="preserve">Furthermore, </w:t>
      </w:r>
      <w:r>
        <w:rPr>
          <w:color w:val="000000"/>
        </w:rPr>
        <w:t xml:space="preserve">there was </w:t>
      </w:r>
      <w:r w:rsidRPr="00A8545F">
        <w:rPr>
          <w:color w:val="000000"/>
        </w:rPr>
        <w:t>no accumulation of pralatrexate with repeated dosing over the course of a single cycle of treatment in a small number of patients with PTCL.</w:t>
      </w:r>
      <w:r>
        <w:rPr>
          <w:color w:val="000000"/>
        </w:rPr>
        <w:t xml:space="preserve"> Of note, t</w:t>
      </w:r>
      <w:r w:rsidRPr="00A8545F">
        <w:rPr>
          <w:color w:val="000000"/>
        </w:rPr>
        <w:t xml:space="preserve">he effect of repeat dosing </w:t>
      </w:r>
      <w:r w:rsidRPr="00A8545F">
        <w:t xml:space="preserve">beyond the first cycle of treatment was assessed in only one patient who exhibited </w:t>
      </w:r>
      <w:r>
        <w:t xml:space="preserve">an </w:t>
      </w:r>
      <w:r w:rsidRPr="00A8545F">
        <w:t>increase in both AUC and C</w:t>
      </w:r>
      <w:r w:rsidRPr="00A8545F">
        <w:rPr>
          <w:vertAlign w:val="subscript"/>
        </w:rPr>
        <w:t>max</w:t>
      </w:r>
      <w:r w:rsidRPr="00A8545F">
        <w:t xml:space="preserve"> </w:t>
      </w:r>
      <w:r>
        <w:t xml:space="preserve">at Dose 12 </w:t>
      </w:r>
      <w:r w:rsidRPr="00A8545F">
        <w:t>relative to</w:t>
      </w:r>
      <w:r>
        <w:t xml:space="preserve"> Dose 1. The potential for accumulation of pralatrexate in third space compartments (such as pleural effusion and ascites) has not been assessed.</w:t>
      </w:r>
    </w:p>
    <w:p w:rsidR="004D5254" w:rsidRPr="002F2003" w:rsidRDefault="004D5254" w:rsidP="004D5254">
      <w:pPr>
        <w:autoSpaceDE w:val="0"/>
        <w:autoSpaceDN w:val="0"/>
        <w:adjustRightInd w:val="0"/>
        <w:rPr>
          <w:color w:val="000000"/>
          <w:lang w:val="en-GB" w:eastAsia="en-GB"/>
        </w:rPr>
      </w:pPr>
      <w:r>
        <w:t>I</w:t>
      </w:r>
      <w:r w:rsidRPr="00A8545F">
        <w:t>t appears that the PKs of pralatrexate are linear over doses ranging from 30 to 325</w:t>
      </w:r>
      <w:r>
        <w:t xml:space="preserve"> </w:t>
      </w:r>
      <w:r w:rsidRPr="00A8545F">
        <w:t>mg/m</w:t>
      </w:r>
      <w:r w:rsidRPr="00A8545F">
        <w:rPr>
          <w:vertAlign w:val="superscript"/>
        </w:rPr>
        <w:t>2</w:t>
      </w:r>
      <w:r>
        <w:t>. However, i</w:t>
      </w:r>
      <w:r w:rsidRPr="00A8545F">
        <w:t>t is clear from the data submitted that there is considerable inter-individual variability in the PKs of pralatrexate</w:t>
      </w:r>
      <w:r>
        <w:t xml:space="preserve"> and the observation of linearity needs to be interpreted in that light</w:t>
      </w:r>
      <w:r w:rsidRPr="00A8545F">
        <w:t>.</w:t>
      </w:r>
      <w:r>
        <w:t xml:space="preserve"> It must also be remembered that the data were generated in sick patients taking multiple medications, so it is not entirely clear what the sources of variability in the PKs are. For example, 3 </w:t>
      </w:r>
      <w:r w:rsidRPr="00077F6A">
        <w:t xml:space="preserve">patients </w:t>
      </w:r>
      <w:r>
        <w:t>were noted to have</w:t>
      </w:r>
      <w:r w:rsidRPr="00077F6A">
        <w:t xml:space="preserve"> very low urinary excretion</w:t>
      </w:r>
      <w:r>
        <w:t xml:space="preserve"> of pralatrexate, despite normal renal function and urinary volumes during the collection period. This raises the possibility of pharmacogenetic</w:t>
      </w:r>
      <w:r w:rsidRPr="00AF6192">
        <w:rPr>
          <w:bCs/>
        </w:rPr>
        <w:t xml:space="preserve"> </w:t>
      </w:r>
      <w:r>
        <w:rPr>
          <w:bCs/>
        </w:rPr>
        <w:t xml:space="preserve">issues and/or </w:t>
      </w:r>
      <w:r>
        <w:t>drug-drug interactions.</w:t>
      </w:r>
      <w:r>
        <w:rPr>
          <w:bCs/>
        </w:rPr>
        <w:t xml:space="preserve"> Specific pharmacogenetic studies of pralatrexate have not been conducted. Furthermore, formal drug-drug interaction studies have not been performed. </w:t>
      </w:r>
      <w:r>
        <w:rPr>
          <w:color w:val="000000"/>
        </w:rPr>
        <w:t>A population PK</w:t>
      </w:r>
      <w:r w:rsidRPr="002F2003">
        <w:rPr>
          <w:color w:val="000000"/>
        </w:rPr>
        <w:t xml:space="preserve"> analys</w:t>
      </w:r>
      <w:r>
        <w:rPr>
          <w:color w:val="000000"/>
        </w:rPr>
        <w:t>i</w:t>
      </w:r>
      <w:r w:rsidRPr="002F2003">
        <w:rPr>
          <w:color w:val="000000"/>
        </w:rPr>
        <w:t>s of potential drug-drug interactions did not show any significant correlation between pralatrexate and the concomitant administration of diuretics, non-steroidal anti-inflammatory drugs (NSAIDS), sulfonamides, and penicillin.</w:t>
      </w:r>
      <w:r>
        <w:rPr>
          <w:color w:val="000000"/>
        </w:rPr>
        <w:t xml:space="preserve"> </w:t>
      </w:r>
      <w:r w:rsidRPr="002F2003">
        <w:rPr>
          <w:color w:val="000000"/>
        </w:rPr>
        <w:t>H</w:t>
      </w:r>
      <w:r w:rsidRPr="002F2003">
        <w:t xml:space="preserve">owever, these </w:t>
      </w:r>
      <w:r>
        <w:t>analyses were limited by less than optimal data and t</w:t>
      </w:r>
      <w:r w:rsidRPr="002F2003">
        <w:t>he sponsor considered that the analys</w:t>
      </w:r>
      <w:r>
        <w:t>e</w:t>
      </w:r>
      <w:r w:rsidRPr="002F2003">
        <w:t>s had not excluded the possibility of underlying drug-drug interactions</w:t>
      </w:r>
      <w:r>
        <w:t>. G</w:t>
      </w:r>
      <w:r w:rsidRPr="002F2003">
        <w:t xml:space="preserve">iven </w:t>
      </w:r>
      <w:r w:rsidRPr="002F2003">
        <w:rPr>
          <w:color w:val="000000"/>
        </w:rPr>
        <w:t>the significant contribution of renal excretion to the overall clearance of pralatrexate,</w:t>
      </w:r>
      <w:r w:rsidRPr="002F2003">
        <w:t xml:space="preserve"> </w:t>
      </w:r>
      <w:r>
        <w:t xml:space="preserve">and the fact that pralatrexate undergoes </w:t>
      </w:r>
      <w:r w:rsidRPr="008F5A3E">
        <w:t>net renal tubular secretion</w:t>
      </w:r>
      <w:r>
        <w:t xml:space="preserve">, the sponsor </w:t>
      </w:r>
      <w:r w:rsidRPr="002F2003">
        <w:t xml:space="preserve">has appropriately included precautionary statements </w:t>
      </w:r>
      <w:r>
        <w:t xml:space="preserve">about the </w:t>
      </w:r>
      <w:r w:rsidRPr="002F2003">
        <w:t xml:space="preserve">concomitant </w:t>
      </w:r>
      <w:r w:rsidRPr="002F2003">
        <w:rPr>
          <w:color w:val="000000"/>
        </w:rPr>
        <w:t xml:space="preserve">administration of drugs that affect glomerular filtration and/or renal tubular secretion, and </w:t>
      </w:r>
      <w:r w:rsidRPr="002F2003">
        <w:rPr>
          <w:color w:val="000000"/>
          <w:lang w:val="en-GB" w:eastAsia="en-GB"/>
        </w:rPr>
        <w:t>nephrotoxic drugs.</w:t>
      </w:r>
    </w:p>
    <w:p w:rsidR="004D5254" w:rsidRPr="00A8545F" w:rsidRDefault="004D5254" w:rsidP="004D5254">
      <w:pPr>
        <w:autoSpaceDE w:val="0"/>
        <w:autoSpaceDN w:val="0"/>
        <w:adjustRightInd w:val="0"/>
      </w:pPr>
      <w:r w:rsidRPr="00AF6192">
        <w:rPr>
          <w:bCs/>
          <w:i/>
        </w:rPr>
        <w:t>In vitro</w:t>
      </w:r>
      <w:r>
        <w:rPr>
          <w:bCs/>
        </w:rPr>
        <w:t xml:space="preserve"> studies have indicated that, at the doses intended for use in patients with PTCL, there would be low potential for clinically significant drug-drug interactions on the basis of protein binding displacement, or as a result of interactions affecting the CYP450 system and </w:t>
      </w:r>
      <w:r w:rsidRPr="00F04743">
        <w:rPr>
          <w:color w:val="000000"/>
        </w:rPr>
        <w:t>P-gp</w:t>
      </w:r>
      <w:r>
        <w:rPr>
          <w:color w:val="000000"/>
        </w:rPr>
        <w:t xml:space="preserve"> transporter system. </w:t>
      </w:r>
      <w:r>
        <w:rPr>
          <w:rFonts w:eastAsia="TimesNewRoman" w:cs="TimesNewRoman"/>
        </w:rPr>
        <w:t xml:space="preserve">However, </w:t>
      </w:r>
      <w:r w:rsidRPr="00E515E6">
        <w:rPr>
          <w:color w:val="000000"/>
          <w:lang w:val="en-GB" w:eastAsia="en-GB"/>
        </w:rPr>
        <w:t xml:space="preserve">pralatrexate </w:t>
      </w:r>
      <w:r>
        <w:rPr>
          <w:color w:val="000000"/>
          <w:lang w:val="en-GB" w:eastAsia="en-GB"/>
        </w:rPr>
        <w:t>is</w:t>
      </w:r>
      <w:r w:rsidRPr="00E515E6">
        <w:rPr>
          <w:color w:val="000000"/>
          <w:lang w:val="en-GB" w:eastAsia="en-GB"/>
        </w:rPr>
        <w:t xml:space="preserve"> a potent inhibitor of MRP3</w:t>
      </w:r>
      <w:r>
        <w:rPr>
          <w:color w:val="000000"/>
          <w:lang w:val="en-GB" w:eastAsia="en-GB"/>
        </w:rPr>
        <w:t xml:space="preserve"> at concentrations readily achieved </w:t>
      </w:r>
      <w:r>
        <w:rPr>
          <w:rFonts w:eastAsia="TimesNewRoman" w:cs="TimesNewRoman"/>
        </w:rPr>
        <w:t>with the recommended dosing regimen</w:t>
      </w:r>
      <w:r>
        <w:rPr>
          <w:color w:val="000000"/>
          <w:lang w:val="en-GB" w:eastAsia="en-GB"/>
        </w:rPr>
        <w:t xml:space="preserve"> for PTCL. Although pralatrexate is intended for use as a single agent, this finding nevertheless has significance with respect to the potential effects of other oncologic agents, such as </w:t>
      </w:r>
      <w:r w:rsidRPr="00E515E6">
        <w:rPr>
          <w:color w:val="000000"/>
          <w:lang w:val="en-GB" w:eastAsia="en-GB"/>
        </w:rPr>
        <w:t>etoposide, teniposide, and methotrexate</w:t>
      </w:r>
      <w:r>
        <w:rPr>
          <w:color w:val="000000"/>
          <w:lang w:val="en-GB" w:eastAsia="en-GB"/>
        </w:rPr>
        <w:t>, which are thought to rely on this</w:t>
      </w:r>
      <w:r w:rsidRPr="00E515E6">
        <w:rPr>
          <w:color w:val="000000"/>
          <w:lang w:val="en-GB" w:eastAsia="en-GB"/>
        </w:rPr>
        <w:t xml:space="preserve"> liver transporter</w:t>
      </w:r>
      <w:r>
        <w:rPr>
          <w:color w:val="000000"/>
          <w:lang w:val="en-GB" w:eastAsia="en-GB"/>
        </w:rPr>
        <w:t>. The proposed PI appropriately includes a cautionary statement about the co-administration of such agents.</w:t>
      </w:r>
    </w:p>
    <w:p w:rsidR="004D5254" w:rsidRDefault="004D5254" w:rsidP="004D5254">
      <w:pPr>
        <w:autoSpaceDE w:val="0"/>
        <w:autoSpaceDN w:val="0"/>
        <w:adjustRightInd w:val="0"/>
      </w:pPr>
      <w:r w:rsidRPr="00D77506">
        <w:t xml:space="preserve">No specific population studies have been conducted and, otherwise, only limited PK data are available for </w:t>
      </w:r>
      <w:r>
        <w:t>such</w:t>
      </w:r>
      <w:r w:rsidRPr="00D77506">
        <w:t xml:space="preserve"> populations.</w:t>
      </w:r>
      <w:r>
        <w:t xml:space="preserve"> </w:t>
      </w:r>
      <w:r w:rsidRPr="00D77506">
        <w:t xml:space="preserve">The sponsor’s </w:t>
      </w:r>
      <w:r>
        <w:rPr>
          <w:color w:val="000000"/>
        </w:rPr>
        <w:t>population PK</w:t>
      </w:r>
      <w:r w:rsidRPr="002F2003">
        <w:rPr>
          <w:color w:val="000000"/>
        </w:rPr>
        <w:t xml:space="preserve"> analys</w:t>
      </w:r>
      <w:r>
        <w:rPr>
          <w:color w:val="000000"/>
        </w:rPr>
        <w:t>i</w:t>
      </w:r>
      <w:r w:rsidRPr="002F2003">
        <w:rPr>
          <w:color w:val="000000"/>
        </w:rPr>
        <w:t>s</w:t>
      </w:r>
      <w:r w:rsidRPr="00D77506">
        <w:t xml:space="preserve"> identified creatinine clearance as a covaria</w:t>
      </w:r>
      <w:r>
        <w:t xml:space="preserve">te for pralatrexate clearance. </w:t>
      </w:r>
      <w:r w:rsidRPr="00D77506">
        <w:t xml:space="preserve">In particular, </w:t>
      </w:r>
      <w:r>
        <w:t>it was</w:t>
      </w:r>
      <w:r w:rsidRPr="00D77506">
        <w:t xml:space="preserve"> estimated that the clearances of PDX-10a and PDX-10b would decrease by 21% and 24%, respectively, in a patient </w:t>
      </w:r>
      <w:r w:rsidRPr="00D77506">
        <w:lastRenderedPageBreak/>
        <w:t>with a creatinine clearance of 30 mL/min.</w:t>
      </w:r>
      <w:r>
        <w:t xml:space="preserve"> </w:t>
      </w:r>
      <w:r w:rsidRPr="00D77506">
        <w:t>After accounting for renal function, age was not a relevant covariate</w:t>
      </w:r>
      <w:r>
        <w:t>. These findings are appropriately reflected in the proposed PI which cautions that the administration of pralatrexate to patients with moderate to severe renal impairment should be done carefully and that renal function and adverse events should be monitored closely. The PI also advises that w</w:t>
      </w:r>
      <w:r w:rsidRPr="00D77506">
        <w:t xml:space="preserve">hilst no dosage adjustments are recommended for age </w:t>
      </w:r>
      <w:r w:rsidRPr="00D77506">
        <w:rPr>
          <w:i/>
        </w:rPr>
        <w:t>per se</w:t>
      </w:r>
      <w:r w:rsidRPr="00D77506">
        <w:t>, age-related decline in renal function could potentially lead to reduced clearance.</w:t>
      </w:r>
      <w:r>
        <w:t xml:space="preserve"> </w:t>
      </w:r>
    </w:p>
    <w:p w:rsidR="004D5254" w:rsidRDefault="004D5254" w:rsidP="004D5254">
      <w:pPr>
        <w:autoSpaceDE w:val="0"/>
        <w:autoSpaceDN w:val="0"/>
        <w:adjustRightInd w:val="0"/>
      </w:pPr>
      <w:r>
        <w:t xml:space="preserve">Neither the </w:t>
      </w:r>
      <w:r w:rsidRPr="00BE071B">
        <w:t>non-compartmental, integrated covariate analysis</w:t>
      </w:r>
      <w:r>
        <w:t xml:space="preserve"> nor the POPPK analysis identified total bilirubin or transaminase levels as significant covariates for pralatrexate clearance. However, given that </w:t>
      </w:r>
      <w:r>
        <w:rPr>
          <w:color w:val="000000"/>
          <w:lang w:eastAsia="en-GB"/>
        </w:rPr>
        <w:t>60-70%</w:t>
      </w:r>
      <w:r w:rsidRPr="00027441">
        <w:rPr>
          <w:color w:val="000000"/>
          <w:lang w:eastAsia="en-GB"/>
        </w:rPr>
        <w:t xml:space="preserve"> of pralatrexate is eliminated by non-renal clearance</w:t>
      </w:r>
      <w:r>
        <w:rPr>
          <w:color w:val="000000"/>
          <w:lang w:eastAsia="en-GB"/>
        </w:rPr>
        <w:t xml:space="preserve">, and </w:t>
      </w:r>
      <w:r w:rsidRPr="00027441">
        <w:rPr>
          <w:color w:val="000000"/>
          <w:lang w:eastAsia="en-GB"/>
        </w:rPr>
        <w:t xml:space="preserve">that </w:t>
      </w:r>
      <w:r>
        <w:rPr>
          <w:color w:val="000000"/>
          <w:lang w:eastAsia="en-GB"/>
        </w:rPr>
        <w:t>this is likely to be</w:t>
      </w:r>
      <w:r w:rsidRPr="00027441">
        <w:rPr>
          <w:color w:val="000000"/>
          <w:lang w:eastAsia="en-GB"/>
        </w:rPr>
        <w:t xml:space="preserve"> largely via hepatobiliary excretion, a risk for increased exposure in patients with hepatic impairment cannot be excluded</w:t>
      </w:r>
      <w:r>
        <w:rPr>
          <w:color w:val="000000"/>
          <w:lang w:eastAsia="en-GB"/>
        </w:rPr>
        <w:t>. This is adequately reflected in the proposed PI.</w:t>
      </w:r>
    </w:p>
    <w:p w:rsidR="004D5254" w:rsidRDefault="004D5254" w:rsidP="0090319D">
      <w:pPr>
        <w:pStyle w:val="Heading2"/>
      </w:pPr>
      <w:bookmarkStart w:id="127" w:name="_Toc359930722"/>
      <w:bookmarkStart w:id="128" w:name="_Toc364764896"/>
      <w:r>
        <w:t>Pharmacodynamics</w:t>
      </w:r>
      <w:bookmarkEnd w:id="127"/>
      <w:bookmarkEnd w:id="128"/>
    </w:p>
    <w:p w:rsidR="004D5254" w:rsidRDefault="004D5254" w:rsidP="004D5254">
      <w:pPr>
        <w:pStyle w:val="Heading3"/>
        <w:numPr>
          <w:ilvl w:val="1"/>
          <w:numId w:val="5"/>
        </w:numPr>
      </w:pPr>
      <w:bookmarkStart w:id="129" w:name="_Toc272414637"/>
      <w:bookmarkStart w:id="130" w:name="_Toc290846260"/>
      <w:bookmarkStart w:id="131" w:name="_Toc320881439"/>
      <w:bookmarkStart w:id="132" w:name="_Toc359930723"/>
      <w:bookmarkStart w:id="133" w:name="_Toc364764897"/>
      <w:r>
        <w:t>Studies providing pharmacodynamic data</w:t>
      </w:r>
      <w:bookmarkEnd w:id="129"/>
      <w:bookmarkEnd w:id="130"/>
      <w:bookmarkEnd w:id="131"/>
      <w:bookmarkEnd w:id="132"/>
      <w:bookmarkEnd w:id="133"/>
    </w:p>
    <w:p w:rsidR="004D5254" w:rsidRDefault="004D5254" w:rsidP="004D5254">
      <w:r>
        <w:t>Table 5 (below) shows the studies relating to each pharmacodynamic topic and the location of each study summary.</w:t>
      </w:r>
    </w:p>
    <w:p w:rsidR="004D5254" w:rsidRDefault="004D5254" w:rsidP="004D5254">
      <w:pPr>
        <w:pStyle w:val="FigureTitle"/>
      </w:pPr>
      <w:bookmarkStart w:id="134" w:name="_Ref269985397"/>
      <w:bookmarkStart w:id="135" w:name="_Toc320881528"/>
      <w:r>
        <w:t xml:space="preserve">Table </w:t>
      </w:r>
      <w:bookmarkEnd w:id="134"/>
      <w:r>
        <w:t>5. Submitted pharmacodynamic studies.</w:t>
      </w:r>
      <w:bookmarkEnd w:id="135"/>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977"/>
        <w:gridCol w:w="2126"/>
        <w:gridCol w:w="567"/>
      </w:tblGrid>
      <w:tr w:rsidR="004D5254" w:rsidTr="00C80331">
        <w:tc>
          <w:tcPr>
            <w:tcW w:w="2943" w:type="dxa"/>
            <w:shd w:val="clear" w:color="auto" w:fill="0070C0"/>
          </w:tcPr>
          <w:p w:rsidR="004D5254" w:rsidRPr="0038288C" w:rsidRDefault="004D5254" w:rsidP="00C80331">
            <w:pPr>
              <w:pStyle w:val="Tabletext"/>
              <w:keepNext/>
              <w:spacing w:before="40" w:after="40"/>
              <w:rPr>
                <w:b/>
                <w:color w:val="FFFFFF" w:themeColor="background1"/>
              </w:rPr>
            </w:pPr>
            <w:r w:rsidRPr="0038288C">
              <w:rPr>
                <w:b/>
                <w:color w:val="FFFFFF" w:themeColor="background1"/>
              </w:rPr>
              <w:t>PD Topic</w:t>
            </w:r>
          </w:p>
        </w:tc>
        <w:tc>
          <w:tcPr>
            <w:tcW w:w="2977" w:type="dxa"/>
            <w:shd w:val="clear" w:color="auto" w:fill="0070C0"/>
          </w:tcPr>
          <w:p w:rsidR="004D5254" w:rsidRPr="0038288C" w:rsidRDefault="004D5254" w:rsidP="00C80331">
            <w:pPr>
              <w:pStyle w:val="Tabletext"/>
              <w:keepNext/>
              <w:spacing w:before="40" w:after="40"/>
              <w:rPr>
                <w:b/>
                <w:color w:val="FFFFFF" w:themeColor="background1"/>
              </w:rPr>
            </w:pPr>
            <w:r w:rsidRPr="0038288C">
              <w:rPr>
                <w:b/>
                <w:color w:val="FFFFFF" w:themeColor="background1"/>
              </w:rPr>
              <w:t>Subtopic</w:t>
            </w:r>
          </w:p>
        </w:tc>
        <w:tc>
          <w:tcPr>
            <w:tcW w:w="2126" w:type="dxa"/>
            <w:shd w:val="clear" w:color="auto" w:fill="0070C0"/>
          </w:tcPr>
          <w:p w:rsidR="004D5254" w:rsidRPr="0038288C" w:rsidRDefault="004D5254" w:rsidP="00C80331">
            <w:pPr>
              <w:pStyle w:val="Tabletext"/>
              <w:keepNext/>
              <w:spacing w:before="40" w:after="40"/>
              <w:jc w:val="center"/>
              <w:rPr>
                <w:b/>
                <w:color w:val="FFFFFF" w:themeColor="background1"/>
              </w:rPr>
            </w:pPr>
            <w:r w:rsidRPr="0038288C">
              <w:rPr>
                <w:b/>
                <w:color w:val="FFFFFF" w:themeColor="background1"/>
              </w:rPr>
              <w:t>Study ID</w:t>
            </w:r>
          </w:p>
        </w:tc>
        <w:tc>
          <w:tcPr>
            <w:tcW w:w="567" w:type="dxa"/>
            <w:shd w:val="clear" w:color="auto" w:fill="0070C0"/>
          </w:tcPr>
          <w:p w:rsidR="004D5254" w:rsidRPr="0038288C" w:rsidRDefault="004D5254" w:rsidP="00C80331">
            <w:pPr>
              <w:pStyle w:val="Tabletext"/>
              <w:keepNext/>
              <w:spacing w:before="40" w:after="40"/>
              <w:jc w:val="center"/>
              <w:rPr>
                <w:b/>
                <w:color w:val="FFFFFF" w:themeColor="background1"/>
              </w:rPr>
            </w:pPr>
            <w:r w:rsidRPr="0038288C">
              <w:rPr>
                <w:b/>
                <w:color w:val="FFFFFF" w:themeColor="background1"/>
              </w:rPr>
              <w:t>*</w:t>
            </w:r>
          </w:p>
        </w:tc>
      </w:tr>
      <w:tr w:rsidR="004D5254" w:rsidTr="00C80331">
        <w:tc>
          <w:tcPr>
            <w:tcW w:w="2943" w:type="dxa"/>
            <w:vMerge w:val="restart"/>
          </w:tcPr>
          <w:p w:rsidR="004D5254" w:rsidRPr="007A7D84" w:rsidRDefault="004D5254" w:rsidP="00C80331">
            <w:pPr>
              <w:pStyle w:val="Tabletext"/>
              <w:keepNext/>
              <w:spacing w:before="40" w:after="40"/>
              <w:rPr>
                <w:b/>
              </w:rPr>
            </w:pPr>
            <w:r w:rsidRPr="007A7D84">
              <w:rPr>
                <w:b/>
              </w:rPr>
              <w:t>Primary Pharmacology</w:t>
            </w:r>
          </w:p>
        </w:tc>
        <w:tc>
          <w:tcPr>
            <w:tcW w:w="2977" w:type="dxa"/>
            <w:tcBorders>
              <w:bottom w:val="nil"/>
              <w:right w:val="nil"/>
            </w:tcBorders>
          </w:tcPr>
          <w:p w:rsidR="004D5254" w:rsidRPr="000800CC" w:rsidRDefault="004D5254" w:rsidP="00C80331">
            <w:pPr>
              <w:pStyle w:val="Tabletext"/>
              <w:keepNext/>
              <w:spacing w:before="40" w:after="40"/>
            </w:pPr>
            <w:r>
              <w:t xml:space="preserve">Biomarker–tumour response </w:t>
            </w:r>
          </w:p>
        </w:tc>
        <w:tc>
          <w:tcPr>
            <w:tcW w:w="2126" w:type="dxa"/>
            <w:tcBorders>
              <w:bottom w:val="nil"/>
            </w:tcBorders>
          </w:tcPr>
          <w:p w:rsidR="004D5254" w:rsidRPr="000800CC" w:rsidRDefault="004D5254" w:rsidP="00C80331">
            <w:pPr>
              <w:pStyle w:val="Tabletext"/>
              <w:keepNext/>
              <w:spacing w:before="40" w:after="40"/>
              <w:jc w:val="center"/>
            </w:pPr>
            <w:r>
              <w:t>PDX-008</w:t>
            </w:r>
          </w:p>
        </w:tc>
        <w:tc>
          <w:tcPr>
            <w:tcW w:w="567" w:type="dxa"/>
            <w:tcBorders>
              <w:bottom w:val="nil"/>
            </w:tcBorders>
          </w:tcPr>
          <w:p w:rsidR="004D5254" w:rsidRPr="000800CC" w:rsidRDefault="004D5254" w:rsidP="00C80331">
            <w:pPr>
              <w:pStyle w:val="Tabletext"/>
              <w:keepNext/>
              <w:spacing w:before="40" w:after="40"/>
              <w:jc w:val="center"/>
            </w:pPr>
          </w:p>
        </w:tc>
      </w:tr>
      <w:tr w:rsidR="004D5254" w:rsidTr="00C80331">
        <w:tc>
          <w:tcPr>
            <w:tcW w:w="2943" w:type="dxa"/>
            <w:vMerge/>
          </w:tcPr>
          <w:p w:rsidR="004D5254" w:rsidRPr="007A7D84" w:rsidRDefault="004D5254" w:rsidP="00C80331">
            <w:pPr>
              <w:pStyle w:val="Tabletext"/>
              <w:keepNext/>
              <w:spacing w:before="40" w:after="40"/>
              <w:rPr>
                <w:b/>
              </w:rPr>
            </w:pPr>
          </w:p>
        </w:tc>
        <w:tc>
          <w:tcPr>
            <w:tcW w:w="2977" w:type="dxa"/>
            <w:tcBorders>
              <w:top w:val="nil"/>
              <w:bottom w:val="nil"/>
              <w:right w:val="nil"/>
            </w:tcBorders>
          </w:tcPr>
          <w:p w:rsidR="004D5254" w:rsidRPr="000800CC" w:rsidRDefault="004D5254" w:rsidP="00C80331">
            <w:pPr>
              <w:pStyle w:val="Tabletext"/>
              <w:keepNext/>
              <w:spacing w:before="40" w:after="40"/>
            </w:pPr>
            <w:r>
              <w:t xml:space="preserve"> relationship</w:t>
            </w:r>
          </w:p>
        </w:tc>
        <w:tc>
          <w:tcPr>
            <w:tcW w:w="2126" w:type="dxa"/>
            <w:tcBorders>
              <w:top w:val="nil"/>
              <w:bottom w:val="nil"/>
            </w:tcBorders>
          </w:tcPr>
          <w:p w:rsidR="004D5254" w:rsidRPr="000800CC" w:rsidRDefault="004D5254" w:rsidP="00C80331">
            <w:pPr>
              <w:pStyle w:val="Tabletext"/>
              <w:keepNext/>
              <w:spacing w:before="40" w:after="40"/>
              <w:jc w:val="center"/>
            </w:pPr>
            <w:r>
              <w:t>PDX-007</w:t>
            </w:r>
          </w:p>
        </w:tc>
        <w:tc>
          <w:tcPr>
            <w:tcW w:w="567" w:type="dxa"/>
            <w:tcBorders>
              <w:top w:val="nil"/>
              <w:bottom w:val="nil"/>
            </w:tcBorders>
          </w:tcPr>
          <w:p w:rsidR="004D5254" w:rsidRPr="000800CC" w:rsidRDefault="004D5254" w:rsidP="00C80331">
            <w:pPr>
              <w:pStyle w:val="Tabletext"/>
              <w:keepNext/>
              <w:spacing w:before="40" w:after="40"/>
              <w:jc w:val="center"/>
            </w:pPr>
          </w:p>
        </w:tc>
      </w:tr>
      <w:tr w:rsidR="004D5254" w:rsidTr="00C80331">
        <w:tc>
          <w:tcPr>
            <w:tcW w:w="2943" w:type="dxa"/>
            <w:vMerge/>
          </w:tcPr>
          <w:p w:rsidR="004D5254" w:rsidRPr="007A7D84" w:rsidRDefault="004D5254" w:rsidP="00C80331">
            <w:pPr>
              <w:pStyle w:val="Tabletext"/>
              <w:keepNext/>
              <w:spacing w:before="40" w:after="40"/>
              <w:rPr>
                <w:b/>
              </w:rPr>
            </w:pPr>
          </w:p>
        </w:tc>
        <w:tc>
          <w:tcPr>
            <w:tcW w:w="2977" w:type="dxa"/>
            <w:tcBorders>
              <w:top w:val="nil"/>
              <w:bottom w:val="nil"/>
              <w:right w:val="nil"/>
            </w:tcBorders>
          </w:tcPr>
          <w:p w:rsidR="004D5254" w:rsidRPr="000800CC" w:rsidRDefault="004D5254" w:rsidP="00C80331">
            <w:pPr>
              <w:pStyle w:val="Tabletext"/>
              <w:keepNext/>
              <w:spacing w:before="40" w:after="40"/>
            </w:pPr>
          </w:p>
        </w:tc>
        <w:tc>
          <w:tcPr>
            <w:tcW w:w="2126" w:type="dxa"/>
            <w:tcBorders>
              <w:top w:val="nil"/>
              <w:bottom w:val="nil"/>
            </w:tcBorders>
          </w:tcPr>
          <w:p w:rsidR="004D5254" w:rsidRPr="000800CC" w:rsidRDefault="004D5254" w:rsidP="00C80331">
            <w:pPr>
              <w:pStyle w:val="Tabletext"/>
              <w:keepNext/>
              <w:spacing w:before="40" w:after="40"/>
              <w:jc w:val="center"/>
            </w:pPr>
            <w:r>
              <w:t>PDX-99-083</w:t>
            </w:r>
          </w:p>
        </w:tc>
        <w:tc>
          <w:tcPr>
            <w:tcW w:w="567" w:type="dxa"/>
            <w:tcBorders>
              <w:top w:val="nil"/>
              <w:bottom w:val="nil"/>
            </w:tcBorders>
          </w:tcPr>
          <w:p w:rsidR="004D5254" w:rsidRPr="000800CC" w:rsidRDefault="004D5254" w:rsidP="00C80331">
            <w:pPr>
              <w:pStyle w:val="Tabletext"/>
              <w:keepNext/>
              <w:spacing w:before="40" w:after="40"/>
              <w:jc w:val="center"/>
            </w:pPr>
          </w:p>
        </w:tc>
      </w:tr>
      <w:tr w:rsidR="004D5254" w:rsidTr="00C80331">
        <w:tc>
          <w:tcPr>
            <w:tcW w:w="2943" w:type="dxa"/>
          </w:tcPr>
          <w:p w:rsidR="004D5254" w:rsidRPr="007A7D84" w:rsidRDefault="004D5254" w:rsidP="00C80331">
            <w:pPr>
              <w:pStyle w:val="Tabletext"/>
              <w:keepNext/>
              <w:spacing w:before="40" w:after="40"/>
              <w:rPr>
                <w:b/>
              </w:rPr>
            </w:pPr>
            <w:r w:rsidRPr="007A7D84">
              <w:rPr>
                <w:b/>
              </w:rPr>
              <w:t>Secondary Pharmacology</w:t>
            </w:r>
          </w:p>
        </w:tc>
        <w:tc>
          <w:tcPr>
            <w:tcW w:w="2977" w:type="dxa"/>
            <w:tcBorders>
              <w:bottom w:val="nil"/>
              <w:right w:val="nil"/>
            </w:tcBorders>
          </w:tcPr>
          <w:p w:rsidR="004D5254" w:rsidRPr="000800CC" w:rsidRDefault="004D5254" w:rsidP="00C80331">
            <w:pPr>
              <w:pStyle w:val="Tabletext"/>
              <w:keepNext/>
              <w:spacing w:before="40" w:after="40"/>
            </w:pPr>
            <w:r w:rsidRPr="000800CC">
              <w:t xml:space="preserve">Effect on </w:t>
            </w:r>
            <w:r>
              <w:t>QT interval</w:t>
            </w:r>
          </w:p>
        </w:tc>
        <w:tc>
          <w:tcPr>
            <w:tcW w:w="2126" w:type="dxa"/>
            <w:tcBorders>
              <w:bottom w:val="nil"/>
            </w:tcBorders>
          </w:tcPr>
          <w:p w:rsidR="004D5254" w:rsidRPr="000800CC" w:rsidRDefault="004D5254" w:rsidP="00C80331">
            <w:pPr>
              <w:pStyle w:val="Tabletext"/>
              <w:keepNext/>
              <w:spacing w:before="40" w:after="40"/>
              <w:jc w:val="center"/>
            </w:pPr>
            <w:r>
              <w:t>PDX-007 (QT</w:t>
            </w:r>
            <w:r w:rsidRPr="00B60C02">
              <w:rPr>
                <w:vertAlign w:val="subscript"/>
              </w:rPr>
              <w:t>c</w:t>
            </w:r>
            <w:r>
              <w:t>)</w:t>
            </w:r>
          </w:p>
        </w:tc>
        <w:tc>
          <w:tcPr>
            <w:tcW w:w="567" w:type="dxa"/>
            <w:tcBorders>
              <w:bottom w:val="nil"/>
            </w:tcBorders>
          </w:tcPr>
          <w:p w:rsidR="004D5254" w:rsidRPr="000800CC" w:rsidRDefault="004D5254" w:rsidP="00C80331">
            <w:pPr>
              <w:pStyle w:val="Tabletext"/>
              <w:keepNext/>
              <w:spacing w:before="40" w:after="40"/>
              <w:jc w:val="center"/>
            </w:pPr>
            <w:r>
              <w:t>*</w:t>
            </w:r>
          </w:p>
        </w:tc>
      </w:tr>
      <w:tr w:rsidR="004D5254" w:rsidTr="00C80331">
        <w:tc>
          <w:tcPr>
            <w:tcW w:w="2943" w:type="dxa"/>
            <w:vMerge w:val="restart"/>
          </w:tcPr>
          <w:p w:rsidR="004D5254" w:rsidRPr="007A7D84" w:rsidRDefault="004D5254" w:rsidP="00C80331">
            <w:pPr>
              <w:pStyle w:val="Tabletext"/>
              <w:keepNext/>
              <w:spacing w:before="40" w:after="40"/>
              <w:rPr>
                <w:b/>
              </w:rPr>
            </w:pPr>
            <w:r w:rsidRPr="007A7D84">
              <w:rPr>
                <w:b/>
              </w:rPr>
              <w:t xml:space="preserve">Gender </w:t>
            </w:r>
            <w:r>
              <w:rPr>
                <w:b/>
              </w:rPr>
              <w:t xml:space="preserve">other genetic </w:t>
            </w:r>
            <w:r w:rsidRPr="007A7D84">
              <w:rPr>
                <w:b/>
              </w:rPr>
              <w:t>and Age-Related Differences in PD Response</w:t>
            </w:r>
          </w:p>
        </w:tc>
        <w:tc>
          <w:tcPr>
            <w:tcW w:w="2977" w:type="dxa"/>
            <w:tcBorders>
              <w:right w:val="nil"/>
            </w:tcBorders>
          </w:tcPr>
          <w:p w:rsidR="004D5254" w:rsidRDefault="004D5254" w:rsidP="00C80331">
            <w:pPr>
              <w:pStyle w:val="Tabletext"/>
              <w:keepNext/>
              <w:spacing w:before="40" w:after="40"/>
            </w:pPr>
            <w:r w:rsidRPr="000800CC">
              <w:t>Effect of gender</w:t>
            </w:r>
          </w:p>
          <w:p w:rsidR="004D5254" w:rsidRPr="000800CC" w:rsidRDefault="004D5254" w:rsidP="00C80331">
            <w:pPr>
              <w:pStyle w:val="Tabletext"/>
              <w:keepNext/>
              <w:spacing w:before="40" w:after="40"/>
            </w:pPr>
          </w:p>
        </w:tc>
        <w:tc>
          <w:tcPr>
            <w:tcW w:w="2126" w:type="dxa"/>
          </w:tcPr>
          <w:p w:rsidR="004D5254" w:rsidRPr="000800CC" w:rsidRDefault="004D5254" w:rsidP="00C80331">
            <w:pPr>
              <w:pStyle w:val="Tabletext"/>
              <w:keepNext/>
              <w:spacing w:before="40" w:after="40"/>
              <w:jc w:val="center"/>
            </w:pPr>
            <w:r>
              <w:t>Nil studies</w:t>
            </w:r>
          </w:p>
        </w:tc>
        <w:tc>
          <w:tcPr>
            <w:tcW w:w="567" w:type="dxa"/>
          </w:tcPr>
          <w:p w:rsidR="004D5254" w:rsidRPr="000800CC" w:rsidRDefault="004D5254" w:rsidP="00C80331">
            <w:pPr>
              <w:pStyle w:val="Tabletext"/>
              <w:keepNext/>
              <w:spacing w:before="40" w:after="40"/>
              <w:jc w:val="center"/>
            </w:pPr>
          </w:p>
        </w:tc>
      </w:tr>
      <w:tr w:rsidR="004D5254" w:rsidTr="00C80331">
        <w:tc>
          <w:tcPr>
            <w:tcW w:w="2943" w:type="dxa"/>
            <w:vMerge/>
          </w:tcPr>
          <w:p w:rsidR="004D5254" w:rsidRPr="007A7D84" w:rsidRDefault="004D5254" w:rsidP="00C80331">
            <w:pPr>
              <w:pStyle w:val="Tabletext"/>
              <w:keepNext/>
              <w:spacing w:before="40" w:after="40"/>
              <w:rPr>
                <w:b/>
              </w:rPr>
            </w:pPr>
          </w:p>
        </w:tc>
        <w:tc>
          <w:tcPr>
            <w:tcW w:w="2977" w:type="dxa"/>
            <w:tcBorders>
              <w:right w:val="nil"/>
            </w:tcBorders>
          </w:tcPr>
          <w:p w:rsidR="004D5254" w:rsidRPr="000800CC" w:rsidRDefault="004D5254" w:rsidP="00C80331">
            <w:pPr>
              <w:pStyle w:val="Tabletext"/>
              <w:keepNext/>
              <w:spacing w:before="40" w:after="40"/>
            </w:pPr>
            <w:r w:rsidRPr="000800CC">
              <w:t>Effect of age</w:t>
            </w:r>
          </w:p>
        </w:tc>
        <w:tc>
          <w:tcPr>
            <w:tcW w:w="2126" w:type="dxa"/>
          </w:tcPr>
          <w:p w:rsidR="004D5254" w:rsidRPr="000800CC" w:rsidRDefault="004D5254" w:rsidP="00C80331">
            <w:pPr>
              <w:pStyle w:val="Tabletext"/>
              <w:keepNext/>
              <w:spacing w:before="40" w:after="40"/>
              <w:jc w:val="center"/>
            </w:pPr>
            <w:r>
              <w:t>Nil studies</w:t>
            </w:r>
          </w:p>
        </w:tc>
        <w:tc>
          <w:tcPr>
            <w:tcW w:w="567" w:type="dxa"/>
          </w:tcPr>
          <w:p w:rsidR="004D5254" w:rsidRPr="000800CC" w:rsidRDefault="004D5254" w:rsidP="00C80331">
            <w:pPr>
              <w:pStyle w:val="Tabletext"/>
              <w:keepNext/>
              <w:spacing w:before="40" w:after="40"/>
              <w:jc w:val="center"/>
            </w:pPr>
          </w:p>
        </w:tc>
      </w:tr>
      <w:tr w:rsidR="004D5254" w:rsidTr="00C80331">
        <w:tc>
          <w:tcPr>
            <w:tcW w:w="2943" w:type="dxa"/>
          </w:tcPr>
          <w:p w:rsidR="004D5254" w:rsidRPr="007A7D84" w:rsidRDefault="004D5254" w:rsidP="00C80331">
            <w:pPr>
              <w:pStyle w:val="Tabletext"/>
              <w:keepNext/>
              <w:spacing w:before="40" w:after="40"/>
              <w:rPr>
                <w:b/>
              </w:rPr>
            </w:pPr>
            <w:r w:rsidRPr="007A7D84">
              <w:rPr>
                <w:b/>
              </w:rPr>
              <w:t>PD Interactions</w:t>
            </w:r>
          </w:p>
        </w:tc>
        <w:tc>
          <w:tcPr>
            <w:tcW w:w="2977" w:type="dxa"/>
            <w:tcBorders>
              <w:right w:val="nil"/>
            </w:tcBorders>
          </w:tcPr>
          <w:p w:rsidR="004D5254" w:rsidRPr="000800CC" w:rsidRDefault="004D5254" w:rsidP="00C80331">
            <w:pPr>
              <w:pStyle w:val="Tabletext"/>
              <w:keepNext/>
              <w:spacing w:before="40" w:after="40"/>
            </w:pPr>
            <w:r>
              <w:t>Nil studies</w:t>
            </w:r>
          </w:p>
        </w:tc>
        <w:tc>
          <w:tcPr>
            <w:tcW w:w="2126" w:type="dxa"/>
          </w:tcPr>
          <w:p w:rsidR="004D5254" w:rsidRPr="000800CC" w:rsidRDefault="004D5254" w:rsidP="00C80331">
            <w:pPr>
              <w:pStyle w:val="Tabletext"/>
              <w:keepNext/>
              <w:spacing w:before="40" w:after="40"/>
              <w:jc w:val="center"/>
            </w:pPr>
          </w:p>
        </w:tc>
        <w:tc>
          <w:tcPr>
            <w:tcW w:w="567" w:type="dxa"/>
          </w:tcPr>
          <w:p w:rsidR="004D5254" w:rsidRPr="000800CC" w:rsidRDefault="004D5254" w:rsidP="00C80331">
            <w:pPr>
              <w:pStyle w:val="Tabletext"/>
              <w:keepNext/>
              <w:spacing w:before="40" w:after="40"/>
              <w:jc w:val="center"/>
            </w:pPr>
          </w:p>
        </w:tc>
      </w:tr>
      <w:tr w:rsidR="004D5254" w:rsidTr="00C80331">
        <w:tc>
          <w:tcPr>
            <w:tcW w:w="2943" w:type="dxa"/>
            <w:vMerge w:val="restart"/>
          </w:tcPr>
          <w:p w:rsidR="004D5254" w:rsidRPr="007A7D84" w:rsidRDefault="004D5254" w:rsidP="00C80331">
            <w:pPr>
              <w:pStyle w:val="Tabletext"/>
              <w:keepNext/>
              <w:spacing w:before="40" w:after="40"/>
              <w:rPr>
                <w:b/>
              </w:rPr>
            </w:pPr>
            <w:r w:rsidRPr="007A7D84">
              <w:rPr>
                <w:b/>
              </w:rPr>
              <w:t>Population PD and PK-PD analyses</w:t>
            </w:r>
          </w:p>
        </w:tc>
        <w:tc>
          <w:tcPr>
            <w:tcW w:w="2977" w:type="dxa"/>
            <w:tcBorders>
              <w:right w:val="nil"/>
            </w:tcBorders>
          </w:tcPr>
          <w:p w:rsidR="004D5254" w:rsidRPr="000800CC" w:rsidRDefault="004D5254" w:rsidP="00C80331">
            <w:pPr>
              <w:pStyle w:val="Tabletext"/>
              <w:keepNext/>
              <w:spacing w:before="40" w:after="40"/>
            </w:pPr>
            <w:r w:rsidRPr="000800CC">
              <w:t>Healthy subjects</w:t>
            </w:r>
            <w:r>
              <w:t xml:space="preserve"> </w:t>
            </w:r>
          </w:p>
        </w:tc>
        <w:tc>
          <w:tcPr>
            <w:tcW w:w="2126" w:type="dxa"/>
          </w:tcPr>
          <w:p w:rsidR="004D5254" w:rsidRPr="000800CC" w:rsidRDefault="004D5254" w:rsidP="00C80331">
            <w:pPr>
              <w:pStyle w:val="Tabletext"/>
              <w:keepNext/>
              <w:spacing w:before="40" w:after="40"/>
              <w:jc w:val="center"/>
            </w:pPr>
            <w:r>
              <w:t>Nil analyses</w:t>
            </w:r>
          </w:p>
        </w:tc>
        <w:tc>
          <w:tcPr>
            <w:tcW w:w="567" w:type="dxa"/>
          </w:tcPr>
          <w:p w:rsidR="004D5254" w:rsidRPr="000800CC" w:rsidRDefault="004D5254" w:rsidP="00C80331">
            <w:pPr>
              <w:pStyle w:val="Tabletext"/>
              <w:keepNext/>
              <w:spacing w:before="40" w:after="40"/>
              <w:jc w:val="center"/>
            </w:pPr>
          </w:p>
        </w:tc>
      </w:tr>
      <w:tr w:rsidR="004D5254" w:rsidTr="00C80331">
        <w:tc>
          <w:tcPr>
            <w:tcW w:w="2943" w:type="dxa"/>
            <w:vMerge/>
          </w:tcPr>
          <w:p w:rsidR="004D5254" w:rsidRPr="000800CC" w:rsidRDefault="004D5254" w:rsidP="00C80331">
            <w:pPr>
              <w:pStyle w:val="Tabletext"/>
              <w:keepNext/>
              <w:spacing w:before="40" w:after="40"/>
            </w:pPr>
          </w:p>
        </w:tc>
        <w:tc>
          <w:tcPr>
            <w:tcW w:w="2977" w:type="dxa"/>
            <w:tcBorders>
              <w:right w:val="nil"/>
            </w:tcBorders>
          </w:tcPr>
          <w:p w:rsidR="004D5254" w:rsidRPr="000800CC" w:rsidRDefault="004D5254" w:rsidP="00C80331">
            <w:pPr>
              <w:pStyle w:val="Tabletext"/>
              <w:keepNext/>
              <w:spacing w:before="40" w:after="40"/>
            </w:pPr>
            <w:r w:rsidRPr="000800CC">
              <w:t>Target population</w:t>
            </w:r>
            <w:r>
              <w:t xml:space="preserve"> (PTCL)</w:t>
            </w:r>
            <w:r w:rsidRPr="00BF3808">
              <w:t xml:space="preserve"> §</w:t>
            </w:r>
          </w:p>
        </w:tc>
        <w:tc>
          <w:tcPr>
            <w:tcW w:w="2126" w:type="dxa"/>
          </w:tcPr>
          <w:p w:rsidR="004D5254" w:rsidRPr="000800CC" w:rsidRDefault="004D5254" w:rsidP="00C80331">
            <w:pPr>
              <w:pStyle w:val="Tabletext"/>
              <w:keepNext/>
              <w:spacing w:before="40" w:after="40"/>
              <w:jc w:val="center"/>
            </w:pPr>
            <w:r>
              <w:t>PDX-008</w:t>
            </w:r>
          </w:p>
        </w:tc>
        <w:tc>
          <w:tcPr>
            <w:tcW w:w="567" w:type="dxa"/>
          </w:tcPr>
          <w:p w:rsidR="004D5254" w:rsidRPr="000800CC" w:rsidRDefault="004D5254" w:rsidP="00C80331">
            <w:pPr>
              <w:pStyle w:val="Tabletext"/>
              <w:keepNext/>
              <w:spacing w:before="40" w:after="40"/>
              <w:jc w:val="center"/>
            </w:pPr>
          </w:p>
        </w:tc>
      </w:tr>
      <w:tr w:rsidR="004D5254" w:rsidTr="00C80331">
        <w:tc>
          <w:tcPr>
            <w:tcW w:w="2943" w:type="dxa"/>
            <w:vMerge/>
          </w:tcPr>
          <w:p w:rsidR="004D5254" w:rsidRPr="000800CC" w:rsidRDefault="004D5254" w:rsidP="00C80331">
            <w:pPr>
              <w:pStyle w:val="Tabletext"/>
              <w:keepNext/>
            </w:pPr>
          </w:p>
        </w:tc>
        <w:tc>
          <w:tcPr>
            <w:tcW w:w="2977" w:type="dxa"/>
            <w:tcBorders>
              <w:right w:val="nil"/>
            </w:tcBorders>
          </w:tcPr>
          <w:p w:rsidR="004D5254" w:rsidRPr="000800CC" w:rsidRDefault="004D5254" w:rsidP="00C80331">
            <w:pPr>
              <w:pStyle w:val="Tabletext"/>
              <w:keepNext/>
              <w:spacing w:before="40" w:after="40"/>
            </w:pPr>
            <w:r>
              <w:t>Oncology (NHL and Hodgkin’s lymphoma) patients</w:t>
            </w:r>
          </w:p>
        </w:tc>
        <w:tc>
          <w:tcPr>
            <w:tcW w:w="2126" w:type="dxa"/>
          </w:tcPr>
          <w:p w:rsidR="004D5254" w:rsidRDefault="004D5254" w:rsidP="00C80331">
            <w:pPr>
              <w:pStyle w:val="Tabletext"/>
              <w:keepNext/>
              <w:spacing w:before="40" w:after="40"/>
              <w:jc w:val="center"/>
            </w:pPr>
            <w:r>
              <w:t xml:space="preserve">PDX-02-078 </w:t>
            </w:r>
          </w:p>
          <w:p w:rsidR="004D5254" w:rsidRPr="000800CC" w:rsidRDefault="004D5254" w:rsidP="00C80331">
            <w:pPr>
              <w:pStyle w:val="Tabletext"/>
              <w:keepNext/>
              <w:spacing w:before="40" w:after="40"/>
              <w:jc w:val="center"/>
            </w:pPr>
            <w:r>
              <w:t xml:space="preserve">(Mould </w:t>
            </w:r>
            <w:r w:rsidRPr="005F61C6">
              <w:rPr>
                <w:i/>
              </w:rPr>
              <w:t>et al</w:t>
            </w:r>
            <w:r>
              <w:t>., 2009)</w:t>
            </w:r>
          </w:p>
        </w:tc>
        <w:tc>
          <w:tcPr>
            <w:tcW w:w="567" w:type="dxa"/>
          </w:tcPr>
          <w:p w:rsidR="004D5254" w:rsidRPr="000800CC" w:rsidRDefault="004D5254" w:rsidP="00C80331">
            <w:pPr>
              <w:pStyle w:val="Tabletext"/>
              <w:keepNext/>
              <w:spacing w:before="40" w:after="40"/>
              <w:jc w:val="center"/>
            </w:pPr>
          </w:p>
        </w:tc>
      </w:tr>
    </w:tbl>
    <w:p w:rsidR="004D5254" w:rsidRPr="0038288C" w:rsidRDefault="004D5254" w:rsidP="004D5254">
      <w:pPr>
        <w:keepNext/>
        <w:rPr>
          <w:sz w:val="18"/>
          <w:szCs w:val="18"/>
        </w:rPr>
      </w:pPr>
      <w:r w:rsidRPr="0038288C">
        <w:rPr>
          <w:sz w:val="18"/>
          <w:szCs w:val="18"/>
        </w:rPr>
        <w:t>* Indicates the primary aim of the study.</w:t>
      </w:r>
      <w:r>
        <w:rPr>
          <w:sz w:val="18"/>
          <w:szCs w:val="18"/>
        </w:rPr>
        <w:t xml:space="preserve"> </w:t>
      </w:r>
      <w:r w:rsidRPr="0038288C">
        <w:rPr>
          <w:sz w:val="18"/>
          <w:szCs w:val="18"/>
        </w:rPr>
        <w:t>§ Subjects who would be eligible to receive the drug if approved for the proposed indication.</w:t>
      </w:r>
    </w:p>
    <w:p w:rsidR="004D5254" w:rsidRDefault="004D5254" w:rsidP="004D5254">
      <w:r>
        <w:t>None of the pharmacodynamic studies had deficiencies that excluded their results from consideration.</w:t>
      </w:r>
    </w:p>
    <w:p w:rsidR="004D5254" w:rsidRDefault="004D5254" w:rsidP="004D5254">
      <w:pPr>
        <w:pStyle w:val="Heading3"/>
        <w:numPr>
          <w:ilvl w:val="1"/>
          <w:numId w:val="5"/>
        </w:numPr>
      </w:pPr>
      <w:bookmarkStart w:id="136" w:name="_Ref269119989"/>
      <w:bookmarkStart w:id="137" w:name="_Toc272414639"/>
      <w:bookmarkStart w:id="138" w:name="_Toc290846261"/>
      <w:bookmarkStart w:id="139" w:name="_Toc320881440"/>
      <w:bookmarkStart w:id="140" w:name="_Toc359930724"/>
      <w:bookmarkStart w:id="141" w:name="_Toc364764898"/>
      <w:r>
        <w:t>Summary of pharmacodynamics</w:t>
      </w:r>
      <w:bookmarkEnd w:id="136"/>
      <w:bookmarkEnd w:id="137"/>
      <w:bookmarkEnd w:id="138"/>
      <w:bookmarkEnd w:id="139"/>
      <w:bookmarkEnd w:id="140"/>
      <w:bookmarkEnd w:id="141"/>
    </w:p>
    <w:p w:rsidR="004D5254" w:rsidRDefault="004D5254" w:rsidP="004D5254">
      <w:r>
        <w:t>The information in the following summary is derived from conventional pharmacodynamic studies in humans unless otherwise stated.</w:t>
      </w:r>
    </w:p>
    <w:p w:rsidR="004D5254" w:rsidRPr="0036740C" w:rsidRDefault="004D5254" w:rsidP="004D5254">
      <w:pPr>
        <w:pStyle w:val="Heading4"/>
        <w:numPr>
          <w:ilvl w:val="2"/>
          <w:numId w:val="5"/>
        </w:numPr>
      </w:pPr>
      <w:bookmarkStart w:id="142" w:name="_Toc241374299"/>
      <w:bookmarkStart w:id="143" w:name="_Toc272414640"/>
      <w:bookmarkStart w:id="144" w:name="_Toc290846262"/>
      <w:bookmarkStart w:id="145" w:name="_Toc320881441"/>
      <w:r w:rsidRPr="0036740C">
        <w:t>Mechanism of action</w:t>
      </w:r>
      <w:bookmarkEnd w:id="142"/>
      <w:bookmarkEnd w:id="143"/>
      <w:bookmarkEnd w:id="144"/>
      <w:bookmarkEnd w:id="145"/>
    </w:p>
    <w:p w:rsidR="004D5254" w:rsidRDefault="004D5254" w:rsidP="004D5254">
      <w:pPr>
        <w:autoSpaceDE w:val="0"/>
        <w:autoSpaceDN w:val="0"/>
        <w:adjustRightInd w:val="0"/>
      </w:pPr>
      <w:r w:rsidRPr="0036740C">
        <w:t xml:space="preserve">Pralatrexate is an antineoplastic folate analogue that exerts </w:t>
      </w:r>
      <w:r>
        <w:t xml:space="preserve">its </w:t>
      </w:r>
      <w:r w:rsidRPr="0036740C">
        <w:t xml:space="preserve">activity </w:t>
      </w:r>
      <w:r>
        <w:t>through</w:t>
      </w:r>
      <w:r w:rsidRPr="0036740C">
        <w:t xml:space="preserve"> </w:t>
      </w:r>
      <w:r>
        <w:t xml:space="preserve">competitive </w:t>
      </w:r>
      <w:r w:rsidRPr="0036740C">
        <w:t>inhibition of the enzyme</w:t>
      </w:r>
      <w:r>
        <w:t xml:space="preserve"> </w:t>
      </w:r>
      <w:r w:rsidRPr="00111111">
        <w:t>dihydrofolate</w:t>
      </w:r>
      <w:r>
        <w:t xml:space="preserve"> </w:t>
      </w:r>
      <w:r w:rsidRPr="00111111">
        <w:t>reductase</w:t>
      </w:r>
      <w:r w:rsidRPr="0036740C">
        <w:t xml:space="preserve"> </w:t>
      </w:r>
      <w:r>
        <w:t>(</w:t>
      </w:r>
      <w:r w:rsidRPr="0036740C">
        <w:t>DHFR</w:t>
      </w:r>
      <w:r>
        <w:t xml:space="preserve">) </w:t>
      </w:r>
      <w:r w:rsidRPr="0036740C">
        <w:t>in the folic acid metabolic pathway</w:t>
      </w:r>
      <w:r>
        <w:t xml:space="preserve"> (Figure 3, below). Inhibition of DHFR leads to depletion of </w:t>
      </w:r>
      <w:r w:rsidRPr="0036740C">
        <w:t xml:space="preserve">tetrahydrofolate (THF) </w:t>
      </w:r>
      <w:r>
        <w:t xml:space="preserve">which </w:t>
      </w:r>
      <w:r w:rsidRPr="0036740C">
        <w:t>is required for the</w:t>
      </w:r>
      <w:r>
        <w:t xml:space="preserve"> </w:t>
      </w:r>
      <w:r w:rsidRPr="0036740C">
        <w:t>synthesis and catabolism of several amino acids</w:t>
      </w:r>
      <w:r>
        <w:t>;</w:t>
      </w:r>
      <w:r w:rsidRPr="0036740C">
        <w:t xml:space="preserve"> </w:t>
      </w:r>
      <w:r>
        <w:t xml:space="preserve">the </w:t>
      </w:r>
      <w:r w:rsidRPr="0036740C">
        <w:t xml:space="preserve">formation of creatine and </w:t>
      </w:r>
      <w:r w:rsidRPr="0036740C">
        <w:lastRenderedPageBreak/>
        <w:t>choline</w:t>
      </w:r>
      <w:r>
        <w:t>;</w:t>
      </w:r>
      <w:r w:rsidRPr="0036740C">
        <w:t xml:space="preserve"> </w:t>
      </w:r>
      <w:r>
        <w:t xml:space="preserve">the </w:t>
      </w:r>
      <w:r w:rsidRPr="0036740C">
        <w:t>synthesis</w:t>
      </w:r>
      <w:r>
        <w:t xml:space="preserve"> of purines;</w:t>
      </w:r>
      <w:r w:rsidRPr="0036740C">
        <w:t xml:space="preserve"> </w:t>
      </w:r>
      <w:r>
        <w:t xml:space="preserve">the </w:t>
      </w:r>
      <w:r w:rsidRPr="0036740C">
        <w:t>methylation of ribonucleic acids (RNAs)</w:t>
      </w:r>
      <w:r>
        <w:t>; and the</w:t>
      </w:r>
      <w:r w:rsidRPr="0036740C">
        <w:t xml:space="preserve"> synthesis of deoxythymidine</w:t>
      </w:r>
      <w:r>
        <w:t xml:space="preserve"> </w:t>
      </w:r>
      <w:r w:rsidRPr="0036740C">
        <w:t>monophosphate (dTMP) and deoxyribonucleic acid (DNA).</w:t>
      </w:r>
      <w:r>
        <w:t xml:space="preserve"> In most cancer cells the inhibition of DNA synthesis leads to cell cycle arrest and/or programmed cell death. </w:t>
      </w:r>
    </w:p>
    <w:p w:rsidR="004D5254" w:rsidRDefault="004D5254" w:rsidP="004D5254">
      <w:pPr>
        <w:autoSpaceDE w:val="0"/>
        <w:autoSpaceDN w:val="0"/>
        <w:adjustRightInd w:val="0"/>
      </w:pPr>
      <w:r>
        <w:t>Pralatrexate also undergoes polyglutamylation</w:t>
      </w:r>
      <w:r w:rsidRPr="0036740C">
        <w:t xml:space="preserve"> by </w:t>
      </w:r>
      <w:r>
        <w:t>folylpolyglutamyl synthetase (</w:t>
      </w:r>
      <w:r w:rsidRPr="0036740C">
        <w:t>FPGS</w:t>
      </w:r>
      <w:r>
        <w:t>)</w:t>
      </w:r>
      <w:r w:rsidRPr="0036740C">
        <w:t xml:space="preserve">, </w:t>
      </w:r>
      <w:r>
        <w:t>which results</w:t>
      </w:r>
      <w:r w:rsidRPr="0036740C">
        <w:t xml:space="preserve"> in </w:t>
      </w:r>
      <w:r>
        <w:t xml:space="preserve">prolonged intracellular retention and </w:t>
      </w:r>
      <w:r w:rsidRPr="0036740C">
        <w:t>accumulation</w:t>
      </w:r>
      <w:r>
        <w:t xml:space="preserve"> </w:t>
      </w:r>
      <w:r w:rsidRPr="0036740C">
        <w:t>within tumo</w:t>
      </w:r>
      <w:r>
        <w:t>u</w:t>
      </w:r>
      <w:r w:rsidRPr="0036740C">
        <w:t>r cells</w:t>
      </w:r>
      <w:r>
        <w:t xml:space="preserve"> and enhanced inhibition of DHFR</w:t>
      </w:r>
      <w:r w:rsidRPr="0036740C">
        <w:t xml:space="preserve">. </w:t>
      </w:r>
    </w:p>
    <w:p w:rsidR="004D5254" w:rsidRDefault="004D5254" w:rsidP="004D5254">
      <w:pPr>
        <w:autoSpaceDE w:val="0"/>
        <w:autoSpaceDN w:val="0"/>
        <w:adjustRightInd w:val="0"/>
        <w:rPr>
          <w:color w:val="000000"/>
        </w:rPr>
      </w:pPr>
      <w:r>
        <w:rPr>
          <w:color w:val="000000"/>
        </w:rPr>
        <w:t>T</w:t>
      </w:r>
      <w:r w:rsidRPr="00A15319">
        <w:rPr>
          <w:color w:val="000000"/>
        </w:rPr>
        <w:t xml:space="preserve">he </w:t>
      </w:r>
      <w:r>
        <w:rPr>
          <w:color w:val="000000"/>
        </w:rPr>
        <w:t>two</w:t>
      </w:r>
      <w:r w:rsidRPr="00A15319">
        <w:rPr>
          <w:color w:val="000000"/>
        </w:rPr>
        <w:t xml:space="preserve"> C10 diastereomers </w:t>
      </w:r>
      <w:r>
        <w:rPr>
          <w:color w:val="000000"/>
        </w:rPr>
        <w:t xml:space="preserve">were reported to </w:t>
      </w:r>
      <w:r w:rsidRPr="00A15319">
        <w:rPr>
          <w:color w:val="000000"/>
        </w:rPr>
        <w:t>have similar cytotoxic</w:t>
      </w:r>
      <w:r>
        <w:rPr>
          <w:color w:val="000000"/>
        </w:rPr>
        <w:t xml:space="preserve"> </w:t>
      </w:r>
      <w:r w:rsidRPr="00A15319">
        <w:rPr>
          <w:color w:val="000000"/>
        </w:rPr>
        <w:t xml:space="preserve">activity </w:t>
      </w:r>
      <w:r w:rsidRPr="00932720">
        <w:rPr>
          <w:i/>
          <w:color w:val="000000"/>
        </w:rPr>
        <w:t>in vitro</w:t>
      </w:r>
      <w:r>
        <w:rPr>
          <w:color w:val="000000"/>
        </w:rPr>
        <w:t>.</w:t>
      </w:r>
    </w:p>
    <w:p w:rsidR="004D5254" w:rsidRDefault="004D5254" w:rsidP="004D5254">
      <w:pPr>
        <w:pStyle w:val="FigureTitle"/>
        <w:rPr>
          <w:color w:val="000000"/>
        </w:rPr>
      </w:pPr>
      <w:bookmarkStart w:id="146" w:name="_Toc320881590"/>
      <w:r>
        <w:t>Figure 3. Folic acid metabolism</w:t>
      </w:r>
      <w:bookmarkEnd w:id="146"/>
    </w:p>
    <w:p w:rsidR="004D5254" w:rsidRPr="0087059D" w:rsidRDefault="004D5254" w:rsidP="004D5254">
      <w:pPr>
        <w:autoSpaceDE w:val="0"/>
        <w:autoSpaceDN w:val="0"/>
        <w:adjustRightInd w:val="0"/>
      </w:pPr>
      <w:r>
        <w:rPr>
          <w:noProof/>
          <w:lang w:eastAsia="en-AU"/>
        </w:rPr>
        <w:drawing>
          <wp:inline distT="0" distB="0" distL="0" distR="0">
            <wp:extent cx="5838825" cy="4359525"/>
            <wp:effectExtent l="19050" t="0" r="9525" b="0"/>
            <wp:docPr id="8" name="Picture 8" descr="Figure 3. Folic acid 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1771" r="2254"/>
                    <a:stretch>
                      <a:fillRect/>
                    </a:stretch>
                  </pic:blipFill>
                  <pic:spPr bwMode="auto">
                    <a:xfrm>
                      <a:off x="0" y="0"/>
                      <a:ext cx="5838825" cy="4359525"/>
                    </a:xfrm>
                    <a:prstGeom prst="rect">
                      <a:avLst/>
                    </a:prstGeom>
                    <a:noFill/>
                    <a:ln w="9525">
                      <a:noFill/>
                      <a:miter lim="800000"/>
                      <a:headEnd/>
                      <a:tailEnd/>
                    </a:ln>
                  </pic:spPr>
                </pic:pic>
              </a:graphicData>
            </a:graphic>
          </wp:inline>
        </w:drawing>
      </w:r>
    </w:p>
    <w:p w:rsidR="004D5254" w:rsidRPr="006A2540" w:rsidRDefault="004D5254" w:rsidP="004D5254">
      <w:pPr>
        <w:pStyle w:val="Heading3"/>
        <w:keepLines w:val="0"/>
        <w:numPr>
          <w:ilvl w:val="2"/>
          <w:numId w:val="5"/>
        </w:numPr>
        <w:adjustRightInd/>
        <w:snapToGrid/>
        <w:spacing w:before="0" w:line="240" w:lineRule="auto"/>
        <w:ind w:hanging="1134"/>
      </w:pPr>
      <w:bookmarkStart w:id="147" w:name="_Toc241374300"/>
      <w:bookmarkStart w:id="148" w:name="_Toc272414641"/>
      <w:bookmarkStart w:id="149" w:name="_Toc290846263"/>
      <w:bookmarkStart w:id="150" w:name="_Toc320881442"/>
      <w:bookmarkStart w:id="151" w:name="_Toc359930725"/>
      <w:bookmarkStart w:id="152" w:name="_Toc364764899"/>
      <w:r w:rsidRPr="006A2540">
        <w:t>Pharmacodynamic effects</w:t>
      </w:r>
      <w:bookmarkEnd w:id="147"/>
      <w:bookmarkEnd w:id="148"/>
      <w:bookmarkEnd w:id="149"/>
      <w:bookmarkEnd w:id="150"/>
      <w:bookmarkEnd w:id="151"/>
      <w:bookmarkEnd w:id="152"/>
    </w:p>
    <w:p w:rsidR="004D5254" w:rsidRPr="006A2540" w:rsidRDefault="004D5254" w:rsidP="004D5254">
      <w:pPr>
        <w:pStyle w:val="Heading4"/>
        <w:numPr>
          <w:ilvl w:val="3"/>
          <w:numId w:val="5"/>
        </w:numPr>
        <w:adjustRightInd/>
        <w:snapToGrid/>
        <w:spacing w:before="0" w:line="240" w:lineRule="auto"/>
        <w:ind w:hanging="1418"/>
      </w:pPr>
      <w:bookmarkStart w:id="153" w:name="_Toc272414642"/>
      <w:bookmarkStart w:id="154" w:name="_Toc290846264"/>
      <w:bookmarkStart w:id="155" w:name="_Toc320881443"/>
      <w:r w:rsidRPr="006A2540">
        <w:t>Primary pharmacodynamic effects</w:t>
      </w:r>
      <w:bookmarkEnd w:id="153"/>
      <w:bookmarkEnd w:id="154"/>
      <w:bookmarkEnd w:id="155"/>
    </w:p>
    <w:p w:rsidR="004D5254" w:rsidRPr="00236807" w:rsidRDefault="004D5254" w:rsidP="004D5254">
      <w:pPr>
        <w:autoSpaceDE w:val="0"/>
        <w:autoSpaceDN w:val="0"/>
        <w:adjustRightInd w:val="0"/>
      </w:pPr>
      <w:r w:rsidRPr="00236807">
        <w:t xml:space="preserve">It has been hypothesised that a number of targets within the folate metabolic pathway which regulate internalisation of pralatrexate, its mechanism of action, and subsequent retention through formation of polyglutamylated metabolites may correlate with </w:t>
      </w:r>
      <w:r>
        <w:t>pralatrexate</w:t>
      </w:r>
      <w:r w:rsidRPr="00236807">
        <w:t xml:space="preserve"> anti-tumour activity.</w:t>
      </w:r>
      <w:r>
        <w:t xml:space="preserve"> Consequently, tumour tissue gene expression analysis was undertaken in several studies with the aim of identifying predictors of pralatrexate response, focusing on components of the folate metabolic pathway as follows: </w:t>
      </w:r>
    </w:p>
    <w:p w:rsidR="004D5254" w:rsidRPr="00B60D34" w:rsidRDefault="004D5254" w:rsidP="004D5254">
      <w:pPr>
        <w:pStyle w:val="ListBullet"/>
        <w:numPr>
          <w:ilvl w:val="0"/>
          <w:numId w:val="1"/>
        </w:numPr>
      </w:pPr>
      <w:r w:rsidRPr="00B60D34">
        <w:t xml:space="preserve">RFC-1, the membrane transporter protein responsible for cellular uptake of pralatrexate; </w:t>
      </w:r>
    </w:p>
    <w:p w:rsidR="004D5254" w:rsidRPr="00B60D34" w:rsidRDefault="004D5254" w:rsidP="004D5254">
      <w:pPr>
        <w:pStyle w:val="ListBullet"/>
        <w:numPr>
          <w:ilvl w:val="0"/>
          <w:numId w:val="1"/>
        </w:numPr>
      </w:pPr>
      <w:r w:rsidRPr="00B60D34">
        <w:t>FPGS, the enzyme</w:t>
      </w:r>
      <w:r>
        <w:t xml:space="preserve"> responsible for polyglutamylation</w:t>
      </w:r>
      <w:r w:rsidRPr="0036740C">
        <w:t xml:space="preserve"> </w:t>
      </w:r>
      <w:r>
        <w:t>of pralatrexate and consequently, its</w:t>
      </w:r>
      <w:r w:rsidRPr="0036740C">
        <w:t xml:space="preserve"> </w:t>
      </w:r>
      <w:r>
        <w:t xml:space="preserve">intracellular retention and </w:t>
      </w:r>
      <w:r w:rsidRPr="0036740C">
        <w:t>accumulation</w:t>
      </w:r>
      <w:r w:rsidRPr="00B60D34">
        <w:t xml:space="preserve">; </w:t>
      </w:r>
    </w:p>
    <w:p w:rsidR="004D5254" w:rsidRPr="00B60D34" w:rsidRDefault="004D5254" w:rsidP="004D5254">
      <w:pPr>
        <w:pStyle w:val="ListBullet"/>
        <w:numPr>
          <w:ilvl w:val="0"/>
          <w:numId w:val="1"/>
        </w:numPr>
      </w:pPr>
      <w:r w:rsidRPr="00B60D34">
        <w:t xml:space="preserve">dihydrofolate reductase (DHFR), the enzyme necessary for conversion of folic acid to dihydrofolate (DHF) and tetrahydrofolate (THF) for nucleotide base and deoxyribonucleic acid (DNA) synthesis; </w:t>
      </w:r>
    </w:p>
    <w:p w:rsidR="004D5254" w:rsidRPr="00B60D34" w:rsidRDefault="004D5254" w:rsidP="004D5254">
      <w:pPr>
        <w:pStyle w:val="ListBullet"/>
        <w:numPr>
          <w:ilvl w:val="0"/>
          <w:numId w:val="1"/>
        </w:numPr>
      </w:pPr>
      <w:r w:rsidRPr="00B60D34">
        <w:lastRenderedPageBreak/>
        <w:t>thymidylate synthase (TS), an enzyme for the conversion of deoxyuridine monophosphate to deoxythym</w:t>
      </w:r>
      <w:r>
        <w:t>i</w:t>
      </w:r>
      <w:r w:rsidRPr="00B60D34">
        <w:t xml:space="preserve">dine monophosphate for DNA synthesis; </w:t>
      </w:r>
    </w:p>
    <w:p w:rsidR="004D5254" w:rsidRPr="00C41F35" w:rsidRDefault="004D5254" w:rsidP="004D5254">
      <w:pPr>
        <w:pStyle w:val="ListBullet"/>
        <w:numPr>
          <w:ilvl w:val="0"/>
          <w:numId w:val="1"/>
        </w:numPr>
      </w:pPr>
      <w:r w:rsidRPr="00B60D34">
        <w:t xml:space="preserve">glycinamide ribonucleotide formyltransferase (GARFT), an </w:t>
      </w:r>
      <w:r>
        <w:t xml:space="preserve">enzyme involved in an </w:t>
      </w:r>
      <w:r w:rsidRPr="00B60D34">
        <w:t xml:space="preserve">alternate path for THF production; and </w:t>
      </w:r>
    </w:p>
    <w:p w:rsidR="004D5254" w:rsidRPr="00B60D34" w:rsidRDefault="004D5254" w:rsidP="004D5254">
      <w:pPr>
        <w:pStyle w:val="ListBullet"/>
        <w:numPr>
          <w:ilvl w:val="0"/>
          <w:numId w:val="1"/>
        </w:numPr>
      </w:pPr>
      <w:r w:rsidRPr="00B60D34">
        <w:t>gammaglutamyl hydrolase (GGH, also known as FPGH), the enzyme that cleaves the glutamate residues from pralatrexate, reducing the DHFR inhibitory activity of pralatrexate and enabling pralatrexate elimination from the cell.</w:t>
      </w:r>
    </w:p>
    <w:p w:rsidR="004D5254" w:rsidRDefault="004D5254" w:rsidP="004D5254">
      <w:pPr>
        <w:autoSpaceDE w:val="0"/>
        <w:autoSpaceDN w:val="0"/>
        <w:adjustRightInd w:val="0"/>
      </w:pPr>
      <w:r>
        <w:t xml:space="preserve">Tumour samples were analysed </w:t>
      </w:r>
      <w:r w:rsidRPr="00236807">
        <w:rPr>
          <w:color w:val="000000"/>
        </w:rPr>
        <w:t>using a quantitative polymerase chain reaction</w:t>
      </w:r>
      <w:r>
        <w:rPr>
          <w:color w:val="000000"/>
        </w:rPr>
        <w:t xml:space="preserve"> </w:t>
      </w:r>
      <w:r w:rsidRPr="00236807">
        <w:rPr>
          <w:color w:val="000000"/>
        </w:rPr>
        <w:t>(PCR) assay</w:t>
      </w:r>
      <w:r>
        <w:rPr>
          <w:color w:val="000000"/>
        </w:rPr>
        <w:t xml:space="preserve">. </w:t>
      </w:r>
      <w:r w:rsidRPr="008846E8">
        <w:t>The relative expression of each biomarker was quantified in each tissue sample using the</w:t>
      </w:r>
      <w:r>
        <w:t xml:space="preserve"> </w:t>
      </w:r>
      <w:r w:rsidRPr="008846E8">
        <w:t xml:space="preserve">delta cycle threshold (delta CT) method with </w:t>
      </w:r>
      <w:r w:rsidRPr="008846E8">
        <w:rPr>
          <w:rFonts w:eastAsia="TimesNewRoman" w:cs="TimesNewRoman"/>
        </w:rPr>
        <w:t>β</w:t>
      </w:r>
      <w:r w:rsidRPr="008846E8">
        <w:t>-actin as the internal control.</w:t>
      </w:r>
      <w:r>
        <w:t xml:space="preserve"> Disappointingly, the data were of limited value because of the low number of patients consenting to such analyses (a separate consent was required for the analysis) and the low response rates in the studies:</w:t>
      </w:r>
    </w:p>
    <w:p w:rsidR="004D5254" w:rsidRDefault="004D5254" w:rsidP="004D5254">
      <w:pPr>
        <w:pStyle w:val="ListBullet"/>
        <w:numPr>
          <w:ilvl w:val="0"/>
          <w:numId w:val="1"/>
        </w:numPr>
      </w:pPr>
      <w:r w:rsidRPr="005518BC">
        <w:t xml:space="preserve">PDX-008 - 6 patients </w:t>
      </w:r>
      <w:r>
        <w:t xml:space="preserve">with PTCL </w:t>
      </w:r>
      <w:r w:rsidRPr="005518BC">
        <w:t>consented and provided tumour tissue for analyses</w:t>
      </w:r>
      <w:r>
        <w:t>, the results of which are shown in</w:t>
      </w:r>
      <w:r w:rsidRPr="0038288C">
        <w:t xml:space="preserve"> Table 6, b</w:t>
      </w:r>
      <w:r>
        <w:t>elow. Three of these patients achieved a partial response; two had stable disease and one had disease progression. Of note, the collection dates of the samples predated the study enrolment date for all patients and therefore may not have been a true indicator of gene expression at baseline;</w:t>
      </w:r>
    </w:p>
    <w:p w:rsidR="004D5254" w:rsidRPr="005518BC" w:rsidRDefault="004D5254" w:rsidP="004D5254">
      <w:pPr>
        <w:pStyle w:val="ListBullet"/>
        <w:numPr>
          <w:ilvl w:val="0"/>
          <w:numId w:val="1"/>
        </w:numPr>
      </w:pPr>
      <w:r w:rsidRPr="005518BC">
        <w:t xml:space="preserve">PDX-007 </w:t>
      </w:r>
      <w:r>
        <w:t xml:space="preserve">- </w:t>
      </w:r>
      <w:r w:rsidRPr="005518BC">
        <w:rPr>
          <w:color w:val="000000"/>
        </w:rPr>
        <w:t xml:space="preserve">6 patients </w:t>
      </w:r>
      <w:r>
        <w:rPr>
          <w:color w:val="000000"/>
        </w:rPr>
        <w:t>with NSCLC</w:t>
      </w:r>
      <w:r w:rsidRPr="005518BC">
        <w:rPr>
          <w:color w:val="000000"/>
        </w:rPr>
        <w:t xml:space="preserve"> provided tumour tissue </w:t>
      </w:r>
      <w:r>
        <w:rPr>
          <w:color w:val="000000"/>
        </w:rPr>
        <w:t>and t</w:t>
      </w:r>
      <w:r>
        <w:t>here were only 2 objective responses to treatment in the whole study (and it was not stated whether these patients were among those in the gene expression</w:t>
      </w:r>
      <w:r>
        <w:rPr>
          <w:color w:val="000000"/>
        </w:rPr>
        <w:t xml:space="preserve"> analysis);</w:t>
      </w:r>
      <w:r w:rsidRPr="005518BC">
        <w:t xml:space="preserve"> </w:t>
      </w:r>
    </w:p>
    <w:p w:rsidR="004D5254" w:rsidRPr="005518BC" w:rsidRDefault="004D5254" w:rsidP="004D5254">
      <w:pPr>
        <w:pStyle w:val="ListBullet"/>
        <w:numPr>
          <w:ilvl w:val="0"/>
          <w:numId w:val="1"/>
        </w:numPr>
        <w:rPr>
          <w:color w:val="000000"/>
        </w:rPr>
      </w:pPr>
      <w:r w:rsidRPr="005518BC">
        <w:t xml:space="preserve">PDX-99-083 </w:t>
      </w:r>
      <w:r>
        <w:t>-</w:t>
      </w:r>
      <w:r w:rsidRPr="005518BC">
        <w:t xml:space="preserve"> 7 patients </w:t>
      </w:r>
      <w:r>
        <w:rPr>
          <w:color w:val="000000"/>
        </w:rPr>
        <w:t>with NSCLC</w:t>
      </w:r>
      <w:r w:rsidRPr="005518BC">
        <w:rPr>
          <w:color w:val="000000"/>
        </w:rPr>
        <w:t xml:space="preserve"> </w:t>
      </w:r>
      <w:r>
        <w:t>provided tumour tissue</w:t>
      </w:r>
      <w:r w:rsidRPr="005518BC">
        <w:t>.</w:t>
      </w:r>
      <w:r>
        <w:t xml:space="preserve"> </w:t>
      </w:r>
      <w:r w:rsidRPr="005518BC">
        <w:t>The biomarkers did not appear to be either over-expressed or under-expressed when compared to the expression observed in reference tissue samples.</w:t>
      </w:r>
      <w:r>
        <w:t xml:space="preserve"> However, n</w:t>
      </w:r>
      <w:r w:rsidRPr="005518BC">
        <w:t>o normal lung tissue was available for comparison and there was no clinical response to pralatrexate amongst the 7 patients</w:t>
      </w:r>
      <w:r>
        <w:t>.</w:t>
      </w:r>
    </w:p>
    <w:p w:rsidR="004D5254" w:rsidRDefault="004D5254" w:rsidP="004D5254">
      <w:pPr>
        <w:pStyle w:val="FigureTitle"/>
        <w:keepNext/>
      </w:pPr>
      <w:bookmarkStart w:id="156" w:name="_Toc320881529"/>
      <w:r>
        <w:t>Table 6. Gene expression profiles in patients with PTCL (Study PDX-008)</w:t>
      </w:r>
      <w:bookmarkEnd w:id="156"/>
    </w:p>
    <w:p w:rsidR="004D5254" w:rsidRDefault="004D5254" w:rsidP="004D5254">
      <w:pPr>
        <w:keepNext/>
        <w:ind w:hanging="142"/>
      </w:pPr>
      <w:r>
        <w:rPr>
          <w:noProof/>
          <w:lang w:eastAsia="en-AU"/>
        </w:rPr>
        <w:drawing>
          <wp:inline distT="0" distB="0" distL="0" distR="0">
            <wp:extent cx="5915025" cy="3448886"/>
            <wp:effectExtent l="19050" t="0" r="9525" b="0"/>
            <wp:docPr id="9" name="Picture 9" descr="Table 6.  Gene expression profiles in patients with PTCL (Study PDX-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prstClr val="black"/>
                        <a:schemeClr val="bg1">
                          <a:tint val="45000"/>
                          <a:satMod val="400000"/>
                        </a:schemeClr>
                      </a:duotone>
                    </a:blip>
                    <a:srcRect l="3785" t="10257" r="3704" b="3817"/>
                    <a:stretch>
                      <a:fillRect/>
                    </a:stretch>
                  </pic:blipFill>
                  <pic:spPr bwMode="auto">
                    <a:xfrm>
                      <a:off x="0" y="0"/>
                      <a:ext cx="5915025" cy="3448886"/>
                    </a:xfrm>
                    <a:prstGeom prst="rect">
                      <a:avLst/>
                    </a:prstGeom>
                    <a:noFill/>
                    <a:ln w="9525">
                      <a:noFill/>
                      <a:miter lim="800000"/>
                      <a:headEnd/>
                      <a:tailEnd/>
                    </a:ln>
                  </pic:spPr>
                </pic:pic>
              </a:graphicData>
            </a:graphic>
          </wp:inline>
        </w:drawing>
      </w:r>
    </w:p>
    <w:p w:rsidR="004D5254" w:rsidRPr="00972C83" w:rsidRDefault="004D5254" w:rsidP="004D5254">
      <w:pPr>
        <w:autoSpaceDE w:val="0"/>
        <w:autoSpaceDN w:val="0"/>
        <w:adjustRightInd w:val="0"/>
      </w:pPr>
      <w:r w:rsidRPr="00972C83">
        <w:t xml:space="preserve">The sponsor acknowledged that a larger patient data set of biomarker expression in pralatrexate responders and non-responders is needed to determine the utility of each </w:t>
      </w:r>
      <w:r w:rsidRPr="00972C83">
        <w:lastRenderedPageBreak/>
        <w:t>biomarker, its change and/or combination of biomarker changes to predict pralatrexate efficacy or identify cancer types that may be most responsive to pralatrexate.</w:t>
      </w:r>
    </w:p>
    <w:p w:rsidR="004D5254" w:rsidRPr="006A2540" w:rsidRDefault="004D5254" w:rsidP="004D5254">
      <w:pPr>
        <w:pStyle w:val="Heading4"/>
        <w:numPr>
          <w:ilvl w:val="3"/>
          <w:numId w:val="5"/>
        </w:numPr>
        <w:adjustRightInd/>
        <w:snapToGrid/>
        <w:spacing w:before="0" w:line="240" w:lineRule="auto"/>
        <w:ind w:hanging="1418"/>
      </w:pPr>
      <w:bookmarkStart w:id="157" w:name="_Toc272414643"/>
      <w:bookmarkStart w:id="158" w:name="_Toc290846265"/>
      <w:bookmarkStart w:id="159" w:name="_Toc320881444"/>
      <w:r w:rsidRPr="006A2540">
        <w:t>Secondary pharmacodynamic effects</w:t>
      </w:r>
      <w:bookmarkEnd w:id="157"/>
      <w:bookmarkEnd w:id="158"/>
      <w:bookmarkEnd w:id="159"/>
    </w:p>
    <w:p w:rsidR="004D5254" w:rsidRDefault="004D5254" w:rsidP="004D5254">
      <w:pPr>
        <w:pStyle w:val="Heading5"/>
        <w:numPr>
          <w:ilvl w:val="3"/>
          <w:numId w:val="5"/>
        </w:numPr>
      </w:pPr>
      <w:r>
        <w:t>Effect on QT interval</w:t>
      </w:r>
    </w:p>
    <w:p w:rsidR="004D5254" w:rsidRDefault="004D5254" w:rsidP="004D5254">
      <w:pPr>
        <w:autoSpaceDE w:val="0"/>
        <w:autoSpaceDN w:val="0"/>
        <w:adjustRightInd w:val="0"/>
        <w:rPr>
          <w:color w:val="000000"/>
        </w:rPr>
      </w:pPr>
      <w:r>
        <w:rPr>
          <w:rFonts w:eastAsia="TimesNewRoman" w:cs="TimesNewRoman"/>
          <w:color w:val="000000"/>
        </w:rPr>
        <w:t xml:space="preserve">The effect of pralatrexate on </w:t>
      </w:r>
      <w:r w:rsidRPr="0046361D">
        <w:rPr>
          <w:rFonts w:eastAsia="TimesNewRoman" w:cs="TimesNewRoman"/>
          <w:color w:val="000000"/>
        </w:rPr>
        <w:t xml:space="preserve">QT </w:t>
      </w:r>
      <w:r>
        <w:rPr>
          <w:rFonts w:eastAsia="TimesNewRoman" w:cs="TimesNewRoman"/>
          <w:color w:val="000000"/>
        </w:rPr>
        <w:t xml:space="preserve">interval was </w:t>
      </w:r>
      <w:r w:rsidRPr="0046361D">
        <w:rPr>
          <w:rFonts w:eastAsia="TimesNewRoman" w:cs="TimesNewRoman"/>
          <w:color w:val="000000"/>
        </w:rPr>
        <w:t>assess</w:t>
      </w:r>
      <w:r>
        <w:rPr>
          <w:rFonts w:eastAsia="TimesNewRoman" w:cs="TimesNewRoman"/>
          <w:color w:val="000000"/>
        </w:rPr>
        <w:t>ed</w:t>
      </w:r>
      <w:r w:rsidRPr="0046361D">
        <w:rPr>
          <w:rFonts w:eastAsia="TimesNewRoman" w:cs="TimesNewRoman"/>
          <w:color w:val="000000"/>
        </w:rPr>
        <w:t xml:space="preserve"> </w:t>
      </w:r>
      <w:r>
        <w:rPr>
          <w:rFonts w:eastAsia="TimesNewRoman" w:cs="TimesNewRoman"/>
          <w:color w:val="000000"/>
        </w:rPr>
        <w:t xml:space="preserve">in a sub-study of </w:t>
      </w:r>
      <w:r w:rsidRPr="0046361D">
        <w:rPr>
          <w:rFonts w:eastAsia="TimesNewRoman" w:cs="TimesNewRoman"/>
          <w:color w:val="000000"/>
        </w:rPr>
        <w:t>PDX-007</w:t>
      </w:r>
      <w:r>
        <w:rPr>
          <w:rFonts w:eastAsia="TimesNewRoman" w:cs="TimesNewRoman"/>
          <w:color w:val="000000"/>
        </w:rPr>
        <w:t xml:space="preserve"> (PDX-007 QT</w:t>
      </w:r>
      <w:r w:rsidRPr="00335F06">
        <w:rPr>
          <w:rFonts w:eastAsia="TimesNewRoman" w:cs="TimesNewRoman"/>
          <w:color w:val="000000"/>
          <w:vertAlign w:val="subscript"/>
        </w:rPr>
        <w:t>c</w:t>
      </w:r>
      <w:r>
        <w:rPr>
          <w:rFonts w:eastAsia="TimesNewRoman" w:cs="TimesNewRoman"/>
          <w:color w:val="000000"/>
        </w:rPr>
        <w:t xml:space="preserve">) </w:t>
      </w:r>
      <w:r w:rsidRPr="0046361D">
        <w:rPr>
          <w:rFonts w:eastAsia="TimesNewRoman" w:cs="TimesNewRoman"/>
          <w:color w:val="000000"/>
        </w:rPr>
        <w:t xml:space="preserve">in </w:t>
      </w:r>
      <w:r>
        <w:rPr>
          <w:rFonts w:eastAsia="TimesNewRoman" w:cs="TimesNewRoman"/>
          <w:color w:val="000000"/>
        </w:rPr>
        <w:t>which</w:t>
      </w:r>
      <w:r w:rsidRPr="0046361D">
        <w:rPr>
          <w:rFonts w:eastAsia="TimesNewRoman" w:cs="TimesNewRoman"/>
          <w:color w:val="000000"/>
        </w:rPr>
        <w:t xml:space="preserve"> 14 </w:t>
      </w:r>
      <w:r>
        <w:rPr>
          <w:rFonts w:eastAsia="TimesNewRoman" w:cs="TimesNewRoman"/>
          <w:color w:val="000000"/>
        </w:rPr>
        <w:t xml:space="preserve">evaluable </w:t>
      </w:r>
      <w:r w:rsidRPr="0046361D">
        <w:rPr>
          <w:rFonts w:eastAsia="TimesNewRoman" w:cs="TimesNewRoman"/>
          <w:color w:val="000000"/>
        </w:rPr>
        <w:t xml:space="preserve">patients </w:t>
      </w:r>
      <w:r>
        <w:rPr>
          <w:rFonts w:eastAsia="TimesNewRoman" w:cs="TimesNewRoman"/>
          <w:color w:val="000000"/>
        </w:rPr>
        <w:t xml:space="preserve">with non-small cell lung cancer underwent intensive </w:t>
      </w:r>
      <w:r w:rsidRPr="00201C64">
        <w:rPr>
          <w:color w:val="000000"/>
        </w:rPr>
        <w:t>electrocardiographic evaluations</w:t>
      </w:r>
      <w:r>
        <w:rPr>
          <w:rFonts w:eastAsia="TimesNewRoman" w:cs="TimesNewRoman"/>
          <w:color w:val="000000"/>
        </w:rPr>
        <w:t xml:space="preserve"> prior to and after receiving pralatrexate </w:t>
      </w:r>
      <w:r w:rsidRPr="0046361D">
        <w:rPr>
          <w:rFonts w:eastAsia="TimesNewRoman" w:cs="TimesNewRoman"/>
          <w:color w:val="000000"/>
        </w:rPr>
        <w:t xml:space="preserve">doses of </w:t>
      </w:r>
      <w:r>
        <w:rPr>
          <w:rFonts w:eastAsia="TimesNewRoman" w:cs="TimesNewRoman"/>
          <w:color w:val="000000"/>
        </w:rPr>
        <w:t xml:space="preserve">either </w:t>
      </w:r>
      <w:r w:rsidRPr="0046361D">
        <w:rPr>
          <w:rFonts w:eastAsia="TimesNewRoman" w:cs="TimesNewRoman"/>
          <w:color w:val="000000"/>
        </w:rPr>
        <w:t>19</w:t>
      </w:r>
      <w:r>
        <w:rPr>
          <w:rFonts w:eastAsia="TimesNewRoman" w:cs="TimesNewRoman"/>
          <w:color w:val="000000"/>
        </w:rPr>
        <w:t>0 mg/m</w:t>
      </w:r>
      <w:r w:rsidRPr="00E813EB">
        <w:rPr>
          <w:rFonts w:eastAsia="TimesNewRoman" w:cs="TimesNewRoman"/>
          <w:color w:val="000000"/>
          <w:vertAlign w:val="superscript"/>
        </w:rPr>
        <w:t>2</w:t>
      </w:r>
      <w:r w:rsidRPr="0046361D">
        <w:rPr>
          <w:rFonts w:eastAsia="TimesNewRoman" w:cs="TimesNewRoman"/>
          <w:color w:val="000000"/>
        </w:rPr>
        <w:t xml:space="preserve"> administered IV over 60 minutes</w:t>
      </w:r>
      <w:r>
        <w:rPr>
          <w:rFonts w:eastAsia="TimesNewRoman" w:cs="TimesNewRoman"/>
          <w:color w:val="000000"/>
        </w:rPr>
        <w:t xml:space="preserve"> (n=4) </w:t>
      </w:r>
      <w:r w:rsidRPr="0046361D">
        <w:rPr>
          <w:rFonts w:eastAsia="TimesNewRoman" w:cs="TimesNewRoman"/>
          <w:color w:val="000000"/>
        </w:rPr>
        <w:t>or 230 mg/m</w:t>
      </w:r>
      <w:r w:rsidRPr="008C4365">
        <w:rPr>
          <w:rFonts w:eastAsia="TimesNewRoman" w:cs="TimesNewRoman"/>
          <w:color w:val="000000"/>
          <w:vertAlign w:val="superscript"/>
        </w:rPr>
        <w:t>2</w:t>
      </w:r>
      <w:r w:rsidRPr="0046361D">
        <w:rPr>
          <w:rFonts w:eastAsia="TimesNewRoman" w:cs="TimesNewRoman"/>
          <w:color w:val="000000"/>
        </w:rPr>
        <w:t xml:space="preserve"> administered IV over 3 - 5 minutes </w:t>
      </w:r>
      <w:r>
        <w:rPr>
          <w:rFonts w:eastAsia="TimesNewRoman" w:cs="TimesNewRoman"/>
          <w:color w:val="000000"/>
        </w:rPr>
        <w:t xml:space="preserve">(n=5) </w:t>
      </w:r>
      <w:r w:rsidRPr="0046361D">
        <w:rPr>
          <w:rFonts w:eastAsia="TimesNewRoman" w:cs="TimesNewRoman"/>
          <w:color w:val="000000"/>
        </w:rPr>
        <w:t>or</w:t>
      </w:r>
      <w:r>
        <w:rPr>
          <w:rFonts w:eastAsia="TimesNewRoman" w:cs="TimesNewRoman"/>
          <w:color w:val="000000"/>
        </w:rPr>
        <w:t xml:space="preserve"> </w:t>
      </w:r>
      <w:r w:rsidRPr="0046361D">
        <w:rPr>
          <w:rFonts w:eastAsia="TimesNewRoman" w:cs="TimesNewRoman"/>
          <w:color w:val="000000"/>
        </w:rPr>
        <w:t>60 minutes</w:t>
      </w:r>
      <w:r>
        <w:rPr>
          <w:rFonts w:eastAsia="TimesNewRoman" w:cs="TimesNewRoman"/>
          <w:color w:val="000000"/>
        </w:rPr>
        <w:t xml:space="preserve"> (n=5)</w:t>
      </w:r>
      <w:r w:rsidRPr="0046361D">
        <w:rPr>
          <w:rFonts w:eastAsia="TimesNewRoman" w:cs="TimesNewRoman"/>
          <w:color w:val="000000"/>
        </w:rPr>
        <w:t>.</w:t>
      </w:r>
      <w:r>
        <w:rPr>
          <w:rFonts w:eastAsia="TimesNewRoman" w:cs="TimesNewRoman"/>
          <w:color w:val="000000"/>
        </w:rPr>
        <w:t xml:space="preserve"> </w:t>
      </w:r>
      <w:r w:rsidRPr="00201C64">
        <w:rPr>
          <w:color w:val="000000"/>
        </w:rPr>
        <w:t>Infusion of pralatrexate was associated with a repolari</w:t>
      </w:r>
      <w:r>
        <w:rPr>
          <w:color w:val="000000"/>
        </w:rPr>
        <w:t>s</w:t>
      </w:r>
      <w:r w:rsidRPr="00201C64">
        <w:rPr>
          <w:color w:val="000000"/>
        </w:rPr>
        <w:t>ation delay in all 3 cohorts</w:t>
      </w:r>
      <w:r>
        <w:rPr>
          <w:color w:val="000000"/>
        </w:rPr>
        <w:t xml:space="preserve">, as shown by the changes in </w:t>
      </w:r>
      <w:r w:rsidRPr="0050165F">
        <w:rPr>
          <w:rFonts w:cs="Arial"/>
        </w:rPr>
        <w:t>Fridericia’s rate-corrected QT interval</w:t>
      </w:r>
      <w:r>
        <w:rPr>
          <w:color w:val="000000"/>
        </w:rPr>
        <w:t xml:space="preserve"> (QT</w:t>
      </w:r>
      <w:r w:rsidRPr="00166E1F">
        <w:rPr>
          <w:color w:val="000000"/>
          <w:vertAlign w:val="subscript"/>
        </w:rPr>
        <w:t>c</w:t>
      </w:r>
      <w:r>
        <w:rPr>
          <w:color w:val="000000"/>
        </w:rPr>
        <w:t>F) from pre-injection levels in</w:t>
      </w:r>
      <w:r w:rsidRPr="00990CA1">
        <w:rPr>
          <w:color w:val="000000"/>
        </w:rPr>
        <w:t xml:space="preserve"> Figure 4. Th</w:t>
      </w:r>
      <w:r>
        <w:rPr>
          <w:color w:val="000000"/>
        </w:rPr>
        <w:t xml:space="preserve">e </w:t>
      </w:r>
      <w:r w:rsidRPr="00201C64">
        <w:rPr>
          <w:color w:val="000000"/>
        </w:rPr>
        <w:t xml:space="preserve">thresholds at which there would be </w:t>
      </w:r>
      <w:r w:rsidRPr="00201C64">
        <w:rPr>
          <w:rFonts w:cs="Arial"/>
          <w:color w:val="000000"/>
        </w:rPr>
        <w:t xml:space="preserve">a modest </w:t>
      </w:r>
      <w:r>
        <w:rPr>
          <w:rFonts w:cs="Arial"/>
          <w:color w:val="000000"/>
        </w:rPr>
        <w:t xml:space="preserve">regulatory </w:t>
      </w:r>
      <w:r w:rsidRPr="00201C64">
        <w:rPr>
          <w:rFonts w:cs="Arial"/>
          <w:color w:val="000000"/>
        </w:rPr>
        <w:t>concern regarding QT prolongation</w:t>
      </w:r>
      <w:r>
        <w:rPr>
          <w:rFonts w:cs="Arial"/>
          <w:color w:val="000000"/>
        </w:rPr>
        <w:t xml:space="preserve"> are mean increases in QT</w:t>
      </w:r>
      <w:r w:rsidRPr="00A90CD3">
        <w:rPr>
          <w:rFonts w:cs="Arial"/>
          <w:color w:val="000000"/>
          <w:vertAlign w:val="subscript"/>
        </w:rPr>
        <w:t>c</w:t>
      </w:r>
      <w:r>
        <w:rPr>
          <w:rFonts w:cs="Arial"/>
          <w:color w:val="000000"/>
        </w:rPr>
        <w:t xml:space="preserve">F &gt; </w:t>
      </w:r>
      <w:r w:rsidRPr="00201C64">
        <w:rPr>
          <w:color w:val="000000"/>
        </w:rPr>
        <w:t>5</w:t>
      </w:r>
      <w:r w:rsidRPr="00990CA1">
        <w:rPr>
          <w:color w:val="000000"/>
        </w:rPr>
        <w:t xml:space="preserve">ms </w:t>
      </w:r>
      <w:r>
        <w:rPr>
          <w:color w:val="000000"/>
        </w:rPr>
        <w:t>or an</w:t>
      </w:r>
      <w:r w:rsidRPr="00201C64">
        <w:rPr>
          <w:color w:val="000000"/>
        </w:rPr>
        <w:t xml:space="preserve"> upper bound of the two sided 90% CI </w:t>
      </w:r>
      <w:r>
        <w:rPr>
          <w:color w:val="000000"/>
        </w:rPr>
        <w:t xml:space="preserve">(= upper bound of a one-sided 95% CI) </w:t>
      </w:r>
      <w:r w:rsidRPr="00201C64">
        <w:rPr>
          <w:color w:val="000000"/>
        </w:rPr>
        <w:t>&gt;10msec</w:t>
      </w:r>
      <w:r>
        <w:rPr>
          <w:color w:val="000000"/>
        </w:rPr>
        <w:t>.</w:t>
      </w:r>
    </w:p>
    <w:p w:rsidR="004D5254" w:rsidRPr="00953C10" w:rsidRDefault="004D5254" w:rsidP="004D5254">
      <w:pPr>
        <w:pStyle w:val="FigureTitle"/>
        <w:keepNext/>
        <w:rPr>
          <w:sz w:val="24"/>
        </w:rPr>
      </w:pPr>
      <w:bookmarkStart w:id="160" w:name="_Toc320881591"/>
      <w:r>
        <w:t>Figure 4. Study PDX-007(QT</w:t>
      </w:r>
      <w:r w:rsidRPr="00A9521A">
        <w:rPr>
          <w:vertAlign w:val="subscript"/>
        </w:rPr>
        <w:t>c</w:t>
      </w:r>
      <w:r>
        <w:t>) - Mean (90%CI) change from pre-injection QT</w:t>
      </w:r>
      <w:r w:rsidRPr="005C0DA1">
        <w:rPr>
          <w:vertAlign w:val="subscript"/>
        </w:rPr>
        <w:t>c</w:t>
      </w:r>
      <w:r>
        <w:t>F (msec) by treatment group</w:t>
      </w:r>
      <w:bookmarkEnd w:id="160"/>
    </w:p>
    <w:p w:rsidR="004D5254" w:rsidRDefault="004D5254" w:rsidP="004D5254">
      <w:pPr>
        <w:keepNext/>
        <w:rPr>
          <w:rFonts w:ascii="Arial" w:hAnsi="Arial" w:cs="Arial"/>
        </w:rPr>
      </w:pPr>
      <w:r>
        <w:rPr>
          <w:rFonts w:ascii="Arial" w:hAnsi="Arial" w:cs="Arial"/>
          <w:noProof/>
          <w:lang w:eastAsia="en-AU"/>
        </w:rPr>
        <w:drawing>
          <wp:inline distT="0" distB="0" distL="0" distR="0">
            <wp:extent cx="5856077" cy="2438400"/>
            <wp:effectExtent l="19050" t="0" r="0" b="0"/>
            <wp:docPr id="10" name="Picture 10" descr="Figure 4. Study PDX-007(QTc) - Mean (90%CI) change from pre-injection QTcF (msec)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r="3859"/>
                    <a:stretch>
                      <a:fillRect/>
                    </a:stretch>
                  </pic:blipFill>
                  <pic:spPr bwMode="auto">
                    <a:xfrm>
                      <a:off x="0" y="0"/>
                      <a:ext cx="5856077" cy="2438400"/>
                    </a:xfrm>
                    <a:prstGeom prst="rect">
                      <a:avLst/>
                    </a:prstGeom>
                    <a:noFill/>
                    <a:ln w="9525">
                      <a:noFill/>
                      <a:miter lim="800000"/>
                      <a:headEnd/>
                      <a:tailEnd/>
                    </a:ln>
                  </pic:spPr>
                </pic:pic>
              </a:graphicData>
            </a:graphic>
          </wp:inline>
        </w:drawing>
      </w:r>
    </w:p>
    <w:p w:rsidR="004D5254" w:rsidRDefault="004D5254" w:rsidP="004D5254">
      <w:pPr>
        <w:autoSpaceDE w:val="0"/>
        <w:autoSpaceDN w:val="0"/>
        <w:adjustRightInd w:val="0"/>
        <w:rPr>
          <w:rFonts w:cs="Arial"/>
          <w:color w:val="000000"/>
        </w:rPr>
      </w:pPr>
      <w:r w:rsidRPr="00201C64">
        <w:rPr>
          <w:color w:val="000000"/>
        </w:rPr>
        <w:t xml:space="preserve">The greatest </w:t>
      </w:r>
      <w:r>
        <w:rPr>
          <w:color w:val="000000"/>
        </w:rPr>
        <w:t>effect on</w:t>
      </w:r>
      <w:r w:rsidRPr="00201C64">
        <w:rPr>
          <w:color w:val="000000"/>
        </w:rPr>
        <w:t xml:space="preserve"> QT</w:t>
      </w:r>
      <w:r w:rsidRPr="00201C64">
        <w:rPr>
          <w:color w:val="000000"/>
          <w:vertAlign w:val="subscript"/>
        </w:rPr>
        <w:t>c</w:t>
      </w:r>
      <w:r>
        <w:rPr>
          <w:color w:val="000000"/>
        </w:rPr>
        <w:t xml:space="preserve">F was observed with </w:t>
      </w:r>
      <w:r w:rsidRPr="00201C64">
        <w:rPr>
          <w:color w:val="000000"/>
        </w:rPr>
        <w:t>the highest dose (</w:t>
      </w:r>
      <w:r w:rsidRPr="00201C64">
        <w:rPr>
          <w:rFonts w:cs="Arial"/>
          <w:color w:val="000000"/>
        </w:rPr>
        <w:t>230 mg/m</w:t>
      </w:r>
      <w:r w:rsidRPr="00201C64">
        <w:rPr>
          <w:rFonts w:cs="Arial"/>
          <w:color w:val="000000"/>
          <w:vertAlign w:val="superscript"/>
        </w:rPr>
        <w:t>2</w:t>
      </w:r>
      <w:r w:rsidRPr="00201C64">
        <w:rPr>
          <w:rFonts w:cs="Arial"/>
          <w:color w:val="000000"/>
        </w:rPr>
        <w:t>) administered via IV push over 3-5 minutes.</w:t>
      </w:r>
      <w:r>
        <w:rPr>
          <w:rFonts w:cs="Arial"/>
          <w:color w:val="000000"/>
        </w:rPr>
        <w:t xml:space="preserve"> </w:t>
      </w:r>
      <w:r w:rsidRPr="00201C64">
        <w:rPr>
          <w:rFonts w:cs="Arial"/>
          <w:color w:val="000000"/>
        </w:rPr>
        <w:t xml:space="preserve">The upper bound </w:t>
      </w:r>
      <w:r>
        <w:rPr>
          <w:rFonts w:cs="Arial"/>
          <w:color w:val="000000"/>
        </w:rPr>
        <w:t xml:space="preserve">of the two-sided </w:t>
      </w:r>
      <w:r w:rsidRPr="00201C64">
        <w:rPr>
          <w:rFonts w:cs="Arial"/>
          <w:color w:val="000000"/>
        </w:rPr>
        <w:t>90% CI for the mean change from pre-injection in QT</w:t>
      </w:r>
      <w:r w:rsidRPr="00201C64">
        <w:rPr>
          <w:rFonts w:cs="Arial"/>
          <w:color w:val="000000"/>
          <w:vertAlign w:val="subscript"/>
        </w:rPr>
        <w:t>c</w:t>
      </w:r>
      <w:r w:rsidRPr="00201C64">
        <w:rPr>
          <w:rFonts w:cs="Arial"/>
          <w:color w:val="000000"/>
        </w:rPr>
        <w:t>F interval in this group was 12.7</w:t>
      </w:r>
      <w:r>
        <w:rPr>
          <w:rFonts w:cs="Arial"/>
          <w:color w:val="000000"/>
        </w:rPr>
        <w:t xml:space="preserve"> </w:t>
      </w:r>
      <w:r w:rsidRPr="00990CA1">
        <w:rPr>
          <w:rFonts w:cs="Arial"/>
          <w:color w:val="000000"/>
        </w:rPr>
        <w:t xml:space="preserve">ms </w:t>
      </w:r>
      <w:r w:rsidRPr="00201C64">
        <w:rPr>
          <w:rFonts w:cs="Arial"/>
          <w:color w:val="000000"/>
        </w:rPr>
        <w:t xml:space="preserve">at the end of the injection and this persisted at 1 </w:t>
      </w:r>
      <w:r w:rsidRPr="00990CA1">
        <w:rPr>
          <w:rFonts w:cs="Arial"/>
          <w:color w:val="000000"/>
        </w:rPr>
        <w:t xml:space="preserve">hr </w:t>
      </w:r>
      <w:r w:rsidRPr="00201C64">
        <w:rPr>
          <w:rFonts w:cs="Arial"/>
          <w:color w:val="000000"/>
        </w:rPr>
        <w:t>post injection.</w:t>
      </w:r>
      <w:r>
        <w:rPr>
          <w:rFonts w:cs="Arial"/>
          <w:color w:val="000000"/>
        </w:rPr>
        <w:t xml:space="preserve"> The mean change from pre-injection QT</w:t>
      </w:r>
      <w:r w:rsidRPr="00A713D4">
        <w:rPr>
          <w:rFonts w:cs="Arial"/>
          <w:color w:val="000000"/>
          <w:vertAlign w:val="subscript"/>
        </w:rPr>
        <w:t>c</w:t>
      </w:r>
      <w:r>
        <w:rPr>
          <w:rFonts w:cs="Arial"/>
          <w:color w:val="000000"/>
        </w:rPr>
        <w:t xml:space="preserve">F in this cohort also exceeded 5 </w:t>
      </w:r>
      <w:r w:rsidRPr="00990CA1">
        <w:rPr>
          <w:rFonts w:cs="Arial"/>
          <w:color w:val="000000"/>
        </w:rPr>
        <w:t xml:space="preserve">ms </w:t>
      </w:r>
      <w:r>
        <w:rPr>
          <w:rFonts w:cs="Arial"/>
          <w:color w:val="000000"/>
        </w:rPr>
        <w:t>at both time points. Changes observed in the cohort that received 190 mg/m</w:t>
      </w:r>
      <w:r w:rsidRPr="0051317A">
        <w:rPr>
          <w:rFonts w:cs="Arial"/>
          <w:color w:val="000000"/>
          <w:vertAlign w:val="superscript"/>
        </w:rPr>
        <w:t>2</w:t>
      </w:r>
      <w:r>
        <w:rPr>
          <w:rFonts w:cs="Arial"/>
          <w:color w:val="000000"/>
        </w:rPr>
        <w:t xml:space="preserve"> also exceeded both these thresholds at the end of infusion but returned to pre-injection levels by 1 </w:t>
      </w:r>
      <w:r w:rsidRPr="00990CA1">
        <w:rPr>
          <w:rFonts w:cs="Arial"/>
          <w:color w:val="000000"/>
        </w:rPr>
        <w:t xml:space="preserve">hr </w:t>
      </w:r>
      <w:r>
        <w:rPr>
          <w:rFonts w:cs="Arial"/>
          <w:color w:val="000000"/>
        </w:rPr>
        <w:t>post infusion (</w:t>
      </w:r>
      <w:r w:rsidRPr="00990CA1">
        <w:rPr>
          <w:rFonts w:cs="Arial"/>
          <w:color w:val="000000"/>
        </w:rPr>
        <w:t>that is,</w:t>
      </w:r>
      <w:r>
        <w:rPr>
          <w:rFonts w:cs="Arial"/>
          <w:color w:val="000000"/>
        </w:rPr>
        <w:t xml:space="preserve"> more rapidly than doses of 230 mg/m</w:t>
      </w:r>
      <w:r w:rsidRPr="00A713D4">
        <w:rPr>
          <w:rFonts w:cs="Arial"/>
          <w:color w:val="000000"/>
          <w:vertAlign w:val="superscript"/>
        </w:rPr>
        <w:t>2</w:t>
      </w:r>
      <w:r>
        <w:rPr>
          <w:rFonts w:cs="Arial"/>
          <w:color w:val="000000"/>
        </w:rPr>
        <w:t>). However, c</w:t>
      </w:r>
      <w:r w:rsidRPr="00201C64">
        <w:rPr>
          <w:rFonts w:cs="Arial"/>
          <w:color w:val="000000"/>
        </w:rPr>
        <w:t>ohorts and times were not compared statistically.</w:t>
      </w:r>
      <w:r>
        <w:rPr>
          <w:rFonts w:cs="Arial"/>
          <w:color w:val="000000"/>
        </w:rPr>
        <w:t xml:space="preserve"> </w:t>
      </w:r>
    </w:p>
    <w:p w:rsidR="004D5254" w:rsidRDefault="004D5254" w:rsidP="004D5254">
      <w:pPr>
        <w:autoSpaceDE w:val="0"/>
        <w:autoSpaceDN w:val="0"/>
        <w:adjustRightInd w:val="0"/>
        <w:rPr>
          <w:rFonts w:cs="Arial"/>
          <w:color w:val="000000"/>
        </w:rPr>
      </w:pPr>
      <w:r>
        <w:rPr>
          <w:rFonts w:cs="Arial"/>
          <w:color w:val="000000"/>
        </w:rPr>
        <w:t>Although on face value the data may suggest some concern, it should be appreciated that:</w:t>
      </w:r>
    </w:p>
    <w:p w:rsidR="004D5254" w:rsidRDefault="004D5254" w:rsidP="004D5254">
      <w:pPr>
        <w:pStyle w:val="ListBullet"/>
        <w:numPr>
          <w:ilvl w:val="0"/>
          <w:numId w:val="1"/>
        </w:numPr>
        <w:rPr>
          <w:color w:val="000000"/>
        </w:rPr>
      </w:pPr>
      <w:r>
        <w:t>the doses used and, consequently the maximum pralatrexate concentrations achieved in the study far exceeded those expected for the target PTCL population</w:t>
      </w:r>
      <w:r>
        <w:rPr>
          <w:color w:val="000000"/>
        </w:rPr>
        <w:t>;</w:t>
      </w:r>
    </w:p>
    <w:p w:rsidR="004D5254" w:rsidRPr="008D10D1" w:rsidRDefault="004D5254" w:rsidP="004D5254">
      <w:pPr>
        <w:pStyle w:val="ListBullet"/>
        <w:numPr>
          <w:ilvl w:val="0"/>
          <w:numId w:val="1"/>
        </w:numPr>
        <w:rPr>
          <w:color w:val="000000"/>
        </w:rPr>
      </w:pPr>
      <w:r w:rsidRPr="007A7E2E">
        <w:rPr>
          <w:color w:val="000000"/>
        </w:rPr>
        <w:t>the data are pre-post data only</w:t>
      </w:r>
      <w:r>
        <w:rPr>
          <w:color w:val="000000"/>
        </w:rPr>
        <w:t xml:space="preserve"> and generated in parallel groups</w:t>
      </w:r>
      <w:r w:rsidRPr="007A7E2E">
        <w:rPr>
          <w:color w:val="000000"/>
        </w:rPr>
        <w:t xml:space="preserve"> and</w:t>
      </w:r>
      <w:r>
        <w:rPr>
          <w:color w:val="000000"/>
        </w:rPr>
        <w:t>,</w:t>
      </w:r>
      <w:r w:rsidRPr="007A7E2E">
        <w:rPr>
          <w:color w:val="000000"/>
        </w:rPr>
        <w:t xml:space="preserve"> because of the study population</w:t>
      </w:r>
      <w:r>
        <w:rPr>
          <w:color w:val="000000"/>
        </w:rPr>
        <w:t>,</w:t>
      </w:r>
      <w:r w:rsidRPr="007A7E2E">
        <w:rPr>
          <w:color w:val="000000"/>
        </w:rPr>
        <w:t xml:space="preserve"> it was not possible to </w:t>
      </w:r>
      <w:r w:rsidRPr="007A7E2E">
        <w:rPr>
          <w:rFonts w:eastAsia="TimesNewRoman" w:cs="TimesNewRoman"/>
          <w:color w:val="000000"/>
        </w:rPr>
        <w:t>analyse</w:t>
      </w:r>
      <w:r w:rsidRPr="007A7E2E">
        <w:rPr>
          <w:color w:val="000000"/>
        </w:rPr>
        <w:t xml:space="preserve"> </w:t>
      </w:r>
      <w:r>
        <w:rPr>
          <w:color w:val="000000"/>
        </w:rPr>
        <w:t xml:space="preserve">the </w:t>
      </w:r>
      <w:r w:rsidRPr="007A7E2E">
        <w:rPr>
          <w:color w:val="000000"/>
        </w:rPr>
        <w:t>time-matched baseline-corrected drug-placebo difference in QT</w:t>
      </w:r>
      <w:r w:rsidRPr="007A7E2E">
        <w:rPr>
          <w:color w:val="000000"/>
          <w:vertAlign w:val="subscript"/>
        </w:rPr>
        <w:t>c</w:t>
      </w:r>
      <w:r w:rsidRPr="007A7E2E">
        <w:rPr>
          <w:color w:val="000000"/>
        </w:rPr>
        <w:t xml:space="preserve"> interval that would account for diurnal effects as a dependent variable (as suggested by the ICH-E14 Guideline)</w:t>
      </w:r>
      <w:r>
        <w:rPr>
          <w:color w:val="000000"/>
        </w:rPr>
        <w:t>. T</w:t>
      </w:r>
      <w:r w:rsidRPr="007A7E2E">
        <w:rPr>
          <w:color w:val="000000"/>
        </w:rPr>
        <w:t>his was a terminal oncology population and provision of placebo was unethical, and the underlying disease was progressive</w:t>
      </w:r>
      <w:r>
        <w:rPr>
          <w:color w:val="000000"/>
        </w:rPr>
        <w:t>,</w:t>
      </w:r>
      <w:r w:rsidRPr="007A7E2E">
        <w:rPr>
          <w:color w:val="000000"/>
        </w:rPr>
        <w:t xml:space="preserve"> </w:t>
      </w:r>
      <w:r>
        <w:rPr>
          <w:color w:val="000000"/>
        </w:rPr>
        <w:t>so</w:t>
      </w:r>
      <w:r w:rsidRPr="007A7E2E">
        <w:rPr>
          <w:color w:val="000000"/>
        </w:rPr>
        <w:t xml:space="preserve"> the assumption of disease stability usually required for cross-over designs could not be met</w:t>
      </w:r>
      <w:r w:rsidRPr="008D10D1">
        <w:rPr>
          <w:color w:val="000000"/>
        </w:rPr>
        <w:t>;</w:t>
      </w:r>
    </w:p>
    <w:p w:rsidR="004D5254" w:rsidRPr="002213D0" w:rsidRDefault="004D5254" w:rsidP="004D5254">
      <w:pPr>
        <w:pStyle w:val="ListBullet"/>
        <w:numPr>
          <w:ilvl w:val="0"/>
          <w:numId w:val="1"/>
        </w:numPr>
        <w:rPr>
          <w:color w:val="000000"/>
        </w:rPr>
      </w:pPr>
      <w:r>
        <w:rPr>
          <w:color w:val="000000"/>
        </w:rPr>
        <w:lastRenderedPageBreak/>
        <w:t>w</w:t>
      </w:r>
      <w:r w:rsidRPr="00201C64">
        <w:rPr>
          <w:color w:val="000000"/>
        </w:rPr>
        <w:t xml:space="preserve">hen data for all cohorts were combined, the </w:t>
      </w:r>
      <w:r>
        <w:rPr>
          <w:color w:val="000000"/>
        </w:rPr>
        <w:t>mean changes in</w:t>
      </w:r>
      <w:r w:rsidRPr="00201C64">
        <w:rPr>
          <w:color w:val="000000"/>
        </w:rPr>
        <w:t xml:space="preserve"> QT</w:t>
      </w:r>
      <w:r w:rsidRPr="00201C64">
        <w:rPr>
          <w:color w:val="000000"/>
          <w:vertAlign w:val="subscript"/>
        </w:rPr>
        <w:t>c</w:t>
      </w:r>
      <w:r w:rsidRPr="00201C64">
        <w:rPr>
          <w:color w:val="000000"/>
        </w:rPr>
        <w:t>F at end-injection, and at 1, 3 and 6 hours post injection</w:t>
      </w:r>
      <w:r>
        <w:rPr>
          <w:color w:val="000000"/>
        </w:rPr>
        <w:t xml:space="preserve"> and the </w:t>
      </w:r>
      <w:r w:rsidRPr="00201C64">
        <w:rPr>
          <w:color w:val="000000"/>
        </w:rPr>
        <w:t xml:space="preserve">upper bounds of the </w:t>
      </w:r>
      <w:r>
        <w:rPr>
          <w:color w:val="000000"/>
        </w:rPr>
        <w:t>corresponding</w:t>
      </w:r>
      <w:r w:rsidRPr="00201C64">
        <w:rPr>
          <w:color w:val="000000"/>
        </w:rPr>
        <w:t xml:space="preserve"> 90% CIs were </w:t>
      </w:r>
      <w:r>
        <w:rPr>
          <w:color w:val="000000"/>
        </w:rPr>
        <w:t>all</w:t>
      </w:r>
      <w:r w:rsidRPr="00201C64">
        <w:rPr>
          <w:color w:val="000000"/>
        </w:rPr>
        <w:t xml:space="preserve"> below</w:t>
      </w:r>
      <w:r>
        <w:rPr>
          <w:color w:val="000000"/>
        </w:rPr>
        <w:t xml:space="preserve"> 5</w:t>
      </w:r>
      <w:r w:rsidRPr="00990CA1">
        <w:rPr>
          <w:color w:val="000000"/>
        </w:rPr>
        <w:t xml:space="preserve">ms </w:t>
      </w:r>
      <w:r>
        <w:rPr>
          <w:color w:val="000000"/>
        </w:rPr>
        <w:t xml:space="preserve">and </w:t>
      </w:r>
      <w:r w:rsidRPr="00201C64">
        <w:rPr>
          <w:color w:val="000000"/>
        </w:rPr>
        <w:t>10msec</w:t>
      </w:r>
      <w:r>
        <w:rPr>
          <w:color w:val="000000"/>
        </w:rPr>
        <w:t>, respectively;</w:t>
      </w:r>
      <w:r w:rsidRPr="002213D0">
        <w:rPr>
          <w:color w:val="000000"/>
        </w:rPr>
        <w:t xml:space="preserve"> </w:t>
      </w:r>
    </w:p>
    <w:p w:rsidR="004D5254" w:rsidRDefault="004D5254" w:rsidP="004D5254">
      <w:pPr>
        <w:pStyle w:val="ListBullet"/>
        <w:numPr>
          <w:ilvl w:val="0"/>
          <w:numId w:val="1"/>
        </w:numPr>
        <w:rPr>
          <w:color w:val="000000"/>
        </w:rPr>
      </w:pPr>
      <w:r>
        <w:rPr>
          <w:color w:val="000000"/>
        </w:rPr>
        <w:t>n</w:t>
      </w:r>
      <w:r w:rsidRPr="00201C64">
        <w:rPr>
          <w:color w:val="000000"/>
        </w:rPr>
        <w:t xml:space="preserve">o relationship was found between </w:t>
      </w:r>
      <w:r>
        <w:rPr>
          <w:color w:val="000000"/>
        </w:rPr>
        <w:t xml:space="preserve">pralatrexate </w:t>
      </w:r>
      <w:r w:rsidRPr="00201C64">
        <w:rPr>
          <w:color w:val="000000"/>
        </w:rPr>
        <w:t>C</w:t>
      </w:r>
      <w:r w:rsidRPr="00201C64">
        <w:rPr>
          <w:color w:val="000000"/>
          <w:vertAlign w:val="subscript"/>
        </w:rPr>
        <w:t>max</w:t>
      </w:r>
      <w:r w:rsidRPr="00201C64">
        <w:rPr>
          <w:color w:val="000000"/>
        </w:rPr>
        <w:t xml:space="preserve"> </w:t>
      </w:r>
      <w:r>
        <w:rPr>
          <w:color w:val="000000"/>
        </w:rPr>
        <w:t>or</w:t>
      </w:r>
      <w:r w:rsidRPr="00201C64">
        <w:rPr>
          <w:color w:val="000000"/>
        </w:rPr>
        <w:t xml:space="preserve"> AUC values and either the maximum or mean QT</w:t>
      </w:r>
      <w:r w:rsidRPr="00201C64">
        <w:rPr>
          <w:color w:val="000000"/>
          <w:vertAlign w:val="subscript"/>
        </w:rPr>
        <w:t>c</w:t>
      </w:r>
      <w:r>
        <w:rPr>
          <w:color w:val="000000"/>
        </w:rPr>
        <w:t xml:space="preserve">F </w:t>
      </w:r>
      <w:r w:rsidRPr="00201C64">
        <w:rPr>
          <w:color w:val="000000"/>
        </w:rPr>
        <w:t>interval changes</w:t>
      </w:r>
      <w:r>
        <w:rPr>
          <w:color w:val="000000"/>
        </w:rPr>
        <w:t xml:space="preserve">, possibly reflective of a plateau on the dose-response curve; </w:t>
      </w:r>
    </w:p>
    <w:p w:rsidR="004D5254" w:rsidRPr="00201C64" w:rsidRDefault="004D5254" w:rsidP="004D5254">
      <w:pPr>
        <w:pStyle w:val="ListBullet"/>
        <w:numPr>
          <w:ilvl w:val="0"/>
          <w:numId w:val="1"/>
        </w:numPr>
        <w:rPr>
          <w:color w:val="000000"/>
        </w:rPr>
      </w:pPr>
      <w:r>
        <w:rPr>
          <w:color w:val="000000"/>
        </w:rPr>
        <w:t>t</w:t>
      </w:r>
      <w:r w:rsidRPr="00201C64">
        <w:rPr>
          <w:color w:val="000000"/>
        </w:rPr>
        <w:t xml:space="preserve">here were no significant changes in </w:t>
      </w:r>
      <w:r>
        <w:rPr>
          <w:color w:val="000000"/>
        </w:rPr>
        <w:t xml:space="preserve">the </w:t>
      </w:r>
      <w:r w:rsidRPr="00201C64">
        <w:rPr>
          <w:color w:val="000000"/>
        </w:rPr>
        <w:t xml:space="preserve">mean </w:t>
      </w:r>
      <w:r>
        <w:rPr>
          <w:color w:val="000000"/>
        </w:rPr>
        <w:t>HR</w:t>
      </w:r>
      <w:r w:rsidRPr="00201C64">
        <w:rPr>
          <w:color w:val="000000"/>
        </w:rPr>
        <w:t>, PR interval, RR interval or QRS</w:t>
      </w:r>
      <w:r>
        <w:rPr>
          <w:color w:val="000000"/>
        </w:rPr>
        <w:t>-interval; and</w:t>
      </w:r>
      <w:r w:rsidRPr="00201C64">
        <w:rPr>
          <w:color w:val="000000"/>
        </w:rPr>
        <w:t xml:space="preserve"> </w:t>
      </w:r>
    </w:p>
    <w:p w:rsidR="004D5254" w:rsidRPr="008D10D1" w:rsidRDefault="004D5254" w:rsidP="004D5254">
      <w:pPr>
        <w:pStyle w:val="ListBullet"/>
        <w:numPr>
          <w:ilvl w:val="0"/>
          <w:numId w:val="1"/>
        </w:numPr>
      </w:pPr>
      <w:r w:rsidRPr="008D10D1">
        <w:rPr>
          <w:color w:val="000000"/>
        </w:rPr>
        <w:t>in terms of categorical analyses, no patient had a post injection absolute QT</w:t>
      </w:r>
      <w:r w:rsidRPr="008D10D1">
        <w:rPr>
          <w:color w:val="000000"/>
          <w:vertAlign w:val="subscript"/>
        </w:rPr>
        <w:t>c</w:t>
      </w:r>
      <w:r w:rsidRPr="008D10D1">
        <w:rPr>
          <w:color w:val="000000"/>
        </w:rPr>
        <w:t xml:space="preserve"> interval </w:t>
      </w:r>
      <w:r w:rsidRPr="008D10D1">
        <w:rPr>
          <w:rFonts w:eastAsia="SymbolMT" w:cs="SymbolMT"/>
          <w:color w:val="000000"/>
        </w:rPr>
        <w:t xml:space="preserve">&gt; </w:t>
      </w:r>
      <w:r w:rsidRPr="008D10D1">
        <w:rPr>
          <w:color w:val="000000"/>
        </w:rPr>
        <w:t>470 ms</w:t>
      </w:r>
      <w:r>
        <w:rPr>
          <w:color w:val="000000"/>
        </w:rPr>
        <w:t>;</w:t>
      </w:r>
      <w:r w:rsidRPr="008D10D1">
        <w:rPr>
          <w:color w:val="000000"/>
        </w:rPr>
        <w:t xml:space="preserve"> only 1 patient (who received 190</w:t>
      </w:r>
      <w:r>
        <w:rPr>
          <w:color w:val="000000"/>
        </w:rPr>
        <w:t xml:space="preserve"> </w:t>
      </w:r>
      <w:r w:rsidRPr="008D10D1">
        <w:rPr>
          <w:color w:val="000000"/>
        </w:rPr>
        <w:t>mg/m</w:t>
      </w:r>
      <w:r w:rsidRPr="008D10D1">
        <w:rPr>
          <w:color w:val="000000"/>
          <w:vertAlign w:val="superscript"/>
        </w:rPr>
        <w:t>2</w:t>
      </w:r>
      <w:r w:rsidRPr="008D10D1">
        <w:rPr>
          <w:color w:val="000000"/>
        </w:rPr>
        <w:t xml:space="preserve"> over 1 hr) exhibited a </w:t>
      </w:r>
      <w:r w:rsidRPr="008D10D1">
        <w:t>post-injection</w:t>
      </w:r>
      <w:r w:rsidRPr="008D10D1">
        <w:rPr>
          <w:color w:val="000000"/>
        </w:rPr>
        <w:t xml:space="preserve"> absolute QT</w:t>
      </w:r>
      <w:r w:rsidRPr="008D10D1">
        <w:rPr>
          <w:color w:val="000000"/>
          <w:vertAlign w:val="subscript"/>
        </w:rPr>
        <w:t>c</w:t>
      </w:r>
      <w:r w:rsidRPr="008D10D1">
        <w:rPr>
          <w:color w:val="000000"/>
        </w:rPr>
        <w:t xml:space="preserve"> interval </w:t>
      </w:r>
      <w:r w:rsidRPr="008D10D1">
        <w:rPr>
          <w:rFonts w:eastAsia="SymbolMT" w:cs="SymbolMT"/>
          <w:color w:val="000000"/>
        </w:rPr>
        <w:t xml:space="preserve">&gt; </w:t>
      </w:r>
      <w:r w:rsidRPr="008D10D1">
        <w:rPr>
          <w:color w:val="000000"/>
        </w:rPr>
        <w:t>450 ms; no patient exhibited an increase in QT</w:t>
      </w:r>
      <w:r w:rsidRPr="008D10D1">
        <w:rPr>
          <w:color w:val="000000"/>
          <w:vertAlign w:val="subscript"/>
        </w:rPr>
        <w:t xml:space="preserve">c </w:t>
      </w:r>
      <w:r w:rsidRPr="008D10D1">
        <w:rPr>
          <w:color w:val="000000"/>
        </w:rPr>
        <w:t>from baseline of &gt; 18.4</w:t>
      </w:r>
      <w:r>
        <w:rPr>
          <w:color w:val="000000"/>
        </w:rPr>
        <w:t xml:space="preserve"> </w:t>
      </w:r>
      <w:r w:rsidRPr="008D10D1">
        <w:rPr>
          <w:color w:val="000000"/>
        </w:rPr>
        <w:t xml:space="preserve">ms; and no </w:t>
      </w:r>
      <w:r w:rsidRPr="008D10D1">
        <w:t xml:space="preserve">pathological U waves were observed in the study. </w:t>
      </w:r>
    </w:p>
    <w:p w:rsidR="004D5254" w:rsidRPr="00201C64" w:rsidRDefault="004D5254" w:rsidP="004D5254">
      <w:pPr>
        <w:autoSpaceDE w:val="0"/>
        <w:autoSpaceDN w:val="0"/>
        <w:adjustRightInd w:val="0"/>
        <w:rPr>
          <w:color w:val="000000"/>
        </w:rPr>
      </w:pPr>
      <w:r>
        <w:rPr>
          <w:color w:val="000000"/>
        </w:rPr>
        <w:t xml:space="preserve">Furthermore, 2 evaluable </w:t>
      </w:r>
      <w:r w:rsidRPr="00BC5248">
        <w:t xml:space="preserve">patients </w:t>
      </w:r>
      <w:r>
        <w:t xml:space="preserve">had other predisposing risks. One patient had </w:t>
      </w:r>
      <w:r w:rsidRPr="00BC5248">
        <w:t xml:space="preserve">low potassium levels prior to injection </w:t>
      </w:r>
      <w:r>
        <w:t xml:space="preserve">and another was taking </w:t>
      </w:r>
      <w:r w:rsidRPr="00BC5248">
        <w:t>long term azithromycin (at an unspecified dose) for ‘dyspnoea’</w:t>
      </w:r>
      <w:r>
        <w:t xml:space="preserve">. These patients had maximal increases in </w:t>
      </w:r>
      <w:r w:rsidRPr="00BC5248">
        <w:t>QT</w:t>
      </w:r>
      <w:r w:rsidRPr="00BC5248">
        <w:rPr>
          <w:vertAlign w:val="subscript"/>
        </w:rPr>
        <w:t>c</w:t>
      </w:r>
      <w:r w:rsidRPr="00BC5248">
        <w:t xml:space="preserve">F of 8.9 </w:t>
      </w:r>
      <w:r>
        <w:t xml:space="preserve">and 3.3 ms, respectively, with corresponding absolute QTcF values of </w:t>
      </w:r>
      <w:r w:rsidRPr="00BC5248">
        <w:t>405</w:t>
      </w:r>
      <w:r>
        <w:t xml:space="preserve"> and</w:t>
      </w:r>
      <w:r w:rsidRPr="00BC5248">
        <w:t xml:space="preserve"> 410.7</w:t>
      </w:r>
      <w:r>
        <w:t xml:space="preserve"> </w:t>
      </w:r>
      <w:r w:rsidRPr="00990CA1">
        <w:t xml:space="preserve">ms </w:t>
      </w:r>
      <w:r>
        <w:t>(</w:t>
      </w:r>
      <w:r w:rsidRPr="00BC5248">
        <w:t>occurr</w:t>
      </w:r>
      <w:r>
        <w:t>ing</w:t>
      </w:r>
      <w:r w:rsidRPr="00BC5248">
        <w:t xml:space="preserve"> at the end of the infusion</w:t>
      </w:r>
      <w:r>
        <w:t>).</w:t>
      </w:r>
    </w:p>
    <w:p w:rsidR="004D5254" w:rsidRDefault="004D5254" w:rsidP="004D5254">
      <w:pPr>
        <w:autoSpaceDE w:val="0"/>
        <w:autoSpaceDN w:val="0"/>
        <w:adjustRightInd w:val="0"/>
        <w:rPr>
          <w:rFonts w:eastAsia="TimesNewRoman" w:cs="TimesNewRoman"/>
          <w:color w:val="000000"/>
        </w:rPr>
      </w:pPr>
      <w:r>
        <w:rPr>
          <w:rFonts w:eastAsia="TimesNewRoman" w:cs="TimesNewRoman"/>
          <w:color w:val="000000"/>
        </w:rPr>
        <w:t xml:space="preserve">Overall </w:t>
      </w:r>
      <w:r w:rsidRPr="0046361D">
        <w:rPr>
          <w:rFonts w:eastAsia="TimesNewRoman" w:cs="TimesNewRoman"/>
          <w:color w:val="000000"/>
        </w:rPr>
        <w:t>these findings</w:t>
      </w:r>
      <w:r>
        <w:rPr>
          <w:rFonts w:eastAsia="TimesNewRoman" w:cs="TimesNewRoman"/>
          <w:color w:val="000000"/>
        </w:rPr>
        <w:t>, t</w:t>
      </w:r>
      <w:r w:rsidRPr="0046361D">
        <w:rPr>
          <w:rFonts w:eastAsia="TimesNewRoman" w:cs="TimesNewRoman"/>
          <w:color w:val="000000"/>
        </w:rPr>
        <w:t xml:space="preserve">ogether with </w:t>
      </w:r>
      <w:r>
        <w:rPr>
          <w:rFonts w:eastAsia="TimesNewRoman" w:cs="TimesNewRoman"/>
          <w:color w:val="000000"/>
        </w:rPr>
        <w:t xml:space="preserve">findings of </w:t>
      </w:r>
      <w:r w:rsidRPr="00BC5248">
        <w:rPr>
          <w:rFonts w:eastAsia="TimesNewRoman" w:cs="TimesNewRoman"/>
          <w:i/>
          <w:color w:val="000000"/>
        </w:rPr>
        <w:t>in vitro</w:t>
      </w:r>
      <w:r w:rsidRPr="0046361D">
        <w:rPr>
          <w:rFonts w:eastAsia="TimesNewRoman" w:cs="TimesNewRoman"/>
          <w:color w:val="000000"/>
        </w:rPr>
        <w:t xml:space="preserve"> studies </w:t>
      </w:r>
      <w:r>
        <w:rPr>
          <w:rFonts w:eastAsia="TimesNewRoman" w:cs="TimesNewRoman"/>
          <w:color w:val="000000"/>
        </w:rPr>
        <w:t>that were reported to show</w:t>
      </w:r>
      <w:r w:rsidRPr="0046361D">
        <w:rPr>
          <w:rFonts w:eastAsia="TimesNewRoman" w:cs="TimesNewRoman"/>
          <w:color w:val="000000"/>
        </w:rPr>
        <w:t xml:space="preserve"> that pralatrexate does not inhibit the human</w:t>
      </w:r>
      <w:r>
        <w:rPr>
          <w:rFonts w:eastAsia="TimesNewRoman" w:cs="TimesNewRoman"/>
          <w:color w:val="000000"/>
        </w:rPr>
        <w:t xml:space="preserve"> </w:t>
      </w:r>
      <w:r w:rsidRPr="0046361D">
        <w:rPr>
          <w:rFonts w:eastAsia="TimesNewRoman" w:cs="TimesNewRoman"/>
          <w:color w:val="000000"/>
        </w:rPr>
        <w:t>ether-a-go-go-related gene (hERG) or affect dog Purkinje fibr</w:t>
      </w:r>
      <w:r>
        <w:rPr>
          <w:rFonts w:eastAsia="TimesNewRoman" w:cs="TimesNewRoman"/>
          <w:color w:val="000000"/>
        </w:rPr>
        <w:t>e</w:t>
      </w:r>
      <w:r w:rsidRPr="0046361D">
        <w:rPr>
          <w:rFonts w:eastAsia="TimesNewRoman" w:cs="TimesNewRoman"/>
          <w:color w:val="000000"/>
        </w:rPr>
        <w:t xml:space="preserve"> action potential at</w:t>
      </w:r>
      <w:r>
        <w:rPr>
          <w:rFonts w:eastAsia="TimesNewRoman" w:cs="TimesNewRoman"/>
          <w:color w:val="000000"/>
        </w:rPr>
        <w:t xml:space="preserve"> </w:t>
      </w:r>
      <w:r w:rsidRPr="0046361D">
        <w:rPr>
          <w:rFonts w:eastAsia="TimesNewRoman" w:cs="TimesNewRoman"/>
          <w:color w:val="000000"/>
        </w:rPr>
        <w:t>concentrations well above the clinically observed C</w:t>
      </w:r>
      <w:r w:rsidRPr="00BC5248">
        <w:rPr>
          <w:rFonts w:eastAsia="TimesNewRoman" w:cs="TimesNewRoman"/>
          <w:color w:val="000000"/>
          <w:vertAlign w:val="subscript"/>
        </w:rPr>
        <w:t>max</w:t>
      </w:r>
      <w:r w:rsidRPr="0046361D">
        <w:rPr>
          <w:rFonts w:eastAsia="TimesNewRoman" w:cs="TimesNewRoman"/>
          <w:color w:val="000000"/>
        </w:rPr>
        <w:t>,</w:t>
      </w:r>
      <w:r>
        <w:rPr>
          <w:rFonts w:eastAsia="TimesNewRoman" w:cs="TimesNewRoman"/>
          <w:color w:val="000000"/>
        </w:rPr>
        <w:t xml:space="preserve"> </w:t>
      </w:r>
      <w:r w:rsidRPr="0046361D">
        <w:rPr>
          <w:rFonts w:eastAsia="TimesNewRoman" w:cs="TimesNewRoman"/>
          <w:color w:val="000000"/>
        </w:rPr>
        <w:t>suggest that pralatrexate is unlikely to markedly delay cardiac repolari</w:t>
      </w:r>
      <w:r>
        <w:rPr>
          <w:rFonts w:eastAsia="TimesNewRoman" w:cs="TimesNewRoman"/>
          <w:color w:val="000000"/>
        </w:rPr>
        <w:t>s</w:t>
      </w:r>
      <w:r w:rsidRPr="0046361D">
        <w:rPr>
          <w:rFonts w:eastAsia="TimesNewRoman" w:cs="TimesNewRoman"/>
          <w:color w:val="000000"/>
        </w:rPr>
        <w:t>ation in</w:t>
      </w:r>
      <w:r>
        <w:rPr>
          <w:rFonts w:eastAsia="TimesNewRoman" w:cs="TimesNewRoman"/>
          <w:color w:val="000000"/>
        </w:rPr>
        <w:t xml:space="preserve"> </w:t>
      </w:r>
      <w:r w:rsidRPr="0046361D">
        <w:rPr>
          <w:rFonts w:eastAsia="TimesNewRoman" w:cs="TimesNewRoman"/>
          <w:color w:val="000000"/>
        </w:rPr>
        <w:t>PTCL patients treated with pralatrexate doses ≤ 30 mg/m</w:t>
      </w:r>
      <w:r w:rsidRPr="00BC5248">
        <w:rPr>
          <w:rFonts w:eastAsia="TimesNewRoman" w:cs="TimesNewRoman"/>
          <w:color w:val="000000"/>
          <w:vertAlign w:val="superscript"/>
        </w:rPr>
        <w:t>2</w:t>
      </w:r>
      <w:r w:rsidRPr="0046361D">
        <w:rPr>
          <w:rFonts w:eastAsia="TimesNewRoman" w:cs="TimesNewRoman"/>
          <w:color w:val="000000"/>
        </w:rPr>
        <w:t>.</w:t>
      </w:r>
    </w:p>
    <w:p w:rsidR="004D5254" w:rsidRPr="00335F06" w:rsidRDefault="004D5254" w:rsidP="004D5254">
      <w:pPr>
        <w:autoSpaceDE w:val="0"/>
        <w:autoSpaceDN w:val="0"/>
        <w:adjustRightInd w:val="0"/>
      </w:pPr>
      <w:r>
        <w:rPr>
          <w:rFonts w:eastAsia="TimesNewRoman" w:cs="TimesNewRoman"/>
          <w:color w:val="000000"/>
        </w:rPr>
        <w:t xml:space="preserve"> </w:t>
      </w:r>
      <w:bookmarkStart w:id="161" w:name="_Toc272414645"/>
      <w:bookmarkStart w:id="162" w:name="_Toc290846267"/>
      <w:bookmarkStart w:id="163" w:name="_Toc320881445"/>
      <w:r w:rsidRPr="00335F06">
        <w:t>Relationship between drug concentration and pharmacodynamic effects</w:t>
      </w:r>
      <w:bookmarkEnd w:id="161"/>
      <w:bookmarkEnd w:id="162"/>
      <w:bookmarkEnd w:id="163"/>
    </w:p>
    <w:p w:rsidR="004D5254" w:rsidRDefault="004D5254" w:rsidP="004D5254">
      <w:pPr>
        <w:pStyle w:val="Heading5"/>
        <w:numPr>
          <w:ilvl w:val="3"/>
          <w:numId w:val="5"/>
        </w:numPr>
      </w:pPr>
      <w:r>
        <w:t>Relationship between pralatrexate exposure and tumour response</w:t>
      </w:r>
    </w:p>
    <w:p w:rsidR="004D5254" w:rsidRDefault="004D5254" w:rsidP="004D5254">
      <w:pPr>
        <w:autoSpaceDE w:val="0"/>
        <w:autoSpaceDN w:val="0"/>
        <w:adjustRightInd w:val="0"/>
        <w:rPr>
          <w:rFonts w:eastAsia="TimesNewRoman" w:cs="TimesNewRoman"/>
        </w:rPr>
      </w:pPr>
      <w:r>
        <w:t>D</w:t>
      </w:r>
      <w:r w:rsidRPr="00755E78">
        <w:rPr>
          <w:rFonts w:eastAsia="TimesNewRoman" w:cs="TimesNewRoman"/>
        </w:rPr>
        <w:t>oses of pralatrexate</w:t>
      </w:r>
      <w:r>
        <w:rPr>
          <w:rFonts w:eastAsia="TimesNewRoman" w:cs="TimesNewRoman"/>
        </w:rPr>
        <w:t xml:space="preserve"> used in the clinical development program ranged from</w:t>
      </w:r>
      <w:r w:rsidRPr="00755E78">
        <w:rPr>
          <w:rFonts w:eastAsia="TimesNewRoman" w:cs="TimesNewRoman"/>
        </w:rPr>
        <w:t xml:space="preserve"> 10 </w:t>
      </w:r>
      <w:r>
        <w:rPr>
          <w:rFonts w:eastAsia="TimesNewRoman" w:cs="TimesNewRoman"/>
        </w:rPr>
        <w:t>to</w:t>
      </w:r>
      <w:r w:rsidRPr="00755E78">
        <w:rPr>
          <w:rFonts w:eastAsia="TimesNewRoman" w:cs="TimesNewRoman"/>
        </w:rPr>
        <w:t xml:space="preserve"> </w:t>
      </w:r>
      <w:r>
        <w:rPr>
          <w:rFonts w:eastAsia="TimesNewRoman" w:cs="TimesNewRoman"/>
        </w:rPr>
        <w:t>325</w:t>
      </w:r>
      <w:r w:rsidRPr="00755E78">
        <w:rPr>
          <w:rFonts w:eastAsia="TimesNewRoman" w:cs="TimesNewRoman"/>
        </w:rPr>
        <w:t xml:space="preserve"> mg/m</w:t>
      </w:r>
      <w:r w:rsidRPr="00755E78">
        <w:rPr>
          <w:rFonts w:eastAsia="TimesNewRoman" w:cs="TimesNewRoman"/>
          <w:vertAlign w:val="superscript"/>
        </w:rPr>
        <w:t>2</w:t>
      </w:r>
      <w:r>
        <w:rPr>
          <w:rFonts w:eastAsia="TimesNewRoman" w:cs="TimesNewRoman"/>
        </w:rPr>
        <w:t>, mostly</w:t>
      </w:r>
      <w:r w:rsidRPr="00755E78">
        <w:rPr>
          <w:rFonts w:eastAsia="TimesNewRoman" w:cs="TimesNewRoman"/>
        </w:rPr>
        <w:t xml:space="preserve"> administered IV over 3-5 minutes on weekly schedules</w:t>
      </w:r>
      <w:r>
        <w:rPr>
          <w:rFonts w:eastAsia="TimesNewRoman" w:cs="TimesNewRoman"/>
        </w:rPr>
        <w:t>. Doses in patients with haematological malignancies were generally lower (mostly 10-45 mg/m</w:t>
      </w:r>
      <w:r w:rsidRPr="00EF34BA">
        <w:rPr>
          <w:rFonts w:eastAsia="TimesNewRoman" w:cs="TimesNewRoman"/>
          <w:vertAlign w:val="superscript"/>
        </w:rPr>
        <w:t>2</w:t>
      </w:r>
      <w:r>
        <w:rPr>
          <w:rFonts w:eastAsia="TimesNewRoman" w:cs="TimesNewRoman"/>
        </w:rPr>
        <w:t>, although some patients received doses as high as 270 mg/m</w:t>
      </w:r>
      <w:r w:rsidRPr="00EF34BA">
        <w:rPr>
          <w:rFonts w:eastAsia="TimesNewRoman" w:cs="TimesNewRoman"/>
          <w:vertAlign w:val="superscript"/>
        </w:rPr>
        <w:t>2</w:t>
      </w:r>
      <w:r>
        <w:rPr>
          <w:rFonts w:eastAsia="TimesNewRoman" w:cs="TimesNewRoman"/>
        </w:rPr>
        <w:t xml:space="preserve"> (Study PDX-02-078)). Patients with </w:t>
      </w:r>
      <w:r w:rsidRPr="00755E78">
        <w:rPr>
          <w:rFonts w:eastAsia="TimesNewRoman" w:cs="TimesNewRoman"/>
        </w:rPr>
        <w:t>solid tumo</w:t>
      </w:r>
      <w:r>
        <w:rPr>
          <w:rFonts w:eastAsia="TimesNewRoman" w:cs="TimesNewRoman"/>
        </w:rPr>
        <w:t>u</w:t>
      </w:r>
      <w:r w:rsidRPr="00755E78">
        <w:rPr>
          <w:rFonts w:eastAsia="TimesNewRoman" w:cs="TimesNewRoman"/>
        </w:rPr>
        <w:t>r</w:t>
      </w:r>
      <w:r>
        <w:rPr>
          <w:rFonts w:eastAsia="TimesNewRoman" w:cs="TimesNewRoman"/>
        </w:rPr>
        <w:t xml:space="preserve">s received </w:t>
      </w:r>
      <w:r w:rsidRPr="00755E78">
        <w:rPr>
          <w:rFonts w:eastAsia="TimesNewRoman" w:cs="TimesNewRoman"/>
        </w:rPr>
        <w:t>higher individual doses of pralatrexate (150 – 325 mg/m</w:t>
      </w:r>
      <w:r w:rsidRPr="00755E78">
        <w:rPr>
          <w:rFonts w:eastAsia="TimesNewRoman" w:cs="TimesNewRoman"/>
          <w:vertAlign w:val="superscript"/>
        </w:rPr>
        <w:t>2</w:t>
      </w:r>
      <w:r w:rsidRPr="00755E78">
        <w:rPr>
          <w:rFonts w:eastAsia="TimesNewRoman" w:cs="TimesNewRoman"/>
        </w:rPr>
        <w:t>)</w:t>
      </w:r>
      <w:r>
        <w:rPr>
          <w:rFonts w:eastAsia="TimesNewRoman" w:cs="TimesNewRoman"/>
        </w:rPr>
        <w:t>.</w:t>
      </w:r>
    </w:p>
    <w:p w:rsidR="004D5254" w:rsidRPr="000E54DC" w:rsidRDefault="004D5254" w:rsidP="004D5254">
      <w:pPr>
        <w:autoSpaceDE w:val="0"/>
        <w:autoSpaceDN w:val="0"/>
        <w:adjustRightInd w:val="0"/>
      </w:pPr>
      <w:r>
        <w:t xml:space="preserve">Two studies enrolled </w:t>
      </w:r>
      <w:r w:rsidRPr="000E54DC">
        <w:rPr>
          <w:rFonts w:eastAsia="TimesNewRoman" w:cs="TimesNewRoman"/>
        </w:rPr>
        <w:t xml:space="preserve">patients with PTCL </w:t>
      </w:r>
      <w:r>
        <w:rPr>
          <w:rFonts w:eastAsia="TimesNewRoman" w:cs="TimesNewRoman"/>
        </w:rPr>
        <w:t xml:space="preserve">who </w:t>
      </w:r>
      <w:r w:rsidRPr="000E54DC">
        <w:rPr>
          <w:rFonts w:eastAsia="TimesNewRoman" w:cs="TimesNewRoman"/>
        </w:rPr>
        <w:t>were treated with pralatrexate as a single agent</w:t>
      </w:r>
      <w:r>
        <w:rPr>
          <w:rFonts w:eastAsia="TimesNewRoman" w:cs="TimesNewRoman"/>
        </w:rPr>
        <w:t xml:space="preserve"> (PDX-008 and PDX-02-078). No f</w:t>
      </w:r>
      <w:r>
        <w:t xml:space="preserve">ormal exposure-tumour response assessments were performed for these patients. However, data from the two studies were used for separate population PK-PD exposure-response analyses for safety (see immediately below). </w:t>
      </w:r>
    </w:p>
    <w:p w:rsidR="004D5254" w:rsidRDefault="004D5254" w:rsidP="004D5254">
      <w:pPr>
        <w:pStyle w:val="Heading5"/>
        <w:numPr>
          <w:ilvl w:val="3"/>
          <w:numId w:val="5"/>
        </w:numPr>
      </w:pPr>
      <w:r>
        <w:t>Relationship between pralatrexate exposure and mucositis and thrombocytopenia</w:t>
      </w:r>
    </w:p>
    <w:p w:rsidR="004D5254" w:rsidRPr="0046361D" w:rsidRDefault="004D5254" w:rsidP="004D5254">
      <w:pPr>
        <w:rPr>
          <w:rFonts w:eastAsia="TimesNewRoman" w:cs="TimesNewRoman"/>
          <w:color w:val="000000"/>
        </w:rPr>
      </w:pPr>
      <w:r>
        <w:t>As can be predicted from its antifolate activity, the main toxicities of pralatrexate manifest as mucosal inflammation (stomatitis, mucositis) and myelotoxicity (neutropaenia and thrombocytopaenia). Indeed, early studies (PDX-97-006 and PDX-99-053) established mucositis as the dose limiting toxicity of pralatrexate at doses of 135-150 mg/m</w:t>
      </w:r>
      <w:r w:rsidRPr="00AE5855">
        <w:rPr>
          <w:vertAlign w:val="superscript"/>
        </w:rPr>
        <w:t>2</w:t>
      </w:r>
      <w:r>
        <w:t xml:space="preserve"> in patients with NSCLC. Furthermore, the initial incidence of mucositis in lymphoma patients receiving 135 mg/m</w:t>
      </w:r>
      <w:r w:rsidRPr="00AE5855">
        <w:rPr>
          <w:vertAlign w:val="superscript"/>
        </w:rPr>
        <w:t>2</w:t>
      </w:r>
      <w:r>
        <w:t xml:space="preserve"> pralatrexate was considerably higher than seen in the NSCLC population (PDX-02-078). In Study PDX-008</w:t>
      </w:r>
      <w:r w:rsidRPr="0046361D">
        <w:rPr>
          <w:rFonts w:eastAsia="TimesNewRoman" w:cs="TimesNewRoman"/>
          <w:color w:val="000000"/>
        </w:rPr>
        <w:t xml:space="preserve">, </w:t>
      </w:r>
      <w:r>
        <w:rPr>
          <w:rFonts w:eastAsia="TimesNewRoman" w:cs="TimesNewRoman"/>
          <w:color w:val="000000"/>
        </w:rPr>
        <w:t>which used a much lower dose of 30 mg/m</w:t>
      </w:r>
      <w:r w:rsidRPr="008B376E">
        <w:rPr>
          <w:rFonts w:eastAsia="TimesNewRoman" w:cs="TimesNewRoman"/>
          <w:color w:val="000000"/>
          <w:vertAlign w:val="superscript"/>
        </w:rPr>
        <w:t>2</w:t>
      </w:r>
      <w:r>
        <w:rPr>
          <w:rFonts w:eastAsia="TimesNewRoman" w:cs="TimesNewRoman"/>
          <w:color w:val="000000"/>
        </w:rPr>
        <w:t xml:space="preserve"> in patients with PTCL, </w:t>
      </w:r>
      <w:r w:rsidRPr="0046361D">
        <w:rPr>
          <w:rFonts w:eastAsia="TimesNewRoman" w:cs="TimesNewRoman"/>
          <w:color w:val="000000"/>
        </w:rPr>
        <w:t xml:space="preserve">the most frequent </w:t>
      </w:r>
      <w:r>
        <w:rPr>
          <w:rFonts w:eastAsia="TimesNewRoman" w:cs="TimesNewRoman"/>
          <w:color w:val="000000"/>
        </w:rPr>
        <w:t>adverse events</w:t>
      </w:r>
      <w:r w:rsidRPr="0046361D">
        <w:rPr>
          <w:rFonts w:eastAsia="TimesNewRoman" w:cs="TimesNewRoman"/>
          <w:color w:val="000000"/>
        </w:rPr>
        <w:t xml:space="preserve"> reported as the reason for withdrawal from treatment</w:t>
      </w:r>
      <w:r>
        <w:rPr>
          <w:rFonts w:eastAsia="TimesNewRoman" w:cs="TimesNewRoman"/>
          <w:color w:val="000000"/>
        </w:rPr>
        <w:t xml:space="preserve"> </w:t>
      </w:r>
      <w:r w:rsidRPr="0046361D">
        <w:rPr>
          <w:rFonts w:eastAsia="TimesNewRoman" w:cs="TimesNewRoman"/>
          <w:color w:val="000000"/>
        </w:rPr>
        <w:t>were mucosal inflammation (n = 7, 6%) and thrombocytop</w:t>
      </w:r>
      <w:r>
        <w:rPr>
          <w:rFonts w:eastAsia="TimesNewRoman" w:cs="TimesNewRoman"/>
          <w:color w:val="000000"/>
        </w:rPr>
        <w:t>a</w:t>
      </w:r>
      <w:r w:rsidRPr="0046361D">
        <w:rPr>
          <w:rFonts w:eastAsia="TimesNewRoman" w:cs="TimesNewRoman"/>
          <w:color w:val="000000"/>
        </w:rPr>
        <w:t>enia (n = 6, 5%)</w:t>
      </w:r>
      <w:r>
        <w:rPr>
          <w:rFonts w:eastAsia="TimesNewRoman" w:cs="TimesNewRoman"/>
          <w:color w:val="000000"/>
        </w:rPr>
        <w:t>. P</w:t>
      </w:r>
      <w:r>
        <w:t xml:space="preserve">opulation PK modelling for patients with PTCL showed the </w:t>
      </w:r>
      <w:r w:rsidRPr="0046361D">
        <w:rPr>
          <w:rFonts w:eastAsia="TimesNewRoman" w:cs="TimesNewRoman"/>
          <w:color w:val="000000"/>
        </w:rPr>
        <w:t xml:space="preserve">severity of </w:t>
      </w:r>
      <w:r>
        <w:rPr>
          <w:rFonts w:eastAsia="TimesNewRoman" w:cs="TimesNewRoman"/>
          <w:color w:val="000000"/>
        </w:rPr>
        <w:t xml:space="preserve">mucositis and thrombocytopaenia </w:t>
      </w:r>
      <w:r w:rsidRPr="0046361D">
        <w:rPr>
          <w:rFonts w:eastAsia="TimesNewRoman" w:cs="TimesNewRoman"/>
          <w:color w:val="000000"/>
        </w:rPr>
        <w:t>trended to correlate with pralatrexate exposure</w:t>
      </w:r>
      <w:r>
        <w:rPr>
          <w:rFonts w:eastAsia="TimesNewRoman" w:cs="TimesNewRoman"/>
          <w:color w:val="000000"/>
        </w:rPr>
        <w:t>. The m</w:t>
      </w:r>
      <w:r w:rsidRPr="0046361D">
        <w:rPr>
          <w:rFonts w:eastAsia="TimesNewRoman" w:cs="TimesNewRoman"/>
          <w:color w:val="000000"/>
        </w:rPr>
        <w:t xml:space="preserve">ean </w:t>
      </w:r>
      <w:r>
        <w:rPr>
          <w:rFonts w:eastAsia="TimesNewRoman" w:cs="TimesNewRoman"/>
          <w:color w:val="000000"/>
        </w:rPr>
        <w:t>e</w:t>
      </w:r>
      <w:r w:rsidRPr="0046361D">
        <w:rPr>
          <w:rFonts w:eastAsia="TimesNewRoman" w:cs="TimesNewRoman"/>
          <w:color w:val="000000"/>
        </w:rPr>
        <w:t>stimated AUC</w:t>
      </w:r>
      <w:r w:rsidRPr="00687CF4">
        <w:rPr>
          <w:rFonts w:eastAsia="TimesNewRoman" w:cs="TimesNewRoman"/>
          <w:color w:val="000000"/>
          <w:vertAlign w:val="subscript"/>
        </w:rPr>
        <w:t>0-∞</w:t>
      </w:r>
      <w:r w:rsidRPr="0046361D">
        <w:rPr>
          <w:rFonts w:eastAsia="TimesNewRoman" w:cs="TimesNewRoman"/>
          <w:color w:val="000000"/>
        </w:rPr>
        <w:t xml:space="preserve"> values were higher in patients </w:t>
      </w:r>
      <w:r>
        <w:rPr>
          <w:rFonts w:eastAsia="TimesNewRoman" w:cs="TimesNewRoman"/>
          <w:color w:val="000000"/>
        </w:rPr>
        <w:t>who had Grade 3+</w:t>
      </w:r>
      <w:r w:rsidRPr="0046361D">
        <w:rPr>
          <w:rFonts w:eastAsia="TimesNewRoman" w:cs="TimesNewRoman"/>
          <w:color w:val="000000"/>
        </w:rPr>
        <w:t xml:space="preserve"> mucosal inflammation or thrombocytop</w:t>
      </w:r>
      <w:r>
        <w:rPr>
          <w:rFonts w:eastAsia="TimesNewRoman" w:cs="TimesNewRoman"/>
          <w:color w:val="000000"/>
        </w:rPr>
        <w:t>a</w:t>
      </w:r>
      <w:r w:rsidRPr="0046361D">
        <w:rPr>
          <w:rFonts w:eastAsia="TimesNewRoman" w:cs="TimesNewRoman"/>
          <w:color w:val="000000"/>
        </w:rPr>
        <w:t xml:space="preserve">enia than in patients </w:t>
      </w:r>
      <w:r>
        <w:rPr>
          <w:rFonts w:eastAsia="TimesNewRoman" w:cs="TimesNewRoman"/>
          <w:color w:val="000000"/>
        </w:rPr>
        <w:t>who</w:t>
      </w:r>
      <w:r w:rsidRPr="0046361D">
        <w:rPr>
          <w:rFonts w:eastAsia="TimesNewRoman" w:cs="TimesNewRoman"/>
          <w:color w:val="000000"/>
        </w:rPr>
        <w:t xml:space="preserve"> did</w:t>
      </w:r>
      <w:r>
        <w:rPr>
          <w:rFonts w:eastAsia="TimesNewRoman" w:cs="TimesNewRoman"/>
          <w:color w:val="000000"/>
        </w:rPr>
        <w:t xml:space="preserve"> </w:t>
      </w:r>
      <w:r w:rsidRPr="0046361D">
        <w:rPr>
          <w:rFonts w:eastAsia="TimesNewRoman" w:cs="TimesNewRoman"/>
          <w:color w:val="000000"/>
        </w:rPr>
        <w:t>not</w:t>
      </w:r>
      <w:r>
        <w:rPr>
          <w:rFonts w:eastAsia="TimesNewRoman" w:cs="TimesNewRoman"/>
          <w:color w:val="000000"/>
        </w:rPr>
        <w:t>. Similar findings were observed for C</w:t>
      </w:r>
      <w:r w:rsidRPr="008B376E">
        <w:rPr>
          <w:rFonts w:eastAsia="TimesNewRoman" w:cs="TimesNewRoman"/>
          <w:color w:val="000000"/>
          <w:vertAlign w:val="subscript"/>
        </w:rPr>
        <w:t>max</w:t>
      </w:r>
      <w:r>
        <w:rPr>
          <w:rFonts w:eastAsia="TimesNewRoman" w:cs="TimesNewRoman"/>
          <w:color w:val="000000"/>
        </w:rPr>
        <w:t xml:space="preserve"> values but these were less pronounced than for AUC.</w:t>
      </w:r>
    </w:p>
    <w:p w:rsidR="004D5254" w:rsidRDefault="004D5254" w:rsidP="004D5254">
      <w:pPr>
        <w:autoSpaceDE w:val="0"/>
        <w:autoSpaceDN w:val="0"/>
        <w:adjustRightInd w:val="0"/>
        <w:rPr>
          <w:rFonts w:eastAsia="TimesNewRoman" w:cs="TimesNewRoman"/>
          <w:color w:val="000000"/>
        </w:rPr>
      </w:pPr>
      <w:r>
        <w:rPr>
          <w:rFonts w:eastAsia="TimesNewRoman" w:cs="TimesNewRoman"/>
          <w:color w:val="000000"/>
        </w:rPr>
        <w:lastRenderedPageBreak/>
        <w:t xml:space="preserve">Correlations between total </w:t>
      </w:r>
      <w:r w:rsidRPr="0046361D">
        <w:rPr>
          <w:rFonts w:eastAsia="TimesNewRoman" w:cs="TimesNewRoman"/>
          <w:color w:val="000000"/>
        </w:rPr>
        <w:t>pralatrexate AUC and mucosal</w:t>
      </w:r>
      <w:r>
        <w:rPr>
          <w:rFonts w:eastAsia="TimesNewRoman" w:cs="TimesNewRoman"/>
          <w:color w:val="000000"/>
        </w:rPr>
        <w:t xml:space="preserve"> inflammation were also</w:t>
      </w:r>
      <w:r w:rsidRPr="0046361D">
        <w:rPr>
          <w:rFonts w:eastAsia="TimesNewRoman" w:cs="TimesNewRoman"/>
          <w:color w:val="000000"/>
        </w:rPr>
        <w:t xml:space="preserve"> observed </w:t>
      </w:r>
      <w:r>
        <w:rPr>
          <w:rFonts w:eastAsia="TimesNewRoman" w:cs="TimesNewRoman"/>
          <w:color w:val="000000"/>
        </w:rPr>
        <w:t xml:space="preserve">in several studies that employed non chiral assays, including a population PK-PD analysis of data from Study PDX-02-078 (reported by </w:t>
      </w:r>
      <w:r w:rsidRPr="0046361D">
        <w:rPr>
          <w:rFonts w:eastAsia="TimesNewRoman" w:cs="TimesNewRoman"/>
          <w:color w:val="000000"/>
        </w:rPr>
        <w:t xml:space="preserve">Mould </w:t>
      </w:r>
      <w:r w:rsidRPr="005F61C6">
        <w:rPr>
          <w:rFonts w:eastAsia="TimesNewRoman" w:cs="TimesNewRoman,Italic"/>
          <w:i/>
          <w:iCs/>
          <w:color w:val="000000"/>
        </w:rPr>
        <w:t>et al</w:t>
      </w:r>
      <w:r w:rsidRPr="00E13692">
        <w:rPr>
          <w:rFonts w:eastAsia="TimesNewRoman" w:cs="TimesNewRoman,Italic"/>
          <w:iCs/>
          <w:color w:val="000000"/>
        </w:rPr>
        <w:t>.</w:t>
      </w:r>
      <w:r w:rsidRPr="00E13692">
        <w:rPr>
          <w:rFonts w:eastAsia="TimesNewRoman" w:cs="TimesNewRoman"/>
          <w:color w:val="000000"/>
        </w:rPr>
        <w:t>,</w:t>
      </w:r>
      <w:r w:rsidRPr="0046361D">
        <w:rPr>
          <w:rFonts w:eastAsia="TimesNewRoman" w:cs="TimesNewRoman"/>
          <w:color w:val="000000"/>
        </w:rPr>
        <w:t xml:space="preserve"> 2009)</w:t>
      </w:r>
      <w:r>
        <w:rPr>
          <w:rFonts w:eastAsia="TimesNewRoman" w:cs="TimesNewRoman"/>
          <w:color w:val="000000"/>
        </w:rPr>
        <w:t xml:space="preserve">, which used </w:t>
      </w:r>
      <w:r w:rsidRPr="004A5105">
        <w:rPr>
          <w:rFonts w:cs="MinionPro-Regular"/>
        </w:rPr>
        <w:t>a dihydrofolate reductase base assay similar to that used for the quantification of methotrexate and validated for pralatrexate</w:t>
      </w:r>
      <w:r>
        <w:rPr>
          <w:rFonts w:cs="MinionPro-Regular"/>
        </w:rPr>
        <w:t>;</w:t>
      </w:r>
      <w:r>
        <w:rPr>
          <w:rFonts w:eastAsia="TimesNewRoman" w:cs="TimesNewRoman"/>
          <w:color w:val="000000"/>
        </w:rPr>
        <w:t xml:space="preserve"> and an analysis of pooled data from studies PDX-97-006 and PDX-99-053, although the two latter studies used a non validated pralatrexate assay</w:t>
      </w:r>
      <w:r w:rsidRPr="0046361D">
        <w:rPr>
          <w:rFonts w:eastAsia="TimesNewRoman" w:cs="TimesNewRoman"/>
          <w:color w:val="000000"/>
        </w:rPr>
        <w:t>.</w:t>
      </w:r>
      <w:r>
        <w:rPr>
          <w:rFonts w:eastAsia="TimesNewRoman" w:cs="TimesNewRoman"/>
          <w:color w:val="000000"/>
        </w:rPr>
        <w:t xml:space="preserve"> </w:t>
      </w:r>
      <w:r w:rsidRPr="0046361D">
        <w:rPr>
          <w:rFonts w:eastAsia="TimesNewRoman" w:cs="TimesNewRoman"/>
          <w:color w:val="000000"/>
        </w:rPr>
        <w:t>Th</w:t>
      </w:r>
      <w:r>
        <w:rPr>
          <w:rFonts w:eastAsia="TimesNewRoman" w:cs="TimesNewRoman"/>
          <w:color w:val="000000"/>
        </w:rPr>
        <w:t xml:space="preserve">e importance of Study PDX-02-078 is that </w:t>
      </w:r>
      <w:r w:rsidRPr="0056776A">
        <w:t>a preliminary analysis of the plasma PK</w:t>
      </w:r>
      <w:r>
        <w:t xml:space="preserve"> </w:t>
      </w:r>
      <w:r w:rsidRPr="0056776A">
        <w:t>data suggest</w:t>
      </w:r>
      <w:r>
        <w:t>ed</w:t>
      </w:r>
      <w:r w:rsidRPr="0056776A">
        <w:t xml:space="preserve"> that those patients with the highest 8</w:t>
      </w:r>
      <w:r>
        <w:t xml:space="preserve"> </w:t>
      </w:r>
      <w:r w:rsidRPr="00990CA1">
        <w:t xml:space="preserve">hr </w:t>
      </w:r>
      <w:r w:rsidRPr="0056776A">
        <w:t xml:space="preserve">pralatrexate </w:t>
      </w:r>
      <w:r>
        <w:t>plasma</w:t>
      </w:r>
      <w:r w:rsidRPr="0056776A">
        <w:t xml:space="preserve"> levels </w:t>
      </w:r>
      <w:r>
        <w:t>we</w:t>
      </w:r>
      <w:r w:rsidRPr="0056776A">
        <w:t>re</w:t>
      </w:r>
      <w:r>
        <w:t xml:space="preserve"> </w:t>
      </w:r>
      <w:r w:rsidRPr="0056776A">
        <w:t>at high</w:t>
      </w:r>
      <w:r>
        <w:t>er risk of developing mucositis. Furthermore, the results</w:t>
      </w:r>
      <w:r>
        <w:rPr>
          <w:rFonts w:eastAsia="TimesNewRoman" w:cs="TimesNewRoman"/>
          <w:color w:val="000000"/>
        </w:rPr>
        <w:t xml:space="preserve"> </w:t>
      </w:r>
      <w:r w:rsidRPr="0056776A">
        <w:rPr>
          <w:rFonts w:eastAsia="TimesNewRoman" w:cs="TimesNewRoman"/>
          <w:color w:val="000000"/>
        </w:rPr>
        <w:t xml:space="preserve">suggested there is a correlation between baseline serum methylmalonic acid </w:t>
      </w:r>
      <w:r>
        <w:rPr>
          <w:rFonts w:eastAsia="TimesNewRoman" w:cs="TimesNewRoman"/>
          <w:color w:val="000000"/>
        </w:rPr>
        <w:t xml:space="preserve">levels and the </w:t>
      </w:r>
      <w:r w:rsidRPr="0056776A">
        <w:rPr>
          <w:rFonts w:eastAsia="TimesNewRoman" w:cs="TimesNewRoman"/>
          <w:color w:val="000000"/>
        </w:rPr>
        <w:t>risk of developing mucositis.</w:t>
      </w:r>
      <w:r>
        <w:rPr>
          <w:rFonts w:eastAsia="TimesNewRoman" w:cs="TimesNewRoman"/>
          <w:color w:val="000000"/>
        </w:rPr>
        <w:t xml:space="preserve"> </w:t>
      </w:r>
      <w:r w:rsidRPr="0056776A">
        <w:t>Folate levels have been correlated with mucositis in patients treated with methotrexate for head and neck cancer and homocysteine and MMA levels are frequently elevated in folate-deficient states (Savage &amp; Lindenbaum 1994).</w:t>
      </w:r>
      <w:r>
        <w:t xml:space="preserve"> </w:t>
      </w:r>
      <w:r w:rsidRPr="0056776A">
        <w:t>Patients with high levels of MMA and Hcy who experienced</w:t>
      </w:r>
      <w:r>
        <w:t xml:space="preserve"> </w:t>
      </w:r>
      <w:r w:rsidRPr="0056776A">
        <w:t>mucositis, who consecutively began vitamin supplementation with folic acid and</w:t>
      </w:r>
      <w:r>
        <w:t xml:space="preserve"> </w:t>
      </w:r>
      <w:r w:rsidRPr="0056776A">
        <w:t>vitamin B12 and corrected their abnormally high levels of MMA and Hcy, did not</w:t>
      </w:r>
      <w:r>
        <w:t xml:space="preserve"> </w:t>
      </w:r>
      <w:r w:rsidRPr="0056776A">
        <w:t>experience recurrence of their mucositis on re-challenge with pralatrexate.</w:t>
      </w:r>
      <w:r>
        <w:t xml:space="preserve"> </w:t>
      </w:r>
      <w:r w:rsidRPr="000A117E">
        <w:rPr>
          <w:rFonts w:eastAsia="TimesNewRoman" w:cs="TimesNewRoman"/>
          <w:color w:val="000000"/>
        </w:rPr>
        <w:t>The latter observation provided evidence for routine vitamin B12 and folic acid supplementation with pralatrexate administration.</w:t>
      </w:r>
    </w:p>
    <w:p w:rsidR="004D5254" w:rsidRDefault="004D5254" w:rsidP="004D5254">
      <w:pPr>
        <w:pStyle w:val="Heading3"/>
        <w:numPr>
          <w:ilvl w:val="1"/>
          <w:numId w:val="5"/>
        </w:numPr>
      </w:pPr>
      <w:bookmarkStart w:id="164" w:name="_Ref269983272"/>
      <w:bookmarkStart w:id="165" w:name="_Toc272414648"/>
      <w:bookmarkStart w:id="166" w:name="_Toc290846270"/>
      <w:bookmarkStart w:id="167" w:name="_Toc320881446"/>
      <w:bookmarkStart w:id="168" w:name="_Toc359930726"/>
      <w:bookmarkStart w:id="169" w:name="_Toc364764900"/>
      <w:r>
        <w:t>Evaluator’s overall conclusions on pharmacodynamics</w:t>
      </w:r>
      <w:bookmarkEnd w:id="164"/>
      <w:bookmarkEnd w:id="165"/>
      <w:bookmarkEnd w:id="166"/>
      <w:bookmarkEnd w:id="167"/>
      <w:bookmarkEnd w:id="168"/>
      <w:bookmarkEnd w:id="169"/>
    </w:p>
    <w:p w:rsidR="004D5254" w:rsidRDefault="004D5254" w:rsidP="004D5254">
      <w:pPr>
        <w:autoSpaceDE w:val="0"/>
        <w:autoSpaceDN w:val="0"/>
        <w:adjustRightInd w:val="0"/>
      </w:pPr>
      <w:r w:rsidRPr="0036740C">
        <w:t xml:space="preserve">Pralatrexate is an antineoplastic folate analogue that exerts </w:t>
      </w:r>
      <w:r>
        <w:t xml:space="preserve">its </w:t>
      </w:r>
      <w:r w:rsidRPr="0036740C">
        <w:t xml:space="preserve">activity </w:t>
      </w:r>
      <w:r>
        <w:t>through</w:t>
      </w:r>
      <w:r w:rsidRPr="0036740C">
        <w:t xml:space="preserve"> </w:t>
      </w:r>
      <w:r>
        <w:t xml:space="preserve">competitive </w:t>
      </w:r>
      <w:r w:rsidRPr="0036740C">
        <w:t>inhibition of the enzyme</w:t>
      </w:r>
      <w:r>
        <w:t xml:space="preserve"> </w:t>
      </w:r>
      <w:r w:rsidRPr="00111111">
        <w:t>dihydrofolate</w:t>
      </w:r>
      <w:r>
        <w:t xml:space="preserve"> </w:t>
      </w:r>
      <w:r w:rsidRPr="00111111">
        <w:t>reductase</w:t>
      </w:r>
      <w:r w:rsidRPr="0036740C">
        <w:t xml:space="preserve"> </w:t>
      </w:r>
      <w:r>
        <w:t>(</w:t>
      </w:r>
      <w:r w:rsidRPr="0036740C">
        <w:t>DHFR</w:t>
      </w:r>
      <w:r>
        <w:t xml:space="preserve">) </w:t>
      </w:r>
      <w:r w:rsidRPr="0036740C">
        <w:t>in the folic acid metabolic pathway</w:t>
      </w:r>
      <w:r>
        <w:t>. As with the PK data, PD data were collected from subsets of oncology patients enrolled in clinical efficacy/safety studies. These data were supplemented by population PK/PD analyses.</w:t>
      </w:r>
    </w:p>
    <w:p w:rsidR="004D5254" w:rsidRPr="000B0E1C" w:rsidRDefault="004D5254" w:rsidP="004D5254">
      <w:pPr>
        <w:pStyle w:val="contentbody"/>
        <w:spacing w:after="0" w:line="240" w:lineRule="auto"/>
        <w:rPr>
          <w:rFonts w:ascii="Cambria" w:hAnsi="Cambria"/>
          <w:color w:val="auto"/>
          <w:sz w:val="22"/>
          <w:szCs w:val="22"/>
        </w:rPr>
      </w:pPr>
      <w:r w:rsidRPr="001C469F">
        <w:rPr>
          <w:rFonts w:ascii="Cambria" w:hAnsi="Cambria"/>
          <w:color w:val="auto"/>
          <w:sz w:val="22"/>
          <w:szCs w:val="22"/>
        </w:rPr>
        <w:t>No formal analysis of exposure-response for efficacy was performed for patients with PTCL.</w:t>
      </w:r>
      <w:r>
        <w:rPr>
          <w:rFonts w:ascii="Cambria" w:hAnsi="Cambria"/>
          <w:color w:val="auto"/>
          <w:sz w:val="22"/>
          <w:szCs w:val="22"/>
        </w:rPr>
        <w:t xml:space="preserve"> </w:t>
      </w:r>
      <w:r w:rsidRPr="001C469F">
        <w:rPr>
          <w:rFonts w:ascii="Cambria" w:hAnsi="Cambria"/>
          <w:color w:val="auto"/>
          <w:sz w:val="22"/>
          <w:szCs w:val="22"/>
        </w:rPr>
        <w:t>Also, attempts to examine gene expression of key targets in the folate metabolic pathway as potential markers of tumour response were unsuccessful.</w:t>
      </w:r>
      <w:r>
        <w:rPr>
          <w:rFonts w:ascii="Cambria" w:hAnsi="Cambria"/>
          <w:color w:val="auto"/>
          <w:sz w:val="22"/>
          <w:szCs w:val="22"/>
        </w:rPr>
        <w:t xml:space="preserve"> </w:t>
      </w:r>
      <w:r w:rsidRPr="001C469F">
        <w:rPr>
          <w:rFonts w:ascii="Cambria" w:hAnsi="Cambria"/>
          <w:color w:val="auto"/>
          <w:sz w:val="22"/>
          <w:szCs w:val="22"/>
        </w:rPr>
        <w:t>Of note, the protocols for some of the more recently initiated studies have allowed for an exploratory evaluation for the presence of a single nucleotide polymorphism for the RFC-1 biomarker in peripheral blood (PDX-010, PDX-011).</w:t>
      </w:r>
      <w:r>
        <w:rPr>
          <w:rFonts w:ascii="Cambria" w:hAnsi="Cambria"/>
          <w:color w:val="auto"/>
          <w:sz w:val="22"/>
          <w:szCs w:val="22"/>
        </w:rPr>
        <w:t xml:space="preserve"> </w:t>
      </w:r>
      <w:r w:rsidRPr="001C469F">
        <w:rPr>
          <w:rFonts w:ascii="Cambria" w:hAnsi="Cambria"/>
          <w:color w:val="auto"/>
          <w:sz w:val="22"/>
          <w:szCs w:val="22"/>
        </w:rPr>
        <w:t xml:space="preserve">Interestingly, it has been recently demonstrated that acquired resistance to pralatrexate in human cancer cell lines was associated with decreased RFC-1 expression, </w:t>
      </w:r>
      <w:r>
        <w:rPr>
          <w:rFonts w:ascii="Cambria" w:hAnsi="Cambria"/>
          <w:color w:val="auto"/>
          <w:sz w:val="22"/>
          <w:szCs w:val="22"/>
        </w:rPr>
        <w:t xml:space="preserve">in contrast to resistance to </w:t>
      </w:r>
      <w:r w:rsidRPr="001C469F">
        <w:rPr>
          <w:rFonts w:ascii="Cambria" w:hAnsi="Cambria"/>
          <w:color w:val="auto"/>
          <w:sz w:val="22"/>
          <w:szCs w:val="22"/>
        </w:rPr>
        <w:t xml:space="preserve">methotrexate </w:t>
      </w:r>
      <w:r>
        <w:rPr>
          <w:rFonts w:ascii="Cambria" w:hAnsi="Cambria"/>
          <w:color w:val="auto"/>
          <w:sz w:val="22"/>
          <w:szCs w:val="22"/>
        </w:rPr>
        <w:t>which</w:t>
      </w:r>
      <w:r w:rsidRPr="001C469F">
        <w:rPr>
          <w:rFonts w:ascii="Cambria" w:hAnsi="Cambria"/>
          <w:color w:val="auto"/>
          <w:sz w:val="22"/>
          <w:szCs w:val="22"/>
        </w:rPr>
        <w:t xml:space="preserve"> was correlated with increased DHFR expression (Serova </w:t>
      </w:r>
      <w:r w:rsidRPr="005F61C6">
        <w:rPr>
          <w:rFonts w:ascii="Cambria" w:hAnsi="Cambria"/>
          <w:i/>
          <w:color w:val="auto"/>
          <w:sz w:val="22"/>
          <w:szCs w:val="22"/>
        </w:rPr>
        <w:t>et al</w:t>
      </w:r>
      <w:r w:rsidRPr="001C469F">
        <w:rPr>
          <w:rFonts w:ascii="Cambria" w:hAnsi="Cambria"/>
          <w:color w:val="auto"/>
          <w:sz w:val="22"/>
          <w:szCs w:val="22"/>
        </w:rPr>
        <w:t xml:space="preserve"> 2011)</w:t>
      </w:r>
      <w:r>
        <w:rPr>
          <w:rStyle w:val="FootnoteReference"/>
          <w:color w:val="auto"/>
          <w:sz w:val="22"/>
          <w:szCs w:val="22"/>
        </w:rPr>
        <w:footnoteReference w:id="1"/>
      </w:r>
      <w:r>
        <w:rPr>
          <w:rFonts w:ascii="Cambria" w:hAnsi="Cambria"/>
          <w:color w:val="auto"/>
          <w:sz w:val="22"/>
          <w:szCs w:val="22"/>
        </w:rPr>
        <w:t>.</w:t>
      </w:r>
    </w:p>
    <w:p w:rsidR="004D5254" w:rsidRDefault="004D5254" w:rsidP="004D5254">
      <w:pPr>
        <w:autoSpaceDE w:val="0"/>
        <w:autoSpaceDN w:val="0"/>
        <w:adjustRightInd w:val="0"/>
      </w:pPr>
      <w:r>
        <w:rPr>
          <w:rFonts w:eastAsia="TimesNewRoman" w:cs="TimesNewRoman"/>
          <w:color w:val="000000"/>
        </w:rPr>
        <w:t xml:space="preserve">Correlations between total </w:t>
      </w:r>
      <w:r w:rsidRPr="0046361D">
        <w:rPr>
          <w:rFonts w:eastAsia="TimesNewRoman" w:cs="TimesNewRoman"/>
          <w:color w:val="000000"/>
        </w:rPr>
        <w:t>pralatrexate AUC and mucosal</w:t>
      </w:r>
      <w:r>
        <w:rPr>
          <w:rFonts w:eastAsia="TimesNewRoman" w:cs="TimesNewRoman"/>
          <w:color w:val="000000"/>
        </w:rPr>
        <w:t xml:space="preserve"> inflammation were </w:t>
      </w:r>
      <w:r w:rsidRPr="0046361D">
        <w:rPr>
          <w:rFonts w:eastAsia="TimesNewRoman" w:cs="TimesNewRoman"/>
          <w:color w:val="000000"/>
        </w:rPr>
        <w:t xml:space="preserve">observed </w:t>
      </w:r>
      <w:r>
        <w:rPr>
          <w:rFonts w:eastAsia="TimesNewRoman" w:cs="TimesNewRoman"/>
          <w:color w:val="000000"/>
        </w:rPr>
        <w:t>in several population</w:t>
      </w:r>
      <w:r>
        <w:t xml:space="preserve"> PK-PD models, including modelling based on data from patients with PTCL in the pivotal study (PDX-008), and the supportive study in haematological malignancies (PDX-02-078). Results from Study PDX-02-078 also </w:t>
      </w:r>
      <w:r w:rsidRPr="0056776A">
        <w:rPr>
          <w:rFonts w:eastAsia="TimesNewRoman" w:cs="TimesNewRoman"/>
          <w:color w:val="000000"/>
        </w:rPr>
        <w:t xml:space="preserve">suggested there is a correlation between baseline serum methylmalonic acid </w:t>
      </w:r>
      <w:r>
        <w:rPr>
          <w:rFonts w:eastAsia="TimesNewRoman" w:cs="TimesNewRoman"/>
          <w:color w:val="000000"/>
        </w:rPr>
        <w:t xml:space="preserve">levels and the </w:t>
      </w:r>
      <w:r w:rsidRPr="0056776A">
        <w:rPr>
          <w:rFonts w:eastAsia="TimesNewRoman" w:cs="TimesNewRoman"/>
          <w:color w:val="000000"/>
        </w:rPr>
        <w:t>risk of developing mucositis.</w:t>
      </w:r>
      <w:r>
        <w:rPr>
          <w:rFonts w:eastAsia="TimesNewRoman" w:cs="TimesNewRoman"/>
          <w:color w:val="000000"/>
        </w:rPr>
        <w:t xml:space="preserve"> </w:t>
      </w:r>
      <w:r w:rsidRPr="0056776A">
        <w:t xml:space="preserve">Patients with high levels of </w:t>
      </w:r>
      <w:r w:rsidRPr="0056776A">
        <w:rPr>
          <w:rFonts w:eastAsia="TimesNewRoman" w:cs="TimesNewRoman"/>
          <w:color w:val="000000"/>
        </w:rPr>
        <w:t xml:space="preserve">methylmalonic </w:t>
      </w:r>
      <w:r w:rsidRPr="0056776A">
        <w:t xml:space="preserve">and </w:t>
      </w:r>
      <w:r>
        <w:t xml:space="preserve">homocysteine </w:t>
      </w:r>
      <w:r w:rsidRPr="0056776A">
        <w:t>who experienced</w:t>
      </w:r>
      <w:r>
        <w:t xml:space="preserve"> </w:t>
      </w:r>
      <w:r w:rsidRPr="0056776A">
        <w:t>mucositis, who consecutively began vitamin supplementation with folic acid and</w:t>
      </w:r>
      <w:r>
        <w:t xml:space="preserve"> </w:t>
      </w:r>
      <w:r w:rsidRPr="0056776A">
        <w:t>vitamin B12 and corrected their abnormally high levels of MMA and Hcy, did not</w:t>
      </w:r>
      <w:r>
        <w:t xml:space="preserve"> </w:t>
      </w:r>
      <w:r w:rsidRPr="0056776A">
        <w:t xml:space="preserve">experience recurrence of their mucositis on re-challenge with pralatrexate. </w:t>
      </w:r>
      <w:r w:rsidRPr="000A117E">
        <w:rPr>
          <w:rFonts w:eastAsia="TimesNewRoman" w:cs="TimesNewRoman"/>
          <w:color w:val="000000"/>
        </w:rPr>
        <w:t>The latter observation provided evidence for the routine supplementation with vitamin B12 and folic acid with pralatrexate administration.</w:t>
      </w:r>
    </w:p>
    <w:p w:rsidR="004D5254" w:rsidRDefault="004D5254" w:rsidP="004D5254">
      <w:pPr>
        <w:autoSpaceDE w:val="0"/>
        <w:autoSpaceDN w:val="0"/>
        <w:adjustRightInd w:val="0"/>
        <w:rPr>
          <w:rFonts w:eastAsia="TimesNewRoman" w:cs="TimesNewRoman"/>
          <w:color w:val="000000"/>
        </w:rPr>
      </w:pPr>
      <w:r>
        <w:rPr>
          <w:rFonts w:eastAsia="TimesNewRoman" w:cs="TimesNewRoman"/>
          <w:color w:val="000000"/>
        </w:rPr>
        <w:t xml:space="preserve">Effects of pralatrexate on the QT interval were examined in a small sub-study of </w:t>
      </w:r>
      <w:r w:rsidRPr="0046361D">
        <w:rPr>
          <w:rFonts w:eastAsia="TimesNewRoman" w:cs="TimesNewRoman"/>
          <w:color w:val="000000"/>
        </w:rPr>
        <w:t>PDX-007</w:t>
      </w:r>
      <w:r>
        <w:rPr>
          <w:rFonts w:eastAsia="TimesNewRoman" w:cs="TimesNewRoman"/>
          <w:color w:val="000000"/>
        </w:rPr>
        <w:t xml:space="preserve"> in </w:t>
      </w:r>
      <w:r w:rsidRPr="0046361D">
        <w:rPr>
          <w:rFonts w:eastAsia="TimesNewRoman" w:cs="TimesNewRoman"/>
          <w:color w:val="000000"/>
        </w:rPr>
        <w:t xml:space="preserve">patients </w:t>
      </w:r>
      <w:r>
        <w:rPr>
          <w:rFonts w:eastAsia="TimesNewRoman" w:cs="TimesNewRoman"/>
          <w:color w:val="000000"/>
        </w:rPr>
        <w:t xml:space="preserve">with non-small cell lung cancer. Given the study population, it was not possible to conduct the study to the standard normally required to examine QT interval effects of new chemical entities. In particular, the study was not placebo controlled and not of a cross over design, such that possible diurnal effects were not accounted for. Although pralatrexate at doses </w:t>
      </w:r>
      <w:r w:rsidRPr="0046361D">
        <w:rPr>
          <w:rFonts w:eastAsia="TimesNewRoman" w:cs="TimesNewRoman"/>
          <w:color w:val="000000"/>
        </w:rPr>
        <w:lastRenderedPageBreak/>
        <w:t>190</w:t>
      </w:r>
      <w:r>
        <w:rPr>
          <w:rFonts w:eastAsia="TimesNewRoman" w:cs="TimesNewRoman"/>
          <w:color w:val="000000"/>
        </w:rPr>
        <w:t xml:space="preserve"> mg/m</w:t>
      </w:r>
      <w:r w:rsidRPr="00E813EB">
        <w:rPr>
          <w:rFonts w:eastAsia="TimesNewRoman" w:cs="TimesNewRoman"/>
          <w:color w:val="000000"/>
          <w:vertAlign w:val="superscript"/>
        </w:rPr>
        <w:t>2</w:t>
      </w:r>
      <w:r w:rsidRPr="0046361D">
        <w:rPr>
          <w:rFonts w:eastAsia="TimesNewRoman" w:cs="TimesNewRoman"/>
          <w:color w:val="000000"/>
        </w:rPr>
        <w:t xml:space="preserve"> </w:t>
      </w:r>
      <w:r>
        <w:rPr>
          <w:rFonts w:eastAsia="TimesNewRoman" w:cs="TimesNewRoman"/>
          <w:color w:val="000000"/>
        </w:rPr>
        <w:t>and</w:t>
      </w:r>
      <w:r w:rsidRPr="0046361D">
        <w:rPr>
          <w:rFonts w:eastAsia="TimesNewRoman" w:cs="TimesNewRoman"/>
          <w:color w:val="000000"/>
        </w:rPr>
        <w:t xml:space="preserve"> 230 mg/m</w:t>
      </w:r>
      <w:r w:rsidRPr="008C4365">
        <w:rPr>
          <w:rFonts w:eastAsia="TimesNewRoman" w:cs="TimesNewRoman"/>
          <w:color w:val="000000"/>
          <w:vertAlign w:val="superscript"/>
        </w:rPr>
        <w:t>2</w:t>
      </w:r>
      <w:r w:rsidRPr="0046361D">
        <w:rPr>
          <w:rFonts w:eastAsia="TimesNewRoman" w:cs="TimesNewRoman"/>
          <w:color w:val="000000"/>
        </w:rPr>
        <w:t xml:space="preserve"> </w:t>
      </w:r>
      <w:r>
        <w:rPr>
          <w:rFonts w:eastAsia="TimesNewRoman" w:cs="TimesNewRoman"/>
          <w:color w:val="000000"/>
        </w:rPr>
        <w:t>were</w:t>
      </w:r>
      <w:r w:rsidRPr="00201C64">
        <w:rPr>
          <w:color w:val="000000"/>
        </w:rPr>
        <w:t xml:space="preserve"> associated with a repolari</w:t>
      </w:r>
      <w:r>
        <w:rPr>
          <w:color w:val="000000"/>
        </w:rPr>
        <w:t>s</w:t>
      </w:r>
      <w:r w:rsidRPr="00201C64">
        <w:rPr>
          <w:color w:val="000000"/>
        </w:rPr>
        <w:t>ation delay</w:t>
      </w:r>
      <w:r>
        <w:rPr>
          <w:color w:val="000000"/>
        </w:rPr>
        <w:t xml:space="preserve"> in their respective cohorts, </w:t>
      </w:r>
      <w:r>
        <w:rPr>
          <w:rFonts w:cs="Arial"/>
          <w:color w:val="000000"/>
        </w:rPr>
        <w:t>w</w:t>
      </w:r>
      <w:r w:rsidRPr="00201C64">
        <w:rPr>
          <w:rFonts w:cs="Arial"/>
          <w:color w:val="000000"/>
        </w:rPr>
        <w:t xml:space="preserve">hen data for all cohorts were combined, the </w:t>
      </w:r>
      <w:r>
        <w:rPr>
          <w:rFonts w:cs="Arial"/>
          <w:color w:val="000000"/>
        </w:rPr>
        <w:t>mean changes in</w:t>
      </w:r>
      <w:r w:rsidRPr="00201C64">
        <w:rPr>
          <w:rFonts w:cs="Arial"/>
          <w:color w:val="000000"/>
        </w:rPr>
        <w:t xml:space="preserve"> QT</w:t>
      </w:r>
      <w:r w:rsidRPr="00201C64">
        <w:rPr>
          <w:rFonts w:cs="Arial"/>
          <w:color w:val="000000"/>
          <w:vertAlign w:val="subscript"/>
        </w:rPr>
        <w:t>c</w:t>
      </w:r>
      <w:r w:rsidRPr="00201C64">
        <w:rPr>
          <w:rFonts w:cs="Arial"/>
          <w:color w:val="000000"/>
        </w:rPr>
        <w:t xml:space="preserve">F at end-injection, and at 1, 3 and 6 </w:t>
      </w:r>
      <w:r>
        <w:rPr>
          <w:rFonts w:cs="Arial"/>
          <w:color w:val="000000"/>
        </w:rPr>
        <w:t>hr</w:t>
      </w:r>
      <w:r w:rsidRPr="00201C64">
        <w:rPr>
          <w:rFonts w:cs="Arial"/>
          <w:color w:val="000000"/>
        </w:rPr>
        <w:t xml:space="preserve"> post injection</w:t>
      </w:r>
      <w:r>
        <w:rPr>
          <w:rFonts w:cs="Arial"/>
          <w:color w:val="000000"/>
        </w:rPr>
        <w:t xml:space="preserve"> and the </w:t>
      </w:r>
      <w:r w:rsidRPr="00201C64">
        <w:rPr>
          <w:rFonts w:cs="Arial"/>
          <w:color w:val="000000"/>
        </w:rPr>
        <w:t xml:space="preserve">upper bounds of the </w:t>
      </w:r>
      <w:r>
        <w:rPr>
          <w:rFonts w:cs="Arial"/>
          <w:color w:val="000000"/>
        </w:rPr>
        <w:t>corresponding</w:t>
      </w:r>
      <w:r w:rsidRPr="00201C64">
        <w:rPr>
          <w:rFonts w:cs="Arial"/>
          <w:color w:val="000000"/>
        </w:rPr>
        <w:t xml:space="preserve"> 90% CIs were </w:t>
      </w:r>
      <w:r>
        <w:rPr>
          <w:rFonts w:cs="Arial"/>
          <w:color w:val="000000"/>
        </w:rPr>
        <w:t>all</w:t>
      </w:r>
      <w:r w:rsidRPr="00201C64">
        <w:rPr>
          <w:rFonts w:cs="Arial"/>
          <w:color w:val="000000"/>
        </w:rPr>
        <w:t xml:space="preserve"> below</w:t>
      </w:r>
      <w:r>
        <w:rPr>
          <w:rFonts w:cs="Arial"/>
          <w:color w:val="000000"/>
        </w:rPr>
        <w:t xml:space="preserve"> the thresholds of 5 </w:t>
      </w:r>
      <w:r w:rsidRPr="00990CA1">
        <w:rPr>
          <w:rFonts w:cs="Arial"/>
          <w:color w:val="000000"/>
        </w:rPr>
        <w:t xml:space="preserve">ms </w:t>
      </w:r>
      <w:r>
        <w:rPr>
          <w:rFonts w:cs="Arial"/>
          <w:color w:val="000000"/>
        </w:rPr>
        <w:t xml:space="preserve">and </w:t>
      </w:r>
      <w:r w:rsidRPr="00201C64">
        <w:rPr>
          <w:rFonts w:cs="Arial"/>
          <w:color w:val="000000"/>
        </w:rPr>
        <w:t>10</w:t>
      </w:r>
      <w:r>
        <w:rPr>
          <w:rFonts w:cs="Arial"/>
          <w:color w:val="000000"/>
        </w:rPr>
        <w:t xml:space="preserve"> </w:t>
      </w:r>
      <w:r w:rsidRPr="00201C64">
        <w:rPr>
          <w:rFonts w:cs="Arial"/>
          <w:color w:val="000000"/>
        </w:rPr>
        <w:t>ms</w:t>
      </w:r>
      <w:r>
        <w:rPr>
          <w:rFonts w:cs="Arial"/>
          <w:color w:val="000000"/>
        </w:rPr>
        <w:t>, respectively. Furthermore, none of the categorical thresholds for concern (</w:t>
      </w:r>
      <w:r w:rsidRPr="00990CA1">
        <w:rPr>
          <w:rFonts w:cs="Arial"/>
          <w:color w:val="000000"/>
        </w:rPr>
        <w:t>that is,</w:t>
      </w:r>
      <w:r>
        <w:rPr>
          <w:rFonts w:cs="Arial"/>
          <w:color w:val="000000"/>
        </w:rPr>
        <w:t xml:space="preserve"> </w:t>
      </w:r>
      <w:r w:rsidRPr="008D10D1">
        <w:rPr>
          <w:color w:val="000000"/>
        </w:rPr>
        <w:t>QT</w:t>
      </w:r>
      <w:r w:rsidRPr="008D10D1">
        <w:rPr>
          <w:color w:val="000000"/>
          <w:vertAlign w:val="subscript"/>
        </w:rPr>
        <w:t>c</w:t>
      </w:r>
      <w:r w:rsidRPr="008D10D1">
        <w:rPr>
          <w:color w:val="000000"/>
        </w:rPr>
        <w:t xml:space="preserve"> interval </w:t>
      </w:r>
      <w:r w:rsidRPr="008D10D1">
        <w:rPr>
          <w:rFonts w:eastAsia="SymbolMT" w:cs="SymbolMT"/>
          <w:color w:val="000000"/>
        </w:rPr>
        <w:t xml:space="preserve">&gt; </w:t>
      </w:r>
      <w:r>
        <w:rPr>
          <w:rFonts w:eastAsia="SymbolMT" w:cs="SymbolMT"/>
          <w:color w:val="000000"/>
        </w:rPr>
        <w:t>50</w:t>
      </w:r>
      <w:r w:rsidRPr="008D10D1">
        <w:rPr>
          <w:color w:val="000000"/>
        </w:rPr>
        <w:t>0</w:t>
      </w:r>
      <w:r>
        <w:rPr>
          <w:color w:val="000000"/>
        </w:rPr>
        <w:t xml:space="preserve"> </w:t>
      </w:r>
      <w:r w:rsidRPr="00990CA1">
        <w:rPr>
          <w:color w:val="000000"/>
        </w:rPr>
        <w:t xml:space="preserve">ms </w:t>
      </w:r>
      <w:r>
        <w:rPr>
          <w:color w:val="000000"/>
        </w:rPr>
        <w:t xml:space="preserve">or increase in </w:t>
      </w:r>
      <w:r w:rsidRPr="008D10D1">
        <w:rPr>
          <w:color w:val="000000"/>
        </w:rPr>
        <w:t>QT</w:t>
      </w:r>
      <w:r w:rsidRPr="008D10D1">
        <w:rPr>
          <w:color w:val="000000"/>
          <w:vertAlign w:val="subscript"/>
        </w:rPr>
        <w:t>c</w:t>
      </w:r>
      <w:r w:rsidRPr="008D10D1">
        <w:rPr>
          <w:color w:val="000000"/>
        </w:rPr>
        <w:t xml:space="preserve"> interval </w:t>
      </w:r>
      <w:r w:rsidRPr="008D10D1">
        <w:rPr>
          <w:rFonts w:eastAsia="SymbolMT" w:cs="SymbolMT"/>
          <w:color w:val="000000"/>
        </w:rPr>
        <w:t xml:space="preserve">&gt; </w:t>
      </w:r>
      <w:r>
        <w:rPr>
          <w:rFonts w:eastAsia="SymbolMT" w:cs="SymbolMT"/>
          <w:color w:val="000000"/>
        </w:rPr>
        <w:t>3</w:t>
      </w:r>
      <w:r w:rsidRPr="008D10D1">
        <w:rPr>
          <w:color w:val="000000"/>
        </w:rPr>
        <w:t>0</w:t>
      </w:r>
      <w:r>
        <w:rPr>
          <w:color w:val="000000"/>
        </w:rPr>
        <w:t xml:space="preserve"> ms)</w:t>
      </w:r>
      <w:r w:rsidRPr="008D10D1">
        <w:rPr>
          <w:color w:val="000000"/>
        </w:rPr>
        <w:t xml:space="preserve"> </w:t>
      </w:r>
      <w:r>
        <w:rPr>
          <w:rFonts w:cs="Arial"/>
          <w:color w:val="000000"/>
        </w:rPr>
        <w:t xml:space="preserve">were observed in any patient. No correlation was observed between either the maximum or mean change in </w:t>
      </w:r>
      <w:r w:rsidRPr="00201C64">
        <w:rPr>
          <w:rFonts w:cs="Arial"/>
          <w:color w:val="000000"/>
        </w:rPr>
        <w:t>QT</w:t>
      </w:r>
      <w:r w:rsidRPr="00201C64">
        <w:rPr>
          <w:rFonts w:cs="Arial"/>
          <w:color w:val="000000"/>
          <w:vertAlign w:val="subscript"/>
        </w:rPr>
        <w:t>c</w:t>
      </w:r>
      <w:r w:rsidRPr="00201C64">
        <w:rPr>
          <w:rFonts w:cs="Arial"/>
          <w:color w:val="000000"/>
        </w:rPr>
        <w:t>F</w:t>
      </w:r>
      <w:r>
        <w:rPr>
          <w:rFonts w:cs="Arial"/>
          <w:color w:val="000000"/>
        </w:rPr>
        <w:t xml:space="preserve"> and pralatrexate exposure (C</w:t>
      </w:r>
      <w:r w:rsidRPr="00BA23FA">
        <w:rPr>
          <w:rFonts w:cs="Arial"/>
          <w:color w:val="000000"/>
          <w:vertAlign w:val="subscript"/>
        </w:rPr>
        <w:t>max</w:t>
      </w:r>
      <w:r>
        <w:rPr>
          <w:rFonts w:cs="Arial"/>
          <w:color w:val="000000"/>
        </w:rPr>
        <w:t xml:space="preserve"> and AUC). Of note, </w:t>
      </w:r>
      <w:r>
        <w:rPr>
          <w:rFonts w:cs="Arial"/>
        </w:rPr>
        <w:t xml:space="preserve">the doses used and, consequently the maximum pralatrexate concentrations achieved in the study far exceeded those expected for the target PTCL population. Thus, this evaluator agrees with the sponsor that </w:t>
      </w:r>
      <w:r w:rsidRPr="0046361D">
        <w:rPr>
          <w:rFonts w:eastAsia="TimesNewRoman" w:cs="TimesNewRoman"/>
          <w:color w:val="000000"/>
        </w:rPr>
        <w:t>pralatrexate is unlikely to markedly delay cardiac repolari</w:t>
      </w:r>
      <w:r>
        <w:rPr>
          <w:rFonts w:eastAsia="TimesNewRoman" w:cs="TimesNewRoman"/>
          <w:color w:val="000000"/>
        </w:rPr>
        <w:t>s</w:t>
      </w:r>
      <w:r w:rsidRPr="0046361D">
        <w:rPr>
          <w:rFonts w:eastAsia="TimesNewRoman" w:cs="TimesNewRoman"/>
          <w:color w:val="000000"/>
        </w:rPr>
        <w:t>ation in</w:t>
      </w:r>
      <w:r>
        <w:rPr>
          <w:rFonts w:eastAsia="TimesNewRoman" w:cs="TimesNewRoman"/>
          <w:color w:val="000000"/>
        </w:rPr>
        <w:t xml:space="preserve"> </w:t>
      </w:r>
      <w:r w:rsidRPr="0046361D">
        <w:rPr>
          <w:rFonts w:eastAsia="TimesNewRoman" w:cs="TimesNewRoman"/>
          <w:color w:val="000000"/>
        </w:rPr>
        <w:t xml:space="preserve">PTCL patients treated with doses </w:t>
      </w:r>
      <w:r>
        <w:rPr>
          <w:rFonts w:eastAsia="TimesNewRoman" w:cs="TimesNewRoman"/>
          <w:color w:val="000000"/>
        </w:rPr>
        <w:t>≤</w:t>
      </w:r>
      <w:r w:rsidRPr="0046361D">
        <w:rPr>
          <w:rFonts w:eastAsia="TimesNewRoman" w:cs="TimesNewRoman"/>
          <w:color w:val="000000"/>
        </w:rPr>
        <w:t xml:space="preserve"> 30 mg/m</w:t>
      </w:r>
      <w:r w:rsidRPr="00BC5248">
        <w:rPr>
          <w:rFonts w:eastAsia="TimesNewRoman" w:cs="TimesNewRoman"/>
          <w:color w:val="000000"/>
          <w:vertAlign w:val="superscript"/>
        </w:rPr>
        <w:t>2</w:t>
      </w:r>
      <w:r>
        <w:rPr>
          <w:rFonts w:eastAsia="TimesNewRoman" w:cs="TimesNewRoman"/>
          <w:color w:val="000000"/>
        </w:rPr>
        <w:t>.</w:t>
      </w:r>
    </w:p>
    <w:p w:rsidR="004D5254" w:rsidRDefault="004D5254" w:rsidP="0090319D">
      <w:pPr>
        <w:pStyle w:val="Heading2"/>
      </w:pPr>
      <w:bookmarkStart w:id="170" w:name="_Toc359930727"/>
      <w:bookmarkStart w:id="171" w:name="_Toc364764901"/>
      <w:r>
        <w:t>Dosage selection for the pivotal studies</w:t>
      </w:r>
      <w:bookmarkEnd w:id="170"/>
      <w:bookmarkEnd w:id="171"/>
    </w:p>
    <w:p w:rsidR="004D5254" w:rsidRPr="00416884" w:rsidRDefault="004D5254" w:rsidP="004D5254">
      <w:pPr>
        <w:autoSpaceDE w:val="0"/>
        <w:autoSpaceDN w:val="0"/>
        <w:adjustRightInd w:val="0"/>
      </w:pPr>
      <w:r w:rsidRPr="00416884">
        <w:t xml:space="preserve">The following summary of results from </w:t>
      </w:r>
      <w:r>
        <w:t>Phase I</w:t>
      </w:r>
      <w:r w:rsidRPr="00416884">
        <w:t xml:space="preserve"> and II studies gives an understanding of how the dosage regimen for pralatrexate changed over the course of the clinical development program, ultimately leading to do</w:t>
      </w:r>
      <w:r>
        <w:t>s</w:t>
      </w:r>
      <w:r w:rsidRPr="00416884">
        <w:t>e selection for the pivotal study in patients with PTCL (</w:t>
      </w:r>
      <w:r>
        <w:t>Study PDX-</w:t>
      </w:r>
      <w:r w:rsidRPr="00416884">
        <w:t>008).</w:t>
      </w:r>
    </w:p>
    <w:p w:rsidR="004D5254" w:rsidRPr="00416884" w:rsidRDefault="004D5254" w:rsidP="004D5254">
      <w:pPr>
        <w:autoSpaceDE w:val="0"/>
        <w:autoSpaceDN w:val="0"/>
        <w:adjustRightInd w:val="0"/>
      </w:pPr>
      <w:r>
        <w:t>The first Phase I</w:t>
      </w:r>
      <w:r w:rsidRPr="00416884">
        <w:t xml:space="preserve"> study, </w:t>
      </w:r>
      <w:r>
        <w:t>PDX-</w:t>
      </w:r>
      <w:r w:rsidRPr="00416884">
        <w:t>97-006, was conducted exclusively in patients with NSCLC, who</w:t>
      </w:r>
      <w:r>
        <w:t xml:space="preserve"> </w:t>
      </w:r>
      <w:r w:rsidRPr="00416884">
        <w:t>had been previously treated with a median of 2 prior chemotherapy regimens.</w:t>
      </w:r>
      <w:r>
        <w:t xml:space="preserve"> </w:t>
      </w:r>
      <w:r w:rsidRPr="00416884">
        <w:t>Initially,</w:t>
      </w:r>
      <w:r>
        <w:t xml:space="preserve"> </w:t>
      </w:r>
      <w:r w:rsidRPr="00416884">
        <w:t xml:space="preserve">pralatrexate was administered </w:t>
      </w:r>
      <w:r>
        <w:t xml:space="preserve">IV </w:t>
      </w:r>
      <w:r w:rsidRPr="00416884">
        <w:t>at a dose of 30</w:t>
      </w:r>
      <w:r>
        <w:t xml:space="preserve"> </w:t>
      </w:r>
      <w:r w:rsidRPr="00416884">
        <w:t>mg/m</w:t>
      </w:r>
      <w:r w:rsidRPr="00416884">
        <w:rPr>
          <w:vertAlign w:val="superscript"/>
        </w:rPr>
        <w:t>2</w:t>
      </w:r>
      <w:r w:rsidRPr="00416884">
        <w:t xml:space="preserve"> weekly for 3 weeks</w:t>
      </w:r>
      <w:r>
        <w:t xml:space="preserve"> </w:t>
      </w:r>
      <w:r w:rsidRPr="00416884">
        <w:t>out of 4 weeks</w:t>
      </w:r>
      <w:r>
        <w:t xml:space="preserve"> without vitamin B12/ folate supplementation (n=6)</w:t>
      </w:r>
      <w:r w:rsidRPr="00416884">
        <w:t>.</w:t>
      </w:r>
      <w:r>
        <w:t xml:space="preserve"> </w:t>
      </w:r>
      <w:r w:rsidRPr="00AC1493">
        <w:t>Stomatitis requiring dose reduction and/or delay in the first cycle</w:t>
      </w:r>
      <w:r>
        <w:t xml:space="preserve"> </w:t>
      </w:r>
      <w:r w:rsidRPr="00AC1493">
        <w:t>occurred in 4 of 6 patients treated at the initial dose level (30 mg/m2), making this an intolerable</w:t>
      </w:r>
      <w:r>
        <w:t xml:space="preserve"> </w:t>
      </w:r>
      <w:r w:rsidRPr="00AC1493">
        <w:t>dose of pralatrexate given on this schedule. The dose escalation scheme was modified</w:t>
      </w:r>
      <w:r>
        <w:t xml:space="preserve"> consequently </w:t>
      </w:r>
      <w:r w:rsidRPr="00AC1493">
        <w:t>to a biweekly schedule (every 2 weeks in a 4</w:t>
      </w:r>
      <w:r>
        <w:t xml:space="preserve"> </w:t>
      </w:r>
      <w:r w:rsidRPr="00AC1493">
        <w:t>week cycle)</w:t>
      </w:r>
      <w:r>
        <w:t xml:space="preserve"> and </w:t>
      </w:r>
      <w:r w:rsidRPr="00AC1493">
        <w:t>dose</w:t>
      </w:r>
      <w:r>
        <w:t xml:space="preserve"> </w:t>
      </w:r>
      <w:r w:rsidRPr="00AC1493">
        <w:t>escalation proceeded from 15 to 30 mg/m</w:t>
      </w:r>
      <w:r w:rsidRPr="00AC1493">
        <w:rPr>
          <w:vertAlign w:val="superscript"/>
        </w:rPr>
        <w:t>2</w:t>
      </w:r>
      <w:r w:rsidRPr="00AC1493">
        <w:t xml:space="preserve"> and then proceeded in approximately 10 mg/m</w:t>
      </w:r>
      <w:r w:rsidRPr="00AC1493">
        <w:rPr>
          <w:vertAlign w:val="superscript"/>
        </w:rPr>
        <w:t>2</w:t>
      </w:r>
      <w:r>
        <w:t xml:space="preserve"> </w:t>
      </w:r>
      <w:r w:rsidRPr="00AC1493">
        <w:t>increments to 170 mg/m</w:t>
      </w:r>
      <w:r w:rsidRPr="00AC1493">
        <w:rPr>
          <w:vertAlign w:val="superscript"/>
        </w:rPr>
        <w:t>2</w:t>
      </w:r>
      <w:r w:rsidRPr="00AC1493">
        <w:t>.</w:t>
      </w:r>
      <w:r>
        <w:t xml:space="preserve"> </w:t>
      </w:r>
      <w:r w:rsidRPr="00AC1493">
        <w:t>Both patients treated at the 170 mg/m</w:t>
      </w:r>
      <w:r w:rsidRPr="00AC1493">
        <w:rPr>
          <w:vertAlign w:val="superscript"/>
        </w:rPr>
        <w:t>2</w:t>
      </w:r>
      <w:r w:rsidRPr="00AC1493">
        <w:t xml:space="preserve"> dose developed </w:t>
      </w:r>
      <w:r>
        <w:t xml:space="preserve">dose limiting toxicities and </w:t>
      </w:r>
      <w:r w:rsidRPr="00AC1493">
        <w:t>the 150 mg/m</w:t>
      </w:r>
      <w:r w:rsidRPr="00AC1493">
        <w:rPr>
          <w:vertAlign w:val="superscript"/>
        </w:rPr>
        <w:t>2</w:t>
      </w:r>
      <w:r w:rsidRPr="00AC1493">
        <w:t xml:space="preserve"> cohort was expanded with 6 additional patients enrolled. Only 1 of</w:t>
      </w:r>
      <w:r>
        <w:t xml:space="preserve"> </w:t>
      </w:r>
      <w:r w:rsidRPr="00AC1493">
        <w:t xml:space="preserve">these 6 patients developed a </w:t>
      </w:r>
      <w:r>
        <w:t>dose limiting toxicity</w:t>
      </w:r>
      <w:r w:rsidRPr="00AC1493">
        <w:t>.</w:t>
      </w:r>
      <w:r>
        <w:t xml:space="preserve"> </w:t>
      </w:r>
      <w:r w:rsidRPr="00AC1493">
        <w:t>Thus, the 150 mg/m</w:t>
      </w:r>
      <w:r w:rsidRPr="00AC1493">
        <w:rPr>
          <w:vertAlign w:val="superscript"/>
        </w:rPr>
        <w:t xml:space="preserve">2 </w:t>
      </w:r>
      <w:r w:rsidRPr="00AC1493">
        <w:t xml:space="preserve">dose was </w:t>
      </w:r>
      <w:r>
        <w:t>defined as the maximum tolerated dose</w:t>
      </w:r>
      <w:r w:rsidRPr="00AC1493">
        <w:t xml:space="preserve"> of th</w:t>
      </w:r>
      <w:r>
        <w:t>e</w:t>
      </w:r>
      <w:r w:rsidRPr="00AC1493">
        <w:t xml:space="preserve"> study and the</w:t>
      </w:r>
      <w:r>
        <w:t xml:space="preserve"> </w:t>
      </w:r>
      <w:r w:rsidRPr="00AC1493">
        <w:t xml:space="preserve">dose recommended for </w:t>
      </w:r>
      <w:r>
        <w:t>Phase II</w:t>
      </w:r>
      <w:r w:rsidRPr="00AC1493">
        <w:t xml:space="preserve"> studies.</w:t>
      </w:r>
    </w:p>
    <w:p w:rsidR="004D5254" w:rsidRPr="00416884" w:rsidRDefault="004D5254" w:rsidP="004D5254">
      <w:pPr>
        <w:autoSpaceDE w:val="0"/>
        <w:autoSpaceDN w:val="0"/>
        <w:adjustRightInd w:val="0"/>
      </w:pPr>
      <w:r w:rsidRPr="00416884">
        <w:t xml:space="preserve">A subsequent single-agent </w:t>
      </w:r>
      <w:r>
        <w:t>Phase II</w:t>
      </w:r>
      <w:r w:rsidRPr="00416884">
        <w:t xml:space="preserve"> study</w:t>
      </w:r>
      <w:r>
        <w:t xml:space="preserve"> </w:t>
      </w:r>
      <w:r w:rsidRPr="00416884">
        <w:t>in patients with Stage IIIB or IV</w:t>
      </w:r>
      <w:r>
        <w:t xml:space="preserve"> </w:t>
      </w:r>
      <w:r w:rsidRPr="00416884">
        <w:t>NSCLC</w:t>
      </w:r>
      <w:r>
        <w:t xml:space="preserve"> (PDX-</w:t>
      </w:r>
      <w:r w:rsidRPr="00416884">
        <w:t>99-053</w:t>
      </w:r>
      <w:r>
        <w:t>)</w:t>
      </w:r>
      <w:r w:rsidRPr="00416884">
        <w:t xml:space="preserve"> </w:t>
      </w:r>
      <w:r>
        <w:t>used pralatrexate at doses up to 150 mg/m</w:t>
      </w:r>
      <w:r w:rsidRPr="007C17B4">
        <w:rPr>
          <w:vertAlign w:val="superscript"/>
        </w:rPr>
        <w:t>2</w:t>
      </w:r>
      <w:r>
        <w:t xml:space="preserve"> every 2 weeks of a 4 week cycle with folate supplementation for patients experiencing significant stomatitis. This study</w:t>
      </w:r>
      <w:r w:rsidRPr="00416884">
        <w:t xml:space="preserve"> </w:t>
      </w:r>
      <w:r>
        <w:t>yielded results</w:t>
      </w:r>
      <w:r w:rsidRPr="00416884">
        <w:t xml:space="preserve"> </w:t>
      </w:r>
      <w:r>
        <w:t xml:space="preserve">that were considered to be </w:t>
      </w:r>
      <w:r w:rsidRPr="00416884">
        <w:t>consistent with the activity of other single agents</w:t>
      </w:r>
      <w:r>
        <w:t xml:space="preserve"> </w:t>
      </w:r>
      <w:r w:rsidRPr="00416884">
        <w:t>in this setting</w:t>
      </w:r>
      <w:r>
        <w:t xml:space="preserve"> (4 partial responses out of 39 treated patients)</w:t>
      </w:r>
      <w:r w:rsidRPr="00416884">
        <w:t>.</w:t>
      </w:r>
    </w:p>
    <w:p w:rsidR="004D5254" w:rsidRDefault="004D5254" w:rsidP="004D5254">
      <w:pPr>
        <w:autoSpaceDE w:val="0"/>
        <w:autoSpaceDN w:val="0"/>
        <w:adjustRightInd w:val="0"/>
        <w:rPr>
          <w:rFonts w:eastAsia="TimesNewRoman" w:cs="TimesNewRoman"/>
          <w:color w:val="000000"/>
        </w:rPr>
      </w:pPr>
      <w:r>
        <w:t>Study PDX-02-078 was the first study of pralatrexate as a single agent in patients with relapsed or refractory haematological malignancies (</w:t>
      </w:r>
      <w:r>
        <w:rPr>
          <w:rFonts w:eastAsia="TimesNewRoman" w:cs="TimesNewRoman"/>
        </w:rPr>
        <w:t>Hodgkin’s lymphoma and NHL) and</w:t>
      </w:r>
      <w:r w:rsidRPr="00416884">
        <w:t xml:space="preserve"> began as a </w:t>
      </w:r>
      <w:r>
        <w:t>Phase II</w:t>
      </w:r>
      <w:r w:rsidRPr="00416884">
        <w:t xml:space="preserve"> study </w:t>
      </w:r>
      <w:r>
        <w:t>using</w:t>
      </w:r>
      <w:r w:rsidRPr="00416884">
        <w:t xml:space="preserve"> </w:t>
      </w:r>
      <w:r>
        <w:t>a</w:t>
      </w:r>
      <w:r w:rsidRPr="00416884">
        <w:t xml:space="preserve"> slightly lower </w:t>
      </w:r>
      <w:r>
        <w:t xml:space="preserve">initial </w:t>
      </w:r>
      <w:r w:rsidRPr="00416884">
        <w:t xml:space="preserve">starting dose </w:t>
      </w:r>
      <w:r>
        <w:t>(</w:t>
      </w:r>
      <w:r w:rsidRPr="00416884">
        <w:t>135 mg/m</w:t>
      </w:r>
      <w:r w:rsidRPr="00C27D8C">
        <w:rPr>
          <w:vertAlign w:val="superscript"/>
        </w:rPr>
        <w:t>2</w:t>
      </w:r>
      <w:r w:rsidRPr="00416884">
        <w:t xml:space="preserve"> every other</w:t>
      </w:r>
      <w:r>
        <w:t xml:space="preserve"> </w:t>
      </w:r>
      <w:r w:rsidRPr="00416884">
        <w:t>week</w:t>
      </w:r>
      <w:r>
        <w:t>)</w:t>
      </w:r>
      <w:r w:rsidRPr="00416884">
        <w:t xml:space="preserve"> </w:t>
      </w:r>
      <w:r>
        <w:t xml:space="preserve">than </w:t>
      </w:r>
      <w:r w:rsidRPr="00416884">
        <w:t xml:space="preserve">identified in the NSCLC </w:t>
      </w:r>
      <w:r>
        <w:t xml:space="preserve">Phase II </w:t>
      </w:r>
      <w:r w:rsidRPr="00416884">
        <w:t>study</w:t>
      </w:r>
      <w:r>
        <w:t xml:space="preserve"> because of </w:t>
      </w:r>
      <w:r w:rsidRPr="00416884">
        <w:t>the greater number of prior therapies these patients had received compared</w:t>
      </w:r>
      <w:r>
        <w:t xml:space="preserve"> to</w:t>
      </w:r>
      <w:r w:rsidRPr="00416884">
        <w:t xml:space="preserve"> patients with NSCLC.</w:t>
      </w:r>
      <w:r>
        <w:t xml:space="preserve"> T</w:t>
      </w:r>
      <w:r>
        <w:rPr>
          <w:rFonts w:eastAsia="TimesNewRoman" w:cs="TimesNewRoman"/>
          <w:color w:val="000000"/>
        </w:rPr>
        <w:t xml:space="preserve">he protocol was subsequently amended to include inter-patient dose escalation (a Phase I activity) to determine the optimal dose and schedule of pralatrexate, using </w:t>
      </w:r>
      <w:r w:rsidRPr="00A42B7C">
        <w:t>an initial dose of 30 mg/m</w:t>
      </w:r>
      <w:r w:rsidRPr="00A42B7C">
        <w:rPr>
          <w:vertAlign w:val="superscript"/>
        </w:rPr>
        <w:t xml:space="preserve">2 </w:t>
      </w:r>
      <w:r w:rsidRPr="00A42B7C">
        <w:t>weekly for 3 weeks of a 4</w:t>
      </w:r>
      <w:r>
        <w:t xml:space="preserve"> </w:t>
      </w:r>
      <w:r w:rsidRPr="00A42B7C">
        <w:t>week</w:t>
      </w:r>
      <w:r>
        <w:t xml:space="preserve"> </w:t>
      </w:r>
      <w:r w:rsidRPr="00A42B7C">
        <w:t>cycle</w:t>
      </w:r>
      <w:r>
        <w:t>,</w:t>
      </w:r>
      <w:r w:rsidRPr="00A42B7C">
        <w:t xml:space="preserve"> with subsequent increases in </w:t>
      </w:r>
      <w:r>
        <w:t xml:space="preserve">the </w:t>
      </w:r>
      <w:r w:rsidRPr="00A42B7C">
        <w:t>number of consecutive doses (from 3 to 6 doses) and dose</w:t>
      </w:r>
      <w:r>
        <w:t xml:space="preserve"> </w:t>
      </w:r>
      <w:r w:rsidRPr="00A42B7C">
        <w:t>amount (15 mg/m</w:t>
      </w:r>
      <w:r w:rsidRPr="00240111">
        <w:rPr>
          <w:vertAlign w:val="superscript"/>
        </w:rPr>
        <w:t>2</w:t>
      </w:r>
      <w:r w:rsidRPr="00A42B7C">
        <w:t xml:space="preserve"> increments).</w:t>
      </w:r>
      <w:r>
        <w:rPr>
          <w:rFonts w:eastAsia="TimesNewRoman" w:cs="TimesNewRoman"/>
          <w:color w:val="000000"/>
        </w:rPr>
        <w:t xml:space="preserve"> These changes were in response to a</w:t>
      </w:r>
      <w:r w:rsidRPr="0014262A">
        <w:rPr>
          <w:rFonts w:eastAsia="TimesNewRoman" w:cs="TimesNewRoman"/>
          <w:color w:val="000000"/>
        </w:rPr>
        <w:t xml:space="preserve"> higher than anticipated</w:t>
      </w:r>
      <w:r>
        <w:rPr>
          <w:rFonts w:eastAsia="TimesNewRoman" w:cs="TimesNewRoman"/>
          <w:color w:val="000000"/>
        </w:rPr>
        <w:t xml:space="preserve"> </w:t>
      </w:r>
      <w:r w:rsidRPr="0014262A">
        <w:rPr>
          <w:rFonts w:eastAsia="TimesNewRoman" w:cs="TimesNewRoman"/>
          <w:color w:val="000000"/>
        </w:rPr>
        <w:t xml:space="preserve">incidence of Grade 3 or 4 stomatitis in patients with Hcy and MMA concentrations </w:t>
      </w:r>
      <w:r>
        <w:rPr>
          <w:rFonts w:eastAsia="TimesNewRoman" w:cs="TimesNewRoman"/>
          <w:color w:val="000000"/>
        </w:rPr>
        <w:t>&gt; </w:t>
      </w:r>
      <w:r w:rsidRPr="0014262A">
        <w:rPr>
          <w:rFonts w:eastAsia="TimesNewRoman" w:cs="TimesNewRoman"/>
          <w:color w:val="000000"/>
        </w:rPr>
        <w:t>10</w:t>
      </w:r>
      <w:r>
        <w:rPr>
          <w:rFonts w:eastAsia="TimesNewRoman" w:cs="TimesNewRoman"/>
          <w:color w:val="000000"/>
        </w:rPr>
        <w:t xml:space="preserve"> </w:t>
      </w:r>
      <w:r w:rsidRPr="0014262A">
        <w:rPr>
          <w:rFonts w:eastAsia="TimesNewRoman" w:cs="TimesNewRoman"/>
          <w:color w:val="000000"/>
        </w:rPr>
        <w:t>μmol/L and</w:t>
      </w:r>
      <w:r>
        <w:rPr>
          <w:rFonts w:eastAsia="TimesNewRoman" w:cs="TimesNewRoman"/>
          <w:color w:val="000000"/>
        </w:rPr>
        <w:t xml:space="preserve"> &gt;</w:t>
      </w:r>
      <w:r w:rsidRPr="00E2179C">
        <w:rPr>
          <w:rFonts w:eastAsia="TimesNewRoman" w:cs="TimesNewRoman"/>
        </w:rPr>
        <w:t>200</w:t>
      </w:r>
      <w:r>
        <w:rPr>
          <w:rFonts w:eastAsia="TimesNewRoman" w:cs="TimesNewRoman"/>
        </w:rPr>
        <w:t xml:space="preserve"> </w:t>
      </w:r>
      <w:r w:rsidRPr="00E2179C">
        <w:rPr>
          <w:rFonts w:eastAsia="TimesNewRoman" w:cs="TimesNewRoman"/>
        </w:rPr>
        <w:t>nmol/L, respectively</w:t>
      </w:r>
      <w:r>
        <w:rPr>
          <w:rFonts w:eastAsia="TimesNewRoman" w:cs="TimesNewRoman"/>
        </w:rPr>
        <w:t xml:space="preserve">, and because </w:t>
      </w:r>
      <w:r w:rsidRPr="00E2179C">
        <w:rPr>
          <w:rFonts w:eastAsia="TimesNewRoman" w:cs="TimesNewRoman"/>
        </w:rPr>
        <w:t xml:space="preserve">many patients with palpable disease </w:t>
      </w:r>
      <w:r>
        <w:rPr>
          <w:rFonts w:eastAsia="TimesNewRoman" w:cs="TimesNewRoman"/>
        </w:rPr>
        <w:t>had responses that were suggestive of cytokine failure (</w:t>
      </w:r>
      <w:r w:rsidRPr="00990CA1">
        <w:rPr>
          <w:rFonts w:eastAsia="TimesNewRoman" w:cs="TimesNewRoman"/>
        </w:rPr>
        <w:t>that is,</w:t>
      </w:r>
      <w:r>
        <w:rPr>
          <w:rFonts w:eastAsia="TimesNewRoman" w:cs="TimesNewRoman"/>
        </w:rPr>
        <w:t xml:space="preserve"> they </w:t>
      </w:r>
      <w:r w:rsidRPr="00E2179C">
        <w:rPr>
          <w:rFonts w:eastAsia="TimesNewRoman" w:cs="TimesNewRoman"/>
        </w:rPr>
        <w:t>experienced</w:t>
      </w:r>
      <w:r>
        <w:rPr>
          <w:rFonts w:eastAsia="TimesNewRoman" w:cs="TimesNewRoman"/>
        </w:rPr>
        <w:t xml:space="preserve"> </w:t>
      </w:r>
      <w:r w:rsidRPr="00E2179C">
        <w:rPr>
          <w:rFonts w:eastAsia="TimesNewRoman" w:cs="TimesNewRoman"/>
        </w:rPr>
        <w:t xml:space="preserve">marked </w:t>
      </w:r>
      <w:r>
        <w:rPr>
          <w:rFonts w:eastAsia="TimesNewRoman" w:cs="TimesNewRoman"/>
        </w:rPr>
        <w:t>reductions in their disease by D</w:t>
      </w:r>
      <w:r w:rsidRPr="00E2179C">
        <w:rPr>
          <w:rFonts w:eastAsia="TimesNewRoman" w:cs="TimesNewRoman"/>
        </w:rPr>
        <w:t>ay 7</w:t>
      </w:r>
      <w:r>
        <w:rPr>
          <w:rFonts w:eastAsia="TimesNewRoman" w:cs="TimesNewRoman"/>
        </w:rPr>
        <w:t xml:space="preserve"> but these</w:t>
      </w:r>
      <w:r w:rsidRPr="00E2179C">
        <w:rPr>
          <w:rFonts w:eastAsia="TimesNewRoman" w:cs="TimesNewRoman"/>
        </w:rPr>
        <w:t xml:space="preserve"> grew back to baseline levels by </w:t>
      </w:r>
      <w:r>
        <w:rPr>
          <w:rFonts w:eastAsia="TimesNewRoman" w:cs="TimesNewRoman"/>
        </w:rPr>
        <w:t>D</w:t>
      </w:r>
      <w:r w:rsidRPr="00E2179C">
        <w:rPr>
          <w:rFonts w:eastAsia="TimesNewRoman" w:cs="TimesNewRoman"/>
        </w:rPr>
        <w:t>ay 15</w:t>
      </w:r>
      <w:r>
        <w:rPr>
          <w:rFonts w:eastAsia="TimesNewRoman" w:cs="TimesNewRoman"/>
        </w:rPr>
        <w:t xml:space="preserve">). Importantly, the study was also amended to include a requirement for normalised </w:t>
      </w:r>
      <w:r w:rsidRPr="0014262A">
        <w:rPr>
          <w:rFonts w:eastAsia="TimesNewRoman" w:cs="TimesNewRoman"/>
          <w:color w:val="000000"/>
        </w:rPr>
        <w:t>Hcy and MMA</w:t>
      </w:r>
      <w:r>
        <w:rPr>
          <w:rFonts w:eastAsia="TimesNewRoman" w:cs="TimesNewRoman"/>
          <w:color w:val="000000"/>
        </w:rPr>
        <w:t xml:space="preserve"> levels or a 10 day course of folic acid/vitamin B12 repletion prior to study entry. </w:t>
      </w:r>
      <w:r>
        <w:rPr>
          <w:rFonts w:eastAsia="TimesNewRoman" w:cs="TimesNewRoman"/>
        </w:rPr>
        <w:t xml:space="preserve">The overall response rate for the study was 33%, including a response rate of 60% among 20 evaluable patients with PTCL. </w:t>
      </w:r>
      <w:r w:rsidRPr="00772C4E">
        <w:t>In the</w:t>
      </w:r>
      <w:r>
        <w:t xml:space="preserve"> Phase I </w:t>
      </w:r>
      <w:r w:rsidRPr="00772C4E">
        <w:t>p</w:t>
      </w:r>
      <w:r>
        <w:t>a</w:t>
      </w:r>
      <w:r w:rsidRPr="00772C4E">
        <w:t xml:space="preserve">rt </w:t>
      </w:r>
      <w:r>
        <w:t xml:space="preserve">of the </w:t>
      </w:r>
      <w:r w:rsidRPr="00772C4E">
        <w:t xml:space="preserve">study, 5 </w:t>
      </w:r>
      <w:r>
        <w:t xml:space="preserve">dose-limiting toxicities </w:t>
      </w:r>
      <w:r w:rsidRPr="00772C4E">
        <w:t xml:space="preserve">and 2 </w:t>
      </w:r>
      <w:r w:rsidRPr="00772C4E">
        <w:lastRenderedPageBreak/>
        <w:t xml:space="preserve">patient deaths were experienced </w:t>
      </w:r>
      <w:r>
        <w:t>with</w:t>
      </w:r>
      <w:r w:rsidRPr="00772C4E">
        <w:t xml:space="preserve"> 45 mg/m</w:t>
      </w:r>
      <w:r w:rsidRPr="00772C4E">
        <w:rPr>
          <w:vertAlign w:val="superscript"/>
        </w:rPr>
        <w:t>2</w:t>
      </w:r>
      <w:r w:rsidRPr="00772C4E">
        <w:t xml:space="preserve"> weekly</w:t>
      </w:r>
      <w:r>
        <w:t xml:space="preserve"> for</w:t>
      </w:r>
      <w:r w:rsidRPr="00772C4E">
        <w:t xml:space="preserve"> 6</w:t>
      </w:r>
      <w:r>
        <w:t xml:space="preserve"> doses</w:t>
      </w:r>
      <w:r w:rsidRPr="00772C4E">
        <w:t>/7</w:t>
      </w:r>
      <w:r>
        <w:t>-</w:t>
      </w:r>
      <w:r w:rsidRPr="00772C4E">
        <w:t xml:space="preserve">week </w:t>
      </w:r>
      <w:r>
        <w:t>cycle t</w:t>
      </w:r>
      <w:r w:rsidRPr="00772C4E">
        <w:t>reatment group (n = 11 treated patients)</w:t>
      </w:r>
      <w:r>
        <w:t xml:space="preserve">. The maximum tolerated dose </w:t>
      </w:r>
      <w:r w:rsidRPr="00772C4E">
        <w:t>was declared as</w:t>
      </w:r>
      <w:r>
        <w:t xml:space="preserve"> the </w:t>
      </w:r>
      <w:r w:rsidRPr="00772C4E">
        <w:t xml:space="preserve">dose level below </w:t>
      </w:r>
      <w:r>
        <w:t xml:space="preserve">this, </w:t>
      </w:r>
      <w:r w:rsidRPr="00990CA1">
        <w:t>that is,</w:t>
      </w:r>
      <w:r>
        <w:t xml:space="preserve"> </w:t>
      </w:r>
      <w:r w:rsidRPr="00772C4E">
        <w:t>30 mg/m</w:t>
      </w:r>
      <w:r w:rsidRPr="00540981">
        <w:rPr>
          <w:vertAlign w:val="superscript"/>
        </w:rPr>
        <w:t>2</w:t>
      </w:r>
      <w:r w:rsidRPr="00772C4E">
        <w:t xml:space="preserve"> weekly</w:t>
      </w:r>
      <w:r>
        <w:t xml:space="preserve"> for</w:t>
      </w:r>
      <w:r w:rsidRPr="00772C4E">
        <w:t xml:space="preserve"> 6</w:t>
      </w:r>
      <w:r>
        <w:t xml:space="preserve"> doses</w:t>
      </w:r>
      <w:r w:rsidRPr="00772C4E">
        <w:t>/7</w:t>
      </w:r>
      <w:r>
        <w:t xml:space="preserve"> </w:t>
      </w:r>
      <w:r w:rsidRPr="00772C4E">
        <w:t>week</w:t>
      </w:r>
      <w:r>
        <w:t xml:space="preserve"> cycle which was used in the Phase II part of the study and also used subsequently </w:t>
      </w:r>
      <w:r w:rsidRPr="00772C4E">
        <w:t xml:space="preserve">in </w:t>
      </w:r>
      <w:r>
        <w:t>Study PDX-</w:t>
      </w:r>
      <w:r w:rsidRPr="00772C4E">
        <w:t>008</w:t>
      </w:r>
      <w:r>
        <w:t xml:space="preserve"> along with </w:t>
      </w:r>
      <w:r w:rsidRPr="00416884">
        <w:rPr>
          <w:rFonts w:eastAsia="TimesNewRoman" w:cs="TimesNewRoman"/>
          <w:color w:val="000000"/>
        </w:rPr>
        <w:t xml:space="preserve">routine supplementation </w:t>
      </w:r>
      <w:r>
        <w:rPr>
          <w:rFonts w:eastAsia="TimesNewRoman" w:cs="TimesNewRoman"/>
          <w:color w:val="000000"/>
        </w:rPr>
        <w:t>of</w:t>
      </w:r>
      <w:r w:rsidRPr="00416884">
        <w:rPr>
          <w:rFonts w:eastAsia="TimesNewRoman" w:cs="TimesNewRoman"/>
          <w:color w:val="000000"/>
        </w:rPr>
        <w:t xml:space="preserve"> vitamin B12 and folic</w:t>
      </w:r>
      <w:r>
        <w:rPr>
          <w:rFonts w:eastAsia="TimesNewRoman" w:cs="TimesNewRoman"/>
          <w:color w:val="000000"/>
        </w:rPr>
        <w:t xml:space="preserve"> </w:t>
      </w:r>
      <w:r w:rsidRPr="00416884">
        <w:rPr>
          <w:rFonts w:eastAsia="TimesNewRoman" w:cs="TimesNewRoman"/>
          <w:color w:val="000000"/>
        </w:rPr>
        <w:t>acid.</w:t>
      </w:r>
    </w:p>
    <w:p w:rsidR="004D5254" w:rsidRDefault="004D5254" w:rsidP="0090319D">
      <w:pPr>
        <w:pStyle w:val="Heading2"/>
      </w:pPr>
      <w:bookmarkStart w:id="172" w:name="_Toc359930728"/>
      <w:bookmarkStart w:id="173" w:name="_Toc364764902"/>
      <w:r>
        <w:t>Clinical efficacy</w:t>
      </w:r>
      <w:bookmarkEnd w:id="172"/>
      <w:bookmarkEnd w:id="173"/>
    </w:p>
    <w:p w:rsidR="004D5254" w:rsidRPr="003C0A48" w:rsidRDefault="004D5254" w:rsidP="004D5254">
      <w:pPr>
        <w:pStyle w:val="Heading3"/>
        <w:numPr>
          <w:ilvl w:val="1"/>
          <w:numId w:val="5"/>
        </w:numPr>
      </w:pPr>
      <w:bookmarkStart w:id="174" w:name="_Toc320881449"/>
      <w:bookmarkStart w:id="175" w:name="_Toc359930729"/>
      <w:bookmarkStart w:id="176" w:name="_Toc364764903"/>
      <w:r>
        <w:t>Peripheral T-cell lymphoma in adults</w:t>
      </w:r>
      <w:bookmarkEnd w:id="174"/>
      <w:bookmarkEnd w:id="175"/>
      <w:bookmarkEnd w:id="176"/>
    </w:p>
    <w:p w:rsidR="004D5254" w:rsidRDefault="004D5254" w:rsidP="004D5254">
      <w:pPr>
        <w:pStyle w:val="Heading4"/>
        <w:numPr>
          <w:ilvl w:val="2"/>
          <w:numId w:val="5"/>
        </w:numPr>
      </w:pPr>
      <w:bookmarkStart w:id="177" w:name="_Ref271037274"/>
      <w:bookmarkStart w:id="178" w:name="_Toc272414652"/>
      <w:bookmarkStart w:id="179" w:name="_Toc290846274"/>
      <w:bookmarkStart w:id="180" w:name="_Toc320881450"/>
      <w:r>
        <w:t>Pivotal efficacy stud</w:t>
      </w:r>
      <w:bookmarkEnd w:id="177"/>
      <w:bookmarkEnd w:id="178"/>
      <w:bookmarkEnd w:id="179"/>
      <w:r>
        <w:t>y</w:t>
      </w:r>
      <w:bookmarkEnd w:id="180"/>
    </w:p>
    <w:p w:rsidR="004D5254" w:rsidRPr="003C0A48" w:rsidRDefault="004D5254" w:rsidP="004D5254">
      <w:pPr>
        <w:pStyle w:val="Heading5"/>
        <w:numPr>
          <w:ilvl w:val="3"/>
          <w:numId w:val="5"/>
        </w:numPr>
      </w:pPr>
      <w:bookmarkStart w:id="181" w:name="_Ref243301615"/>
      <w:bookmarkStart w:id="182" w:name="_Ref271040927"/>
      <w:bookmarkStart w:id="183" w:name="_Ref271040932"/>
      <w:bookmarkStart w:id="184" w:name="_Toc272414653"/>
      <w:bookmarkStart w:id="185" w:name="_Toc290846275"/>
      <w:bookmarkStart w:id="186" w:name="_Toc320881451"/>
      <w:r w:rsidRPr="003C0A48">
        <w:t>S</w:t>
      </w:r>
      <w:r>
        <w:t xml:space="preserve">tudy </w:t>
      </w:r>
      <w:bookmarkEnd w:id="181"/>
      <w:r>
        <w:t>PDX-008 - aka PROPEL (</w:t>
      </w:r>
      <w:r w:rsidRPr="00151595">
        <w:rPr>
          <w:u w:val="single"/>
        </w:rPr>
        <w:t>P</w:t>
      </w:r>
      <w:r>
        <w:t xml:space="preserve">ralatrexate in Patients with </w:t>
      </w:r>
      <w:r w:rsidRPr="00151595">
        <w:rPr>
          <w:u w:val="single"/>
        </w:rPr>
        <w:t>R</w:t>
      </w:r>
      <w:r>
        <w:t xml:space="preserve">elapsed </w:t>
      </w:r>
      <w:r w:rsidRPr="00151595">
        <w:rPr>
          <w:u w:val="single"/>
        </w:rPr>
        <w:t>O</w:t>
      </w:r>
      <w:r>
        <w:t xml:space="preserve">r Refractory </w:t>
      </w:r>
      <w:r w:rsidRPr="00151595">
        <w:rPr>
          <w:u w:val="single"/>
        </w:rPr>
        <w:t>PE</w:t>
      </w:r>
      <w:r>
        <w:t xml:space="preserve">ripheral T-cell </w:t>
      </w:r>
      <w:r w:rsidRPr="00151595">
        <w:rPr>
          <w:u w:val="single"/>
        </w:rPr>
        <w:t>L</w:t>
      </w:r>
      <w:r>
        <w:t>ymphoma</w:t>
      </w:r>
      <w:bookmarkEnd w:id="182"/>
      <w:bookmarkEnd w:id="183"/>
      <w:bookmarkEnd w:id="184"/>
      <w:bookmarkEnd w:id="185"/>
      <w:r>
        <w:t>)</w:t>
      </w:r>
      <w:bookmarkEnd w:id="186"/>
    </w:p>
    <w:p w:rsidR="004D5254" w:rsidRPr="003C0A48" w:rsidRDefault="004D5254" w:rsidP="004D5254">
      <w:pPr>
        <w:pStyle w:val="Heading6"/>
        <w:numPr>
          <w:ilvl w:val="4"/>
          <w:numId w:val="5"/>
        </w:numPr>
        <w:ind w:left="1702" w:hanging="1418"/>
      </w:pPr>
      <w:r w:rsidRPr="003C0A48">
        <w:t>Study design, objectives, locations and dates</w:t>
      </w:r>
    </w:p>
    <w:p w:rsidR="004D5254" w:rsidRDefault="004D5254" w:rsidP="004D5254">
      <w:pPr>
        <w:autoSpaceDE w:val="0"/>
        <w:autoSpaceDN w:val="0"/>
        <w:adjustRightInd w:val="0"/>
      </w:pPr>
      <w:r>
        <w:t>This Phase I</w:t>
      </w:r>
      <w:r w:rsidRPr="00192272">
        <w:t>I, single arm, non-randomi</w:t>
      </w:r>
      <w:r>
        <w:t>s</w:t>
      </w:r>
      <w:r w:rsidRPr="00192272">
        <w:t>ed, open-label</w:t>
      </w:r>
      <w:r>
        <w:t xml:space="preserve"> study was conducted across 35 study sites in </w:t>
      </w:r>
      <w:r w:rsidRPr="00262409">
        <w:t>Europe, the US</w:t>
      </w:r>
      <w:r>
        <w:t>A</w:t>
      </w:r>
      <w:r w:rsidRPr="00262409">
        <w:t xml:space="preserve"> and Canada</w:t>
      </w:r>
      <w:r>
        <w:t xml:space="preserve"> from August 2006 to August 2009 with the </w:t>
      </w:r>
      <w:r w:rsidRPr="00192272">
        <w:t xml:space="preserve">objective of </w:t>
      </w:r>
      <w:r>
        <w:t>evaluating</w:t>
      </w:r>
      <w:r w:rsidRPr="00192272">
        <w:t xml:space="preserve"> the efficacy, safety and pharmacokinetic profile</w:t>
      </w:r>
      <w:r>
        <w:t>s</w:t>
      </w:r>
      <w:r w:rsidRPr="00192272">
        <w:t xml:space="preserve"> of pralatrexate </w:t>
      </w:r>
      <w:r>
        <w:t xml:space="preserve">when administered </w:t>
      </w:r>
      <w:r w:rsidRPr="00192272">
        <w:t xml:space="preserve">with concurrent vitamin B12 and folic acid </w:t>
      </w:r>
      <w:r>
        <w:t>s</w:t>
      </w:r>
      <w:r w:rsidRPr="00192272">
        <w:t xml:space="preserve">upplementation </w:t>
      </w:r>
      <w:r>
        <w:t>in</w:t>
      </w:r>
      <w:r w:rsidRPr="00192272">
        <w:t xml:space="preserve"> patients with relapsed or refractory PTCL.</w:t>
      </w:r>
    </w:p>
    <w:p w:rsidR="004D5254" w:rsidRDefault="004D5254" w:rsidP="004D5254">
      <w:pPr>
        <w:autoSpaceDE w:val="0"/>
        <w:autoSpaceDN w:val="0"/>
        <w:adjustRightInd w:val="0"/>
      </w:pPr>
      <w:r w:rsidRPr="008C2D22">
        <w:t>The study was designed as a confirmatory efficacy study</w:t>
      </w:r>
      <w:r>
        <w:t xml:space="preserve"> </w:t>
      </w:r>
      <w:r w:rsidRPr="008C2D22">
        <w:t xml:space="preserve">following the observation of </w:t>
      </w:r>
      <w:r>
        <w:t xml:space="preserve">tumour </w:t>
      </w:r>
      <w:r w:rsidRPr="008C2D22">
        <w:t xml:space="preserve">responses in </w:t>
      </w:r>
      <w:r w:rsidRPr="00262409">
        <w:t>12/20 (60%) evaluable</w:t>
      </w:r>
      <w:r>
        <w:rPr>
          <w:rFonts w:ascii="Times New Roman" w:hAnsi="Times New Roman"/>
          <w:sz w:val="24"/>
        </w:rPr>
        <w:t xml:space="preserve"> </w:t>
      </w:r>
      <w:r w:rsidRPr="008C2D22">
        <w:t xml:space="preserve">patients with </w:t>
      </w:r>
      <w:r w:rsidRPr="008B53AA">
        <w:rPr>
          <w:color w:val="000000"/>
        </w:rPr>
        <w:t>T/natural killer (NK)-cell lymphoma</w:t>
      </w:r>
      <w:r w:rsidRPr="008C2D22">
        <w:t xml:space="preserve"> in </w:t>
      </w:r>
      <w:r>
        <w:t>Study PDX-</w:t>
      </w:r>
      <w:r w:rsidRPr="008C2D22">
        <w:t>02-078</w:t>
      </w:r>
      <w:r>
        <w:t>. It</w:t>
      </w:r>
      <w:r>
        <w:rPr>
          <w:color w:val="000000"/>
        </w:rPr>
        <w:t xml:space="preserve"> employed a 2-stage design </w:t>
      </w:r>
      <w:r w:rsidRPr="00A41BA2">
        <w:rPr>
          <w:color w:val="000000"/>
        </w:rPr>
        <w:t>(</w:t>
      </w:r>
      <w:r w:rsidRPr="00A41BA2">
        <w:t>Simon, 1989</w:t>
      </w:r>
      <w:r w:rsidRPr="00A41BA2">
        <w:rPr>
          <w:color w:val="000000"/>
        </w:rPr>
        <w:t>)</w:t>
      </w:r>
      <w:r>
        <w:rPr>
          <w:color w:val="000000"/>
        </w:rPr>
        <w:t xml:space="preserve"> that required at least 4/35 evaluable patients to experience a response in Stage 1 for the study to proceed to Stage 2, with a minimum of 100 evaluable patients overall. </w:t>
      </w:r>
      <w:r>
        <w:t xml:space="preserve">An </w:t>
      </w:r>
      <w:r w:rsidRPr="004A61BB">
        <w:t>independent Data Monitoring Committee (DMC</w:t>
      </w:r>
      <w:r>
        <w:t>) that</w:t>
      </w:r>
      <w:r>
        <w:rPr>
          <w:color w:val="0000FF"/>
        </w:rPr>
        <w:t xml:space="preserve"> </w:t>
      </w:r>
      <w:r>
        <w:t>comprised</w:t>
      </w:r>
      <w:r w:rsidRPr="004A61BB">
        <w:t xml:space="preserve"> 3 h</w:t>
      </w:r>
      <w:r>
        <w:t>a</w:t>
      </w:r>
      <w:r w:rsidRPr="004A61BB">
        <w:t>ematologists/</w:t>
      </w:r>
      <w:r>
        <w:t xml:space="preserve">oncologists, with experience in </w:t>
      </w:r>
      <w:r w:rsidRPr="004A61BB">
        <w:t>managing T-cell</w:t>
      </w:r>
      <w:r>
        <w:t xml:space="preserve"> </w:t>
      </w:r>
      <w:r w:rsidRPr="004A61BB">
        <w:t xml:space="preserve">lymphoma </w:t>
      </w:r>
      <w:r>
        <w:t>who were</w:t>
      </w:r>
      <w:r w:rsidRPr="004A61BB">
        <w:t xml:space="preserve"> not directly involved with the conduct of the study</w:t>
      </w:r>
      <w:r>
        <w:t xml:space="preserve"> performed safety assessments after the first 10, 35 and 65 patients had completed their first cycle of treatment. The DMC recommended study continuation after each of these safety reviews.</w:t>
      </w:r>
    </w:p>
    <w:p w:rsidR="004D5254" w:rsidRPr="004B259C" w:rsidRDefault="004D5254" w:rsidP="004D5254">
      <w:pPr>
        <w:pStyle w:val="Heading6"/>
        <w:numPr>
          <w:ilvl w:val="4"/>
          <w:numId w:val="5"/>
        </w:numPr>
        <w:ind w:left="1702" w:hanging="1418"/>
      </w:pPr>
      <w:r w:rsidRPr="004B259C">
        <w:t>Inclusion and exclusion criteria</w:t>
      </w:r>
    </w:p>
    <w:p w:rsidR="004D5254" w:rsidRDefault="004D5254" w:rsidP="004D5254">
      <w:pPr>
        <w:autoSpaceDE w:val="0"/>
        <w:autoSpaceDN w:val="0"/>
        <w:adjustRightInd w:val="0"/>
      </w:pPr>
      <w:r>
        <w:t>Participants were required to be aged 18 years or older and have:</w:t>
      </w:r>
    </w:p>
    <w:p w:rsidR="004D5254" w:rsidRDefault="004D5254" w:rsidP="004D5254">
      <w:pPr>
        <w:pStyle w:val="ListBullet"/>
        <w:numPr>
          <w:ilvl w:val="0"/>
          <w:numId w:val="1"/>
        </w:numPr>
      </w:pPr>
      <w:r w:rsidRPr="00B2247A">
        <w:t xml:space="preserve">histologically/cytologically confirmed PTCL </w:t>
      </w:r>
      <w:r>
        <w:t>of the following subtypes according</w:t>
      </w:r>
      <w:r w:rsidRPr="00B2247A">
        <w:t xml:space="preserve"> </w:t>
      </w:r>
      <w:r>
        <w:t xml:space="preserve">to </w:t>
      </w:r>
      <w:r w:rsidRPr="00B2247A">
        <w:t>the Revised European</w:t>
      </w:r>
      <w:r>
        <w:t xml:space="preserve"> </w:t>
      </w:r>
      <w:r w:rsidRPr="00B2247A">
        <w:t>American Lymphoma (REAL) World Health Organization (WHO) disease classification</w:t>
      </w:r>
      <w:r>
        <w:t xml:space="preserve">, </w:t>
      </w:r>
      <w:r w:rsidRPr="005855BC">
        <w:t>with at least 1 biopsy from initial diagnosis or in the relapsed setting to confirm the diagnosis of PTCL</w:t>
      </w:r>
      <w:r>
        <w:t xml:space="preserve">; </w:t>
      </w:r>
    </w:p>
    <w:p w:rsidR="004D5254" w:rsidRPr="004B5CA4" w:rsidRDefault="004D5254" w:rsidP="004D5254">
      <w:pPr>
        <w:pStyle w:val="ListBullet2"/>
        <w:numPr>
          <w:ilvl w:val="1"/>
          <w:numId w:val="1"/>
        </w:numPr>
      </w:pPr>
      <w:r w:rsidRPr="00610F87">
        <w:t>T/NK-cell leuk</w:t>
      </w:r>
      <w:r>
        <w:t>a</w:t>
      </w:r>
      <w:r w:rsidRPr="00610F87">
        <w:t>emia/lymphoma</w:t>
      </w:r>
      <w:r>
        <w:t>;</w:t>
      </w:r>
    </w:p>
    <w:p w:rsidR="004D5254" w:rsidRPr="004B5CA4" w:rsidRDefault="004D5254" w:rsidP="004D5254">
      <w:pPr>
        <w:pStyle w:val="ListBullet2"/>
        <w:numPr>
          <w:ilvl w:val="1"/>
          <w:numId w:val="1"/>
        </w:numPr>
      </w:pPr>
      <w:r w:rsidRPr="00610F87">
        <w:t>Adult T-cell lymphoma/leuk</w:t>
      </w:r>
      <w:r>
        <w:t>a</w:t>
      </w:r>
      <w:r w:rsidRPr="00610F87">
        <w:t>emia (ATLL) (human T-cell leuk</w:t>
      </w:r>
      <w:r>
        <w:t>a</w:t>
      </w:r>
      <w:r w:rsidRPr="00610F87">
        <w:t>emia virus [HTLV] 1+)</w:t>
      </w:r>
      <w:r>
        <w:t>;</w:t>
      </w:r>
    </w:p>
    <w:p w:rsidR="004D5254" w:rsidRPr="004B5CA4" w:rsidRDefault="004D5254" w:rsidP="004D5254">
      <w:pPr>
        <w:pStyle w:val="ListBullet2"/>
        <w:numPr>
          <w:ilvl w:val="1"/>
          <w:numId w:val="1"/>
        </w:numPr>
      </w:pPr>
      <w:r w:rsidRPr="00610F87">
        <w:t>Angioimmunoblastic T-cell lymphoma</w:t>
      </w:r>
      <w:r>
        <w:t xml:space="preserve">; </w:t>
      </w:r>
    </w:p>
    <w:p w:rsidR="004D5254" w:rsidRPr="004B5CA4" w:rsidRDefault="004D5254" w:rsidP="004D5254">
      <w:pPr>
        <w:pStyle w:val="ListBullet2"/>
        <w:numPr>
          <w:ilvl w:val="1"/>
          <w:numId w:val="1"/>
        </w:numPr>
      </w:pPr>
      <w:r w:rsidRPr="00610F87">
        <w:t>Blastic NK lymphoma (with skin, lymph node, or visceral involvement)</w:t>
      </w:r>
      <w:r>
        <w:t>;</w:t>
      </w:r>
    </w:p>
    <w:p w:rsidR="004D5254" w:rsidRPr="004B5CA4" w:rsidRDefault="004D5254" w:rsidP="004D5254">
      <w:pPr>
        <w:pStyle w:val="ListBullet2"/>
        <w:numPr>
          <w:ilvl w:val="1"/>
          <w:numId w:val="1"/>
        </w:numPr>
      </w:pPr>
      <w:r>
        <w:t>Anaplastic large cell lymphoma</w:t>
      </w:r>
      <w:r w:rsidRPr="00610F87">
        <w:t xml:space="preserve"> </w:t>
      </w:r>
      <w:r>
        <w:t>(</w:t>
      </w:r>
      <w:r w:rsidRPr="00610F87">
        <w:t>ALCL</w:t>
      </w:r>
      <w:r>
        <w:t>)</w:t>
      </w:r>
      <w:r w:rsidRPr="00610F87">
        <w:t>, primary systemic type</w:t>
      </w:r>
      <w:r>
        <w:t>;</w:t>
      </w:r>
    </w:p>
    <w:p w:rsidR="004D5254" w:rsidRPr="004B5CA4" w:rsidRDefault="004D5254" w:rsidP="004D5254">
      <w:pPr>
        <w:pStyle w:val="ListBullet2"/>
        <w:numPr>
          <w:ilvl w:val="1"/>
          <w:numId w:val="1"/>
        </w:numPr>
      </w:pPr>
      <w:r w:rsidRPr="00610F87">
        <w:t>PTCL – unspecified</w:t>
      </w:r>
      <w:r>
        <w:t>;</w:t>
      </w:r>
    </w:p>
    <w:p w:rsidR="004D5254" w:rsidRPr="004B5CA4" w:rsidRDefault="004D5254" w:rsidP="004D5254">
      <w:pPr>
        <w:pStyle w:val="ListBullet2"/>
        <w:numPr>
          <w:ilvl w:val="1"/>
          <w:numId w:val="1"/>
        </w:numPr>
      </w:pPr>
      <w:r w:rsidRPr="00610F87">
        <w:t>T/NK-cell lymphoma – nasal</w:t>
      </w:r>
      <w:r>
        <w:t>;</w:t>
      </w:r>
    </w:p>
    <w:p w:rsidR="004D5254" w:rsidRPr="004B5CA4" w:rsidRDefault="004D5254" w:rsidP="004D5254">
      <w:pPr>
        <w:pStyle w:val="ListBullet2"/>
        <w:numPr>
          <w:ilvl w:val="1"/>
          <w:numId w:val="1"/>
        </w:numPr>
      </w:pPr>
      <w:r w:rsidRPr="00610F87">
        <w:t>Enteropathy-type intestinal lymphoma</w:t>
      </w:r>
      <w:r>
        <w:t>;</w:t>
      </w:r>
    </w:p>
    <w:p w:rsidR="004D5254" w:rsidRPr="004B5CA4" w:rsidRDefault="004D5254" w:rsidP="004D5254">
      <w:pPr>
        <w:pStyle w:val="ListBullet2"/>
        <w:numPr>
          <w:ilvl w:val="1"/>
          <w:numId w:val="1"/>
        </w:numPr>
      </w:pPr>
      <w:r w:rsidRPr="00610F87">
        <w:t>Hepatosplenic T-cell lymphoma</w:t>
      </w:r>
      <w:r>
        <w:t>;</w:t>
      </w:r>
    </w:p>
    <w:p w:rsidR="004D5254" w:rsidRPr="004B5CA4" w:rsidRDefault="004D5254" w:rsidP="004D5254">
      <w:pPr>
        <w:pStyle w:val="ListBullet2"/>
        <w:numPr>
          <w:ilvl w:val="1"/>
          <w:numId w:val="1"/>
        </w:numPr>
      </w:pPr>
      <w:r w:rsidRPr="00610F87">
        <w:t>Extranodal peripheral T/NK-cell lymphoma – unspecified</w:t>
      </w:r>
      <w:r>
        <w:t>;</w:t>
      </w:r>
    </w:p>
    <w:p w:rsidR="004D5254" w:rsidRDefault="004D5254" w:rsidP="004D5254">
      <w:pPr>
        <w:pStyle w:val="ListBullet2"/>
        <w:numPr>
          <w:ilvl w:val="1"/>
          <w:numId w:val="1"/>
        </w:numPr>
      </w:pPr>
      <w:r w:rsidRPr="00610F87">
        <w:lastRenderedPageBreak/>
        <w:t>Subcutaneous panniculitis T-cell lymphoma</w:t>
      </w:r>
      <w:r>
        <w:t>;</w:t>
      </w:r>
    </w:p>
    <w:p w:rsidR="004D5254" w:rsidRPr="004B5CA4" w:rsidRDefault="004D5254" w:rsidP="004D5254">
      <w:pPr>
        <w:pStyle w:val="ListBullet2"/>
        <w:numPr>
          <w:ilvl w:val="1"/>
          <w:numId w:val="1"/>
        </w:numPr>
      </w:pPr>
      <w:r w:rsidRPr="004B5CA4">
        <w:t>Transformed mycosis fungoides; and</w:t>
      </w:r>
    </w:p>
    <w:p w:rsidR="004D5254" w:rsidRDefault="004D5254" w:rsidP="004D5254">
      <w:pPr>
        <w:pStyle w:val="ListBullet"/>
        <w:numPr>
          <w:ilvl w:val="0"/>
          <w:numId w:val="1"/>
        </w:numPr>
      </w:pPr>
      <w:r w:rsidRPr="005855BC">
        <w:t>received at least 1 prior non-experimental, non-biological treatment, with clear disease progression after the last treatment received; and</w:t>
      </w:r>
    </w:p>
    <w:p w:rsidR="004D5254" w:rsidRDefault="004D5254" w:rsidP="004D5254">
      <w:pPr>
        <w:pStyle w:val="ListBullet"/>
        <w:numPr>
          <w:ilvl w:val="0"/>
          <w:numId w:val="1"/>
        </w:numPr>
      </w:pPr>
      <w:r w:rsidRPr="005855BC">
        <w:t xml:space="preserve">an </w:t>
      </w:r>
      <w:r w:rsidRPr="00A225D1">
        <w:t>Eastern Cooperative Oncology Group</w:t>
      </w:r>
      <w:r w:rsidRPr="005855BC">
        <w:t xml:space="preserve"> performance status </w:t>
      </w:r>
      <w:r>
        <w:t>(</w:t>
      </w:r>
      <w:r w:rsidRPr="005855BC">
        <w:t>ECOG</w:t>
      </w:r>
      <w:r>
        <w:t xml:space="preserve"> PS)</w:t>
      </w:r>
      <w:r w:rsidRPr="005855BC">
        <w:t xml:space="preserve"> </w:t>
      </w:r>
      <w:r>
        <w:t>≤</w:t>
      </w:r>
      <w:r w:rsidRPr="005855BC">
        <w:rPr>
          <w:rFonts w:cs="Symbol"/>
        </w:rPr>
        <w:t xml:space="preserve"> </w:t>
      </w:r>
      <w:r w:rsidRPr="005855BC">
        <w:t>2; and</w:t>
      </w:r>
    </w:p>
    <w:p w:rsidR="004D5254" w:rsidRPr="005855BC" w:rsidRDefault="004D5254" w:rsidP="004D5254">
      <w:pPr>
        <w:pStyle w:val="ListBullet"/>
        <w:numPr>
          <w:ilvl w:val="0"/>
          <w:numId w:val="1"/>
        </w:numPr>
      </w:pPr>
      <w:r w:rsidRPr="005855BC">
        <w:t>absolute neutrophil count (ANC) &gt; 1,000/μL</w:t>
      </w:r>
      <w:r>
        <w:t>; and</w:t>
      </w:r>
    </w:p>
    <w:p w:rsidR="004D5254" w:rsidRDefault="004D5254" w:rsidP="004D5254">
      <w:pPr>
        <w:pStyle w:val="ListBullet"/>
        <w:numPr>
          <w:ilvl w:val="0"/>
          <w:numId w:val="1"/>
        </w:numPr>
      </w:pPr>
      <w:r w:rsidRPr="00B2247A">
        <w:t>platelet count &gt; 100,000/μL</w:t>
      </w:r>
      <w:r>
        <w:t>; and</w:t>
      </w:r>
    </w:p>
    <w:p w:rsidR="004D5254" w:rsidRDefault="004D5254" w:rsidP="004D5254">
      <w:pPr>
        <w:pStyle w:val="ListBullet"/>
        <w:numPr>
          <w:ilvl w:val="0"/>
          <w:numId w:val="1"/>
        </w:numPr>
      </w:pPr>
      <w:r w:rsidRPr="00B2247A">
        <w:t>serum alanine transaminase (ALT) and aspartate</w:t>
      </w:r>
      <w:r>
        <w:t xml:space="preserve"> </w:t>
      </w:r>
      <w:r w:rsidRPr="00B2247A">
        <w:t xml:space="preserve">transaminase (AST) </w:t>
      </w:r>
      <w:r w:rsidRPr="00B2247A">
        <w:rPr>
          <w:rFonts w:eastAsia="TimesNewRomanPSMT" w:cs="TimesNewRomanPSMT"/>
        </w:rPr>
        <w:t xml:space="preserve">≤ </w:t>
      </w:r>
      <w:r w:rsidRPr="00B2247A">
        <w:t>2.5 times upper limit of normal (ULN) or &lt; 5 times ULN if</w:t>
      </w:r>
      <w:r>
        <w:t xml:space="preserve"> there was </w:t>
      </w:r>
      <w:r w:rsidRPr="00B2247A">
        <w:t>documented hepatic involvement with lymphoma</w:t>
      </w:r>
      <w:r>
        <w:t>; and</w:t>
      </w:r>
    </w:p>
    <w:p w:rsidR="004D5254" w:rsidRDefault="004D5254" w:rsidP="004D5254">
      <w:pPr>
        <w:pStyle w:val="ListBullet"/>
        <w:numPr>
          <w:ilvl w:val="0"/>
          <w:numId w:val="1"/>
        </w:numPr>
      </w:pPr>
      <w:r w:rsidRPr="00B2247A">
        <w:t>total serum bilirubin &lt; 1.5 mg/dL</w:t>
      </w:r>
      <w:r>
        <w:t>; and</w:t>
      </w:r>
    </w:p>
    <w:p w:rsidR="004D5254" w:rsidRDefault="004D5254" w:rsidP="004D5254">
      <w:pPr>
        <w:pStyle w:val="ListBullet"/>
        <w:numPr>
          <w:ilvl w:val="0"/>
          <w:numId w:val="1"/>
        </w:numPr>
      </w:pPr>
      <w:r w:rsidRPr="00B2247A">
        <w:t>serum</w:t>
      </w:r>
      <w:r>
        <w:t xml:space="preserve"> </w:t>
      </w:r>
      <w:r w:rsidRPr="00B2247A">
        <w:t>creatinine concentration &lt; 1.5 mg/dL</w:t>
      </w:r>
      <w:r>
        <w:t xml:space="preserve">, or creatinine clearance </w:t>
      </w:r>
      <w:r w:rsidRPr="00B2247A">
        <w:rPr>
          <w:rFonts w:eastAsia="TimesNewRomanPSMT" w:cs="TimesNewRomanPSMT"/>
        </w:rPr>
        <w:t xml:space="preserve">≥ </w:t>
      </w:r>
      <w:r w:rsidRPr="00B2247A">
        <w:t xml:space="preserve">50 mL/min </w:t>
      </w:r>
      <w:r>
        <w:t xml:space="preserve">in the event that </w:t>
      </w:r>
      <w:r w:rsidRPr="00B2247A">
        <w:t>if</w:t>
      </w:r>
      <w:r>
        <w:t xml:space="preserve"> the patient’s serum creatinine was</w:t>
      </w:r>
      <w:r w:rsidRPr="00B2247A">
        <w:t xml:space="preserve"> &gt; 1.5 mg/dL</w:t>
      </w:r>
      <w:r>
        <w:t>; and</w:t>
      </w:r>
    </w:p>
    <w:p w:rsidR="004D5254" w:rsidRDefault="004D5254" w:rsidP="004D5254">
      <w:pPr>
        <w:pStyle w:val="ListBullet"/>
        <w:numPr>
          <w:ilvl w:val="0"/>
          <w:numId w:val="1"/>
        </w:numPr>
      </w:pPr>
      <w:r>
        <w:t>medically acceptable contraception, unless surgically sterile.</w:t>
      </w:r>
    </w:p>
    <w:p w:rsidR="004D5254" w:rsidRPr="004B5CA4" w:rsidRDefault="004D5254" w:rsidP="004D5254">
      <w:pPr>
        <w:autoSpaceDE w:val="0"/>
        <w:autoSpaceDN w:val="0"/>
        <w:adjustRightInd w:val="0"/>
      </w:pPr>
      <w:r w:rsidRPr="004A61BB">
        <w:rPr>
          <w:color w:val="000000"/>
        </w:rPr>
        <w:t>The</w:t>
      </w:r>
      <w:r w:rsidRPr="009D4C4C">
        <w:rPr>
          <w:color w:val="000000"/>
        </w:rPr>
        <w:t xml:space="preserve"> histological subtypes allowed in the study were chosen by the sponsor because they </w:t>
      </w:r>
      <w:r>
        <w:rPr>
          <w:color w:val="000000"/>
        </w:rPr>
        <w:t>have</w:t>
      </w:r>
      <w:r w:rsidRPr="009D4C4C">
        <w:rPr>
          <w:color w:val="000000"/>
        </w:rPr>
        <w:t xml:space="preserve"> a relatively homogenous prognosis and outcome; they are among the most common PTCL subtypes; and they are representative of the larger PTCL patient population</w:t>
      </w:r>
      <w:r>
        <w:rPr>
          <w:color w:val="000000"/>
        </w:rPr>
        <w:t xml:space="preserve">. </w:t>
      </w:r>
      <w:r w:rsidRPr="004B5CA4">
        <w:t>Patients with subtypes that have a highly aggressive nature (such as T-cell prolymphocytic leuk</w:t>
      </w:r>
      <w:r>
        <w:t>a</w:t>
      </w:r>
      <w:r w:rsidRPr="004B5CA4">
        <w:t>emia (T-PLL)) were excluded from the study, as were patients with subtypes that have a natural history of an indolent and prolonged course, such as:</w:t>
      </w:r>
    </w:p>
    <w:p w:rsidR="004D5254" w:rsidRPr="004B5CA4" w:rsidRDefault="004D5254" w:rsidP="004D5254">
      <w:pPr>
        <w:pStyle w:val="ListBullet"/>
        <w:numPr>
          <w:ilvl w:val="0"/>
          <w:numId w:val="1"/>
        </w:numPr>
      </w:pPr>
      <w:r w:rsidRPr="004B5CA4">
        <w:t>T-cell large granular lymphocytic leuk</w:t>
      </w:r>
      <w:r>
        <w:t>a</w:t>
      </w:r>
      <w:r w:rsidRPr="004B5CA4">
        <w:t>emia</w:t>
      </w:r>
      <w:r>
        <w:t>;</w:t>
      </w:r>
    </w:p>
    <w:p w:rsidR="004D5254" w:rsidRPr="004B5CA4" w:rsidRDefault="004D5254" w:rsidP="004D5254">
      <w:pPr>
        <w:pStyle w:val="ListBullet"/>
        <w:numPr>
          <w:ilvl w:val="0"/>
          <w:numId w:val="1"/>
        </w:numPr>
      </w:pPr>
      <w:r w:rsidRPr="004B5CA4">
        <w:t>Mycosis fungoides (except transformed mycosis fungoides)</w:t>
      </w:r>
      <w:r>
        <w:t>;</w:t>
      </w:r>
    </w:p>
    <w:p w:rsidR="004D5254" w:rsidRPr="004B5CA4" w:rsidRDefault="004D5254" w:rsidP="004D5254">
      <w:pPr>
        <w:pStyle w:val="ListBullet"/>
        <w:numPr>
          <w:ilvl w:val="0"/>
          <w:numId w:val="1"/>
        </w:numPr>
      </w:pPr>
      <w:r w:rsidRPr="004B5CA4">
        <w:t>Sézary syndrome</w:t>
      </w:r>
      <w:r>
        <w:t>; and</w:t>
      </w:r>
    </w:p>
    <w:p w:rsidR="004D5254" w:rsidRPr="004B5CA4" w:rsidRDefault="004D5254" w:rsidP="004D5254">
      <w:pPr>
        <w:pStyle w:val="ListBullet"/>
        <w:numPr>
          <w:ilvl w:val="0"/>
          <w:numId w:val="1"/>
        </w:numPr>
      </w:pPr>
      <w:r w:rsidRPr="004B5CA4">
        <w:t>Primary cutaneous CD30+ disorders</w:t>
      </w:r>
      <w:r>
        <w:t>.</w:t>
      </w:r>
    </w:p>
    <w:p w:rsidR="004D5254" w:rsidRDefault="004D5254" w:rsidP="004D5254">
      <w:pPr>
        <w:autoSpaceDE w:val="0"/>
        <w:autoSpaceDN w:val="0"/>
        <w:adjustRightInd w:val="0"/>
      </w:pPr>
      <w:r w:rsidRPr="007D1974">
        <w:t>Other key exclusion criteria included active concurrent malignancy (except non-melanoma skin cancer or carcinoma in</w:t>
      </w:r>
      <w:r>
        <w:t xml:space="preserve"> </w:t>
      </w:r>
      <w:r w:rsidRPr="007D1974">
        <w:t>situ of the cervix); previous allogeneic stem cell transplantation; history of, brain metastases or central nervous system disease; receipt of any conventional chemotherapy or radiation therapy (RT) within 4 weeks</w:t>
      </w:r>
      <w:r>
        <w:t xml:space="preserve"> </w:t>
      </w:r>
      <w:r w:rsidRPr="007D1974">
        <w:t>(6 weeks for nitrosoureas or mitomycin C) prior to study treatment or planned use</w:t>
      </w:r>
      <w:r>
        <w:t xml:space="preserve"> </w:t>
      </w:r>
      <w:r w:rsidRPr="007D1974">
        <w:t>during the course of the study; and receipt of corticosteroids within 7 days of study treatment, unless patient had been</w:t>
      </w:r>
      <w:r>
        <w:t xml:space="preserve"> </w:t>
      </w:r>
      <w:r w:rsidRPr="007D1974">
        <w:t>taking a continuous dose of no more than 10 mg/day of prednisone for at least</w:t>
      </w:r>
      <w:r>
        <w:t xml:space="preserve"> </w:t>
      </w:r>
      <w:r w:rsidRPr="007D1974">
        <w:t>1 month.</w:t>
      </w:r>
    </w:p>
    <w:p w:rsidR="004D5254" w:rsidRDefault="004D5254" w:rsidP="004D5254">
      <w:pPr>
        <w:autoSpaceDE w:val="0"/>
        <w:autoSpaceDN w:val="0"/>
        <w:adjustRightInd w:val="0"/>
      </w:pPr>
      <w:r w:rsidRPr="004A61BB">
        <w:t>The diagnosis of eligible peripheral T-cell lymphoma (PTCL) histopathological subtype was</w:t>
      </w:r>
      <w:r>
        <w:t xml:space="preserve"> </w:t>
      </w:r>
      <w:r w:rsidRPr="004A61BB">
        <w:t>confirmed by central pathology review</w:t>
      </w:r>
      <w:r>
        <w:t xml:space="preserve">. </w:t>
      </w:r>
      <w:r w:rsidRPr="00151595">
        <w:t>In cases where the diagnosis provided by the investigator of</w:t>
      </w:r>
      <w:r>
        <w:t xml:space="preserve"> </w:t>
      </w:r>
      <w:r w:rsidRPr="00151595">
        <w:t>histopathological subtype</w:t>
      </w:r>
      <w:r>
        <w:t xml:space="preserve"> could not be confirmed</w:t>
      </w:r>
      <w:r w:rsidRPr="00151595">
        <w:t xml:space="preserve">, the relevant slides and pathology reports were </w:t>
      </w:r>
      <w:r>
        <w:t>referred</w:t>
      </w:r>
      <w:r w:rsidRPr="00151595">
        <w:t xml:space="preserve"> for a</w:t>
      </w:r>
      <w:r>
        <w:t>n independent</w:t>
      </w:r>
      <w:r w:rsidRPr="00151595">
        <w:t xml:space="preserve"> third party pathology assessment</w:t>
      </w:r>
      <w:r>
        <w:t xml:space="preserve"> (adjudication).</w:t>
      </w:r>
    </w:p>
    <w:p w:rsidR="004D5254" w:rsidRPr="004B259C" w:rsidRDefault="004D5254" w:rsidP="004D5254">
      <w:pPr>
        <w:pStyle w:val="Heading6"/>
        <w:numPr>
          <w:ilvl w:val="4"/>
          <w:numId w:val="5"/>
        </w:numPr>
        <w:ind w:left="1702" w:hanging="1418"/>
      </w:pPr>
      <w:r w:rsidRPr="004B259C">
        <w:t>Study treatments</w:t>
      </w:r>
    </w:p>
    <w:p w:rsidR="004D5254" w:rsidRDefault="004D5254" w:rsidP="004D5254">
      <w:pPr>
        <w:autoSpaceDE w:val="0"/>
        <w:autoSpaceDN w:val="0"/>
        <w:adjustRightInd w:val="0"/>
      </w:pPr>
      <w:r>
        <w:rPr>
          <w:color w:val="000000"/>
        </w:rPr>
        <w:t xml:space="preserve">Patients received pralatrexate </w:t>
      </w:r>
      <w:r w:rsidRPr="001B302E">
        <w:rPr>
          <w:color w:val="000000"/>
        </w:rPr>
        <w:t>30 mg/m</w:t>
      </w:r>
      <w:r w:rsidRPr="001B302E">
        <w:rPr>
          <w:color w:val="000000"/>
          <w:vertAlign w:val="superscript"/>
        </w:rPr>
        <w:t xml:space="preserve">2 </w:t>
      </w:r>
      <w:r w:rsidRPr="001B302E">
        <w:rPr>
          <w:color w:val="000000"/>
        </w:rPr>
        <w:t>administered IV once weekly</w:t>
      </w:r>
      <w:r>
        <w:rPr>
          <w:color w:val="000000"/>
        </w:rPr>
        <w:t xml:space="preserve"> </w:t>
      </w:r>
      <w:r w:rsidRPr="001B302E">
        <w:rPr>
          <w:color w:val="000000"/>
        </w:rPr>
        <w:t xml:space="preserve">for 6 consecutive weeks followed by 1 week of </w:t>
      </w:r>
      <w:r>
        <w:rPr>
          <w:color w:val="000000"/>
        </w:rPr>
        <w:t xml:space="preserve">rest for a 7 </w:t>
      </w:r>
      <w:r w:rsidRPr="001B302E">
        <w:rPr>
          <w:color w:val="000000"/>
        </w:rPr>
        <w:t>week cycle.</w:t>
      </w:r>
      <w:r>
        <w:rPr>
          <w:color w:val="000000"/>
        </w:rPr>
        <w:t xml:space="preserve"> </w:t>
      </w:r>
      <w:r w:rsidRPr="001B302E">
        <w:rPr>
          <w:color w:val="000000"/>
        </w:rPr>
        <w:t>Dose reductions to 20 mg/m</w:t>
      </w:r>
      <w:r w:rsidRPr="001B302E">
        <w:rPr>
          <w:color w:val="000000"/>
          <w:vertAlign w:val="superscript"/>
        </w:rPr>
        <w:t>2</w:t>
      </w:r>
      <w:r>
        <w:rPr>
          <w:color w:val="000000"/>
        </w:rPr>
        <w:t xml:space="preserve"> </w:t>
      </w:r>
      <w:r w:rsidRPr="001B302E">
        <w:rPr>
          <w:color w:val="000000"/>
        </w:rPr>
        <w:t xml:space="preserve">or </w:t>
      </w:r>
      <w:r>
        <w:rPr>
          <w:color w:val="000000"/>
        </w:rPr>
        <w:t xml:space="preserve">dose </w:t>
      </w:r>
      <w:r w:rsidRPr="001B302E">
        <w:rPr>
          <w:color w:val="000000"/>
        </w:rPr>
        <w:t xml:space="preserve">omissions were allowed </w:t>
      </w:r>
      <w:r>
        <w:rPr>
          <w:color w:val="000000"/>
        </w:rPr>
        <w:t>according to pre</w:t>
      </w:r>
      <w:r w:rsidRPr="001B302E">
        <w:rPr>
          <w:color w:val="000000"/>
        </w:rPr>
        <w:t>-defined criteria for h</w:t>
      </w:r>
      <w:r>
        <w:rPr>
          <w:color w:val="000000"/>
        </w:rPr>
        <w:t>a</w:t>
      </w:r>
      <w:r w:rsidRPr="001B302E">
        <w:rPr>
          <w:color w:val="000000"/>
        </w:rPr>
        <w:t>ematological toxicities, mucosal</w:t>
      </w:r>
      <w:r>
        <w:rPr>
          <w:color w:val="000000"/>
        </w:rPr>
        <w:t xml:space="preserve"> </w:t>
      </w:r>
      <w:r w:rsidRPr="001B302E">
        <w:rPr>
          <w:color w:val="000000"/>
        </w:rPr>
        <w:t>inflammation, and other treatment-related non-h</w:t>
      </w:r>
      <w:r>
        <w:rPr>
          <w:color w:val="000000"/>
        </w:rPr>
        <w:t>a</w:t>
      </w:r>
      <w:r w:rsidRPr="001B302E">
        <w:rPr>
          <w:color w:val="000000"/>
        </w:rPr>
        <w:t>ematological toxicities.</w:t>
      </w:r>
      <w:r>
        <w:rPr>
          <w:color w:val="000000"/>
        </w:rPr>
        <w:t xml:space="preserve"> Vitamin administration began after blood was collected for measurement of MMA and Hcy levels. If these levels were normal, patients could proceed to pralatrexate treatment and </w:t>
      </w:r>
      <w:r>
        <w:t xml:space="preserve">concurrent </w:t>
      </w:r>
      <w:r w:rsidRPr="008D2BFF">
        <w:t xml:space="preserve">folic acid </w:t>
      </w:r>
      <w:r>
        <w:t>(</w:t>
      </w:r>
      <w:r w:rsidRPr="008D2BFF">
        <w:t>1 - 1.25</w:t>
      </w:r>
      <w:r>
        <w:t xml:space="preserve"> </w:t>
      </w:r>
      <w:r w:rsidRPr="008D2BFF">
        <w:t>mg</w:t>
      </w:r>
      <w:r>
        <w:t xml:space="preserve"> PO daily) and v</w:t>
      </w:r>
      <w:r w:rsidRPr="008D2BFF">
        <w:t>itamin B12</w:t>
      </w:r>
      <w:r>
        <w:t xml:space="preserve"> (1 mg IMI </w:t>
      </w:r>
      <w:r w:rsidRPr="008D2BFF">
        <w:t>every 8 - 10 weeks</w:t>
      </w:r>
      <w:r>
        <w:t>)</w:t>
      </w:r>
      <w:r w:rsidRPr="008D2BFF">
        <w:t>.</w:t>
      </w:r>
      <w:r>
        <w:t xml:space="preserve"> If the patient’s MMA </w:t>
      </w:r>
      <w:r>
        <w:lastRenderedPageBreak/>
        <w:t>levels were &gt;200 nmol/L and/or Hcy &gt;10 µmol/L, vitamin supplementation was given for at least 10 days prior to the first administration of pralatrexate.</w:t>
      </w:r>
    </w:p>
    <w:p w:rsidR="004D5254" w:rsidRDefault="004D5254" w:rsidP="004D5254">
      <w:pPr>
        <w:autoSpaceDE w:val="0"/>
        <w:autoSpaceDN w:val="0"/>
        <w:adjustRightInd w:val="0"/>
      </w:pPr>
      <w:r w:rsidRPr="008D2BFF">
        <w:t xml:space="preserve">Patients were treated with pralatrexate </w:t>
      </w:r>
      <w:r>
        <w:t xml:space="preserve">for 24 months or </w:t>
      </w:r>
      <w:r w:rsidRPr="008D2BFF">
        <w:t>until they experienced</w:t>
      </w:r>
      <w:r>
        <w:t xml:space="preserve"> any of the following, whichever occurred first: </w:t>
      </w:r>
    </w:p>
    <w:p w:rsidR="004D5254" w:rsidRDefault="004D5254" w:rsidP="004D5254">
      <w:pPr>
        <w:pStyle w:val="ListBullet"/>
        <w:numPr>
          <w:ilvl w:val="0"/>
          <w:numId w:val="1"/>
        </w:numPr>
      </w:pPr>
      <w:r>
        <w:t>disease progression;</w:t>
      </w:r>
    </w:p>
    <w:p w:rsidR="004D5254" w:rsidRDefault="004D5254" w:rsidP="004D5254">
      <w:pPr>
        <w:pStyle w:val="ListBullet"/>
        <w:numPr>
          <w:ilvl w:val="0"/>
          <w:numId w:val="1"/>
        </w:numPr>
      </w:pPr>
      <w:r>
        <w:t>i</w:t>
      </w:r>
      <w:r w:rsidRPr="00352BBA">
        <w:t>nitiation of radiotherapy or systemic chemo/biologic therapy for T-cell lymphoma</w:t>
      </w:r>
      <w:r>
        <w:t>;</w:t>
      </w:r>
    </w:p>
    <w:p w:rsidR="004D5254" w:rsidRDefault="004D5254" w:rsidP="004D5254">
      <w:pPr>
        <w:pStyle w:val="ListBullet"/>
        <w:numPr>
          <w:ilvl w:val="0"/>
          <w:numId w:val="1"/>
        </w:numPr>
      </w:pPr>
      <w:r>
        <w:t>d</w:t>
      </w:r>
      <w:r w:rsidRPr="00352BBA">
        <w:t>evelop</w:t>
      </w:r>
      <w:r>
        <w:t>ed</w:t>
      </w:r>
      <w:r w:rsidRPr="00352BBA">
        <w:t xml:space="preserve"> a</w:t>
      </w:r>
      <w:r>
        <w:t xml:space="preserve"> treatment related toxicity </w:t>
      </w:r>
      <w:r w:rsidRPr="00352BBA">
        <w:t>indicating intolerance of the lowest study dose allowed</w:t>
      </w:r>
      <w:r>
        <w:t xml:space="preserve"> </w:t>
      </w:r>
      <w:r w:rsidRPr="00D1284F">
        <w:t>(20 mg/m</w:t>
      </w:r>
      <w:r w:rsidRPr="00D1284F">
        <w:rPr>
          <w:vertAlign w:val="superscript"/>
        </w:rPr>
        <w:t>2</w:t>
      </w:r>
      <w:r w:rsidRPr="00D1284F">
        <w:t xml:space="preserve">/week), namely the second occurrence of thrombocytopenia </w:t>
      </w:r>
      <w:r>
        <w:t>G</w:t>
      </w:r>
      <w:r w:rsidRPr="00D1284F">
        <w:t>rade 4</w:t>
      </w:r>
      <w:r>
        <w:t>; the occurrence of either grade neutropaenia and fever or Grade 4 neutropaenia despite cytokine support; or the occurrence of any Grade 4 non-haematological toxicity at that dose;</w:t>
      </w:r>
    </w:p>
    <w:p w:rsidR="004D5254" w:rsidRDefault="004D5254" w:rsidP="004D5254">
      <w:pPr>
        <w:pStyle w:val="ListBullet"/>
        <w:numPr>
          <w:ilvl w:val="0"/>
          <w:numId w:val="1"/>
        </w:numPr>
      </w:pPr>
      <w:r>
        <w:t>o</w:t>
      </w:r>
      <w:r w:rsidRPr="00D1284F">
        <w:t>mission of 3 sequential doses of pralatrexa</w:t>
      </w:r>
      <w:r>
        <w:t>te due to a treatment-related AE;</w:t>
      </w:r>
    </w:p>
    <w:p w:rsidR="004D5254" w:rsidRDefault="004D5254" w:rsidP="004D5254">
      <w:pPr>
        <w:pStyle w:val="ListBullet"/>
        <w:numPr>
          <w:ilvl w:val="0"/>
          <w:numId w:val="1"/>
        </w:numPr>
      </w:pPr>
      <w:r w:rsidRPr="00D1284F">
        <w:t>&gt; 3-week lapse between pralatrexate doses</w:t>
      </w:r>
      <w:r>
        <w:t>; or</w:t>
      </w:r>
    </w:p>
    <w:p w:rsidR="004D5254" w:rsidRPr="00D1284F" w:rsidRDefault="004D5254" w:rsidP="004D5254">
      <w:pPr>
        <w:pStyle w:val="ListBullet"/>
        <w:numPr>
          <w:ilvl w:val="0"/>
          <w:numId w:val="1"/>
        </w:numPr>
      </w:pPr>
      <w:r>
        <w:t>d</w:t>
      </w:r>
      <w:r w:rsidRPr="00D1284F">
        <w:t>evelopment of an AE, intercurrent illness, condition, or procedural complication that interfere</w:t>
      </w:r>
      <w:r>
        <w:t>d</w:t>
      </w:r>
      <w:r w:rsidRPr="00D1284F">
        <w:t xml:space="preserve"> with the patient’s </w:t>
      </w:r>
      <w:r>
        <w:t xml:space="preserve">ongoing </w:t>
      </w:r>
      <w:r w:rsidRPr="00D1284F">
        <w:t>participation.</w:t>
      </w:r>
    </w:p>
    <w:p w:rsidR="004D5254" w:rsidRPr="00B16AD8" w:rsidRDefault="004D5254" w:rsidP="004D5254">
      <w:pPr>
        <w:autoSpaceDE w:val="0"/>
        <w:autoSpaceDN w:val="0"/>
        <w:adjustRightInd w:val="0"/>
        <w:rPr>
          <w:color w:val="000000"/>
        </w:rPr>
      </w:pPr>
      <w:r w:rsidRPr="00B16AD8">
        <w:rPr>
          <w:color w:val="000000"/>
        </w:rPr>
        <w:t xml:space="preserve">Other treatments allowed during the study </w:t>
      </w:r>
      <w:r>
        <w:rPr>
          <w:color w:val="000000"/>
        </w:rPr>
        <w:t>included</w:t>
      </w:r>
      <w:r w:rsidRPr="00B16AD8">
        <w:rPr>
          <w:color w:val="000000"/>
        </w:rPr>
        <w:t>:</w:t>
      </w:r>
    </w:p>
    <w:p w:rsidR="004D5254" w:rsidRPr="00B16AD8" w:rsidRDefault="004D5254" w:rsidP="004D5254">
      <w:pPr>
        <w:numPr>
          <w:ilvl w:val="0"/>
          <w:numId w:val="16"/>
        </w:numPr>
        <w:autoSpaceDE w:val="0"/>
        <w:autoSpaceDN w:val="0"/>
        <w:adjustRightInd w:val="0"/>
        <w:spacing w:after="0" w:line="240" w:lineRule="auto"/>
        <w:ind w:left="425" w:hanging="425"/>
        <w:rPr>
          <w:color w:val="000000"/>
        </w:rPr>
      </w:pPr>
      <w:r>
        <w:rPr>
          <w:color w:val="000000"/>
        </w:rPr>
        <w:t>p</w:t>
      </w:r>
      <w:r w:rsidRPr="00B16AD8">
        <w:rPr>
          <w:color w:val="000000"/>
        </w:rPr>
        <w:t>alliative and supportive care, as clinically indicated, and in accordance with the standard practices of the institution;</w:t>
      </w:r>
    </w:p>
    <w:p w:rsidR="004D5254" w:rsidRPr="00B16AD8" w:rsidRDefault="004D5254" w:rsidP="004D5254">
      <w:pPr>
        <w:numPr>
          <w:ilvl w:val="0"/>
          <w:numId w:val="16"/>
        </w:numPr>
        <w:autoSpaceDE w:val="0"/>
        <w:autoSpaceDN w:val="0"/>
        <w:adjustRightInd w:val="0"/>
        <w:spacing w:after="0" w:line="240" w:lineRule="auto"/>
        <w:ind w:left="425" w:hanging="425"/>
        <w:rPr>
          <w:color w:val="000000"/>
        </w:rPr>
      </w:pPr>
      <w:r>
        <w:rPr>
          <w:color w:val="000000"/>
        </w:rPr>
        <w:t>p</w:t>
      </w:r>
      <w:r w:rsidRPr="00B16AD8">
        <w:rPr>
          <w:color w:val="000000"/>
        </w:rPr>
        <w:t>rophylaxis and treatment of nausea and vomiting</w:t>
      </w:r>
      <w:r>
        <w:rPr>
          <w:color w:val="000000"/>
        </w:rPr>
        <w:t>,</w:t>
      </w:r>
      <w:r w:rsidRPr="00B16AD8">
        <w:rPr>
          <w:color w:val="000000"/>
        </w:rPr>
        <w:t xml:space="preserve"> according to the standard of care within the institution; </w:t>
      </w:r>
    </w:p>
    <w:p w:rsidR="004D5254" w:rsidRPr="00B16AD8" w:rsidRDefault="004D5254" w:rsidP="004D5254">
      <w:pPr>
        <w:numPr>
          <w:ilvl w:val="0"/>
          <w:numId w:val="16"/>
        </w:numPr>
        <w:autoSpaceDE w:val="0"/>
        <w:autoSpaceDN w:val="0"/>
        <w:adjustRightInd w:val="0"/>
        <w:spacing w:after="0" w:line="240" w:lineRule="auto"/>
        <w:ind w:left="425" w:hanging="425"/>
        <w:rPr>
          <w:color w:val="000000"/>
        </w:rPr>
      </w:pPr>
      <w:r>
        <w:rPr>
          <w:color w:val="000000"/>
        </w:rPr>
        <w:t>e</w:t>
      </w:r>
      <w:r w:rsidRPr="00B16AD8">
        <w:rPr>
          <w:color w:val="000000"/>
        </w:rPr>
        <w:t>rythropoietin, if judged by the investigator to be in the best interest of the patient (</w:t>
      </w:r>
      <w:r w:rsidRPr="00E64F1B">
        <w:rPr>
          <w:color w:val="000000"/>
        </w:rPr>
        <w:t>for example,</w:t>
      </w:r>
      <w:r w:rsidRPr="00B16AD8">
        <w:rPr>
          <w:color w:val="000000"/>
        </w:rPr>
        <w:t xml:space="preserve"> for patients with underlying anaemia or unacceptable haematological toxicity);</w:t>
      </w:r>
    </w:p>
    <w:p w:rsidR="004D5254" w:rsidRPr="00B16AD8" w:rsidRDefault="004D5254" w:rsidP="004D5254">
      <w:pPr>
        <w:numPr>
          <w:ilvl w:val="0"/>
          <w:numId w:val="16"/>
        </w:numPr>
        <w:autoSpaceDE w:val="0"/>
        <w:autoSpaceDN w:val="0"/>
        <w:adjustRightInd w:val="0"/>
        <w:spacing w:after="0" w:line="240" w:lineRule="auto"/>
        <w:ind w:left="425" w:hanging="425"/>
        <w:rPr>
          <w:color w:val="000000"/>
        </w:rPr>
      </w:pPr>
      <w:r>
        <w:rPr>
          <w:color w:val="000000"/>
        </w:rPr>
        <w:t>o</w:t>
      </w:r>
      <w:r w:rsidRPr="00B16AD8">
        <w:rPr>
          <w:color w:val="000000"/>
        </w:rPr>
        <w:t>ther h</w:t>
      </w:r>
      <w:r>
        <w:rPr>
          <w:color w:val="000000"/>
        </w:rPr>
        <w:t>a</w:t>
      </w:r>
      <w:r w:rsidRPr="00B16AD8">
        <w:rPr>
          <w:color w:val="000000"/>
        </w:rPr>
        <w:t>emopoietic growth factors (</w:t>
      </w:r>
      <w:r w:rsidRPr="00E64F1B">
        <w:rPr>
          <w:color w:val="000000"/>
        </w:rPr>
        <w:t>for example,</w:t>
      </w:r>
      <w:r w:rsidRPr="00B16AD8">
        <w:rPr>
          <w:color w:val="000000"/>
        </w:rPr>
        <w:t xml:space="preserve"> granulocyte colony-stimulating factor [G-CSF],</w:t>
      </w:r>
      <w:r>
        <w:rPr>
          <w:color w:val="000000"/>
        </w:rPr>
        <w:t xml:space="preserve"> </w:t>
      </w:r>
      <w:r w:rsidRPr="00B16AD8">
        <w:rPr>
          <w:color w:val="000000"/>
        </w:rPr>
        <w:t>granulocyte-macrophage colony-stimulating factor [GM-CSF]), except</w:t>
      </w:r>
      <w:r>
        <w:rPr>
          <w:color w:val="000000"/>
        </w:rPr>
        <w:t xml:space="preserve"> for </w:t>
      </w:r>
      <w:r w:rsidRPr="00B16AD8">
        <w:rPr>
          <w:color w:val="000000"/>
        </w:rPr>
        <w:t xml:space="preserve">pegfilgrastim, in accordance with the instructions for treatment modification for haematological toxicities as specified in the protocol; </w:t>
      </w:r>
    </w:p>
    <w:p w:rsidR="004D5254" w:rsidRPr="00B16AD8" w:rsidRDefault="004D5254" w:rsidP="004D5254">
      <w:pPr>
        <w:numPr>
          <w:ilvl w:val="0"/>
          <w:numId w:val="16"/>
        </w:numPr>
        <w:autoSpaceDE w:val="0"/>
        <w:autoSpaceDN w:val="0"/>
        <w:adjustRightInd w:val="0"/>
        <w:spacing w:after="0" w:line="240" w:lineRule="auto"/>
        <w:ind w:left="425" w:hanging="425"/>
        <w:rPr>
          <w:color w:val="000000"/>
        </w:rPr>
      </w:pPr>
      <w:r w:rsidRPr="00B16AD8">
        <w:rPr>
          <w:color w:val="000000"/>
        </w:rPr>
        <w:t>appetite stimulating hormones (</w:t>
      </w:r>
      <w:r w:rsidRPr="00E64F1B">
        <w:rPr>
          <w:color w:val="000000"/>
        </w:rPr>
        <w:t>for example,</w:t>
      </w:r>
      <w:r w:rsidRPr="00B16AD8">
        <w:rPr>
          <w:color w:val="000000"/>
        </w:rPr>
        <w:t xml:space="preserve"> megestrol acetate) to</w:t>
      </w:r>
      <w:r>
        <w:rPr>
          <w:color w:val="000000"/>
        </w:rPr>
        <w:t xml:space="preserve"> control anorexia and cachexia;</w:t>
      </w:r>
    </w:p>
    <w:p w:rsidR="004D5254" w:rsidRPr="00B16AD8" w:rsidRDefault="004D5254" w:rsidP="004D5254">
      <w:pPr>
        <w:numPr>
          <w:ilvl w:val="0"/>
          <w:numId w:val="16"/>
        </w:numPr>
        <w:autoSpaceDE w:val="0"/>
        <w:autoSpaceDN w:val="0"/>
        <w:adjustRightInd w:val="0"/>
        <w:spacing w:after="0" w:line="240" w:lineRule="auto"/>
        <w:ind w:left="425" w:hanging="425"/>
        <w:rPr>
          <w:color w:val="000000"/>
        </w:rPr>
      </w:pPr>
      <w:r w:rsidRPr="00B16AD8">
        <w:rPr>
          <w:color w:val="000000"/>
        </w:rPr>
        <w:t>prophylactic antibiotics, at the discretion of the investigator; and</w:t>
      </w:r>
    </w:p>
    <w:p w:rsidR="004D5254" w:rsidRPr="00B16AD8" w:rsidRDefault="004D5254" w:rsidP="004D5254">
      <w:pPr>
        <w:numPr>
          <w:ilvl w:val="0"/>
          <w:numId w:val="16"/>
        </w:numPr>
        <w:tabs>
          <w:tab w:val="left" w:pos="426"/>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0" w:line="240" w:lineRule="auto"/>
        <w:ind w:left="425" w:hanging="425"/>
        <w:jc w:val="both"/>
      </w:pPr>
      <w:r w:rsidRPr="00B16AD8">
        <w:rPr>
          <w:color w:val="000000"/>
        </w:rPr>
        <w:t>transfusions at the discretion of the investigator.</w:t>
      </w:r>
    </w:p>
    <w:p w:rsidR="004D5254" w:rsidRPr="004B259C" w:rsidRDefault="004D5254" w:rsidP="004D5254">
      <w:pPr>
        <w:pStyle w:val="Heading6"/>
        <w:numPr>
          <w:ilvl w:val="4"/>
          <w:numId w:val="5"/>
        </w:numPr>
        <w:ind w:left="1702" w:hanging="1418"/>
      </w:pPr>
      <w:r w:rsidRPr="004B259C">
        <w:t>Efficacy variables and outcomes</w:t>
      </w:r>
    </w:p>
    <w:p w:rsidR="004D5254" w:rsidRPr="00502DD0" w:rsidRDefault="004D5254" w:rsidP="004D5254">
      <w:pPr>
        <w:autoSpaceDE w:val="0"/>
        <w:autoSpaceDN w:val="0"/>
        <w:adjustRightInd w:val="0"/>
        <w:rPr>
          <w:color w:val="000000"/>
        </w:rPr>
      </w:pPr>
      <w:r w:rsidRPr="00502DD0">
        <w:rPr>
          <w:color w:val="000000"/>
        </w:rPr>
        <w:t xml:space="preserve">The following procedures/tests were performed for evaluation of </w:t>
      </w:r>
      <w:r>
        <w:rPr>
          <w:color w:val="000000"/>
        </w:rPr>
        <w:t xml:space="preserve">tumour </w:t>
      </w:r>
      <w:r w:rsidRPr="00502DD0">
        <w:rPr>
          <w:color w:val="000000"/>
        </w:rPr>
        <w:t>response:</w:t>
      </w:r>
    </w:p>
    <w:p w:rsidR="004D5254" w:rsidRPr="00502DD0" w:rsidRDefault="004D5254" w:rsidP="004D5254">
      <w:pPr>
        <w:pStyle w:val="ListBullet"/>
        <w:numPr>
          <w:ilvl w:val="0"/>
          <w:numId w:val="1"/>
        </w:numPr>
      </w:pPr>
      <w:r w:rsidRPr="00381D26">
        <w:rPr>
          <w:b/>
        </w:rPr>
        <w:t>physical examination</w:t>
      </w:r>
      <w:r w:rsidRPr="00502DD0">
        <w:t xml:space="preserve"> to assess liver, spleen, lymph nodes, and skin</w:t>
      </w:r>
      <w:r>
        <w:t xml:space="preserve"> lesions</w:t>
      </w:r>
      <w:r w:rsidRPr="00502DD0">
        <w:t>.</w:t>
      </w:r>
      <w:r>
        <w:t xml:space="preserve"> </w:t>
      </w:r>
      <w:r w:rsidRPr="00502DD0">
        <w:t>This included medical photography with ruler measurements for do</w:t>
      </w:r>
      <w:r>
        <w:t>cumentation of any skin lesions;</w:t>
      </w:r>
    </w:p>
    <w:p w:rsidR="004D5254" w:rsidRPr="00502DD0" w:rsidRDefault="004D5254" w:rsidP="004D5254">
      <w:pPr>
        <w:pStyle w:val="ListBullet"/>
        <w:numPr>
          <w:ilvl w:val="0"/>
          <w:numId w:val="1"/>
        </w:numPr>
      </w:pPr>
      <w:r w:rsidRPr="00381D26">
        <w:rPr>
          <w:b/>
        </w:rPr>
        <w:t>radiographic imaging</w:t>
      </w:r>
      <w:r w:rsidRPr="00502DD0">
        <w:t xml:space="preserve"> (using </w:t>
      </w:r>
      <w:r>
        <w:t xml:space="preserve">the </w:t>
      </w:r>
      <w:r w:rsidRPr="00502DD0">
        <w:t xml:space="preserve">same imaging technique as </w:t>
      </w:r>
      <w:r>
        <w:t xml:space="preserve">for </w:t>
      </w:r>
      <w:r w:rsidRPr="00502DD0">
        <w:t>screening):</w:t>
      </w:r>
    </w:p>
    <w:p w:rsidR="004D5254" w:rsidRPr="00502DD0" w:rsidRDefault="004D5254" w:rsidP="004D5254">
      <w:pPr>
        <w:pStyle w:val="ListBullet2"/>
        <w:numPr>
          <w:ilvl w:val="1"/>
          <w:numId w:val="1"/>
        </w:numPr>
      </w:pPr>
      <w:r w:rsidRPr="00502DD0">
        <w:t>CT of chest, neck, abdomen, and pelvis</w:t>
      </w:r>
    </w:p>
    <w:p w:rsidR="004D5254" w:rsidRDefault="004D5254" w:rsidP="004D5254">
      <w:pPr>
        <w:pStyle w:val="ListBullet2"/>
        <w:numPr>
          <w:ilvl w:val="1"/>
          <w:numId w:val="1"/>
        </w:numPr>
      </w:pPr>
      <w:r w:rsidRPr="00502DD0">
        <w:t>Other imaging techniques documenting disease site(s) other than chest, neck, abdomen, or pelvis, if applicable.</w:t>
      </w:r>
    </w:p>
    <w:p w:rsidR="004D5254" w:rsidRPr="00381D26" w:rsidRDefault="004D5254" w:rsidP="004D5254">
      <w:pPr>
        <w:pStyle w:val="ListBullet2"/>
        <w:numPr>
          <w:ilvl w:val="1"/>
          <w:numId w:val="1"/>
        </w:numPr>
      </w:pPr>
      <w:r w:rsidRPr="00381D26">
        <w:t>Whole body positron-emission tomography (PET) scans (from base of skull to mid thigh).</w:t>
      </w:r>
      <w:r>
        <w:t xml:space="preserve"> This was done for </w:t>
      </w:r>
      <w:r w:rsidRPr="00546969">
        <w:t>an exploratory analysis</w:t>
      </w:r>
      <w:r>
        <w:t>.</w:t>
      </w:r>
      <w:r w:rsidRPr="00381D26">
        <w:t xml:space="preserve"> PET imaging was not necessary if </w:t>
      </w:r>
      <w:r>
        <w:t>there was disease progression</w:t>
      </w:r>
      <w:r w:rsidRPr="00381D26">
        <w:t xml:space="preserve"> according to the </w:t>
      </w:r>
      <w:r>
        <w:t>I</w:t>
      </w:r>
      <w:r w:rsidRPr="00760F5B">
        <w:t>nternational Workshop Criteria</w:t>
      </w:r>
      <w:r>
        <w:t xml:space="preserve"> (</w:t>
      </w:r>
      <w:r w:rsidRPr="00381D26">
        <w:t>IWC</w:t>
      </w:r>
      <w:r>
        <w:t>)</w:t>
      </w:r>
      <w:r w:rsidRPr="00381D26">
        <w:t xml:space="preserve"> documented by clinical examination, CT or other imaging technique)</w:t>
      </w:r>
      <w:r>
        <w:t>;</w:t>
      </w:r>
    </w:p>
    <w:p w:rsidR="004D5254" w:rsidRPr="00502DD0" w:rsidRDefault="004D5254" w:rsidP="004D5254">
      <w:pPr>
        <w:pStyle w:val="ListBullet"/>
        <w:numPr>
          <w:ilvl w:val="0"/>
          <w:numId w:val="1"/>
        </w:numPr>
      </w:pPr>
      <w:r w:rsidRPr="00E64F1B">
        <w:rPr>
          <w:b/>
        </w:rPr>
        <w:t xml:space="preserve">LDH level </w:t>
      </w:r>
      <w:r w:rsidRPr="00381D26">
        <w:t>determination</w:t>
      </w:r>
      <w:r>
        <w:t>; and</w:t>
      </w:r>
    </w:p>
    <w:p w:rsidR="004D5254" w:rsidRPr="00502DD0" w:rsidRDefault="004D5254" w:rsidP="004D5254">
      <w:pPr>
        <w:pStyle w:val="ListBullet"/>
        <w:numPr>
          <w:ilvl w:val="0"/>
          <w:numId w:val="1"/>
        </w:numPr>
      </w:pPr>
      <w:r w:rsidRPr="00E64F1B">
        <w:rPr>
          <w:b/>
        </w:rPr>
        <w:lastRenderedPageBreak/>
        <w:t>bone marrow biopsy</w:t>
      </w:r>
      <w:r>
        <w:t>;</w:t>
      </w:r>
      <w:r w:rsidRPr="00381D26">
        <w:t xml:space="preserve"> if the patient’s screening bone marrow biopsy/aspirate results were positive or indeterminate and the patient had a confirmed complete response, a repeat bone marrow biopsy and aspirate assessment was to be performed. </w:t>
      </w:r>
    </w:p>
    <w:p w:rsidR="004D5254" w:rsidRPr="00502DD0" w:rsidRDefault="004D5254" w:rsidP="004D5254">
      <w:pPr>
        <w:autoSpaceDE w:val="0"/>
        <w:autoSpaceDN w:val="0"/>
        <w:adjustRightInd w:val="0"/>
      </w:pPr>
      <w:r>
        <w:rPr>
          <w:color w:val="000000"/>
        </w:rPr>
        <w:t>E</w:t>
      </w:r>
      <w:r w:rsidRPr="00AB2AE5">
        <w:rPr>
          <w:color w:val="000000"/>
        </w:rPr>
        <w:t>valuation of response was performed within 7 days prior to the projected first dose of the second cycle and then within</w:t>
      </w:r>
      <w:r>
        <w:rPr>
          <w:color w:val="000000"/>
        </w:rPr>
        <w:t xml:space="preserve"> </w:t>
      </w:r>
      <w:r w:rsidRPr="00AB2AE5">
        <w:rPr>
          <w:color w:val="000000"/>
        </w:rPr>
        <w:t>7 days prior to the projected first dose of every even-numbered subsequent cycle (</w:t>
      </w:r>
      <w:r>
        <w:rPr>
          <w:color w:val="000000"/>
        </w:rPr>
        <w:t>C</w:t>
      </w:r>
      <w:r w:rsidRPr="00AB2AE5">
        <w:rPr>
          <w:color w:val="000000"/>
        </w:rPr>
        <w:t>ycles 4, 6, 8, etc)</w:t>
      </w:r>
      <w:r>
        <w:rPr>
          <w:color w:val="000000"/>
        </w:rPr>
        <w:t xml:space="preserve">, </w:t>
      </w:r>
      <w:r w:rsidRPr="00990CA1">
        <w:rPr>
          <w:color w:val="000000"/>
        </w:rPr>
        <w:t>that is,</w:t>
      </w:r>
      <w:r>
        <w:rPr>
          <w:color w:val="000000"/>
        </w:rPr>
        <w:t xml:space="preserve"> every 14 weeks, although </w:t>
      </w:r>
      <w:r w:rsidRPr="006535E2">
        <w:t>unscheduled</w:t>
      </w:r>
      <w:r>
        <w:t xml:space="preserve"> </w:t>
      </w:r>
      <w:r w:rsidRPr="006535E2">
        <w:t>radiological response assessments were performed earlier if clinical progression was</w:t>
      </w:r>
      <w:r>
        <w:t xml:space="preserve"> </w:t>
      </w:r>
      <w:r w:rsidRPr="006535E2">
        <w:t>suspected.</w:t>
      </w:r>
      <w:r>
        <w:t xml:space="preserve"> </w:t>
      </w:r>
      <w:r w:rsidRPr="00502DD0">
        <w:t>Patients were to attend a safety follow-up visit 35 days after the last dose of pralatrexate</w:t>
      </w:r>
      <w:r>
        <w:t xml:space="preserve"> </w:t>
      </w:r>
      <w:r w:rsidRPr="00502DD0">
        <w:t>followed by routine follow-up every 3 months until PD or subsequent therapy.</w:t>
      </w:r>
      <w:r>
        <w:t xml:space="preserve"> </w:t>
      </w:r>
      <w:r w:rsidRPr="00502DD0">
        <w:t>Patients were</w:t>
      </w:r>
      <w:r>
        <w:t xml:space="preserve"> </w:t>
      </w:r>
      <w:r w:rsidRPr="00502DD0">
        <w:t>then followed for survival and first subsequent therapy for T-cell lymphoma every</w:t>
      </w:r>
      <w:r>
        <w:t xml:space="preserve"> </w:t>
      </w:r>
      <w:r w:rsidRPr="00502DD0">
        <w:t>6 months for a total duration of 2 years after the first dose of</w:t>
      </w:r>
      <w:r>
        <w:t xml:space="preserve"> </w:t>
      </w:r>
      <w:r w:rsidRPr="00502DD0">
        <w:t>pralatrexate.</w:t>
      </w:r>
    </w:p>
    <w:p w:rsidR="004D5254" w:rsidRDefault="004D5254" w:rsidP="004D5254">
      <w:pPr>
        <w:autoSpaceDE w:val="0"/>
        <w:autoSpaceDN w:val="0"/>
        <w:adjustRightInd w:val="0"/>
      </w:pPr>
      <w:r>
        <w:t>Tumour response</w:t>
      </w:r>
      <w:r w:rsidRPr="00D0618F">
        <w:t xml:space="preserve"> </w:t>
      </w:r>
      <w:r>
        <w:t>was performed</w:t>
      </w:r>
      <w:r w:rsidRPr="00D0618F">
        <w:t xml:space="preserve"> centrally</w:t>
      </w:r>
      <w:r>
        <w:t xml:space="preserve"> by </w:t>
      </w:r>
      <w:r w:rsidRPr="004A61BB">
        <w:t>Princeton Radiology Pharmaceutical Research, LLC (RadPharm</w:t>
      </w:r>
      <w:r>
        <w:t xml:space="preserve">) using a comprehensive charter based on the </w:t>
      </w:r>
      <w:r w:rsidRPr="00D0618F">
        <w:rPr>
          <w:color w:val="000000"/>
        </w:rPr>
        <w:t xml:space="preserve">International Workshop Criteria (IWC) developed by the National Cancer Institute (NCI)-sponsored International Working Group </w:t>
      </w:r>
      <w:r w:rsidRPr="00D0618F">
        <w:t xml:space="preserve">(Cheson </w:t>
      </w:r>
      <w:r w:rsidRPr="005F61C6">
        <w:rPr>
          <w:i/>
          <w:iCs/>
        </w:rPr>
        <w:t>et al</w:t>
      </w:r>
      <w:r w:rsidRPr="00E13692">
        <w:rPr>
          <w:iCs/>
        </w:rPr>
        <w:t>.</w:t>
      </w:r>
      <w:r w:rsidRPr="00E13692">
        <w:t>,</w:t>
      </w:r>
      <w:r w:rsidRPr="00D0618F">
        <w:t xml:space="preserve"> 1999)</w:t>
      </w:r>
      <w:r>
        <w:t>, that also took into account skin involvement</w:t>
      </w:r>
      <w:r w:rsidRPr="00D0618F">
        <w:t>.</w:t>
      </w:r>
      <w:r>
        <w:t xml:space="preserve"> RadPharm evaluated all radiological data, </w:t>
      </w:r>
      <w:r w:rsidRPr="004A61BB">
        <w:t xml:space="preserve">photographs for patients with cutaneous disease, </w:t>
      </w:r>
      <w:r>
        <w:t>clinical data, LDH and bone marrow biopsies. Investigator assessment of response was also documented.</w:t>
      </w:r>
    </w:p>
    <w:p w:rsidR="004D5254" w:rsidRDefault="004D5254" w:rsidP="004D5254">
      <w:pPr>
        <w:autoSpaceDE w:val="0"/>
        <w:autoSpaceDN w:val="0"/>
        <w:adjustRightInd w:val="0"/>
      </w:pPr>
      <w:r w:rsidRPr="00D0618F">
        <w:t xml:space="preserve">The </w:t>
      </w:r>
      <w:r w:rsidRPr="00D0618F">
        <w:rPr>
          <w:b/>
        </w:rPr>
        <w:t>primary efficacy endpoint</w:t>
      </w:r>
      <w:r w:rsidRPr="00D0618F">
        <w:t xml:space="preserve"> was the </w:t>
      </w:r>
      <w:r>
        <w:t xml:space="preserve">overall </w:t>
      </w:r>
      <w:r w:rsidRPr="00D0618F">
        <w:t>response rate defined as complete response (CR), complete response unconfirmed (CRu) or partial response (PR)</w:t>
      </w:r>
      <w:r>
        <w:t>. The criteria used by RadPharm for determining responder status were included with the submission.</w:t>
      </w:r>
    </w:p>
    <w:p w:rsidR="004D5254" w:rsidRDefault="004D5254" w:rsidP="004D5254">
      <w:pPr>
        <w:autoSpaceDE w:val="0"/>
        <w:autoSpaceDN w:val="0"/>
        <w:adjustRightInd w:val="0"/>
      </w:pPr>
      <w:r>
        <w:t>Overall, 3 methods were used to assess response to treatment:</w:t>
      </w:r>
    </w:p>
    <w:p w:rsidR="004D5254" w:rsidRPr="004B259C" w:rsidRDefault="004D5254" w:rsidP="004D5254">
      <w:pPr>
        <w:pStyle w:val="ListBullet"/>
        <w:numPr>
          <w:ilvl w:val="0"/>
          <w:numId w:val="1"/>
        </w:numPr>
      </w:pPr>
      <w:r>
        <w:t>Response according to IWC (central review) – this was the primary analysis;</w:t>
      </w:r>
    </w:p>
    <w:p w:rsidR="004D5254" w:rsidRPr="004B259C" w:rsidRDefault="004D5254" w:rsidP="004D5254">
      <w:pPr>
        <w:pStyle w:val="ListBullet"/>
        <w:numPr>
          <w:ilvl w:val="0"/>
          <w:numId w:val="1"/>
        </w:numPr>
      </w:pPr>
      <w:r>
        <w:t>Response according to IWC plus PET scans (central review) – this was an exploratory analysis; and</w:t>
      </w:r>
    </w:p>
    <w:p w:rsidR="004D5254" w:rsidRDefault="004D5254" w:rsidP="004D5254">
      <w:pPr>
        <w:pStyle w:val="ListBullet"/>
        <w:numPr>
          <w:ilvl w:val="0"/>
          <w:numId w:val="1"/>
        </w:numPr>
      </w:pPr>
      <w:r>
        <w:t>Response according to the local investigator.</w:t>
      </w:r>
    </w:p>
    <w:p w:rsidR="004D5254" w:rsidRPr="004B259C" w:rsidRDefault="004D5254" w:rsidP="004D5254">
      <w:r w:rsidRPr="00726FBE">
        <w:rPr>
          <w:b/>
        </w:rPr>
        <w:t>Other efficacy outcomes</w:t>
      </w:r>
      <w:r w:rsidRPr="004B259C">
        <w:t xml:space="preserve"> </w:t>
      </w:r>
      <w:r>
        <w:t>included</w:t>
      </w:r>
      <w:r w:rsidRPr="004B259C">
        <w:t>:</w:t>
      </w:r>
    </w:p>
    <w:p w:rsidR="004D5254" w:rsidRPr="00D2082C" w:rsidRDefault="004D5254" w:rsidP="004D5254">
      <w:pPr>
        <w:pStyle w:val="ListBullet"/>
        <w:numPr>
          <w:ilvl w:val="0"/>
          <w:numId w:val="1"/>
        </w:numPr>
        <w:rPr>
          <w:rFonts w:ascii="Times New Roman" w:hAnsi="Times New Roman"/>
          <w:sz w:val="24"/>
        </w:rPr>
      </w:pPr>
      <w:r w:rsidRPr="00D2082C">
        <w:t>duration of response</w:t>
      </w:r>
      <w:r>
        <w:t xml:space="preserve"> -</w:t>
      </w:r>
      <w:r w:rsidRPr="00D2082C">
        <w:t xml:space="preserve"> </w:t>
      </w:r>
      <w:r w:rsidRPr="001B302E">
        <w:t>measured from the first day of documented response until</w:t>
      </w:r>
      <w:r>
        <w:t xml:space="preserve"> </w:t>
      </w:r>
      <w:r w:rsidRPr="001B302E">
        <w:t>either</w:t>
      </w:r>
      <w:r w:rsidRPr="00D2082C">
        <w:t xml:space="preserve"> disease progression or death due to any cause </w:t>
      </w:r>
      <w:r>
        <w:t>(</w:t>
      </w:r>
      <w:r w:rsidRPr="00D2082C">
        <w:t>only calculated for patients who responded</w:t>
      </w:r>
      <w:r>
        <w:t>);</w:t>
      </w:r>
    </w:p>
    <w:p w:rsidR="004D5254" w:rsidRPr="008C2D22" w:rsidRDefault="004D5254" w:rsidP="004D5254">
      <w:pPr>
        <w:pStyle w:val="ListBullet"/>
        <w:numPr>
          <w:ilvl w:val="0"/>
          <w:numId w:val="1"/>
        </w:numPr>
      </w:pPr>
      <w:r w:rsidRPr="00AB2AE5">
        <w:t>progression-free survival (PFS)</w:t>
      </w:r>
      <w:r>
        <w:t xml:space="preserve"> - </w:t>
      </w:r>
      <w:r w:rsidRPr="008C2D22">
        <w:t>calculated as the number of days from trea</w:t>
      </w:r>
      <w:r>
        <w:t>tment D</w:t>
      </w:r>
      <w:r w:rsidRPr="008C2D22">
        <w:t xml:space="preserve">ay 1 to the date of </w:t>
      </w:r>
      <w:r>
        <w:t>disease progression</w:t>
      </w:r>
      <w:r w:rsidRPr="008C2D22">
        <w:t xml:space="preserve"> or death,</w:t>
      </w:r>
      <w:r>
        <w:t xml:space="preserve"> regardless of cause; and</w:t>
      </w:r>
    </w:p>
    <w:p w:rsidR="004D5254" w:rsidRDefault="004D5254" w:rsidP="004D5254">
      <w:pPr>
        <w:pStyle w:val="ListBullet"/>
        <w:numPr>
          <w:ilvl w:val="0"/>
          <w:numId w:val="1"/>
        </w:numPr>
      </w:pPr>
      <w:r w:rsidRPr="00AB2AE5">
        <w:t>overall survival (OS)</w:t>
      </w:r>
      <w:r>
        <w:t xml:space="preserve"> - </w:t>
      </w:r>
      <w:r w:rsidRPr="008C2D22">
        <w:t>calculated as the</w:t>
      </w:r>
      <w:r>
        <w:t xml:space="preserve"> number of days from treatment D</w:t>
      </w:r>
      <w:r w:rsidRPr="008C2D22">
        <w:t>ay 1 to death or censoring</w:t>
      </w:r>
      <w:r>
        <w:t>, whichever occurred first</w:t>
      </w:r>
      <w:r w:rsidRPr="008C2D22">
        <w:t>.</w:t>
      </w:r>
    </w:p>
    <w:p w:rsidR="004D5254" w:rsidRPr="004B259C" w:rsidRDefault="004D5254" w:rsidP="004D5254">
      <w:pPr>
        <w:pStyle w:val="Heading6"/>
        <w:numPr>
          <w:ilvl w:val="4"/>
          <w:numId w:val="5"/>
        </w:numPr>
        <w:ind w:left="1702" w:hanging="1418"/>
      </w:pPr>
      <w:r w:rsidRPr="004B259C">
        <w:t>Randomisation and blinding methods</w:t>
      </w:r>
    </w:p>
    <w:p w:rsidR="004D5254" w:rsidRDefault="004D5254" w:rsidP="004D5254">
      <w:r>
        <w:t>Not applicable to the study design.</w:t>
      </w:r>
    </w:p>
    <w:p w:rsidR="004D5254" w:rsidRDefault="004D5254" w:rsidP="004D5254">
      <w:pPr>
        <w:pStyle w:val="Heading6"/>
        <w:numPr>
          <w:ilvl w:val="4"/>
          <w:numId w:val="5"/>
        </w:numPr>
        <w:ind w:left="1702" w:hanging="1418"/>
      </w:pPr>
      <w:r>
        <w:t>Analysis populations</w:t>
      </w:r>
    </w:p>
    <w:p w:rsidR="004D5254" w:rsidRDefault="004D5254" w:rsidP="004D5254">
      <w:pPr>
        <w:autoSpaceDE w:val="0"/>
        <w:autoSpaceDN w:val="0"/>
        <w:adjustRightInd w:val="0"/>
      </w:pPr>
      <w:r>
        <w:t>The efficacy analysis was conducted on patients</w:t>
      </w:r>
      <w:r w:rsidRPr="006B347F">
        <w:t xml:space="preserve"> </w:t>
      </w:r>
      <w:r w:rsidRPr="00CE1844">
        <w:t>who had received at least 1 dose of pralatrexate and me</w:t>
      </w:r>
      <w:r>
        <w:t>t the major inclusion criterion</w:t>
      </w:r>
      <w:r w:rsidRPr="00CE1844">
        <w:t xml:space="preserve">, </w:t>
      </w:r>
      <w:r w:rsidRPr="00990CA1">
        <w:t>that is,</w:t>
      </w:r>
      <w:r w:rsidRPr="00CE1844">
        <w:t xml:space="preserve"> the</w:t>
      </w:r>
      <w:r>
        <w:t xml:space="preserve"> </w:t>
      </w:r>
      <w:r w:rsidRPr="00CE1844">
        <w:t>diagnosis of allowed PTCL histopathological subtype confirmed by independent central</w:t>
      </w:r>
      <w:r>
        <w:t xml:space="preserve"> </w:t>
      </w:r>
      <w:r w:rsidRPr="00CE1844">
        <w:t>pathology review.</w:t>
      </w:r>
      <w:r>
        <w:t xml:space="preserve"> All patients who received at least one dose of pralatrexate were included in the safety analysis population.</w:t>
      </w:r>
    </w:p>
    <w:p w:rsidR="004D5254" w:rsidRPr="004B259C" w:rsidDel="0081373E" w:rsidRDefault="004D5254" w:rsidP="004D5254">
      <w:pPr>
        <w:pStyle w:val="Heading6"/>
        <w:numPr>
          <w:ilvl w:val="4"/>
          <w:numId w:val="5"/>
        </w:numPr>
        <w:ind w:left="1702" w:hanging="1418"/>
      </w:pPr>
      <w:r w:rsidRPr="004B259C" w:rsidDel="0081373E">
        <w:t>Sample size</w:t>
      </w:r>
    </w:p>
    <w:p w:rsidR="004D5254" w:rsidDel="0081373E" w:rsidRDefault="004D5254" w:rsidP="004D5254">
      <w:pPr>
        <w:autoSpaceDE w:val="0"/>
        <w:autoSpaceDN w:val="0"/>
        <w:adjustRightInd w:val="0"/>
      </w:pPr>
      <w:r>
        <w:rPr>
          <w:color w:val="000000"/>
        </w:rPr>
        <w:t xml:space="preserve">For the primary endpoint of overall response rate, the study was designed to test </w:t>
      </w:r>
      <w:r w:rsidRPr="00A41BA2">
        <w:rPr>
          <w:color w:val="000000"/>
        </w:rPr>
        <w:t>a null hypothesis of a true response rate of 15%</w:t>
      </w:r>
      <w:r>
        <w:rPr>
          <w:color w:val="000000"/>
        </w:rPr>
        <w:t xml:space="preserve"> </w:t>
      </w:r>
      <w:r w:rsidRPr="00A41BA2">
        <w:rPr>
          <w:color w:val="000000"/>
        </w:rPr>
        <w:t>and an alternative hypothesis of a true response rate of 27%.</w:t>
      </w:r>
      <w:r>
        <w:rPr>
          <w:color w:val="000000"/>
        </w:rPr>
        <w:t xml:space="preserve"> Under these assumptions, the one tail type I error was 2.2% and the power was 84.3%. It was determined </w:t>
      </w:r>
      <w:r w:rsidRPr="00A41BA2">
        <w:rPr>
          <w:i/>
          <w:color w:val="000000"/>
        </w:rPr>
        <w:t>a priori</w:t>
      </w:r>
      <w:r>
        <w:rPr>
          <w:color w:val="000000"/>
        </w:rPr>
        <w:t xml:space="preserve"> that a</w:t>
      </w:r>
      <w:r w:rsidRPr="00A41BA2">
        <w:rPr>
          <w:color w:val="000000"/>
        </w:rPr>
        <w:t xml:space="preserve"> minimum of</w:t>
      </w:r>
      <w:r>
        <w:rPr>
          <w:color w:val="000000"/>
        </w:rPr>
        <w:t xml:space="preserve"> </w:t>
      </w:r>
      <w:r w:rsidRPr="00A41BA2">
        <w:rPr>
          <w:color w:val="000000"/>
        </w:rPr>
        <w:t xml:space="preserve">100 patients were </w:t>
      </w:r>
      <w:r>
        <w:rPr>
          <w:color w:val="000000"/>
        </w:rPr>
        <w:t>needed with</w:t>
      </w:r>
      <w:r w:rsidRPr="00A41BA2">
        <w:rPr>
          <w:color w:val="000000"/>
        </w:rPr>
        <w:t xml:space="preserve"> a response rate of 23% for the lower bound of the 95% confidence interval (CI) to exce</w:t>
      </w:r>
      <w:r>
        <w:rPr>
          <w:color w:val="000000"/>
        </w:rPr>
        <w:t>ed</w:t>
      </w:r>
      <w:r w:rsidRPr="00A41BA2">
        <w:rPr>
          <w:color w:val="000000"/>
        </w:rPr>
        <w:t xml:space="preserve"> 15%.</w:t>
      </w:r>
      <w:r>
        <w:rPr>
          <w:color w:val="000000"/>
        </w:rPr>
        <w:t xml:space="preserve"> </w:t>
      </w:r>
      <w:r w:rsidRPr="00A41BA2">
        <w:rPr>
          <w:color w:val="000000"/>
        </w:rPr>
        <w:t xml:space="preserve">The </w:t>
      </w:r>
      <w:r>
        <w:rPr>
          <w:color w:val="000000"/>
        </w:rPr>
        <w:t xml:space="preserve">target </w:t>
      </w:r>
      <w:r>
        <w:rPr>
          <w:color w:val="000000"/>
        </w:rPr>
        <w:lastRenderedPageBreak/>
        <w:t>response rates</w:t>
      </w:r>
      <w:r w:rsidRPr="00A41BA2">
        <w:rPr>
          <w:color w:val="000000"/>
        </w:rPr>
        <w:t xml:space="preserve"> were </w:t>
      </w:r>
      <w:r>
        <w:rPr>
          <w:color w:val="000000"/>
        </w:rPr>
        <w:t xml:space="preserve">chosen by the sponsor </w:t>
      </w:r>
      <w:r w:rsidRPr="00A41BA2">
        <w:rPr>
          <w:color w:val="000000"/>
        </w:rPr>
        <w:t>following discussions with leading lymphoma experts to determine what would be</w:t>
      </w:r>
      <w:r>
        <w:rPr>
          <w:color w:val="000000"/>
        </w:rPr>
        <w:t xml:space="preserve"> </w:t>
      </w:r>
      <w:r w:rsidRPr="00A41BA2">
        <w:rPr>
          <w:color w:val="000000"/>
        </w:rPr>
        <w:t xml:space="preserve">considered </w:t>
      </w:r>
      <w:r>
        <w:rPr>
          <w:color w:val="000000"/>
        </w:rPr>
        <w:t xml:space="preserve">a </w:t>
      </w:r>
      <w:r w:rsidRPr="00A41BA2">
        <w:rPr>
          <w:color w:val="000000"/>
        </w:rPr>
        <w:t>clinically meaningful</w:t>
      </w:r>
      <w:r>
        <w:rPr>
          <w:color w:val="000000"/>
        </w:rPr>
        <w:t xml:space="preserve"> response rate</w:t>
      </w:r>
      <w:r w:rsidRPr="00A41BA2">
        <w:rPr>
          <w:color w:val="000000"/>
        </w:rPr>
        <w:t>.</w:t>
      </w:r>
    </w:p>
    <w:p w:rsidR="004D5254" w:rsidRPr="004B259C" w:rsidRDefault="004D5254" w:rsidP="004D5254">
      <w:pPr>
        <w:pStyle w:val="Heading6"/>
        <w:numPr>
          <w:ilvl w:val="4"/>
          <w:numId w:val="5"/>
        </w:numPr>
        <w:ind w:left="1702" w:hanging="1418"/>
      </w:pPr>
      <w:r w:rsidRPr="004B259C">
        <w:t>Statistical methods</w:t>
      </w:r>
    </w:p>
    <w:p w:rsidR="004D5254" w:rsidRPr="00672EB0" w:rsidRDefault="004D5254" w:rsidP="004D5254">
      <w:pPr>
        <w:autoSpaceDE w:val="0"/>
        <w:autoSpaceDN w:val="0"/>
        <w:adjustRightInd w:val="0"/>
      </w:pPr>
      <w:r w:rsidRPr="00672EB0">
        <w:t>Response rate</w:t>
      </w:r>
      <w:r>
        <w:t xml:space="preserve"> was calculated from the </w:t>
      </w:r>
      <w:r w:rsidRPr="00672EB0">
        <w:t>number of responders (CR + CRu + PR) divided by the number of</w:t>
      </w:r>
      <w:r>
        <w:t xml:space="preserve"> evaluable patients, </w:t>
      </w:r>
      <w:r w:rsidRPr="00672EB0">
        <w:t>using response data received from central review.</w:t>
      </w:r>
      <w:r>
        <w:t xml:space="preserve"> The </w:t>
      </w:r>
      <w:r w:rsidRPr="00672EB0">
        <w:t xml:space="preserve">95% </w:t>
      </w:r>
      <w:r>
        <w:t>CI</w:t>
      </w:r>
      <w:r w:rsidRPr="00672EB0">
        <w:t xml:space="preserve"> for response rate w</w:t>
      </w:r>
      <w:r>
        <w:t>as</w:t>
      </w:r>
      <w:r w:rsidRPr="00672EB0">
        <w:t xml:space="preserve"> calculated using the binomial density function.</w:t>
      </w:r>
      <w:r>
        <w:t xml:space="preserve"> </w:t>
      </w:r>
      <w:r w:rsidRPr="00CD2F6B">
        <w:t xml:space="preserve">Response rate was also estimated by level/subgroup </w:t>
      </w:r>
      <w:r>
        <w:t>according to</w:t>
      </w:r>
      <w:r w:rsidRPr="00CD2F6B">
        <w:t xml:space="preserve"> age (&lt; 65 years old </w:t>
      </w:r>
      <w:r>
        <w:t xml:space="preserve">versus </w:t>
      </w:r>
      <w:r>
        <w:rPr>
          <w:rFonts w:eastAsia="TimesNewRoman" w:cs="TimesNewRoman"/>
        </w:rPr>
        <w:t xml:space="preserve">≥ </w:t>
      </w:r>
      <w:r>
        <w:t>65 years old); race</w:t>
      </w:r>
      <w:r w:rsidRPr="00CD2F6B">
        <w:t>; and gender</w:t>
      </w:r>
      <w:r>
        <w:t xml:space="preserve">. </w:t>
      </w:r>
      <w:r w:rsidRPr="00CD2F6B">
        <w:t>Response</w:t>
      </w:r>
      <w:r w:rsidRPr="00672EB0">
        <w:t xml:space="preserve"> rate based on investigators’ assessments </w:t>
      </w:r>
      <w:r>
        <w:t xml:space="preserve">were </w:t>
      </w:r>
      <w:r w:rsidRPr="00672EB0">
        <w:t>also be reported</w:t>
      </w:r>
      <w:r>
        <w:t xml:space="preserve"> and a </w:t>
      </w:r>
      <w:r w:rsidRPr="00672EB0">
        <w:t>summary of</w:t>
      </w:r>
      <w:r>
        <w:t xml:space="preserve"> </w:t>
      </w:r>
      <w:r w:rsidRPr="00672EB0">
        <w:t>discrepancies between central review and local investigator w</w:t>
      </w:r>
      <w:r>
        <w:t>as</w:t>
      </w:r>
      <w:r w:rsidRPr="00672EB0">
        <w:t xml:space="preserve"> provided.</w:t>
      </w:r>
    </w:p>
    <w:p w:rsidR="004D5254" w:rsidRDefault="004D5254" w:rsidP="004D5254">
      <w:pPr>
        <w:pStyle w:val="Bullet1"/>
        <w:numPr>
          <w:ilvl w:val="0"/>
          <w:numId w:val="0"/>
        </w:numPr>
        <w:autoSpaceDE w:val="0"/>
        <w:autoSpaceDN w:val="0"/>
        <w:adjustRightInd w:val="0"/>
        <w:spacing w:before="0"/>
        <w:rPr>
          <w:kern w:val="0"/>
          <w:szCs w:val="22"/>
        </w:rPr>
      </w:pPr>
      <w:r>
        <w:t xml:space="preserve">Duration of response, PFS and OS were each estimated using the </w:t>
      </w:r>
      <w:r>
        <w:rPr>
          <w:kern w:val="0"/>
          <w:szCs w:val="22"/>
        </w:rPr>
        <w:t xml:space="preserve">Kaplan-Meier method. </w:t>
      </w:r>
      <w:r w:rsidRPr="00CD2F6B">
        <w:rPr>
          <w:kern w:val="0"/>
          <w:szCs w:val="22"/>
        </w:rPr>
        <w:t>Patients</w:t>
      </w:r>
      <w:r>
        <w:rPr>
          <w:kern w:val="0"/>
          <w:szCs w:val="22"/>
        </w:rPr>
        <w:t xml:space="preserve"> </w:t>
      </w:r>
      <w:r w:rsidRPr="00CD2F6B">
        <w:rPr>
          <w:kern w:val="0"/>
          <w:szCs w:val="22"/>
        </w:rPr>
        <w:t xml:space="preserve">receiving subsequent therapy, including transplant before </w:t>
      </w:r>
      <w:r>
        <w:rPr>
          <w:kern w:val="0"/>
          <w:szCs w:val="22"/>
        </w:rPr>
        <w:t>disease progression</w:t>
      </w:r>
      <w:r w:rsidRPr="00CD2F6B">
        <w:rPr>
          <w:kern w:val="0"/>
          <w:szCs w:val="22"/>
        </w:rPr>
        <w:t xml:space="preserve"> was documented, were</w:t>
      </w:r>
      <w:r>
        <w:rPr>
          <w:kern w:val="0"/>
          <w:szCs w:val="22"/>
        </w:rPr>
        <w:t xml:space="preserve"> </w:t>
      </w:r>
      <w:r w:rsidRPr="00CD2F6B">
        <w:rPr>
          <w:kern w:val="0"/>
          <w:szCs w:val="22"/>
        </w:rPr>
        <w:t>censored for response duration and PFS.</w:t>
      </w:r>
      <w:r>
        <w:rPr>
          <w:kern w:val="0"/>
          <w:szCs w:val="22"/>
        </w:rPr>
        <w:t xml:space="preserve"> </w:t>
      </w:r>
      <w:r w:rsidRPr="009D58F1">
        <w:rPr>
          <w:kern w:val="0"/>
          <w:szCs w:val="22"/>
        </w:rPr>
        <w:t>For PFS, patients who were alive</w:t>
      </w:r>
      <w:r>
        <w:rPr>
          <w:kern w:val="0"/>
          <w:szCs w:val="22"/>
        </w:rPr>
        <w:t xml:space="preserve"> </w:t>
      </w:r>
      <w:r w:rsidRPr="009D58F1">
        <w:rPr>
          <w:kern w:val="0"/>
          <w:szCs w:val="22"/>
        </w:rPr>
        <w:t xml:space="preserve">without </w:t>
      </w:r>
      <w:r>
        <w:rPr>
          <w:kern w:val="0"/>
          <w:szCs w:val="22"/>
        </w:rPr>
        <w:t>disease progression</w:t>
      </w:r>
      <w:r w:rsidRPr="009D58F1">
        <w:rPr>
          <w:kern w:val="0"/>
          <w:szCs w:val="22"/>
        </w:rPr>
        <w:t xml:space="preserve"> were censored at the last disease assessment</w:t>
      </w:r>
      <w:r>
        <w:rPr>
          <w:kern w:val="0"/>
          <w:szCs w:val="22"/>
        </w:rPr>
        <w:t xml:space="preserve"> </w:t>
      </w:r>
      <w:r w:rsidRPr="009D58F1">
        <w:rPr>
          <w:kern w:val="0"/>
          <w:szCs w:val="22"/>
        </w:rPr>
        <w:t>date or the date of first dose, whichever was later. Patients who withdrew consent to</w:t>
      </w:r>
      <w:r>
        <w:rPr>
          <w:kern w:val="0"/>
          <w:szCs w:val="22"/>
        </w:rPr>
        <w:t xml:space="preserve"> </w:t>
      </w:r>
      <w:r w:rsidRPr="009D58F1">
        <w:rPr>
          <w:kern w:val="0"/>
          <w:szCs w:val="22"/>
        </w:rPr>
        <w:t xml:space="preserve">participate in the study prior to </w:t>
      </w:r>
      <w:r>
        <w:rPr>
          <w:kern w:val="0"/>
          <w:szCs w:val="22"/>
        </w:rPr>
        <w:t>disease progression</w:t>
      </w:r>
      <w:r w:rsidRPr="009D58F1">
        <w:rPr>
          <w:kern w:val="0"/>
          <w:szCs w:val="22"/>
        </w:rPr>
        <w:t xml:space="preserve"> were censored at the date of their last disease assessment</w:t>
      </w:r>
      <w:r>
        <w:rPr>
          <w:kern w:val="0"/>
          <w:szCs w:val="22"/>
        </w:rPr>
        <w:t xml:space="preserve"> </w:t>
      </w:r>
      <w:r w:rsidRPr="009D58F1">
        <w:rPr>
          <w:kern w:val="0"/>
          <w:szCs w:val="22"/>
        </w:rPr>
        <w:t xml:space="preserve">or treatment </w:t>
      </w:r>
      <w:r>
        <w:rPr>
          <w:kern w:val="0"/>
          <w:szCs w:val="22"/>
        </w:rPr>
        <w:t>D</w:t>
      </w:r>
      <w:r w:rsidRPr="009D58F1">
        <w:rPr>
          <w:kern w:val="0"/>
          <w:szCs w:val="22"/>
        </w:rPr>
        <w:t xml:space="preserve">ay 1, whichever was later. Patients who withdrew from treatment prior to </w:t>
      </w:r>
      <w:r>
        <w:rPr>
          <w:kern w:val="0"/>
          <w:szCs w:val="22"/>
        </w:rPr>
        <w:t xml:space="preserve">disease progression </w:t>
      </w:r>
      <w:r w:rsidRPr="009D58F1">
        <w:rPr>
          <w:kern w:val="0"/>
          <w:szCs w:val="22"/>
        </w:rPr>
        <w:t>without withdrawing consent were followed for disease status and survival whenever</w:t>
      </w:r>
      <w:r>
        <w:rPr>
          <w:kern w:val="0"/>
          <w:szCs w:val="22"/>
        </w:rPr>
        <w:t xml:space="preserve"> </w:t>
      </w:r>
      <w:r w:rsidRPr="009D58F1">
        <w:rPr>
          <w:kern w:val="0"/>
          <w:szCs w:val="22"/>
        </w:rPr>
        <w:t>possible. These patients were censored at their last tumo</w:t>
      </w:r>
      <w:r>
        <w:rPr>
          <w:kern w:val="0"/>
          <w:szCs w:val="22"/>
        </w:rPr>
        <w:t>u</w:t>
      </w:r>
      <w:r w:rsidRPr="009D58F1">
        <w:rPr>
          <w:kern w:val="0"/>
          <w:szCs w:val="22"/>
        </w:rPr>
        <w:t>r assessment or initiation of</w:t>
      </w:r>
      <w:r>
        <w:rPr>
          <w:kern w:val="0"/>
          <w:szCs w:val="22"/>
        </w:rPr>
        <w:t xml:space="preserve"> </w:t>
      </w:r>
      <w:r w:rsidRPr="009D58F1">
        <w:rPr>
          <w:kern w:val="0"/>
          <w:szCs w:val="22"/>
        </w:rPr>
        <w:t>subsequent anti-cancer therapy, whichever came first, if they did not progress by that time.</w:t>
      </w:r>
      <w:r>
        <w:rPr>
          <w:kern w:val="0"/>
          <w:szCs w:val="22"/>
        </w:rPr>
        <w:t xml:space="preserve"> </w:t>
      </w:r>
      <w:r w:rsidRPr="009D58F1">
        <w:rPr>
          <w:kern w:val="0"/>
          <w:szCs w:val="22"/>
        </w:rPr>
        <w:t xml:space="preserve">Patients who did not have response assessments after </w:t>
      </w:r>
      <w:r>
        <w:rPr>
          <w:kern w:val="0"/>
          <w:szCs w:val="22"/>
        </w:rPr>
        <w:t>b</w:t>
      </w:r>
      <w:r w:rsidRPr="009D58F1">
        <w:rPr>
          <w:kern w:val="0"/>
          <w:szCs w:val="22"/>
        </w:rPr>
        <w:t>aseline were censored at treatment</w:t>
      </w:r>
      <w:r>
        <w:rPr>
          <w:kern w:val="0"/>
          <w:szCs w:val="22"/>
        </w:rPr>
        <w:t xml:space="preserve"> D</w:t>
      </w:r>
      <w:r w:rsidRPr="009D58F1">
        <w:rPr>
          <w:kern w:val="0"/>
          <w:szCs w:val="22"/>
        </w:rPr>
        <w:t>ay 1.</w:t>
      </w:r>
      <w:r>
        <w:rPr>
          <w:kern w:val="0"/>
          <w:szCs w:val="22"/>
        </w:rPr>
        <w:t xml:space="preserve"> </w:t>
      </w:r>
      <w:r w:rsidRPr="009D58F1">
        <w:rPr>
          <w:kern w:val="0"/>
          <w:szCs w:val="22"/>
        </w:rPr>
        <w:t>For OS, patients</w:t>
      </w:r>
      <w:r>
        <w:rPr>
          <w:kern w:val="0"/>
          <w:szCs w:val="22"/>
        </w:rPr>
        <w:t xml:space="preserve"> </w:t>
      </w:r>
      <w:r w:rsidRPr="009D58F1">
        <w:rPr>
          <w:kern w:val="0"/>
          <w:szCs w:val="22"/>
        </w:rPr>
        <w:t>who had not died (no record of death) or were lost to follow-up were censored at the date of</w:t>
      </w:r>
      <w:r>
        <w:rPr>
          <w:kern w:val="0"/>
          <w:szCs w:val="22"/>
        </w:rPr>
        <w:t xml:space="preserve"> </w:t>
      </w:r>
      <w:r w:rsidRPr="009D58F1">
        <w:rPr>
          <w:kern w:val="0"/>
          <w:szCs w:val="22"/>
        </w:rPr>
        <w:t>last contact.</w:t>
      </w:r>
      <w:r>
        <w:rPr>
          <w:kern w:val="0"/>
          <w:szCs w:val="22"/>
        </w:rPr>
        <w:t xml:space="preserve"> </w:t>
      </w:r>
      <w:r w:rsidRPr="009D58F1">
        <w:rPr>
          <w:kern w:val="0"/>
          <w:szCs w:val="22"/>
        </w:rPr>
        <w:t>Patients who withdrew consent to participate in the study</w:t>
      </w:r>
      <w:r>
        <w:rPr>
          <w:kern w:val="0"/>
          <w:szCs w:val="22"/>
        </w:rPr>
        <w:t xml:space="preserve"> </w:t>
      </w:r>
      <w:r w:rsidRPr="009D58F1">
        <w:rPr>
          <w:kern w:val="0"/>
          <w:szCs w:val="22"/>
        </w:rPr>
        <w:t>were censored on the date of withdrawal. Patients who withdrew from</w:t>
      </w:r>
      <w:r>
        <w:rPr>
          <w:kern w:val="0"/>
          <w:szCs w:val="22"/>
        </w:rPr>
        <w:t xml:space="preserve"> </w:t>
      </w:r>
      <w:r w:rsidRPr="009D58F1">
        <w:rPr>
          <w:kern w:val="0"/>
          <w:szCs w:val="22"/>
        </w:rPr>
        <w:t>treatment without withdrawing consent were followed for survival status whenever possible.</w:t>
      </w:r>
    </w:p>
    <w:p w:rsidR="004D5254" w:rsidRDefault="004D5254" w:rsidP="004D5254">
      <w:pPr>
        <w:autoSpaceDE w:val="0"/>
        <w:autoSpaceDN w:val="0"/>
        <w:adjustRightInd w:val="0"/>
      </w:pPr>
      <w:r w:rsidRPr="00341827">
        <w:t xml:space="preserve">An evaluation of the relationship between response and survival was </w:t>
      </w:r>
      <w:r>
        <w:t xml:space="preserve">also </w:t>
      </w:r>
      <w:r w:rsidRPr="00341827">
        <w:t>undertaken to gain a better understanding of</w:t>
      </w:r>
      <w:r>
        <w:t xml:space="preserve"> </w:t>
      </w:r>
      <w:r w:rsidRPr="00341827">
        <w:t xml:space="preserve">the value of </w:t>
      </w:r>
      <w:r>
        <w:t xml:space="preserve">the </w:t>
      </w:r>
      <w:r w:rsidRPr="00341827">
        <w:t xml:space="preserve">response rate as an end point in </w:t>
      </w:r>
      <w:r>
        <w:t>patients with PTCL</w:t>
      </w:r>
      <w:r w:rsidRPr="00341827">
        <w:t>.</w:t>
      </w:r>
      <w:r>
        <w:t xml:space="preserve"> Two methods were used:</w:t>
      </w:r>
    </w:p>
    <w:p w:rsidR="004D5254" w:rsidRDefault="004D5254" w:rsidP="004D5254">
      <w:pPr>
        <w:pStyle w:val="ListBullet"/>
        <w:numPr>
          <w:ilvl w:val="0"/>
          <w:numId w:val="1"/>
        </w:numPr>
      </w:pPr>
      <w:r w:rsidRPr="00F72D03">
        <w:rPr>
          <w:i/>
        </w:rPr>
        <w:t>Cox model</w:t>
      </w:r>
      <w:r w:rsidRPr="00341827">
        <w:t xml:space="preserve"> with a single time-dependent covariate </w:t>
      </w:r>
      <w:r>
        <w:t>for</w:t>
      </w:r>
      <w:r w:rsidRPr="00341827">
        <w:t xml:space="preserve"> each patient’s status over</w:t>
      </w:r>
      <w:r>
        <w:t xml:space="preserve"> </w:t>
      </w:r>
      <w:r w:rsidRPr="00341827">
        <w:t>time.</w:t>
      </w:r>
      <w:r>
        <w:t xml:space="preserve"> </w:t>
      </w:r>
    </w:p>
    <w:p w:rsidR="004D5254" w:rsidRPr="00341827" w:rsidRDefault="004D5254" w:rsidP="004D5254">
      <w:pPr>
        <w:pStyle w:val="ListBullet"/>
        <w:numPr>
          <w:ilvl w:val="0"/>
          <w:numId w:val="1"/>
        </w:numPr>
      </w:pPr>
      <w:r w:rsidRPr="00341827">
        <w:t xml:space="preserve">Initially, all patients </w:t>
      </w:r>
      <w:r>
        <w:t>we</w:t>
      </w:r>
      <w:r w:rsidRPr="00341827">
        <w:t>re label</w:t>
      </w:r>
      <w:r>
        <w:t>l</w:t>
      </w:r>
      <w:r w:rsidRPr="00341827">
        <w:t>ed as non-responders</w:t>
      </w:r>
      <w:r>
        <w:t xml:space="preserve"> and o</w:t>
      </w:r>
      <w:r w:rsidRPr="00341827">
        <w:t>nce a patient respond</w:t>
      </w:r>
      <w:r>
        <w:t>ed</w:t>
      </w:r>
      <w:r w:rsidRPr="00341827">
        <w:t>, he/she</w:t>
      </w:r>
      <w:r>
        <w:t xml:space="preserve"> </w:t>
      </w:r>
      <w:r w:rsidRPr="00341827">
        <w:t>move</w:t>
      </w:r>
      <w:r>
        <w:t>d</w:t>
      </w:r>
      <w:r w:rsidRPr="00341827">
        <w:t xml:space="preserve"> to a response state where he/she remain</w:t>
      </w:r>
      <w:r>
        <w:t>ed</w:t>
      </w:r>
      <w:r w:rsidRPr="00341827">
        <w:t xml:space="preserve"> for all subsequent times.</w:t>
      </w:r>
      <w:r>
        <w:t xml:space="preserve"> </w:t>
      </w:r>
      <w:r w:rsidRPr="00341827">
        <w:t>At each death time</w:t>
      </w:r>
      <w:r>
        <w:t xml:space="preserve"> </w:t>
      </w:r>
      <w:r w:rsidRPr="00341827">
        <w:t xml:space="preserve">a relative risk of death (hazard ratio [HR]) </w:t>
      </w:r>
      <w:r>
        <w:t>wa</w:t>
      </w:r>
      <w:r w:rsidRPr="00341827">
        <w:t>s calculated for patients who achieved a best</w:t>
      </w:r>
      <w:r>
        <w:t xml:space="preserve"> </w:t>
      </w:r>
      <w:r w:rsidRPr="00341827">
        <w:t>response of CR or PR versus those who ha</w:t>
      </w:r>
      <w:r>
        <w:t>d</w:t>
      </w:r>
      <w:r w:rsidRPr="00341827">
        <w:t xml:space="preserve"> not</w:t>
      </w:r>
      <w:r>
        <w:t>, as well as a</w:t>
      </w:r>
      <w:r w:rsidRPr="00341827">
        <w:t>n overall HR which represent</w:t>
      </w:r>
      <w:r>
        <w:t>ed</w:t>
      </w:r>
      <w:r w:rsidRPr="00341827">
        <w:t xml:space="preserve"> an average relative risk of death for patients who ha</w:t>
      </w:r>
      <w:r>
        <w:t>d</w:t>
      </w:r>
      <w:r w:rsidRPr="00341827">
        <w:t xml:space="preserve"> responded versus</w:t>
      </w:r>
      <w:r>
        <w:t xml:space="preserve"> </w:t>
      </w:r>
      <w:r w:rsidRPr="00341827">
        <w:t>those who ha</w:t>
      </w:r>
      <w:r>
        <w:t>d</w:t>
      </w:r>
      <w:r w:rsidRPr="00341827">
        <w:t xml:space="preserve"> not. </w:t>
      </w:r>
    </w:p>
    <w:p w:rsidR="004D5254" w:rsidRPr="00F72D03" w:rsidRDefault="004D5254" w:rsidP="004D5254">
      <w:pPr>
        <w:pStyle w:val="ListBullet"/>
        <w:numPr>
          <w:ilvl w:val="0"/>
          <w:numId w:val="1"/>
        </w:numPr>
      </w:pPr>
      <w:r w:rsidRPr="00341827">
        <w:t xml:space="preserve"> </w:t>
      </w:r>
      <w:r w:rsidRPr="00F72D03">
        <w:rPr>
          <w:i/>
        </w:rPr>
        <w:t>Landmark method</w:t>
      </w:r>
      <w:r w:rsidRPr="00341827">
        <w:t xml:space="preserve">, </w:t>
      </w:r>
      <w:r>
        <w:t xml:space="preserve">where </w:t>
      </w:r>
      <w:r w:rsidRPr="00341827">
        <w:t>a time-point, or landmark, i</w:t>
      </w:r>
      <w:r>
        <w:t>n this case Day 53, wa</w:t>
      </w:r>
      <w:r w:rsidRPr="00341827">
        <w:t>s chosen post enrolment and all patients who are alive at</w:t>
      </w:r>
      <w:r>
        <w:t xml:space="preserve"> </w:t>
      </w:r>
      <w:r w:rsidRPr="00341827">
        <w:t xml:space="preserve">that time-point are categorized as either responders or non-responders. </w:t>
      </w:r>
    </w:p>
    <w:p w:rsidR="004D5254" w:rsidRDefault="004D5254" w:rsidP="004D5254">
      <w:pPr>
        <w:pStyle w:val="ListBullet"/>
        <w:numPr>
          <w:ilvl w:val="0"/>
          <w:numId w:val="1"/>
        </w:numPr>
      </w:pPr>
      <w:r w:rsidRPr="00341827">
        <w:t xml:space="preserve">This </w:t>
      </w:r>
      <w:r w:rsidRPr="00E64F1B">
        <w:t>categorisation</w:t>
      </w:r>
      <w:r>
        <w:t xml:space="preserve"> </w:t>
      </w:r>
      <w:r w:rsidRPr="00341827">
        <w:t>can be used as a binary covariate in a Cox model in the usual manner where the responder</w:t>
      </w:r>
      <w:r>
        <w:t xml:space="preserve"> </w:t>
      </w:r>
      <w:r w:rsidRPr="00341827">
        <w:t xml:space="preserve">status </w:t>
      </w:r>
      <w:r>
        <w:t>is</w:t>
      </w:r>
      <w:r w:rsidRPr="00341827">
        <w:t xml:space="preserve"> considered a “baseline” covariate relative to survival subsequent to the</w:t>
      </w:r>
      <w:r>
        <w:t xml:space="preserve"> </w:t>
      </w:r>
      <w:r w:rsidRPr="00341827">
        <w:t>landmark.</w:t>
      </w:r>
      <w:r>
        <w:t xml:space="preserve"> </w:t>
      </w:r>
      <w:r w:rsidRPr="00341827">
        <w:t>This method does not include</w:t>
      </w:r>
      <w:r>
        <w:t xml:space="preserve"> </w:t>
      </w:r>
      <w:r w:rsidRPr="00341827">
        <w:t>all patients since generally not all patients are alive at the landmark chosen.</w:t>
      </w:r>
      <w:r>
        <w:t xml:space="preserve"> Day 53</w:t>
      </w:r>
      <w:r w:rsidRPr="00341827">
        <w:t xml:space="preserve"> was chosen because it coincided with the first response assessment, and all patients who</w:t>
      </w:r>
      <w:r>
        <w:t xml:space="preserve"> had</w:t>
      </w:r>
      <w:r w:rsidRPr="00341827">
        <w:t xml:space="preserve"> a response a</w:t>
      </w:r>
      <w:r>
        <w:t>ssessment at the completion of C</w:t>
      </w:r>
      <w:r w:rsidRPr="00341827">
        <w:t xml:space="preserve">ycle </w:t>
      </w:r>
      <w:r>
        <w:t>1 had that assessment prior to D</w:t>
      </w:r>
      <w:r w:rsidRPr="00341827">
        <w:t>ay</w:t>
      </w:r>
      <w:r>
        <w:t xml:space="preserve"> </w:t>
      </w:r>
      <w:r w:rsidRPr="00341827">
        <w:t>53. Patients who died or did not have a response assessment before day 53 were excluded</w:t>
      </w:r>
      <w:r>
        <w:t xml:space="preserve"> </w:t>
      </w:r>
      <w:r w:rsidRPr="00341827">
        <w:t>from the analyses.</w:t>
      </w:r>
    </w:p>
    <w:p w:rsidR="004D5254" w:rsidRPr="004B259C" w:rsidRDefault="004D5254" w:rsidP="004D5254">
      <w:pPr>
        <w:pStyle w:val="Heading6"/>
        <w:numPr>
          <w:ilvl w:val="4"/>
          <w:numId w:val="5"/>
        </w:numPr>
        <w:ind w:left="1702" w:hanging="1418"/>
      </w:pPr>
      <w:r w:rsidRPr="004B259C">
        <w:t>Participant flow</w:t>
      </w:r>
    </w:p>
    <w:p w:rsidR="004D5254" w:rsidRDefault="004D5254" w:rsidP="004D5254">
      <w:pPr>
        <w:autoSpaceDE w:val="0"/>
        <w:autoSpaceDN w:val="0"/>
        <w:adjustRightInd w:val="0"/>
      </w:pPr>
      <w:r>
        <w:t>A total of 130 patients were screened for study eligibility and 115</w:t>
      </w:r>
      <w:r w:rsidRPr="00B970E3">
        <w:t xml:space="preserve"> patients</w:t>
      </w:r>
      <w:r>
        <w:t xml:space="preserve"> </w:t>
      </w:r>
      <w:r w:rsidRPr="00B970E3">
        <w:t>were enrolled</w:t>
      </w:r>
      <w:r>
        <w:t xml:space="preserve"> at 25 of the 35 study centres. Of the 115 enrolled patients:</w:t>
      </w:r>
    </w:p>
    <w:p w:rsidR="004D5254" w:rsidRDefault="004D5254" w:rsidP="004D5254">
      <w:pPr>
        <w:pStyle w:val="ListBullet"/>
        <w:numPr>
          <w:ilvl w:val="0"/>
          <w:numId w:val="1"/>
        </w:numPr>
      </w:pPr>
      <w:r w:rsidRPr="002C7E7E">
        <w:t>4 never received treatment with pralatrexate</w:t>
      </w:r>
      <w:r>
        <w:t xml:space="preserve">. </w:t>
      </w:r>
    </w:p>
    <w:p w:rsidR="004D5254" w:rsidRPr="002C7E7E" w:rsidRDefault="004D5254" w:rsidP="004D5254">
      <w:pPr>
        <w:pStyle w:val="ListBullet"/>
        <w:numPr>
          <w:ilvl w:val="0"/>
          <w:numId w:val="1"/>
        </w:numPr>
      </w:pPr>
      <w:r w:rsidRPr="002C7E7E">
        <w:lastRenderedPageBreak/>
        <w:t xml:space="preserve">The investigator decided not to treat Patient 003 due to the presence of B-cell lymphoma and Patient 051 developed </w:t>
      </w:r>
      <w:r>
        <w:t>disease progression</w:t>
      </w:r>
      <w:r w:rsidRPr="002C7E7E">
        <w:t xml:space="preserve"> prior to starting pralatrexate treatment</w:t>
      </w:r>
      <w:r>
        <w:t xml:space="preserve">. </w:t>
      </w:r>
      <w:r w:rsidRPr="002C7E7E">
        <w:t>Patients 032</w:t>
      </w:r>
      <w:r>
        <w:t xml:space="preserve"> and</w:t>
      </w:r>
      <w:r w:rsidRPr="002C7E7E">
        <w:t xml:space="preserve"> 104 were also considered not evaluable due to their histopathology assessment by the site</w:t>
      </w:r>
      <w:r>
        <w:t>;</w:t>
      </w:r>
    </w:p>
    <w:p w:rsidR="004D5254" w:rsidRDefault="004D5254" w:rsidP="004D5254">
      <w:pPr>
        <w:pStyle w:val="ListBullet"/>
        <w:numPr>
          <w:ilvl w:val="0"/>
          <w:numId w:val="1"/>
        </w:numPr>
      </w:pPr>
      <w:r w:rsidRPr="00B970E3">
        <w:t xml:space="preserve">111 patients received at least one dose of pralatrexate </w:t>
      </w:r>
      <w:r>
        <w:t xml:space="preserve">and were </w:t>
      </w:r>
      <w:r w:rsidRPr="00B970E3">
        <w:t>included in the safety analysis</w:t>
      </w:r>
      <w:r>
        <w:t xml:space="preserve">; and </w:t>
      </w:r>
    </w:p>
    <w:p w:rsidR="004D5254" w:rsidRPr="00F5623E" w:rsidRDefault="004D5254" w:rsidP="004D5254">
      <w:pPr>
        <w:pStyle w:val="ListBullet"/>
        <w:numPr>
          <w:ilvl w:val="0"/>
          <w:numId w:val="1"/>
        </w:numPr>
      </w:pPr>
      <w:r w:rsidRPr="00262409">
        <w:t>109 patients had a diagnosis of PTCL confirmed by central pathology review and were included in the efficacy analysis</w:t>
      </w:r>
      <w:r>
        <w:t xml:space="preserve">. </w:t>
      </w:r>
    </w:p>
    <w:p w:rsidR="004D5254" w:rsidRPr="009F0530" w:rsidRDefault="004D5254" w:rsidP="004D5254">
      <w:pPr>
        <w:pStyle w:val="ListBullet"/>
        <w:numPr>
          <w:ilvl w:val="0"/>
          <w:numId w:val="1"/>
        </w:numPr>
      </w:pPr>
      <w:r>
        <w:t>Two p</w:t>
      </w:r>
      <w:r w:rsidRPr="00262409">
        <w:t>atients were considered not to have</w:t>
      </w:r>
      <w:r>
        <w:t xml:space="preserve"> </w:t>
      </w:r>
      <w:r w:rsidRPr="00262409">
        <w:t>an eligible PTCL subtype by the central review and adjudication process</w:t>
      </w:r>
      <w:r>
        <w:t xml:space="preserve"> and</w:t>
      </w:r>
      <w:r w:rsidRPr="00262409">
        <w:t xml:space="preserve"> were</w:t>
      </w:r>
      <w:r>
        <w:t>,</w:t>
      </w:r>
      <w:r w:rsidRPr="00262409">
        <w:t xml:space="preserve"> therefore</w:t>
      </w:r>
      <w:r>
        <w:t>,</w:t>
      </w:r>
      <w:r w:rsidRPr="00262409">
        <w:t xml:space="preserve"> excluded from the efficacy analysis.</w:t>
      </w:r>
      <w:r>
        <w:t xml:space="preserve"> One of these p</w:t>
      </w:r>
      <w:r w:rsidRPr="009F0530">
        <w:t>atient</w:t>
      </w:r>
      <w:r>
        <w:t>s</w:t>
      </w:r>
      <w:r w:rsidRPr="009F0530">
        <w:t xml:space="preserve"> was reported by the investigator as having angioimmunoblastic T-cell lymphoma, but histopathology was deemed indeterminate on central review and was reported only as having non-diagnostic patchy lymphoid infiltrate by the adjudicator.</w:t>
      </w:r>
      <w:r>
        <w:t xml:space="preserve"> The other p</w:t>
      </w:r>
      <w:r w:rsidRPr="009F0530">
        <w:t>atient was reported by the investigator as having transformed mycosis fungoides but neither central pathology review nor the adjudicator could confirm that the mycosis fungoides was transformed.</w:t>
      </w:r>
    </w:p>
    <w:p w:rsidR="004D5254" w:rsidRPr="00204188" w:rsidRDefault="004D5254" w:rsidP="004D5254">
      <w:pPr>
        <w:autoSpaceDE w:val="0"/>
        <w:autoSpaceDN w:val="0"/>
        <w:adjustRightInd w:val="0"/>
      </w:pPr>
      <w:r>
        <w:t xml:space="preserve">Of the 111 patients who received at least one dose of pralatrexate, 4 remained on therapy at time of database cut-off date (17 August 2009) and 107 had discontinued study treatment. The most common reasons for study treatment discontinuation were disease progression (n=65; 59%) adverse event (n=26; 23%), investigator decision (n=8; 7%) and patient decision (n=6; 5%). </w:t>
      </w:r>
      <w:r w:rsidRPr="00204188">
        <w:t xml:space="preserve">The reasons for investigator decisions for discontinuation included: proceeding to </w:t>
      </w:r>
      <w:r>
        <w:t>stem cell transplant (</w:t>
      </w:r>
      <w:r w:rsidRPr="00204188">
        <w:t>SCT</w:t>
      </w:r>
      <w:r>
        <w:t>)</w:t>
      </w:r>
      <w:r w:rsidRPr="00204188">
        <w:t xml:space="preserve"> for 4 of the 8 patients</w:t>
      </w:r>
      <w:r>
        <w:t>;</w:t>
      </w:r>
      <w:r w:rsidRPr="00204188">
        <w:t xml:space="preserve"> 2 patients</w:t>
      </w:r>
      <w:r>
        <w:t xml:space="preserve"> </w:t>
      </w:r>
      <w:r w:rsidRPr="00204188">
        <w:t>received a concomitant steroid (concomitant therapy was a specified reason for treatment</w:t>
      </w:r>
      <w:r>
        <w:t xml:space="preserve"> </w:t>
      </w:r>
      <w:r w:rsidRPr="00204188">
        <w:t>discontinuation), 1 patient had stable disease (SD) but was not responding</w:t>
      </w:r>
      <w:r>
        <w:t xml:space="preserve"> </w:t>
      </w:r>
      <w:r w:rsidRPr="00204188">
        <w:t>adequately to</w:t>
      </w:r>
      <w:r>
        <w:t xml:space="preserve"> </w:t>
      </w:r>
      <w:r w:rsidRPr="00204188">
        <w:t>proceed to SCT, and no reason was provided for 1 patient.</w:t>
      </w:r>
      <w:r>
        <w:t xml:space="preserve"> </w:t>
      </w:r>
      <w:r w:rsidRPr="00204188">
        <w:t>No details were available for</w:t>
      </w:r>
      <w:r>
        <w:t xml:space="preserve"> those patients who discontinued due to patient reasons.</w:t>
      </w:r>
    </w:p>
    <w:p w:rsidR="004D5254" w:rsidRDefault="004D5254" w:rsidP="004D5254">
      <w:r>
        <w:t>At database cut-off 83 (75%) patients had terminated the study. Reasons for terminating the study were death (n=63; 57%); completed follow-up of 24 months (n=15; 14%), withdrawal of consent (n=1; &lt;1%), loss to follow up (n=2; 2%) and other (n=2; 2%).</w:t>
      </w:r>
    </w:p>
    <w:p w:rsidR="004D5254" w:rsidRDefault="004D5254" w:rsidP="004D5254">
      <w:pPr>
        <w:pStyle w:val="Heading6"/>
        <w:numPr>
          <w:ilvl w:val="4"/>
          <w:numId w:val="5"/>
        </w:numPr>
        <w:ind w:left="1702" w:hanging="1418"/>
      </w:pPr>
      <w:r>
        <w:t>Major protocol violations/deviations</w:t>
      </w:r>
    </w:p>
    <w:p w:rsidR="004D5254" w:rsidRDefault="004D5254" w:rsidP="004D5254">
      <w:pPr>
        <w:autoSpaceDE w:val="0"/>
        <w:autoSpaceDN w:val="0"/>
        <w:adjustRightInd w:val="0"/>
        <w:rPr>
          <w:color w:val="000000"/>
        </w:rPr>
      </w:pPr>
      <w:r>
        <w:rPr>
          <w:color w:val="000000"/>
        </w:rPr>
        <w:t>There were no major protocol deviations. Minor deviations included:</w:t>
      </w:r>
    </w:p>
    <w:p w:rsidR="004D5254" w:rsidRPr="00344E82" w:rsidRDefault="004D5254" w:rsidP="004D5254">
      <w:pPr>
        <w:pStyle w:val="ListBullet"/>
        <w:numPr>
          <w:ilvl w:val="0"/>
          <w:numId w:val="1"/>
        </w:numPr>
      </w:pPr>
      <w:r w:rsidRPr="00344E82">
        <w:t>failure to meet entry criteria</w:t>
      </w:r>
      <w:r>
        <w:t>;</w:t>
      </w:r>
      <w:r w:rsidRPr="00344E82">
        <w:t xml:space="preserve"> this occurred in 7 patients</w:t>
      </w:r>
      <w:r>
        <w:t>. Five of the patients</w:t>
      </w:r>
      <w:r w:rsidRPr="00344E82">
        <w:t xml:space="preserve"> did not meet the specific haematological, hepatic, or renal function criteria at screening and within 3 days prior to start of treatment</w:t>
      </w:r>
      <w:r>
        <w:t xml:space="preserve">. An exemption from the criterion was granted for 3 of these patients prior to enrolment. The remaining </w:t>
      </w:r>
      <w:r w:rsidRPr="00344E82">
        <w:t xml:space="preserve">2 of </w:t>
      </w:r>
      <w:r>
        <w:t xml:space="preserve">7 patients </w:t>
      </w:r>
      <w:r w:rsidRPr="00344E82">
        <w:t>either did not stop or failed to stop other chemotherapeutic agents within the required time frame before starting pralatrexate</w:t>
      </w:r>
      <w:r>
        <w:t xml:space="preserve">; </w:t>
      </w:r>
    </w:p>
    <w:p w:rsidR="004D5254" w:rsidRPr="00344E82" w:rsidRDefault="004D5254" w:rsidP="004D5254">
      <w:pPr>
        <w:pStyle w:val="ListBullet"/>
        <w:numPr>
          <w:ilvl w:val="0"/>
          <w:numId w:val="1"/>
        </w:numPr>
      </w:pPr>
      <w:r w:rsidRPr="00344E82">
        <w:t>use of a prohibited concomitant medication</w:t>
      </w:r>
      <w:r>
        <w:t>;</w:t>
      </w:r>
      <w:r w:rsidRPr="00344E82">
        <w:t xml:space="preserve"> this occurred in 6 patients, all of whom received concurrent systemic corticosteroids</w:t>
      </w:r>
      <w:r>
        <w:t>; and</w:t>
      </w:r>
    </w:p>
    <w:p w:rsidR="004D5254" w:rsidRPr="00344E82" w:rsidRDefault="004D5254" w:rsidP="004D5254">
      <w:pPr>
        <w:pStyle w:val="ListBullet"/>
        <w:numPr>
          <w:ilvl w:val="0"/>
          <w:numId w:val="1"/>
        </w:numPr>
      </w:pPr>
      <w:r w:rsidRPr="00344E82">
        <w:t>failure to adhere to protocol-specified dose modification rules</w:t>
      </w:r>
      <w:r>
        <w:t>;</w:t>
      </w:r>
      <w:r w:rsidRPr="00344E82">
        <w:t xml:space="preserve"> this occurred in 17 patients (4 patients had 2 deviations each), of whom 12 did not have a protocol specified dose omission, 7 did not have a protocol-specified dose reduction, and 2 did not have protocol-specified treatment termination</w:t>
      </w:r>
      <w:r>
        <w:t>. Also 13 patients were granted exemptions to dose modification (1 patient was granted 3 exemptions).</w:t>
      </w:r>
    </w:p>
    <w:p w:rsidR="004D5254" w:rsidRPr="004B259C" w:rsidRDefault="004D5254" w:rsidP="004D5254">
      <w:pPr>
        <w:pStyle w:val="Heading6"/>
        <w:numPr>
          <w:ilvl w:val="4"/>
          <w:numId w:val="5"/>
        </w:numPr>
        <w:ind w:left="1702" w:hanging="1418"/>
      </w:pPr>
      <w:r w:rsidRPr="004B259C">
        <w:t>Baseline data</w:t>
      </w:r>
    </w:p>
    <w:p w:rsidR="004D5254" w:rsidRDefault="004D5254" w:rsidP="004D5254">
      <w:pPr>
        <w:autoSpaceDE w:val="0"/>
        <w:autoSpaceDN w:val="0"/>
        <w:adjustRightInd w:val="0"/>
      </w:pPr>
      <w:r>
        <w:t xml:space="preserve">Patient demographics and disease subtype and status are summarised in </w:t>
      </w:r>
      <w:r w:rsidRPr="00E64F1B">
        <w:t>Table 7, b</w:t>
      </w:r>
      <w:r>
        <w:t xml:space="preserve">elow. The study population was predominantly male (n=76; 68%) and Caucasian (n=80; 72%), with an </w:t>
      </w:r>
      <w:r>
        <w:lastRenderedPageBreak/>
        <w:t xml:space="preserve">average age of 57.7 years (range 21-85). Just over a third of patients (n=40; 36%) were aged 65 years or older. The commonest disease subtypes according to central review assessment were PTCL-unspecified (n=59; 53%); ALCL, primary systemic type (n=17; 15%); angioimmunoblastic T-cell lymphoma (n=13; 12%); and transformed mycosis fungoides (n=12; 11%). </w:t>
      </w:r>
    </w:p>
    <w:p w:rsidR="004D5254" w:rsidRDefault="004D5254" w:rsidP="004D5254">
      <w:pPr>
        <w:autoSpaceDE w:val="0"/>
        <w:autoSpaceDN w:val="0"/>
        <w:adjustRightInd w:val="0"/>
        <w:rPr>
          <w:color w:val="000000"/>
        </w:rPr>
      </w:pPr>
      <w:r>
        <w:t xml:space="preserve"> </w:t>
      </w:r>
      <w:r>
        <w:rPr>
          <w:color w:val="000000"/>
        </w:rPr>
        <w:t xml:space="preserve">Patients were heavily pre-treated prior to study entry. </w:t>
      </w:r>
      <w:r w:rsidRPr="00B66A3D">
        <w:rPr>
          <w:color w:val="000000"/>
        </w:rPr>
        <w:t>The median number of prior therapies in the 111 treated patients was</w:t>
      </w:r>
      <w:r>
        <w:rPr>
          <w:color w:val="000000"/>
        </w:rPr>
        <w:t xml:space="preserve"> </w:t>
      </w:r>
      <w:r w:rsidRPr="00B66A3D">
        <w:rPr>
          <w:color w:val="000000"/>
        </w:rPr>
        <w:t>3 (range 1-13)</w:t>
      </w:r>
      <w:r>
        <w:rPr>
          <w:color w:val="000000"/>
        </w:rPr>
        <w:t xml:space="preserve"> and </w:t>
      </w:r>
      <w:r w:rsidRPr="00B66A3D">
        <w:rPr>
          <w:color w:val="000000"/>
        </w:rPr>
        <w:t xml:space="preserve">27 patients (24%) had received </w:t>
      </w:r>
      <w:r>
        <w:rPr>
          <w:color w:val="000000"/>
        </w:rPr>
        <w:t>at least</w:t>
      </w:r>
      <w:r w:rsidRPr="00B66A3D">
        <w:rPr>
          <w:rFonts w:eastAsia="TimesNewRoman" w:cs="TimesNewRoman"/>
          <w:color w:val="000000"/>
        </w:rPr>
        <w:t xml:space="preserve"> </w:t>
      </w:r>
      <w:r w:rsidRPr="00B66A3D">
        <w:rPr>
          <w:color w:val="000000"/>
        </w:rPr>
        <w:t>5 prior therapies</w:t>
      </w:r>
      <w:r>
        <w:rPr>
          <w:color w:val="000000"/>
        </w:rPr>
        <w:t xml:space="preserve">. </w:t>
      </w:r>
      <w:r w:rsidRPr="00B66A3D">
        <w:rPr>
          <w:color w:val="000000"/>
        </w:rPr>
        <w:t xml:space="preserve">Most prior therapies were systemic </w:t>
      </w:r>
      <w:r>
        <w:rPr>
          <w:color w:val="000000"/>
        </w:rPr>
        <w:t xml:space="preserve">in nature </w:t>
      </w:r>
      <w:r w:rsidRPr="00B66A3D">
        <w:rPr>
          <w:color w:val="000000"/>
        </w:rPr>
        <w:t>(median 3, range 1-12),</w:t>
      </w:r>
      <w:r>
        <w:rPr>
          <w:color w:val="000000"/>
        </w:rPr>
        <w:t xml:space="preserve"> with the most common treatment comprising CHOP (n=78; 70%). Stem cell transplantation (SCT) had been used </w:t>
      </w:r>
      <w:r w:rsidRPr="00B66A3D">
        <w:rPr>
          <w:color w:val="000000"/>
        </w:rPr>
        <w:t>in</w:t>
      </w:r>
      <w:r>
        <w:rPr>
          <w:color w:val="000000"/>
        </w:rPr>
        <w:t xml:space="preserve"> </w:t>
      </w:r>
      <w:r w:rsidRPr="00B66A3D">
        <w:rPr>
          <w:color w:val="000000"/>
        </w:rPr>
        <w:t>18 (16%)</w:t>
      </w:r>
      <w:r>
        <w:rPr>
          <w:color w:val="000000"/>
        </w:rPr>
        <w:t xml:space="preserve"> patients, of whom </w:t>
      </w:r>
      <w:r w:rsidRPr="002E7E7E">
        <w:rPr>
          <w:color w:val="000000"/>
        </w:rPr>
        <w:t>9</w:t>
      </w:r>
      <w:r w:rsidRPr="002E7E7E">
        <w:t xml:space="preserve"> had </w:t>
      </w:r>
      <w:r>
        <w:t xml:space="preserve">had </w:t>
      </w:r>
      <w:r w:rsidRPr="002E7E7E">
        <w:t>a CR in response to their transplant</w:t>
      </w:r>
      <w:r>
        <w:t xml:space="preserve"> but </w:t>
      </w:r>
      <w:r w:rsidRPr="002E7E7E">
        <w:t>had relapsed prior to study</w:t>
      </w:r>
      <w:r>
        <w:t xml:space="preserve"> </w:t>
      </w:r>
      <w:r w:rsidRPr="002E7E7E">
        <w:t>entry.</w:t>
      </w:r>
      <w:r>
        <w:rPr>
          <w:color w:val="000000"/>
        </w:rPr>
        <w:t xml:space="preserve"> </w:t>
      </w:r>
      <w:r w:rsidRPr="00B66A3D">
        <w:rPr>
          <w:color w:val="000000"/>
        </w:rPr>
        <w:t>Twenty-seven patients (24%) had</w:t>
      </w:r>
      <w:r>
        <w:rPr>
          <w:color w:val="000000"/>
        </w:rPr>
        <w:t xml:space="preserve"> </w:t>
      </w:r>
      <w:r w:rsidRPr="00B66A3D">
        <w:rPr>
          <w:color w:val="000000"/>
        </w:rPr>
        <w:t>previously received treatment with methotrexate (either as a single agent or in a</w:t>
      </w:r>
      <w:r>
        <w:rPr>
          <w:color w:val="000000"/>
        </w:rPr>
        <w:t xml:space="preserve"> </w:t>
      </w:r>
      <w:r w:rsidRPr="00B66A3D">
        <w:rPr>
          <w:color w:val="000000"/>
        </w:rPr>
        <w:t>combination regimen)</w:t>
      </w:r>
      <w:r>
        <w:rPr>
          <w:color w:val="000000"/>
        </w:rPr>
        <w:t>. Seventy</w:t>
      </w:r>
      <w:r w:rsidRPr="00B66A3D">
        <w:rPr>
          <w:color w:val="000000"/>
        </w:rPr>
        <w:t xml:space="preserve"> patients (63%) did not</w:t>
      </w:r>
      <w:r>
        <w:rPr>
          <w:color w:val="000000"/>
        </w:rPr>
        <w:t xml:space="preserve"> </w:t>
      </w:r>
      <w:r w:rsidRPr="00B66A3D">
        <w:rPr>
          <w:color w:val="000000"/>
        </w:rPr>
        <w:t>have evidence of response to their most recent prior therapy before entering th</w:t>
      </w:r>
      <w:r>
        <w:rPr>
          <w:color w:val="000000"/>
        </w:rPr>
        <w:t>e</w:t>
      </w:r>
      <w:r w:rsidRPr="00B66A3D">
        <w:rPr>
          <w:color w:val="000000"/>
        </w:rPr>
        <w:t xml:space="preserve"> study and</w:t>
      </w:r>
      <w:r>
        <w:rPr>
          <w:color w:val="000000"/>
        </w:rPr>
        <w:t xml:space="preserve"> </w:t>
      </w:r>
      <w:r w:rsidRPr="00B66A3D">
        <w:rPr>
          <w:color w:val="000000"/>
        </w:rPr>
        <w:t>27 (24%) did not have evidence of response to any previous therapy</w:t>
      </w:r>
      <w:r>
        <w:rPr>
          <w:color w:val="000000"/>
        </w:rPr>
        <w:t>. ECOG performance status was 0 in 43 (39%) patients, 1 in 49 (44%) patients and 2 in 19 (17%) patients.</w:t>
      </w:r>
    </w:p>
    <w:p w:rsidR="004D5254" w:rsidRDefault="004D5254" w:rsidP="004D5254">
      <w:pPr>
        <w:pStyle w:val="FigureTitle"/>
        <w:keepNext/>
      </w:pPr>
      <w:bookmarkStart w:id="187" w:name="_Toc320881530"/>
      <w:r>
        <w:lastRenderedPageBreak/>
        <w:t>Table 7. Study PDX-008 - Baseline patient demographics and disease characteristics</w:t>
      </w:r>
      <w:bookmarkEnd w:id="187"/>
    </w:p>
    <w:tbl>
      <w:tblPr>
        <w:tblStyle w:val="TableGrid"/>
        <w:tblW w:w="0" w:type="auto"/>
        <w:tblLook w:val="04A0"/>
      </w:tblPr>
      <w:tblGrid>
        <w:gridCol w:w="2328"/>
        <w:gridCol w:w="5723"/>
        <w:gridCol w:w="1191"/>
      </w:tblGrid>
      <w:tr w:rsidR="004D5254" w:rsidTr="00C80331">
        <w:tc>
          <w:tcPr>
            <w:tcW w:w="2328" w:type="dxa"/>
            <w:tcBorders>
              <w:bottom w:val="nil"/>
            </w:tcBorders>
            <w:shd w:val="clear" w:color="auto" w:fill="0070C0"/>
          </w:tcPr>
          <w:p w:rsidR="004D5254" w:rsidRPr="00E64F1B" w:rsidRDefault="004D5254" w:rsidP="00C80331">
            <w:pPr>
              <w:keepNext/>
              <w:autoSpaceDE w:val="0"/>
              <w:autoSpaceDN w:val="0"/>
              <w:adjustRightInd w:val="0"/>
              <w:spacing w:before="40" w:after="40"/>
              <w:rPr>
                <w:b/>
                <w:color w:val="FFFFFF" w:themeColor="background1"/>
                <w:sz w:val="20"/>
                <w:szCs w:val="20"/>
              </w:rPr>
            </w:pPr>
            <w:r w:rsidRPr="00E64F1B">
              <w:rPr>
                <w:b/>
                <w:color w:val="FFFFFF" w:themeColor="background1"/>
                <w:sz w:val="20"/>
                <w:szCs w:val="20"/>
              </w:rPr>
              <w:t>Demographics</w:t>
            </w:r>
          </w:p>
        </w:tc>
        <w:tc>
          <w:tcPr>
            <w:tcW w:w="5723" w:type="dxa"/>
            <w:tcBorders>
              <w:bottom w:val="nil"/>
            </w:tcBorders>
          </w:tcPr>
          <w:p w:rsidR="004D5254" w:rsidRPr="003661BC" w:rsidRDefault="004D5254" w:rsidP="00C80331">
            <w:pPr>
              <w:keepNext/>
              <w:autoSpaceDE w:val="0"/>
              <w:autoSpaceDN w:val="0"/>
              <w:adjustRightInd w:val="0"/>
              <w:spacing w:before="40" w:after="40"/>
              <w:rPr>
                <w:sz w:val="20"/>
                <w:szCs w:val="20"/>
              </w:rPr>
            </w:pPr>
          </w:p>
        </w:tc>
        <w:tc>
          <w:tcPr>
            <w:tcW w:w="1191" w:type="dxa"/>
            <w:tcBorders>
              <w:bottom w:val="nil"/>
            </w:tcBorders>
          </w:tcPr>
          <w:p w:rsidR="004D5254" w:rsidRDefault="004D5254" w:rsidP="00C80331">
            <w:pPr>
              <w:keepNext/>
              <w:autoSpaceDE w:val="0"/>
              <w:autoSpaceDN w:val="0"/>
              <w:adjustRightInd w:val="0"/>
              <w:spacing w:before="40" w:after="40"/>
              <w:jc w:val="center"/>
              <w:rPr>
                <w:sz w:val="20"/>
                <w:szCs w:val="20"/>
              </w:rPr>
            </w:pPr>
            <w:r>
              <w:rPr>
                <w:sz w:val="20"/>
                <w:szCs w:val="20"/>
              </w:rPr>
              <w:t>n</w:t>
            </w:r>
            <w:r w:rsidRPr="00C31D48">
              <w:rPr>
                <w:sz w:val="20"/>
                <w:szCs w:val="20"/>
              </w:rPr>
              <w:t>=111</w:t>
            </w:r>
          </w:p>
        </w:tc>
      </w:tr>
      <w:tr w:rsidR="00874BA8" w:rsidTr="009B3740">
        <w:tc>
          <w:tcPr>
            <w:tcW w:w="2328" w:type="dxa"/>
            <w:vMerge w:val="restart"/>
            <w:tcBorders>
              <w:top w:val="nil"/>
            </w:tcBorders>
            <w:shd w:val="clear" w:color="auto" w:fill="0070C0"/>
          </w:tcPr>
          <w:p w:rsidR="00874BA8" w:rsidRPr="00E64F1B" w:rsidRDefault="00874BA8" w:rsidP="00C80331">
            <w:pPr>
              <w:keepNext/>
              <w:autoSpaceDE w:val="0"/>
              <w:autoSpaceDN w:val="0"/>
              <w:adjustRightInd w:val="0"/>
              <w:spacing w:before="40" w:after="40"/>
              <w:rPr>
                <w:b/>
                <w:i/>
                <w:color w:val="FFFFFF" w:themeColor="background1"/>
                <w:sz w:val="20"/>
                <w:szCs w:val="20"/>
              </w:rPr>
            </w:pPr>
            <w:r w:rsidRPr="00E64F1B">
              <w:rPr>
                <w:b/>
                <w:i/>
                <w:color w:val="FFFFFF" w:themeColor="background1"/>
                <w:sz w:val="20"/>
                <w:szCs w:val="20"/>
              </w:rPr>
              <w:t>Gender</w:t>
            </w: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Male</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76 (68%)</w:t>
            </w:r>
          </w:p>
        </w:tc>
      </w:tr>
      <w:tr w:rsidR="00874BA8" w:rsidTr="009B3740">
        <w:tc>
          <w:tcPr>
            <w:tcW w:w="2328" w:type="dxa"/>
            <w:vMerge/>
            <w:tcBorders>
              <w:bottom w:val="nil"/>
            </w:tcBorders>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Female</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35 (32%)</w:t>
            </w:r>
          </w:p>
        </w:tc>
      </w:tr>
      <w:tr w:rsidR="00874BA8" w:rsidTr="00F811F1">
        <w:tc>
          <w:tcPr>
            <w:tcW w:w="2328" w:type="dxa"/>
            <w:vMerge w:val="restart"/>
            <w:tcBorders>
              <w:top w:val="nil"/>
            </w:tcBorders>
            <w:shd w:val="clear" w:color="auto" w:fill="0070C0"/>
          </w:tcPr>
          <w:p w:rsidR="00874BA8" w:rsidRPr="00E64F1B" w:rsidRDefault="00874BA8" w:rsidP="00C80331">
            <w:pPr>
              <w:keepNext/>
              <w:autoSpaceDE w:val="0"/>
              <w:autoSpaceDN w:val="0"/>
              <w:adjustRightInd w:val="0"/>
              <w:spacing w:before="40" w:after="40"/>
              <w:rPr>
                <w:b/>
                <w:i/>
                <w:color w:val="FFFFFF" w:themeColor="background1"/>
                <w:sz w:val="20"/>
                <w:szCs w:val="20"/>
              </w:rPr>
            </w:pPr>
            <w:r w:rsidRPr="00E64F1B">
              <w:rPr>
                <w:b/>
                <w:i/>
                <w:color w:val="FFFFFF" w:themeColor="background1"/>
                <w:sz w:val="20"/>
                <w:szCs w:val="20"/>
              </w:rPr>
              <w:t>Race</w:t>
            </w: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Caucasian</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80 (72%)</w:t>
            </w:r>
          </w:p>
        </w:tc>
      </w:tr>
      <w:tr w:rsidR="00874BA8" w:rsidTr="00F811F1">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Negro</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14 (13%)</w:t>
            </w:r>
          </w:p>
        </w:tc>
      </w:tr>
      <w:tr w:rsidR="00874BA8" w:rsidTr="00F811F1">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Asian</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6 (5%)</w:t>
            </w:r>
          </w:p>
        </w:tc>
      </w:tr>
      <w:tr w:rsidR="00874BA8" w:rsidTr="00F811F1">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Hispanic</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9 (8%)</w:t>
            </w:r>
          </w:p>
        </w:tc>
      </w:tr>
      <w:tr w:rsidR="00874BA8" w:rsidTr="00F811F1">
        <w:tc>
          <w:tcPr>
            <w:tcW w:w="2328" w:type="dxa"/>
            <w:vMerge/>
            <w:tcBorders>
              <w:bottom w:val="nil"/>
            </w:tcBorders>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Other</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1 (&lt;1%)</w:t>
            </w:r>
          </w:p>
        </w:tc>
      </w:tr>
      <w:tr w:rsidR="00874BA8" w:rsidTr="00BE1E56">
        <w:tc>
          <w:tcPr>
            <w:tcW w:w="2328" w:type="dxa"/>
            <w:vMerge w:val="restart"/>
            <w:tcBorders>
              <w:top w:val="nil"/>
            </w:tcBorders>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r w:rsidRPr="00E64F1B">
              <w:rPr>
                <w:b/>
                <w:i/>
                <w:color w:val="FFFFFF" w:themeColor="background1"/>
                <w:sz w:val="20"/>
                <w:szCs w:val="20"/>
              </w:rPr>
              <w:t>Age</w:t>
            </w:r>
            <w:r w:rsidRPr="00E64F1B">
              <w:rPr>
                <w:b/>
                <w:color w:val="FFFFFF" w:themeColor="background1"/>
                <w:sz w:val="20"/>
                <w:szCs w:val="20"/>
              </w:rPr>
              <w:t xml:space="preserve"> (y</w:t>
            </w:r>
            <w:r>
              <w:rPr>
                <w:b/>
                <w:color w:val="FFFFFF" w:themeColor="background1"/>
                <w:sz w:val="20"/>
                <w:szCs w:val="20"/>
              </w:rPr>
              <w:t>ea</w:t>
            </w:r>
            <w:r w:rsidRPr="00E64F1B">
              <w:rPr>
                <w:b/>
                <w:color w:val="FFFFFF" w:themeColor="background1"/>
                <w:sz w:val="20"/>
                <w:szCs w:val="20"/>
              </w:rPr>
              <w:t>rs)</w:t>
            </w: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Mean ± SD</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57.7 ± 15</w:t>
            </w:r>
          </w:p>
        </w:tc>
      </w:tr>
      <w:tr w:rsidR="00874BA8" w:rsidTr="00BE1E56">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Median</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59.0</w:t>
            </w:r>
          </w:p>
        </w:tc>
      </w:tr>
      <w:tr w:rsidR="00874BA8" w:rsidTr="00BE1E56">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Range</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21-85</w:t>
            </w:r>
          </w:p>
        </w:tc>
      </w:tr>
      <w:tr w:rsidR="00874BA8" w:rsidTr="00BE1E56">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&lt; 65 y</w:t>
            </w:r>
            <w:r>
              <w:rPr>
                <w:sz w:val="20"/>
                <w:szCs w:val="20"/>
              </w:rPr>
              <w:t>ea</w:t>
            </w:r>
            <w:r w:rsidRPr="003661BC">
              <w:rPr>
                <w:sz w:val="20"/>
                <w:szCs w:val="20"/>
              </w:rPr>
              <w:t>rs</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71 (64%)</w:t>
            </w:r>
          </w:p>
        </w:tc>
      </w:tr>
      <w:tr w:rsidR="00874BA8" w:rsidTr="00BE1E56">
        <w:tc>
          <w:tcPr>
            <w:tcW w:w="2328" w:type="dxa"/>
            <w:vMerge/>
            <w:tcBorders>
              <w:bottom w:val="single" w:sz="4" w:space="0" w:color="auto"/>
            </w:tcBorders>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single" w:sz="4" w:space="0" w:color="auto"/>
            </w:tcBorders>
          </w:tcPr>
          <w:p w:rsidR="00874BA8" w:rsidRPr="003661BC" w:rsidRDefault="00874BA8" w:rsidP="00C80331">
            <w:pPr>
              <w:keepNext/>
              <w:autoSpaceDE w:val="0"/>
              <w:autoSpaceDN w:val="0"/>
              <w:adjustRightInd w:val="0"/>
              <w:spacing w:before="40" w:after="40"/>
              <w:rPr>
                <w:sz w:val="20"/>
                <w:szCs w:val="20"/>
              </w:rPr>
            </w:pPr>
            <w:r>
              <w:rPr>
                <w:sz w:val="20"/>
                <w:szCs w:val="20"/>
              </w:rPr>
              <w:t>≥</w:t>
            </w:r>
            <w:r w:rsidRPr="003661BC">
              <w:rPr>
                <w:sz w:val="20"/>
                <w:szCs w:val="20"/>
              </w:rPr>
              <w:t xml:space="preserve"> 65 y</w:t>
            </w:r>
            <w:r>
              <w:rPr>
                <w:sz w:val="20"/>
                <w:szCs w:val="20"/>
              </w:rPr>
              <w:t>ea</w:t>
            </w:r>
            <w:r w:rsidRPr="003661BC">
              <w:rPr>
                <w:sz w:val="20"/>
                <w:szCs w:val="20"/>
              </w:rPr>
              <w:t>rs</w:t>
            </w:r>
          </w:p>
        </w:tc>
        <w:tc>
          <w:tcPr>
            <w:tcW w:w="1191" w:type="dxa"/>
            <w:tcBorders>
              <w:top w:val="nil"/>
              <w:bottom w:val="single" w:sz="4" w:space="0" w:color="auto"/>
            </w:tcBorders>
          </w:tcPr>
          <w:p w:rsidR="00874BA8" w:rsidRPr="003661BC" w:rsidRDefault="00874BA8" w:rsidP="00C80331">
            <w:pPr>
              <w:keepNext/>
              <w:autoSpaceDE w:val="0"/>
              <w:autoSpaceDN w:val="0"/>
              <w:adjustRightInd w:val="0"/>
              <w:spacing w:before="40" w:after="40"/>
              <w:jc w:val="center"/>
              <w:rPr>
                <w:sz w:val="20"/>
                <w:szCs w:val="20"/>
              </w:rPr>
            </w:pPr>
            <w:r w:rsidRPr="003661BC">
              <w:rPr>
                <w:sz w:val="20"/>
                <w:szCs w:val="20"/>
              </w:rPr>
              <w:t>40 (36%)</w:t>
            </w:r>
          </w:p>
        </w:tc>
      </w:tr>
      <w:tr w:rsidR="004D5254" w:rsidTr="00C80331">
        <w:tc>
          <w:tcPr>
            <w:tcW w:w="2328" w:type="dxa"/>
            <w:tcBorders>
              <w:bottom w:val="nil"/>
            </w:tcBorders>
            <w:shd w:val="clear" w:color="auto" w:fill="0070C0"/>
          </w:tcPr>
          <w:p w:rsidR="004D5254" w:rsidRPr="00E64F1B" w:rsidRDefault="004D5254" w:rsidP="00C80331">
            <w:pPr>
              <w:keepNext/>
              <w:autoSpaceDE w:val="0"/>
              <w:autoSpaceDN w:val="0"/>
              <w:adjustRightInd w:val="0"/>
              <w:spacing w:before="40" w:after="40"/>
              <w:rPr>
                <w:b/>
                <w:color w:val="FFFFFF" w:themeColor="background1"/>
                <w:sz w:val="20"/>
                <w:szCs w:val="20"/>
              </w:rPr>
            </w:pPr>
            <w:r w:rsidRPr="00E64F1B">
              <w:rPr>
                <w:b/>
                <w:color w:val="FFFFFF" w:themeColor="background1"/>
                <w:sz w:val="20"/>
                <w:szCs w:val="20"/>
              </w:rPr>
              <w:t>Disease characteristics</w:t>
            </w:r>
          </w:p>
        </w:tc>
        <w:tc>
          <w:tcPr>
            <w:tcW w:w="5723" w:type="dxa"/>
            <w:tcBorders>
              <w:bottom w:val="nil"/>
            </w:tcBorders>
          </w:tcPr>
          <w:p w:rsidR="004D5254" w:rsidRPr="003661BC" w:rsidRDefault="004D5254" w:rsidP="00C80331">
            <w:pPr>
              <w:keepNext/>
              <w:autoSpaceDE w:val="0"/>
              <w:autoSpaceDN w:val="0"/>
              <w:adjustRightInd w:val="0"/>
              <w:spacing w:before="40" w:after="40"/>
              <w:rPr>
                <w:sz w:val="20"/>
                <w:szCs w:val="20"/>
              </w:rPr>
            </w:pPr>
          </w:p>
        </w:tc>
        <w:tc>
          <w:tcPr>
            <w:tcW w:w="1191" w:type="dxa"/>
            <w:tcBorders>
              <w:bottom w:val="nil"/>
            </w:tcBorders>
          </w:tcPr>
          <w:p w:rsidR="004D5254" w:rsidRPr="003661BC" w:rsidRDefault="004D5254" w:rsidP="00C80331">
            <w:pPr>
              <w:keepNext/>
              <w:autoSpaceDE w:val="0"/>
              <w:autoSpaceDN w:val="0"/>
              <w:adjustRightInd w:val="0"/>
              <w:spacing w:before="40" w:after="40"/>
              <w:jc w:val="center"/>
              <w:rPr>
                <w:sz w:val="20"/>
                <w:szCs w:val="20"/>
              </w:rPr>
            </w:pPr>
            <w:r>
              <w:rPr>
                <w:sz w:val="20"/>
                <w:szCs w:val="20"/>
              </w:rPr>
              <w:t>n</w:t>
            </w:r>
            <w:r w:rsidRPr="00C31D48">
              <w:rPr>
                <w:sz w:val="20"/>
                <w:szCs w:val="20"/>
              </w:rPr>
              <w:t>=111</w:t>
            </w:r>
          </w:p>
        </w:tc>
      </w:tr>
      <w:tr w:rsidR="004D5254" w:rsidTr="00C80331">
        <w:tc>
          <w:tcPr>
            <w:tcW w:w="2328" w:type="dxa"/>
            <w:tcBorders>
              <w:top w:val="nil"/>
              <w:bottom w:val="nil"/>
            </w:tcBorders>
            <w:shd w:val="clear" w:color="auto" w:fill="0070C0"/>
          </w:tcPr>
          <w:p w:rsidR="004D5254" w:rsidRPr="00E64F1B" w:rsidRDefault="004D5254" w:rsidP="00C80331">
            <w:pPr>
              <w:keepNext/>
              <w:autoSpaceDE w:val="0"/>
              <w:autoSpaceDN w:val="0"/>
              <w:adjustRightInd w:val="0"/>
              <w:spacing w:before="40" w:after="40"/>
              <w:rPr>
                <w:b/>
                <w:i/>
                <w:color w:val="FFFFFF" w:themeColor="background1"/>
                <w:sz w:val="20"/>
                <w:szCs w:val="20"/>
              </w:rPr>
            </w:pPr>
            <w:r w:rsidRPr="00E64F1B">
              <w:rPr>
                <w:b/>
                <w:i/>
                <w:color w:val="FFFFFF" w:themeColor="background1"/>
                <w:sz w:val="20"/>
                <w:szCs w:val="20"/>
              </w:rPr>
              <w:t>Tumour histopathology</w:t>
            </w:r>
          </w:p>
        </w:tc>
        <w:tc>
          <w:tcPr>
            <w:tcW w:w="5723" w:type="dxa"/>
            <w:tcBorders>
              <w:top w:val="nil"/>
              <w:bottom w:val="nil"/>
            </w:tcBorders>
          </w:tcPr>
          <w:p w:rsidR="004D5254" w:rsidRPr="003661BC" w:rsidRDefault="004D5254" w:rsidP="00C80331">
            <w:pPr>
              <w:keepNext/>
              <w:autoSpaceDE w:val="0"/>
              <w:autoSpaceDN w:val="0"/>
              <w:adjustRightInd w:val="0"/>
              <w:spacing w:before="40" w:after="40"/>
              <w:rPr>
                <w:sz w:val="20"/>
                <w:szCs w:val="20"/>
              </w:rPr>
            </w:pPr>
            <w:r w:rsidRPr="003661BC">
              <w:rPr>
                <w:sz w:val="20"/>
                <w:szCs w:val="20"/>
              </w:rPr>
              <w:t>PTCL-unspecified</w:t>
            </w:r>
          </w:p>
        </w:tc>
        <w:tc>
          <w:tcPr>
            <w:tcW w:w="1191" w:type="dxa"/>
            <w:tcBorders>
              <w:top w:val="nil"/>
              <w:bottom w:val="nil"/>
            </w:tcBorders>
          </w:tcPr>
          <w:p w:rsidR="004D5254" w:rsidRPr="003661BC" w:rsidRDefault="004D5254" w:rsidP="00C80331">
            <w:pPr>
              <w:keepNext/>
              <w:autoSpaceDE w:val="0"/>
              <w:autoSpaceDN w:val="0"/>
              <w:adjustRightInd w:val="0"/>
              <w:spacing w:before="40" w:after="40"/>
              <w:jc w:val="center"/>
              <w:rPr>
                <w:sz w:val="20"/>
                <w:szCs w:val="20"/>
              </w:rPr>
            </w:pPr>
            <w:r>
              <w:rPr>
                <w:sz w:val="20"/>
                <w:szCs w:val="20"/>
              </w:rPr>
              <w:t>59 (53%)</w:t>
            </w:r>
          </w:p>
        </w:tc>
      </w:tr>
      <w:tr w:rsidR="00874BA8" w:rsidTr="000C7ADF">
        <w:tc>
          <w:tcPr>
            <w:tcW w:w="2328" w:type="dxa"/>
            <w:vMerge w:val="restart"/>
            <w:tcBorders>
              <w:top w:val="nil"/>
            </w:tcBorders>
            <w:shd w:val="clear" w:color="auto" w:fill="0070C0"/>
          </w:tcPr>
          <w:p w:rsidR="00874BA8" w:rsidRPr="00E64F1B" w:rsidRDefault="00874BA8" w:rsidP="00C80331">
            <w:pPr>
              <w:keepNext/>
              <w:autoSpaceDE w:val="0"/>
              <w:autoSpaceDN w:val="0"/>
              <w:adjustRightInd w:val="0"/>
              <w:spacing w:before="40" w:after="40"/>
              <w:rPr>
                <w:b/>
                <w:i/>
                <w:color w:val="FFFFFF" w:themeColor="background1"/>
                <w:sz w:val="20"/>
                <w:szCs w:val="20"/>
              </w:rPr>
            </w:pPr>
            <w:r w:rsidRPr="00E64F1B">
              <w:rPr>
                <w:b/>
                <w:i/>
                <w:color w:val="FFFFFF" w:themeColor="background1"/>
                <w:sz w:val="20"/>
                <w:szCs w:val="20"/>
              </w:rPr>
              <w:t>(Central Review)</w:t>
            </w: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sidRPr="003661BC">
              <w:rPr>
                <w:sz w:val="20"/>
                <w:szCs w:val="20"/>
              </w:rPr>
              <w:t>Anaplastic large cell lymphoma</w:t>
            </w:r>
            <w:r>
              <w:rPr>
                <w:sz w:val="20"/>
                <w:szCs w:val="20"/>
              </w:rPr>
              <w:t>, primary systemic type</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Pr>
                <w:sz w:val="20"/>
                <w:szCs w:val="20"/>
              </w:rPr>
              <w:t>17 (15%)</w:t>
            </w:r>
          </w:p>
        </w:tc>
      </w:tr>
      <w:tr w:rsidR="00874BA8" w:rsidTr="000C7ADF">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Pr>
                <w:sz w:val="20"/>
                <w:szCs w:val="20"/>
              </w:rPr>
              <w:t>Angioimmunoblastic T-cell lymphoma</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Pr>
                <w:sz w:val="20"/>
                <w:szCs w:val="20"/>
              </w:rPr>
              <w:t>13 (12%)</w:t>
            </w:r>
          </w:p>
        </w:tc>
      </w:tr>
      <w:tr w:rsidR="00874BA8" w:rsidTr="000C7ADF">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Pr>
                <w:sz w:val="20"/>
                <w:szCs w:val="20"/>
              </w:rPr>
              <w:t>Transformed mycosis fungoides</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Pr>
                <w:sz w:val="20"/>
                <w:szCs w:val="20"/>
              </w:rPr>
              <w:t>12 (11%)</w:t>
            </w:r>
          </w:p>
        </w:tc>
      </w:tr>
      <w:tr w:rsidR="00874BA8" w:rsidTr="000C7ADF">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Pr>
                <w:sz w:val="20"/>
                <w:szCs w:val="20"/>
              </w:rPr>
              <w:t>Blastic NK lymphoma (skin, lymph node or visceral involvement)</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Pr>
                <w:sz w:val="20"/>
                <w:szCs w:val="20"/>
              </w:rPr>
              <w:t>4 (4%)</w:t>
            </w:r>
          </w:p>
        </w:tc>
      </w:tr>
      <w:tr w:rsidR="00874BA8" w:rsidTr="000C7ADF">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Pr>
                <w:sz w:val="20"/>
                <w:szCs w:val="20"/>
              </w:rPr>
              <w:t>T/NK-cell lymphoma nasal</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Pr>
                <w:sz w:val="20"/>
                <w:szCs w:val="20"/>
              </w:rPr>
              <w:t>2 (2%)</w:t>
            </w:r>
          </w:p>
        </w:tc>
      </w:tr>
      <w:tr w:rsidR="00874BA8" w:rsidTr="000C7ADF">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Default="00874BA8" w:rsidP="00C80331">
            <w:pPr>
              <w:keepNext/>
              <w:autoSpaceDE w:val="0"/>
              <w:autoSpaceDN w:val="0"/>
              <w:adjustRightInd w:val="0"/>
              <w:spacing w:before="40" w:after="40"/>
              <w:rPr>
                <w:sz w:val="20"/>
                <w:szCs w:val="20"/>
              </w:rPr>
            </w:pPr>
            <w:r>
              <w:rPr>
                <w:sz w:val="20"/>
                <w:szCs w:val="20"/>
              </w:rPr>
              <w:t>Extranodal peripheral T/NK-cell lymphoma unspecified</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Pr>
                <w:sz w:val="20"/>
                <w:szCs w:val="20"/>
              </w:rPr>
              <w:t>1 (&lt;1%)</w:t>
            </w:r>
          </w:p>
        </w:tc>
      </w:tr>
      <w:tr w:rsidR="00874BA8" w:rsidTr="000C7ADF">
        <w:tc>
          <w:tcPr>
            <w:tcW w:w="2328" w:type="dxa"/>
            <w:vMerge/>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Default="00874BA8" w:rsidP="00C80331">
            <w:pPr>
              <w:keepNext/>
              <w:autoSpaceDE w:val="0"/>
              <w:autoSpaceDN w:val="0"/>
              <w:adjustRightInd w:val="0"/>
              <w:spacing w:before="40" w:after="40"/>
              <w:rPr>
                <w:sz w:val="20"/>
                <w:szCs w:val="20"/>
              </w:rPr>
            </w:pPr>
            <w:r>
              <w:rPr>
                <w:sz w:val="20"/>
                <w:szCs w:val="20"/>
              </w:rPr>
              <w:t>Adult T-cell leukaemia/lymphoma (HTLV1++)</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Pr>
                <w:sz w:val="20"/>
                <w:szCs w:val="20"/>
              </w:rPr>
              <w:t>1 (&lt;1%)</w:t>
            </w:r>
          </w:p>
        </w:tc>
      </w:tr>
      <w:tr w:rsidR="00874BA8" w:rsidTr="000C7ADF">
        <w:tc>
          <w:tcPr>
            <w:tcW w:w="2328" w:type="dxa"/>
            <w:vMerge/>
            <w:tcBorders>
              <w:bottom w:val="nil"/>
            </w:tcBorders>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Pr="003661BC" w:rsidRDefault="00874BA8" w:rsidP="00C80331">
            <w:pPr>
              <w:keepNext/>
              <w:autoSpaceDE w:val="0"/>
              <w:autoSpaceDN w:val="0"/>
              <w:adjustRightInd w:val="0"/>
              <w:spacing w:before="40" w:after="40"/>
              <w:rPr>
                <w:sz w:val="20"/>
                <w:szCs w:val="20"/>
              </w:rPr>
            </w:pPr>
            <w:r>
              <w:rPr>
                <w:sz w:val="20"/>
                <w:szCs w:val="20"/>
              </w:rPr>
              <w:t>Other</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Pr>
                <w:sz w:val="20"/>
                <w:szCs w:val="20"/>
              </w:rPr>
              <w:t>2 (2%)</w:t>
            </w:r>
          </w:p>
        </w:tc>
      </w:tr>
      <w:tr w:rsidR="00874BA8" w:rsidTr="001B7A7A">
        <w:tc>
          <w:tcPr>
            <w:tcW w:w="2328" w:type="dxa"/>
            <w:vMerge w:val="restart"/>
            <w:tcBorders>
              <w:top w:val="nil"/>
            </w:tcBorders>
            <w:shd w:val="clear" w:color="auto" w:fill="0070C0"/>
          </w:tcPr>
          <w:p w:rsidR="00874BA8" w:rsidRPr="00E64F1B" w:rsidRDefault="00874BA8" w:rsidP="00C80331">
            <w:pPr>
              <w:keepNext/>
              <w:autoSpaceDE w:val="0"/>
              <w:autoSpaceDN w:val="0"/>
              <w:adjustRightInd w:val="0"/>
              <w:spacing w:before="40" w:after="40"/>
              <w:rPr>
                <w:b/>
                <w:i/>
                <w:color w:val="FFFFFF" w:themeColor="background1"/>
                <w:sz w:val="20"/>
                <w:szCs w:val="20"/>
              </w:rPr>
            </w:pPr>
            <w:r w:rsidRPr="00E64F1B">
              <w:rPr>
                <w:b/>
                <w:i/>
                <w:color w:val="FFFFFF" w:themeColor="background1"/>
                <w:sz w:val="20"/>
                <w:szCs w:val="20"/>
              </w:rPr>
              <w:t>Time since diagnosis</w:t>
            </w:r>
          </w:p>
          <w:p w:rsidR="00874BA8" w:rsidRPr="00E64F1B" w:rsidRDefault="00874BA8" w:rsidP="00C80331">
            <w:pPr>
              <w:keepNext/>
              <w:autoSpaceDE w:val="0"/>
              <w:autoSpaceDN w:val="0"/>
              <w:adjustRightInd w:val="0"/>
              <w:spacing w:before="40" w:after="40"/>
              <w:rPr>
                <w:b/>
                <w:i/>
                <w:color w:val="FFFFFF" w:themeColor="background1"/>
                <w:sz w:val="20"/>
                <w:szCs w:val="20"/>
              </w:rPr>
            </w:pPr>
            <w:r w:rsidRPr="00E64F1B">
              <w:rPr>
                <w:b/>
                <w:i/>
                <w:color w:val="FFFFFF" w:themeColor="background1"/>
                <w:sz w:val="20"/>
                <w:szCs w:val="20"/>
              </w:rPr>
              <w:t>(months)</w:t>
            </w:r>
          </w:p>
        </w:tc>
        <w:tc>
          <w:tcPr>
            <w:tcW w:w="5723" w:type="dxa"/>
            <w:tcBorders>
              <w:top w:val="nil"/>
              <w:bottom w:val="nil"/>
            </w:tcBorders>
          </w:tcPr>
          <w:p w:rsidR="00874BA8" w:rsidRDefault="00874BA8" w:rsidP="00C80331">
            <w:pPr>
              <w:keepNext/>
              <w:autoSpaceDE w:val="0"/>
              <w:autoSpaceDN w:val="0"/>
              <w:adjustRightInd w:val="0"/>
              <w:spacing w:before="40" w:after="40"/>
              <w:rPr>
                <w:sz w:val="20"/>
                <w:szCs w:val="20"/>
              </w:rPr>
            </w:pPr>
            <w:r>
              <w:rPr>
                <w:sz w:val="20"/>
                <w:szCs w:val="20"/>
              </w:rPr>
              <w:t>Mean ± SD</w:t>
            </w:r>
          </w:p>
        </w:tc>
        <w:tc>
          <w:tcPr>
            <w:tcW w:w="1191" w:type="dxa"/>
            <w:tcBorders>
              <w:top w:val="nil"/>
              <w:bottom w:val="nil"/>
            </w:tcBorders>
          </w:tcPr>
          <w:p w:rsidR="00874BA8" w:rsidRDefault="00874BA8" w:rsidP="00C80331">
            <w:pPr>
              <w:keepNext/>
              <w:autoSpaceDE w:val="0"/>
              <w:autoSpaceDN w:val="0"/>
              <w:adjustRightInd w:val="0"/>
              <w:spacing w:before="40" w:after="40"/>
              <w:jc w:val="center"/>
              <w:rPr>
                <w:sz w:val="20"/>
                <w:szCs w:val="20"/>
              </w:rPr>
            </w:pPr>
            <w:r>
              <w:rPr>
                <w:sz w:val="20"/>
                <w:szCs w:val="20"/>
              </w:rPr>
              <w:t>30.8 ± 43.2</w:t>
            </w:r>
          </w:p>
        </w:tc>
      </w:tr>
      <w:tr w:rsidR="00874BA8" w:rsidTr="001B7A7A">
        <w:tc>
          <w:tcPr>
            <w:tcW w:w="2328" w:type="dxa"/>
            <w:vMerge/>
            <w:shd w:val="clear" w:color="auto" w:fill="0070C0"/>
          </w:tcPr>
          <w:p w:rsidR="00874BA8" w:rsidRPr="00E64F1B" w:rsidRDefault="00874BA8" w:rsidP="00C80331">
            <w:pPr>
              <w:keepNext/>
              <w:autoSpaceDE w:val="0"/>
              <w:autoSpaceDN w:val="0"/>
              <w:adjustRightInd w:val="0"/>
              <w:spacing w:before="40" w:after="40"/>
              <w:rPr>
                <w:b/>
                <w:i/>
                <w:color w:val="FFFFFF" w:themeColor="background1"/>
                <w:sz w:val="20"/>
                <w:szCs w:val="20"/>
              </w:rPr>
            </w:pPr>
          </w:p>
        </w:tc>
        <w:tc>
          <w:tcPr>
            <w:tcW w:w="5723" w:type="dxa"/>
            <w:tcBorders>
              <w:top w:val="nil"/>
              <w:bottom w:val="nil"/>
            </w:tcBorders>
          </w:tcPr>
          <w:p w:rsidR="00874BA8" w:rsidRDefault="00874BA8" w:rsidP="00C80331">
            <w:pPr>
              <w:keepNext/>
              <w:autoSpaceDE w:val="0"/>
              <w:autoSpaceDN w:val="0"/>
              <w:adjustRightInd w:val="0"/>
              <w:spacing w:before="40" w:after="40"/>
              <w:rPr>
                <w:sz w:val="20"/>
                <w:szCs w:val="20"/>
              </w:rPr>
            </w:pPr>
            <w:r>
              <w:rPr>
                <w:sz w:val="20"/>
                <w:szCs w:val="20"/>
              </w:rPr>
              <w:t>Median</w:t>
            </w:r>
          </w:p>
        </w:tc>
        <w:tc>
          <w:tcPr>
            <w:tcW w:w="1191" w:type="dxa"/>
            <w:tcBorders>
              <w:top w:val="nil"/>
              <w:bottom w:val="nil"/>
            </w:tcBorders>
          </w:tcPr>
          <w:p w:rsidR="00874BA8" w:rsidRDefault="00874BA8" w:rsidP="00C80331">
            <w:pPr>
              <w:keepNext/>
              <w:autoSpaceDE w:val="0"/>
              <w:autoSpaceDN w:val="0"/>
              <w:adjustRightInd w:val="0"/>
              <w:spacing w:before="40" w:after="40"/>
              <w:jc w:val="center"/>
              <w:rPr>
                <w:sz w:val="20"/>
                <w:szCs w:val="20"/>
              </w:rPr>
            </w:pPr>
            <w:r>
              <w:rPr>
                <w:sz w:val="20"/>
                <w:szCs w:val="20"/>
              </w:rPr>
              <w:t>15.6</w:t>
            </w:r>
          </w:p>
        </w:tc>
      </w:tr>
      <w:tr w:rsidR="00874BA8" w:rsidTr="001B7A7A">
        <w:tc>
          <w:tcPr>
            <w:tcW w:w="2328" w:type="dxa"/>
            <w:vMerge/>
            <w:tcBorders>
              <w:bottom w:val="nil"/>
            </w:tcBorders>
            <w:shd w:val="clear" w:color="auto" w:fill="0070C0"/>
          </w:tcPr>
          <w:p w:rsidR="00874BA8" w:rsidRPr="00E64F1B" w:rsidRDefault="00874BA8" w:rsidP="00C80331">
            <w:pPr>
              <w:keepNext/>
              <w:autoSpaceDE w:val="0"/>
              <w:autoSpaceDN w:val="0"/>
              <w:adjustRightInd w:val="0"/>
              <w:spacing w:before="40" w:after="40"/>
              <w:rPr>
                <w:b/>
                <w:i/>
                <w:color w:val="FFFFFF" w:themeColor="background1"/>
                <w:sz w:val="20"/>
                <w:szCs w:val="20"/>
              </w:rPr>
            </w:pPr>
          </w:p>
        </w:tc>
        <w:tc>
          <w:tcPr>
            <w:tcW w:w="5723" w:type="dxa"/>
            <w:tcBorders>
              <w:top w:val="nil"/>
              <w:bottom w:val="nil"/>
            </w:tcBorders>
          </w:tcPr>
          <w:p w:rsidR="00874BA8" w:rsidRDefault="00874BA8" w:rsidP="00C80331">
            <w:pPr>
              <w:keepNext/>
              <w:autoSpaceDE w:val="0"/>
              <w:autoSpaceDN w:val="0"/>
              <w:adjustRightInd w:val="0"/>
              <w:spacing w:before="40" w:after="40"/>
              <w:rPr>
                <w:sz w:val="20"/>
                <w:szCs w:val="20"/>
              </w:rPr>
            </w:pPr>
            <w:r>
              <w:rPr>
                <w:sz w:val="20"/>
                <w:szCs w:val="20"/>
              </w:rPr>
              <w:t>Range</w:t>
            </w:r>
          </w:p>
        </w:tc>
        <w:tc>
          <w:tcPr>
            <w:tcW w:w="1191" w:type="dxa"/>
            <w:tcBorders>
              <w:top w:val="nil"/>
              <w:bottom w:val="nil"/>
            </w:tcBorders>
          </w:tcPr>
          <w:p w:rsidR="00874BA8" w:rsidRDefault="00874BA8" w:rsidP="00C80331">
            <w:pPr>
              <w:keepNext/>
              <w:autoSpaceDE w:val="0"/>
              <w:autoSpaceDN w:val="0"/>
              <w:adjustRightInd w:val="0"/>
              <w:spacing w:before="40" w:after="40"/>
              <w:jc w:val="center"/>
              <w:rPr>
                <w:sz w:val="20"/>
                <w:szCs w:val="20"/>
              </w:rPr>
            </w:pPr>
            <w:r>
              <w:rPr>
                <w:sz w:val="20"/>
                <w:szCs w:val="20"/>
              </w:rPr>
              <w:t>0.8 – 322.3</w:t>
            </w:r>
          </w:p>
        </w:tc>
      </w:tr>
      <w:tr w:rsidR="00874BA8" w:rsidTr="00A929F0">
        <w:tc>
          <w:tcPr>
            <w:tcW w:w="2328" w:type="dxa"/>
            <w:vMerge w:val="restart"/>
            <w:tcBorders>
              <w:top w:val="nil"/>
            </w:tcBorders>
            <w:shd w:val="clear" w:color="auto" w:fill="0070C0"/>
          </w:tcPr>
          <w:p w:rsidR="00874BA8" w:rsidRPr="00E64F1B" w:rsidRDefault="00874BA8" w:rsidP="00C80331">
            <w:pPr>
              <w:keepNext/>
              <w:autoSpaceDE w:val="0"/>
              <w:autoSpaceDN w:val="0"/>
              <w:adjustRightInd w:val="0"/>
              <w:spacing w:before="40" w:after="40"/>
              <w:rPr>
                <w:b/>
                <w:i/>
                <w:color w:val="FFFFFF" w:themeColor="background1"/>
                <w:sz w:val="20"/>
                <w:szCs w:val="20"/>
              </w:rPr>
            </w:pPr>
            <w:r w:rsidRPr="00E64F1B">
              <w:rPr>
                <w:b/>
                <w:i/>
                <w:color w:val="FFFFFF" w:themeColor="background1"/>
                <w:sz w:val="20"/>
                <w:szCs w:val="20"/>
              </w:rPr>
              <w:t>Prior systemic therapy</w:t>
            </w:r>
          </w:p>
        </w:tc>
        <w:tc>
          <w:tcPr>
            <w:tcW w:w="5723" w:type="dxa"/>
            <w:tcBorders>
              <w:top w:val="nil"/>
              <w:bottom w:val="nil"/>
            </w:tcBorders>
          </w:tcPr>
          <w:p w:rsidR="00874BA8" w:rsidRDefault="00874BA8" w:rsidP="00C80331">
            <w:pPr>
              <w:keepNext/>
              <w:autoSpaceDE w:val="0"/>
              <w:autoSpaceDN w:val="0"/>
              <w:adjustRightInd w:val="0"/>
              <w:spacing w:before="40" w:after="40"/>
              <w:rPr>
                <w:sz w:val="20"/>
                <w:szCs w:val="20"/>
              </w:rPr>
            </w:pPr>
            <w:r>
              <w:rPr>
                <w:sz w:val="20"/>
                <w:szCs w:val="20"/>
              </w:rPr>
              <w:t>1</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Pr>
                <w:sz w:val="20"/>
                <w:szCs w:val="20"/>
              </w:rPr>
              <w:t>23 (21%)</w:t>
            </w:r>
          </w:p>
        </w:tc>
      </w:tr>
      <w:tr w:rsidR="00874BA8" w:rsidTr="00A929F0">
        <w:tc>
          <w:tcPr>
            <w:tcW w:w="2328" w:type="dxa"/>
            <w:vMerge/>
            <w:tcBorders>
              <w:bottom w:val="nil"/>
            </w:tcBorders>
            <w:shd w:val="clear" w:color="auto" w:fill="0070C0"/>
          </w:tcPr>
          <w:p w:rsidR="00874BA8" w:rsidRPr="00E64F1B" w:rsidRDefault="00874BA8"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874BA8" w:rsidRDefault="00874BA8" w:rsidP="00C80331">
            <w:pPr>
              <w:keepNext/>
              <w:autoSpaceDE w:val="0"/>
              <w:autoSpaceDN w:val="0"/>
              <w:adjustRightInd w:val="0"/>
              <w:spacing w:before="40" w:after="40"/>
              <w:rPr>
                <w:sz w:val="20"/>
                <w:szCs w:val="20"/>
              </w:rPr>
            </w:pPr>
            <w:r>
              <w:rPr>
                <w:sz w:val="20"/>
                <w:szCs w:val="20"/>
              </w:rPr>
              <w:t>2</w:t>
            </w:r>
          </w:p>
        </w:tc>
        <w:tc>
          <w:tcPr>
            <w:tcW w:w="1191" w:type="dxa"/>
            <w:tcBorders>
              <w:top w:val="nil"/>
              <w:bottom w:val="nil"/>
            </w:tcBorders>
          </w:tcPr>
          <w:p w:rsidR="00874BA8" w:rsidRPr="003661BC" w:rsidRDefault="00874BA8" w:rsidP="00C80331">
            <w:pPr>
              <w:keepNext/>
              <w:autoSpaceDE w:val="0"/>
              <w:autoSpaceDN w:val="0"/>
              <w:adjustRightInd w:val="0"/>
              <w:spacing w:before="40" w:after="40"/>
              <w:jc w:val="center"/>
              <w:rPr>
                <w:sz w:val="20"/>
                <w:szCs w:val="20"/>
              </w:rPr>
            </w:pPr>
            <w:r>
              <w:rPr>
                <w:sz w:val="20"/>
                <w:szCs w:val="20"/>
              </w:rPr>
              <w:t>30 (27%)</w:t>
            </w:r>
          </w:p>
        </w:tc>
      </w:tr>
      <w:tr w:rsidR="004D5254" w:rsidTr="00C80331">
        <w:tc>
          <w:tcPr>
            <w:tcW w:w="2328" w:type="dxa"/>
            <w:tcBorders>
              <w:top w:val="nil"/>
              <w:bottom w:val="nil"/>
            </w:tcBorders>
          </w:tcPr>
          <w:p w:rsidR="004D5254" w:rsidRPr="00E64F1B" w:rsidRDefault="004D5254"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4D5254" w:rsidRDefault="004D5254" w:rsidP="00C80331">
            <w:pPr>
              <w:keepNext/>
              <w:autoSpaceDE w:val="0"/>
              <w:autoSpaceDN w:val="0"/>
              <w:adjustRightInd w:val="0"/>
              <w:spacing w:before="40" w:after="40"/>
              <w:rPr>
                <w:sz w:val="20"/>
                <w:szCs w:val="20"/>
              </w:rPr>
            </w:pPr>
            <w:r>
              <w:rPr>
                <w:sz w:val="20"/>
                <w:szCs w:val="20"/>
              </w:rPr>
              <w:t>3</w:t>
            </w:r>
          </w:p>
        </w:tc>
        <w:tc>
          <w:tcPr>
            <w:tcW w:w="1191" w:type="dxa"/>
            <w:tcBorders>
              <w:top w:val="nil"/>
              <w:bottom w:val="nil"/>
            </w:tcBorders>
          </w:tcPr>
          <w:p w:rsidR="004D5254" w:rsidRPr="003661BC" w:rsidRDefault="004D5254" w:rsidP="00C80331">
            <w:pPr>
              <w:keepNext/>
              <w:autoSpaceDE w:val="0"/>
              <w:autoSpaceDN w:val="0"/>
              <w:adjustRightInd w:val="0"/>
              <w:spacing w:before="40" w:after="40"/>
              <w:jc w:val="center"/>
              <w:rPr>
                <w:sz w:val="20"/>
                <w:szCs w:val="20"/>
              </w:rPr>
            </w:pPr>
            <w:r>
              <w:rPr>
                <w:sz w:val="20"/>
                <w:szCs w:val="20"/>
              </w:rPr>
              <w:t>23 (21%)</w:t>
            </w:r>
          </w:p>
        </w:tc>
      </w:tr>
      <w:tr w:rsidR="004D5254" w:rsidTr="00C80331">
        <w:tc>
          <w:tcPr>
            <w:tcW w:w="2328" w:type="dxa"/>
            <w:tcBorders>
              <w:top w:val="nil"/>
              <w:bottom w:val="nil"/>
            </w:tcBorders>
          </w:tcPr>
          <w:p w:rsidR="004D5254" w:rsidRPr="00E64F1B" w:rsidRDefault="004D5254"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4D5254" w:rsidRDefault="004D5254" w:rsidP="00C80331">
            <w:pPr>
              <w:keepNext/>
              <w:autoSpaceDE w:val="0"/>
              <w:autoSpaceDN w:val="0"/>
              <w:adjustRightInd w:val="0"/>
              <w:spacing w:before="40" w:after="40"/>
              <w:rPr>
                <w:sz w:val="20"/>
                <w:szCs w:val="20"/>
              </w:rPr>
            </w:pPr>
            <w:r>
              <w:rPr>
                <w:sz w:val="20"/>
                <w:szCs w:val="20"/>
              </w:rPr>
              <w:t>4</w:t>
            </w:r>
          </w:p>
        </w:tc>
        <w:tc>
          <w:tcPr>
            <w:tcW w:w="1191" w:type="dxa"/>
            <w:tcBorders>
              <w:top w:val="nil"/>
              <w:bottom w:val="nil"/>
            </w:tcBorders>
          </w:tcPr>
          <w:p w:rsidR="004D5254" w:rsidRPr="003661BC" w:rsidRDefault="004D5254" w:rsidP="00C80331">
            <w:pPr>
              <w:keepNext/>
              <w:autoSpaceDE w:val="0"/>
              <w:autoSpaceDN w:val="0"/>
              <w:adjustRightInd w:val="0"/>
              <w:spacing w:before="40" w:after="40"/>
              <w:jc w:val="center"/>
              <w:rPr>
                <w:sz w:val="20"/>
                <w:szCs w:val="20"/>
              </w:rPr>
            </w:pPr>
            <w:r>
              <w:rPr>
                <w:sz w:val="20"/>
                <w:szCs w:val="20"/>
              </w:rPr>
              <w:t>14 (13%)</w:t>
            </w:r>
          </w:p>
        </w:tc>
      </w:tr>
      <w:tr w:rsidR="004D5254" w:rsidTr="00C80331">
        <w:tc>
          <w:tcPr>
            <w:tcW w:w="2328" w:type="dxa"/>
            <w:tcBorders>
              <w:top w:val="nil"/>
              <w:bottom w:val="nil"/>
            </w:tcBorders>
          </w:tcPr>
          <w:p w:rsidR="004D5254" w:rsidRPr="00E64F1B" w:rsidRDefault="004D5254"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4D5254" w:rsidRDefault="004D5254" w:rsidP="00C80331">
            <w:pPr>
              <w:keepNext/>
              <w:autoSpaceDE w:val="0"/>
              <w:autoSpaceDN w:val="0"/>
              <w:adjustRightInd w:val="0"/>
              <w:spacing w:before="40" w:after="40"/>
              <w:rPr>
                <w:sz w:val="20"/>
                <w:szCs w:val="20"/>
              </w:rPr>
            </w:pPr>
            <w:r>
              <w:rPr>
                <w:sz w:val="20"/>
                <w:szCs w:val="20"/>
              </w:rPr>
              <w:t>≥ 5</w:t>
            </w:r>
          </w:p>
        </w:tc>
        <w:tc>
          <w:tcPr>
            <w:tcW w:w="1191" w:type="dxa"/>
            <w:tcBorders>
              <w:top w:val="nil"/>
              <w:bottom w:val="nil"/>
            </w:tcBorders>
          </w:tcPr>
          <w:p w:rsidR="004D5254" w:rsidRPr="003661BC" w:rsidRDefault="004D5254" w:rsidP="00C80331">
            <w:pPr>
              <w:keepNext/>
              <w:autoSpaceDE w:val="0"/>
              <w:autoSpaceDN w:val="0"/>
              <w:adjustRightInd w:val="0"/>
              <w:spacing w:before="40" w:after="40"/>
              <w:jc w:val="center"/>
              <w:rPr>
                <w:sz w:val="20"/>
                <w:szCs w:val="20"/>
              </w:rPr>
            </w:pPr>
            <w:r>
              <w:rPr>
                <w:sz w:val="20"/>
                <w:szCs w:val="20"/>
              </w:rPr>
              <w:t>21 (19%)</w:t>
            </w:r>
          </w:p>
        </w:tc>
      </w:tr>
      <w:tr w:rsidR="004D5254" w:rsidTr="00C80331">
        <w:tc>
          <w:tcPr>
            <w:tcW w:w="2328" w:type="dxa"/>
            <w:tcBorders>
              <w:top w:val="nil"/>
              <w:bottom w:val="nil"/>
            </w:tcBorders>
          </w:tcPr>
          <w:p w:rsidR="004D5254" w:rsidRPr="00E64F1B" w:rsidRDefault="004D5254"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4D5254" w:rsidRDefault="004D5254" w:rsidP="00C80331">
            <w:pPr>
              <w:keepNext/>
              <w:autoSpaceDE w:val="0"/>
              <w:autoSpaceDN w:val="0"/>
              <w:adjustRightInd w:val="0"/>
              <w:spacing w:before="40" w:after="40"/>
              <w:rPr>
                <w:sz w:val="20"/>
                <w:szCs w:val="20"/>
              </w:rPr>
            </w:pPr>
            <w:r>
              <w:rPr>
                <w:sz w:val="20"/>
                <w:szCs w:val="20"/>
              </w:rPr>
              <w:t>Median</w:t>
            </w:r>
          </w:p>
        </w:tc>
        <w:tc>
          <w:tcPr>
            <w:tcW w:w="1191" w:type="dxa"/>
            <w:tcBorders>
              <w:top w:val="nil"/>
              <w:bottom w:val="nil"/>
            </w:tcBorders>
          </w:tcPr>
          <w:p w:rsidR="004D5254" w:rsidRPr="003661BC" w:rsidRDefault="004D5254" w:rsidP="00C80331">
            <w:pPr>
              <w:keepNext/>
              <w:autoSpaceDE w:val="0"/>
              <w:autoSpaceDN w:val="0"/>
              <w:adjustRightInd w:val="0"/>
              <w:spacing w:before="40" w:after="40"/>
              <w:jc w:val="center"/>
              <w:rPr>
                <w:sz w:val="20"/>
                <w:szCs w:val="20"/>
              </w:rPr>
            </w:pPr>
            <w:r>
              <w:rPr>
                <w:sz w:val="20"/>
                <w:szCs w:val="20"/>
              </w:rPr>
              <w:t>3.0</w:t>
            </w:r>
          </w:p>
        </w:tc>
      </w:tr>
      <w:tr w:rsidR="004D5254" w:rsidTr="00C80331">
        <w:tc>
          <w:tcPr>
            <w:tcW w:w="2328" w:type="dxa"/>
            <w:tcBorders>
              <w:top w:val="nil"/>
              <w:bottom w:val="nil"/>
            </w:tcBorders>
          </w:tcPr>
          <w:p w:rsidR="004D5254" w:rsidRPr="00E64F1B" w:rsidRDefault="004D5254"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4D5254" w:rsidRDefault="004D5254" w:rsidP="00C80331">
            <w:pPr>
              <w:keepNext/>
              <w:autoSpaceDE w:val="0"/>
              <w:autoSpaceDN w:val="0"/>
              <w:adjustRightInd w:val="0"/>
              <w:spacing w:before="40" w:after="40"/>
              <w:rPr>
                <w:sz w:val="20"/>
                <w:szCs w:val="20"/>
              </w:rPr>
            </w:pPr>
            <w:r>
              <w:rPr>
                <w:sz w:val="20"/>
                <w:szCs w:val="20"/>
              </w:rPr>
              <w:t>Range</w:t>
            </w:r>
          </w:p>
        </w:tc>
        <w:tc>
          <w:tcPr>
            <w:tcW w:w="1191" w:type="dxa"/>
            <w:tcBorders>
              <w:top w:val="nil"/>
              <w:bottom w:val="nil"/>
            </w:tcBorders>
          </w:tcPr>
          <w:p w:rsidR="004D5254" w:rsidRDefault="004D5254" w:rsidP="00C80331">
            <w:pPr>
              <w:keepNext/>
              <w:autoSpaceDE w:val="0"/>
              <w:autoSpaceDN w:val="0"/>
              <w:adjustRightInd w:val="0"/>
              <w:spacing w:before="40" w:after="40"/>
              <w:jc w:val="center"/>
              <w:rPr>
                <w:sz w:val="20"/>
                <w:szCs w:val="20"/>
              </w:rPr>
            </w:pPr>
            <w:r>
              <w:rPr>
                <w:sz w:val="20"/>
                <w:szCs w:val="20"/>
              </w:rPr>
              <w:t>1 – 12</w:t>
            </w:r>
          </w:p>
        </w:tc>
      </w:tr>
      <w:tr w:rsidR="004D5254" w:rsidTr="00C80331">
        <w:tc>
          <w:tcPr>
            <w:tcW w:w="2328" w:type="dxa"/>
            <w:tcBorders>
              <w:top w:val="nil"/>
              <w:bottom w:val="nil"/>
            </w:tcBorders>
          </w:tcPr>
          <w:p w:rsidR="004D5254" w:rsidRPr="00E64F1B" w:rsidRDefault="004D5254" w:rsidP="00C80331">
            <w:pPr>
              <w:keepNext/>
              <w:autoSpaceDE w:val="0"/>
              <w:autoSpaceDN w:val="0"/>
              <w:adjustRightInd w:val="0"/>
              <w:spacing w:before="40" w:after="40"/>
              <w:rPr>
                <w:b/>
                <w:i/>
                <w:color w:val="FFFFFF" w:themeColor="background1"/>
                <w:sz w:val="20"/>
                <w:szCs w:val="20"/>
              </w:rPr>
            </w:pPr>
          </w:p>
        </w:tc>
        <w:tc>
          <w:tcPr>
            <w:tcW w:w="5723" w:type="dxa"/>
            <w:tcBorders>
              <w:top w:val="nil"/>
              <w:bottom w:val="nil"/>
            </w:tcBorders>
          </w:tcPr>
          <w:p w:rsidR="004D5254" w:rsidRDefault="004D5254" w:rsidP="00C80331">
            <w:pPr>
              <w:keepNext/>
              <w:autoSpaceDE w:val="0"/>
              <w:autoSpaceDN w:val="0"/>
              <w:adjustRightInd w:val="0"/>
              <w:spacing w:before="40" w:after="40"/>
              <w:rPr>
                <w:sz w:val="20"/>
                <w:szCs w:val="20"/>
              </w:rPr>
            </w:pPr>
            <w:r>
              <w:rPr>
                <w:sz w:val="20"/>
                <w:szCs w:val="20"/>
              </w:rPr>
              <w:t>Patients with no evidence of response to immediate prior therapy</w:t>
            </w:r>
          </w:p>
        </w:tc>
        <w:tc>
          <w:tcPr>
            <w:tcW w:w="1191" w:type="dxa"/>
            <w:tcBorders>
              <w:top w:val="nil"/>
              <w:bottom w:val="nil"/>
            </w:tcBorders>
          </w:tcPr>
          <w:p w:rsidR="004D5254" w:rsidRDefault="004D5254" w:rsidP="00C80331">
            <w:pPr>
              <w:keepNext/>
              <w:autoSpaceDE w:val="0"/>
              <w:autoSpaceDN w:val="0"/>
              <w:adjustRightInd w:val="0"/>
              <w:spacing w:before="40" w:after="40"/>
              <w:jc w:val="center"/>
              <w:rPr>
                <w:sz w:val="20"/>
                <w:szCs w:val="20"/>
              </w:rPr>
            </w:pPr>
            <w:r>
              <w:rPr>
                <w:sz w:val="20"/>
                <w:szCs w:val="20"/>
              </w:rPr>
              <w:t>70 (63%)</w:t>
            </w:r>
          </w:p>
        </w:tc>
      </w:tr>
      <w:tr w:rsidR="004D5254" w:rsidTr="00C80331">
        <w:tc>
          <w:tcPr>
            <w:tcW w:w="2328" w:type="dxa"/>
            <w:tcBorders>
              <w:top w:val="nil"/>
              <w:bottom w:val="nil"/>
            </w:tcBorders>
            <w:shd w:val="clear" w:color="auto" w:fill="0070C0"/>
          </w:tcPr>
          <w:p w:rsidR="004D5254" w:rsidRPr="00E64F1B" w:rsidRDefault="004D5254" w:rsidP="00C80331">
            <w:pPr>
              <w:keepNext/>
              <w:autoSpaceDE w:val="0"/>
              <w:autoSpaceDN w:val="0"/>
              <w:adjustRightInd w:val="0"/>
              <w:spacing w:before="40" w:after="40"/>
              <w:rPr>
                <w:b/>
                <w:i/>
                <w:color w:val="FFFFFF" w:themeColor="background1"/>
                <w:sz w:val="20"/>
                <w:szCs w:val="20"/>
              </w:rPr>
            </w:pPr>
          </w:p>
        </w:tc>
        <w:tc>
          <w:tcPr>
            <w:tcW w:w="5723" w:type="dxa"/>
            <w:tcBorders>
              <w:top w:val="nil"/>
              <w:bottom w:val="nil"/>
            </w:tcBorders>
          </w:tcPr>
          <w:p w:rsidR="004D5254" w:rsidRDefault="004D5254" w:rsidP="00C80331">
            <w:pPr>
              <w:keepNext/>
              <w:autoSpaceDE w:val="0"/>
              <w:autoSpaceDN w:val="0"/>
              <w:adjustRightInd w:val="0"/>
              <w:spacing w:before="40" w:after="40"/>
              <w:rPr>
                <w:sz w:val="20"/>
                <w:szCs w:val="20"/>
              </w:rPr>
            </w:pPr>
            <w:r>
              <w:rPr>
                <w:sz w:val="20"/>
                <w:szCs w:val="20"/>
              </w:rPr>
              <w:t>Patients with no evidence of response to any prior therapy</w:t>
            </w:r>
          </w:p>
        </w:tc>
        <w:tc>
          <w:tcPr>
            <w:tcW w:w="1191" w:type="dxa"/>
            <w:tcBorders>
              <w:top w:val="nil"/>
              <w:bottom w:val="nil"/>
            </w:tcBorders>
          </w:tcPr>
          <w:p w:rsidR="004D5254" w:rsidRDefault="004D5254" w:rsidP="00C80331">
            <w:pPr>
              <w:keepNext/>
              <w:autoSpaceDE w:val="0"/>
              <w:autoSpaceDN w:val="0"/>
              <w:adjustRightInd w:val="0"/>
              <w:spacing w:before="40" w:after="40"/>
              <w:jc w:val="center"/>
              <w:rPr>
                <w:sz w:val="20"/>
                <w:szCs w:val="20"/>
              </w:rPr>
            </w:pPr>
            <w:r>
              <w:rPr>
                <w:sz w:val="20"/>
                <w:szCs w:val="20"/>
              </w:rPr>
              <w:t>27 (24%)</w:t>
            </w:r>
          </w:p>
        </w:tc>
      </w:tr>
      <w:tr w:rsidR="004D5254" w:rsidTr="00C80331">
        <w:tc>
          <w:tcPr>
            <w:tcW w:w="2328" w:type="dxa"/>
            <w:tcBorders>
              <w:top w:val="nil"/>
              <w:bottom w:val="nil"/>
            </w:tcBorders>
            <w:shd w:val="clear" w:color="auto" w:fill="0070C0"/>
          </w:tcPr>
          <w:p w:rsidR="004D5254" w:rsidRPr="00E64F1B" w:rsidRDefault="004D5254" w:rsidP="00C80331">
            <w:pPr>
              <w:keepNext/>
              <w:autoSpaceDE w:val="0"/>
              <w:autoSpaceDN w:val="0"/>
              <w:adjustRightInd w:val="0"/>
              <w:spacing w:before="40" w:after="40"/>
              <w:rPr>
                <w:b/>
                <w:i/>
                <w:color w:val="FFFFFF" w:themeColor="background1"/>
                <w:sz w:val="20"/>
                <w:szCs w:val="20"/>
              </w:rPr>
            </w:pPr>
            <w:r w:rsidRPr="00E64F1B">
              <w:rPr>
                <w:b/>
                <w:i/>
                <w:color w:val="FFFFFF" w:themeColor="background1"/>
                <w:sz w:val="20"/>
                <w:szCs w:val="20"/>
              </w:rPr>
              <w:t>ECOG performance status</w:t>
            </w:r>
          </w:p>
        </w:tc>
        <w:tc>
          <w:tcPr>
            <w:tcW w:w="5723" w:type="dxa"/>
            <w:tcBorders>
              <w:top w:val="nil"/>
              <w:bottom w:val="nil"/>
            </w:tcBorders>
          </w:tcPr>
          <w:p w:rsidR="004D5254" w:rsidRDefault="004D5254" w:rsidP="00C80331">
            <w:pPr>
              <w:keepNext/>
              <w:autoSpaceDE w:val="0"/>
              <w:autoSpaceDN w:val="0"/>
              <w:adjustRightInd w:val="0"/>
              <w:spacing w:before="40" w:after="40"/>
              <w:rPr>
                <w:sz w:val="20"/>
                <w:szCs w:val="20"/>
              </w:rPr>
            </w:pPr>
            <w:r>
              <w:rPr>
                <w:sz w:val="20"/>
                <w:szCs w:val="20"/>
              </w:rPr>
              <w:t>0</w:t>
            </w:r>
          </w:p>
        </w:tc>
        <w:tc>
          <w:tcPr>
            <w:tcW w:w="1191" w:type="dxa"/>
            <w:tcBorders>
              <w:top w:val="nil"/>
              <w:bottom w:val="nil"/>
            </w:tcBorders>
          </w:tcPr>
          <w:p w:rsidR="004D5254" w:rsidRDefault="004D5254" w:rsidP="00C80331">
            <w:pPr>
              <w:keepNext/>
              <w:autoSpaceDE w:val="0"/>
              <w:autoSpaceDN w:val="0"/>
              <w:adjustRightInd w:val="0"/>
              <w:spacing w:before="40" w:after="40"/>
              <w:jc w:val="center"/>
              <w:rPr>
                <w:sz w:val="20"/>
                <w:szCs w:val="20"/>
              </w:rPr>
            </w:pPr>
            <w:r>
              <w:rPr>
                <w:sz w:val="20"/>
                <w:szCs w:val="20"/>
              </w:rPr>
              <w:t>43 (39%)</w:t>
            </w:r>
          </w:p>
        </w:tc>
      </w:tr>
      <w:tr w:rsidR="004D5254" w:rsidTr="00C80331">
        <w:tc>
          <w:tcPr>
            <w:tcW w:w="2328" w:type="dxa"/>
            <w:tcBorders>
              <w:top w:val="nil"/>
              <w:bottom w:val="nil"/>
            </w:tcBorders>
            <w:shd w:val="clear" w:color="auto" w:fill="0070C0"/>
          </w:tcPr>
          <w:p w:rsidR="004D5254" w:rsidRPr="00E64F1B" w:rsidRDefault="004D5254" w:rsidP="00C80331">
            <w:pPr>
              <w:keepNext/>
              <w:autoSpaceDE w:val="0"/>
              <w:autoSpaceDN w:val="0"/>
              <w:adjustRightInd w:val="0"/>
              <w:spacing w:before="40" w:after="40"/>
              <w:rPr>
                <w:b/>
                <w:color w:val="FFFFFF" w:themeColor="background1"/>
                <w:sz w:val="20"/>
                <w:szCs w:val="20"/>
              </w:rPr>
            </w:pPr>
          </w:p>
        </w:tc>
        <w:tc>
          <w:tcPr>
            <w:tcW w:w="5723" w:type="dxa"/>
            <w:tcBorders>
              <w:top w:val="nil"/>
              <w:bottom w:val="nil"/>
            </w:tcBorders>
          </w:tcPr>
          <w:p w:rsidR="004D5254" w:rsidRDefault="004D5254" w:rsidP="00C80331">
            <w:pPr>
              <w:keepNext/>
              <w:autoSpaceDE w:val="0"/>
              <w:autoSpaceDN w:val="0"/>
              <w:adjustRightInd w:val="0"/>
              <w:spacing w:before="40" w:after="40"/>
              <w:rPr>
                <w:sz w:val="20"/>
                <w:szCs w:val="20"/>
              </w:rPr>
            </w:pPr>
            <w:r>
              <w:rPr>
                <w:sz w:val="20"/>
                <w:szCs w:val="20"/>
              </w:rPr>
              <w:t>1</w:t>
            </w:r>
          </w:p>
        </w:tc>
        <w:tc>
          <w:tcPr>
            <w:tcW w:w="1191" w:type="dxa"/>
            <w:tcBorders>
              <w:top w:val="nil"/>
              <w:bottom w:val="nil"/>
            </w:tcBorders>
          </w:tcPr>
          <w:p w:rsidR="004D5254" w:rsidRDefault="004D5254" w:rsidP="00C80331">
            <w:pPr>
              <w:keepNext/>
              <w:autoSpaceDE w:val="0"/>
              <w:autoSpaceDN w:val="0"/>
              <w:adjustRightInd w:val="0"/>
              <w:spacing w:before="40" w:after="40"/>
              <w:jc w:val="center"/>
              <w:rPr>
                <w:sz w:val="20"/>
                <w:szCs w:val="20"/>
              </w:rPr>
            </w:pPr>
            <w:r>
              <w:rPr>
                <w:sz w:val="20"/>
                <w:szCs w:val="20"/>
              </w:rPr>
              <w:t>49 (44%)</w:t>
            </w:r>
          </w:p>
        </w:tc>
      </w:tr>
      <w:tr w:rsidR="004D5254" w:rsidTr="00C80331">
        <w:tc>
          <w:tcPr>
            <w:tcW w:w="2328" w:type="dxa"/>
            <w:tcBorders>
              <w:top w:val="nil"/>
              <w:bottom w:val="single" w:sz="4" w:space="0" w:color="auto"/>
            </w:tcBorders>
          </w:tcPr>
          <w:p w:rsidR="004D5254" w:rsidRPr="003661BC" w:rsidRDefault="004D5254" w:rsidP="00C80331">
            <w:pPr>
              <w:keepNext/>
              <w:autoSpaceDE w:val="0"/>
              <w:autoSpaceDN w:val="0"/>
              <w:adjustRightInd w:val="0"/>
              <w:spacing w:before="40" w:after="40"/>
              <w:rPr>
                <w:sz w:val="20"/>
                <w:szCs w:val="20"/>
              </w:rPr>
            </w:pPr>
          </w:p>
        </w:tc>
        <w:tc>
          <w:tcPr>
            <w:tcW w:w="5723" w:type="dxa"/>
            <w:tcBorders>
              <w:top w:val="nil"/>
              <w:bottom w:val="single" w:sz="4" w:space="0" w:color="auto"/>
            </w:tcBorders>
          </w:tcPr>
          <w:p w:rsidR="004D5254" w:rsidRDefault="004D5254" w:rsidP="00C80331">
            <w:pPr>
              <w:keepNext/>
              <w:autoSpaceDE w:val="0"/>
              <w:autoSpaceDN w:val="0"/>
              <w:adjustRightInd w:val="0"/>
              <w:spacing w:before="40" w:after="40"/>
              <w:rPr>
                <w:sz w:val="20"/>
                <w:szCs w:val="20"/>
              </w:rPr>
            </w:pPr>
            <w:r>
              <w:rPr>
                <w:sz w:val="20"/>
                <w:szCs w:val="20"/>
              </w:rPr>
              <w:t>2</w:t>
            </w:r>
          </w:p>
        </w:tc>
        <w:tc>
          <w:tcPr>
            <w:tcW w:w="1191" w:type="dxa"/>
            <w:tcBorders>
              <w:top w:val="nil"/>
              <w:bottom w:val="single" w:sz="4" w:space="0" w:color="auto"/>
            </w:tcBorders>
          </w:tcPr>
          <w:p w:rsidR="004D5254" w:rsidRDefault="004D5254" w:rsidP="00C80331">
            <w:pPr>
              <w:keepNext/>
              <w:autoSpaceDE w:val="0"/>
              <w:autoSpaceDN w:val="0"/>
              <w:adjustRightInd w:val="0"/>
              <w:spacing w:before="40" w:after="40"/>
              <w:jc w:val="center"/>
              <w:rPr>
                <w:sz w:val="20"/>
                <w:szCs w:val="20"/>
              </w:rPr>
            </w:pPr>
            <w:r>
              <w:rPr>
                <w:sz w:val="20"/>
                <w:szCs w:val="20"/>
              </w:rPr>
              <w:t>19 (17%)</w:t>
            </w:r>
          </w:p>
        </w:tc>
      </w:tr>
    </w:tbl>
    <w:p w:rsidR="004D5254" w:rsidRPr="004B259C" w:rsidRDefault="004D5254" w:rsidP="004D5254">
      <w:pPr>
        <w:pStyle w:val="Heading6"/>
        <w:numPr>
          <w:ilvl w:val="4"/>
          <w:numId w:val="5"/>
        </w:numPr>
        <w:ind w:left="1702" w:hanging="1418"/>
      </w:pPr>
      <w:r w:rsidRPr="004B259C">
        <w:lastRenderedPageBreak/>
        <w:t>Results for the primary efficacy outcome</w:t>
      </w:r>
    </w:p>
    <w:p w:rsidR="004D5254" w:rsidRDefault="004D5254" w:rsidP="004D5254">
      <w:pPr>
        <w:autoSpaceDE w:val="0"/>
        <w:autoSpaceDN w:val="0"/>
        <w:adjustRightInd w:val="0"/>
      </w:pPr>
      <w:r w:rsidRPr="00270C16">
        <w:t>Table 8 b</w:t>
      </w:r>
      <w:r>
        <w:t xml:space="preserve">elow </w:t>
      </w:r>
      <w:r w:rsidRPr="001D1EED">
        <w:t>summarises the best overall response for all 3 methods of assessment</w:t>
      </w:r>
      <w:r>
        <w:t>;</w:t>
      </w:r>
      <w:r w:rsidRPr="001D1EED">
        <w:t xml:space="preserve"> IWC, IWC plus PET scans and investigator.</w:t>
      </w:r>
      <w:r>
        <w:t xml:space="preserve"> </w:t>
      </w:r>
      <w:r w:rsidRPr="001D1EED">
        <w:rPr>
          <w:color w:val="000000"/>
        </w:rPr>
        <w:t>The response rate per the primary analysis (independent central review using IWC) was</w:t>
      </w:r>
      <w:r>
        <w:rPr>
          <w:color w:val="000000"/>
        </w:rPr>
        <w:t xml:space="preserve"> </w:t>
      </w:r>
      <w:r w:rsidRPr="001D1EED">
        <w:rPr>
          <w:color w:val="000000"/>
        </w:rPr>
        <w:t>29% (n = 32) with a 95% CI of 21 – 39%.</w:t>
      </w:r>
      <w:r>
        <w:rPr>
          <w:color w:val="000000"/>
        </w:rPr>
        <w:t xml:space="preserve"> </w:t>
      </w:r>
      <w:r w:rsidRPr="001D1EED">
        <w:rPr>
          <w:color w:val="000000"/>
        </w:rPr>
        <w:t>More than half of the responders had a partial response.</w:t>
      </w:r>
      <w:r>
        <w:rPr>
          <w:color w:val="000000"/>
        </w:rPr>
        <w:t xml:space="preserve"> </w:t>
      </w:r>
      <w:r w:rsidRPr="006D5785">
        <w:t>The time to first response among the 32 responders ranged from 3</w:t>
      </w:r>
      <w:r>
        <w:t>7</w:t>
      </w:r>
      <w:r w:rsidRPr="006D5785">
        <w:t xml:space="preserve"> to </w:t>
      </w:r>
      <w:r>
        <w:t>349</w:t>
      </w:r>
      <w:r w:rsidRPr="006D5785">
        <w:t xml:space="preserve"> days (median </w:t>
      </w:r>
      <w:r>
        <w:t>45</w:t>
      </w:r>
      <w:r w:rsidRPr="006D5785">
        <w:t xml:space="preserve"> days).</w:t>
      </w:r>
      <w:r>
        <w:t xml:space="preserve"> </w:t>
      </w:r>
    </w:p>
    <w:p w:rsidR="004D5254" w:rsidRPr="006D5785" w:rsidRDefault="004D5254" w:rsidP="004D5254">
      <w:pPr>
        <w:autoSpaceDE w:val="0"/>
        <w:autoSpaceDN w:val="0"/>
        <w:adjustRightInd w:val="0"/>
      </w:pPr>
      <w:r w:rsidRPr="006D5785">
        <w:t>Particular points to note are:</w:t>
      </w:r>
    </w:p>
    <w:p w:rsidR="004D5254" w:rsidRPr="006D5785" w:rsidRDefault="004D5254" w:rsidP="004D5254">
      <w:pPr>
        <w:pStyle w:val="ListBullet"/>
        <w:numPr>
          <w:ilvl w:val="0"/>
          <w:numId w:val="1"/>
        </w:numPr>
      </w:pPr>
      <w:r w:rsidRPr="006D5785">
        <w:t>15 patients (5</w:t>
      </w:r>
      <w:r>
        <w:t xml:space="preserve"> </w:t>
      </w:r>
      <w:r w:rsidRPr="006D5785">
        <w:t>CR; 10 PR) achieved a first response within 49 days (</w:t>
      </w:r>
      <w:r w:rsidRPr="00990CA1">
        <w:t>that is,</w:t>
      </w:r>
      <w:r w:rsidRPr="006D5785">
        <w:t xml:space="preserve"> 1 cycle of treatment).</w:t>
      </w:r>
      <w:r>
        <w:t xml:space="preserve"> </w:t>
      </w:r>
      <w:r w:rsidRPr="006D5785">
        <w:t xml:space="preserve">This included 3 patients </w:t>
      </w:r>
      <w:r>
        <w:t xml:space="preserve">(1 CR; 2 PR) </w:t>
      </w:r>
      <w:r w:rsidRPr="006D5785">
        <w:t>who achieved a response after very limited exposure to pralatrexate (</w:t>
      </w:r>
      <w:r w:rsidRPr="00990CA1">
        <w:t>that is,</w:t>
      </w:r>
      <w:r w:rsidRPr="006D5785">
        <w:t xml:space="preserve"> </w:t>
      </w:r>
      <w:r>
        <w:t xml:space="preserve">≤ </w:t>
      </w:r>
      <w:r w:rsidRPr="006D5785">
        <w:t>3 doses)</w:t>
      </w:r>
      <w:r>
        <w:t>:</w:t>
      </w:r>
    </w:p>
    <w:p w:rsidR="004D5254" w:rsidRPr="006D5785" w:rsidRDefault="004D5254" w:rsidP="004D5254">
      <w:pPr>
        <w:pStyle w:val="ListBullet2"/>
        <w:numPr>
          <w:ilvl w:val="1"/>
          <w:numId w:val="1"/>
        </w:numPr>
      </w:pPr>
      <w:r w:rsidRPr="006D5785">
        <w:t>P</w:t>
      </w:r>
      <w:r>
        <w:t>a</w:t>
      </w:r>
      <w:r w:rsidRPr="006D5785">
        <w:t>t</w:t>
      </w:r>
      <w:r>
        <w:t>ient</w:t>
      </w:r>
      <w:r w:rsidRPr="006D5785">
        <w:t xml:space="preserve"> </w:t>
      </w:r>
      <w:r>
        <w:t>C:</w:t>
      </w:r>
      <w:r w:rsidRPr="006D5785">
        <w:t xml:space="preserve"> a 60</w:t>
      </w:r>
      <w:r>
        <w:t>M</w:t>
      </w:r>
      <w:r w:rsidRPr="006D5785">
        <w:t xml:space="preserve"> with nodal PTCL – unspecified, </w:t>
      </w:r>
      <w:r>
        <w:t xml:space="preserve">an ECOG PS of 1 and an elevated LDH level (206 IU/L; normal range (NR) 60 - 200) at screening, </w:t>
      </w:r>
      <w:r w:rsidRPr="006D5785">
        <w:t>received only a single 30</w:t>
      </w:r>
      <w:r>
        <w:t xml:space="preserve"> </w:t>
      </w:r>
      <w:r w:rsidRPr="006D5785">
        <w:t>mg/m</w:t>
      </w:r>
      <w:r w:rsidRPr="006D5785">
        <w:rPr>
          <w:vertAlign w:val="superscript"/>
        </w:rPr>
        <w:t>2</w:t>
      </w:r>
      <w:r w:rsidRPr="006D5785">
        <w:t xml:space="preserve"> dose of pralatrexate.</w:t>
      </w:r>
      <w:r>
        <w:t xml:space="preserve"> </w:t>
      </w:r>
      <w:r w:rsidRPr="006D5785">
        <w:t xml:space="preserve">The </w:t>
      </w:r>
      <w:r>
        <w:t>W</w:t>
      </w:r>
      <w:r w:rsidRPr="006D5785">
        <w:t>eek 2 dose was withheld because of mucositis.</w:t>
      </w:r>
      <w:r>
        <w:t xml:space="preserve"> </w:t>
      </w:r>
      <w:r w:rsidRPr="006D5785">
        <w:t xml:space="preserve">The </w:t>
      </w:r>
      <w:r>
        <w:t>W</w:t>
      </w:r>
      <w:r w:rsidRPr="006D5785">
        <w:t>eek 3 dose was withheld because of sepsis and the study drug was discontinued.</w:t>
      </w:r>
      <w:r>
        <w:t xml:space="preserve"> </w:t>
      </w:r>
      <w:r w:rsidRPr="006D5785">
        <w:t>He achieved a best response of PR at 36 days and went on to rec</w:t>
      </w:r>
      <w:r>
        <w:t>eive a stem cell transplant at D</w:t>
      </w:r>
      <w:r w:rsidRPr="006D5785">
        <w:t>ay 69.</w:t>
      </w:r>
      <w:r>
        <w:t xml:space="preserve"> This patient had received only 1 prior course of treatment; </w:t>
      </w:r>
      <w:r w:rsidRPr="006D5785">
        <w:t xml:space="preserve">6 cycles of CHOP, completed 4 months prior to </w:t>
      </w:r>
      <w:r>
        <w:t>receiving</w:t>
      </w:r>
      <w:r w:rsidRPr="006D5785">
        <w:t xml:space="preserve"> pralatrexate</w:t>
      </w:r>
      <w:r>
        <w:t xml:space="preserve"> and with a best response of disease progression</w:t>
      </w:r>
      <w:r w:rsidRPr="006D5785">
        <w:t>.</w:t>
      </w:r>
    </w:p>
    <w:p w:rsidR="004D5254" w:rsidRPr="006D5785" w:rsidRDefault="004D5254" w:rsidP="004D5254">
      <w:pPr>
        <w:pStyle w:val="ListBullet2"/>
        <w:numPr>
          <w:ilvl w:val="1"/>
          <w:numId w:val="1"/>
        </w:numPr>
      </w:pPr>
      <w:r>
        <w:t>Patient D:</w:t>
      </w:r>
      <w:r w:rsidRPr="006D5785">
        <w:t xml:space="preserve"> a 58M with PTCL – unspecified</w:t>
      </w:r>
      <w:r>
        <w:t>, a splenic mass on PET</w:t>
      </w:r>
      <w:r w:rsidRPr="006D5785">
        <w:t xml:space="preserve">, </w:t>
      </w:r>
      <w:r>
        <w:t>an ECOG PS of 1 and a normal LDH level (171 IU/L; NR 0 - 190)</w:t>
      </w:r>
      <w:r w:rsidRPr="001C50D9">
        <w:t xml:space="preserve"> </w:t>
      </w:r>
      <w:r>
        <w:t xml:space="preserve">at screening - </w:t>
      </w:r>
      <w:r w:rsidRPr="006D5785">
        <w:t xml:space="preserve">received </w:t>
      </w:r>
      <w:r>
        <w:t>two</w:t>
      </w:r>
      <w:r w:rsidRPr="006D5785">
        <w:t xml:space="preserve"> 30 mg/m</w:t>
      </w:r>
      <w:r w:rsidRPr="006D5785">
        <w:rPr>
          <w:vertAlign w:val="superscript"/>
        </w:rPr>
        <w:t>2</w:t>
      </w:r>
      <w:r>
        <w:t xml:space="preserve"> </w:t>
      </w:r>
      <w:r w:rsidRPr="006D5785">
        <w:t>doses of pralatrexate</w:t>
      </w:r>
      <w:r>
        <w:t xml:space="preserve">. </w:t>
      </w:r>
      <w:r w:rsidRPr="006D5785">
        <w:t xml:space="preserve">The third dose of </w:t>
      </w:r>
      <w:r>
        <w:t>pralatrexate was</w:t>
      </w:r>
      <w:r w:rsidRPr="006D5785">
        <w:t xml:space="preserve"> </w:t>
      </w:r>
      <w:r>
        <w:t>wit</w:t>
      </w:r>
      <w:r w:rsidRPr="006D5785">
        <w:t>h</w:t>
      </w:r>
      <w:r>
        <w:t>h</w:t>
      </w:r>
      <w:r w:rsidRPr="006D5785">
        <w:t xml:space="preserve">eld </w:t>
      </w:r>
      <w:r>
        <w:t>because of</w:t>
      </w:r>
      <w:r w:rsidRPr="006D5785">
        <w:t xml:space="preserve"> mucositis, neutrop</w:t>
      </w:r>
      <w:r>
        <w:t>a</w:t>
      </w:r>
      <w:r w:rsidRPr="006D5785">
        <w:t>enia and thrombocytopenia</w:t>
      </w:r>
      <w:r>
        <w:t xml:space="preserve">, and the </w:t>
      </w:r>
      <w:r w:rsidRPr="006D5785">
        <w:t xml:space="preserve">fourth and fifth doses </w:t>
      </w:r>
      <w:r>
        <w:t>were also</w:t>
      </w:r>
      <w:r w:rsidRPr="006D5785">
        <w:t xml:space="preserve"> withheld b</w:t>
      </w:r>
      <w:r>
        <w:t>ecause of</w:t>
      </w:r>
      <w:r w:rsidRPr="006D5785">
        <w:t xml:space="preserve"> fever and neutropaenia</w:t>
      </w:r>
      <w:r>
        <w:t>. T</w:t>
      </w:r>
      <w:r w:rsidRPr="006D5785">
        <w:t xml:space="preserve">reatment </w:t>
      </w:r>
      <w:r>
        <w:t xml:space="preserve">was </w:t>
      </w:r>
      <w:r w:rsidRPr="006D5785">
        <w:t xml:space="preserve">discontinued in </w:t>
      </w:r>
      <w:r>
        <w:t>W</w:t>
      </w:r>
      <w:r w:rsidRPr="006D5785">
        <w:t>eek 6</w:t>
      </w:r>
      <w:r>
        <w:t xml:space="preserve"> because of G</w:t>
      </w:r>
      <w:r w:rsidRPr="006D5785">
        <w:t>rade 3 neutrop</w:t>
      </w:r>
      <w:r>
        <w:t>a</w:t>
      </w:r>
      <w:r w:rsidRPr="006D5785">
        <w:t>enia and fatigue.</w:t>
      </w:r>
      <w:r>
        <w:t xml:space="preserve"> </w:t>
      </w:r>
      <w:r w:rsidRPr="006D5785">
        <w:t xml:space="preserve">He achieved a best response of PR at </w:t>
      </w:r>
      <w:r>
        <w:t>D</w:t>
      </w:r>
      <w:r w:rsidRPr="006D5785">
        <w:t xml:space="preserve">ay 37 </w:t>
      </w:r>
      <w:r>
        <w:t>and had disease progression at D</w:t>
      </w:r>
      <w:r w:rsidRPr="006D5785">
        <w:t>ay 287</w:t>
      </w:r>
      <w:r>
        <w:t xml:space="preserve">. </w:t>
      </w:r>
      <w:r w:rsidRPr="006D5785">
        <w:t xml:space="preserve">Previous treatment included </w:t>
      </w:r>
      <w:r>
        <w:t xml:space="preserve">5 cycles of </w:t>
      </w:r>
      <w:r w:rsidRPr="006D5785">
        <w:t xml:space="preserve">CHOP </w:t>
      </w:r>
      <w:r>
        <w:t xml:space="preserve">(best response PR); 2 cycles of </w:t>
      </w:r>
      <w:r w:rsidRPr="006D5785">
        <w:t>DHAP (dexamethasone, cisplatin, cytarabine</w:t>
      </w:r>
      <w:r>
        <w:t>; best response PR); and, most recently, SCT</w:t>
      </w:r>
      <w:r w:rsidRPr="006D5785">
        <w:t xml:space="preserve"> </w:t>
      </w:r>
      <w:r>
        <w:t>10 months before starting pralatrexate, with a best response of CR</w:t>
      </w:r>
      <w:r w:rsidRPr="006D5785">
        <w:t>.</w:t>
      </w:r>
    </w:p>
    <w:p w:rsidR="004D5254" w:rsidRPr="0076001B" w:rsidRDefault="004D5254" w:rsidP="004D5254">
      <w:pPr>
        <w:pStyle w:val="ListBullet2"/>
        <w:numPr>
          <w:ilvl w:val="1"/>
          <w:numId w:val="1"/>
        </w:numPr>
      </w:pPr>
      <w:r>
        <w:t>Patient E:</w:t>
      </w:r>
      <w:r w:rsidRPr="006D5785">
        <w:t xml:space="preserve"> </w:t>
      </w:r>
      <w:r>
        <w:t xml:space="preserve">a </w:t>
      </w:r>
      <w:r w:rsidRPr="006D5785">
        <w:t xml:space="preserve">71F with PTCL </w:t>
      </w:r>
      <w:r>
        <w:t xml:space="preserve">– </w:t>
      </w:r>
      <w:r w:rsidRPr="006D5785">
        <w:t>unspecified</w:t>
      </w:r>
      <w:r>
        <w:t>, a splenic mass on PET</w:t>
      </w:r>
      <w:r w:rsidRPr="006D5785">
        <w:t xml:space="preserve">, </w:t>
      </w:r>
      <w:r>
        <w:t>an ECOG PS of 1 and an elevated LDH level (679 IU/L; NR 313 - 618)</w:t>
      </w:r>
      <w:r w:rsidRPr="001C50D9">
        <w:t xml:space="preserve"> </w:t>
      </w:r>
      <w:r>
        <w:t>at screening -</w:t>
      </w:r>
      <w:r w:rsidRPr="006D5785">
        <w:t xml:space="preserve"> received </w:t>
      </w:r>
      <w:r>
        <w:t xml:space="preserve">a total of 3 doses of pralatrexate. After receiving her first dose </w:t>
      </w:r>
      <w:r w:rsidRPr="006D5785">
        <w:t>of pralatrexate</w:t>
      </w:r>
      <w:r>
        <w:t xml:space="preserve">, the </w:t>
      </w:r>
      <w:r w:rsidRPr="006D5785">
        <w:t xml:space="preserve">next 2 doses were held </w:t>
      </w:r>
      <w:r>
        <w:t>because of G</w:t>
      </w:r>
      <w:r w:rsidRPr="006D5785">
        <w:t>rade 2/3 oral mucositis</w:t>
      </w:r>
      <w:r>
        <w:t>. She received two reduced doses (</w:t>
      </w:r>
      <w:r w:rsidRPr="006D5785">
        <w:t>20 mg/m</w:t>
      </w:r>
      <w:r w:rsidRPr="006D5785">
        <w:rPr>
          <w:vertAlign w:val="superscript"/>
        </w:rPr>
        <w:t>2</w:t>
      </w:r>
      <w:r>
        <w:t xml:space="preserve">) in Weeks 4 and 5 and then </w:t>
      </w:r>
      <w:r w:rsidRPr="006D5785">
        <w:t>permanently discontinued study treatment due to recurrence of oral mucositis</w:t>
      </w:r>
      <w:r>
        <w:t>. She achieved PR at D</w:t>
      </w:r>
      <w:r w:rsidRPr="006D5785">
        <w:t xml:space="preserve">ay 48 and thence CRu </w:t>
      </w:r>
      <w:r>
        <w:t>(</w:t>
      </w:r>
      <w:r w:rsidRPr="006D5785">
        <w:t>217 days after starting pralatrexate</w:t>
      </w:r>
      <w:r>
        <w:t>)</w:t>
      </w:r>
      <w:r w:rsidRPr="006D5785">
        <w:t xml:space="preserve"> and CR </w:t>
      </w:r>
      <w:r>
        <w:t>(</w:t>
      </w:r>
      <w:r w:rsidRPr="006D5785">
        <w:t>399 days after starting pralatrexate</w:t>
      </w:r>
      <w:r>
        <w:t>). The patient</w:t>
      </w:r>
      <w:r w:rsidRPr="006D5785">
        <w:t xml:space="preserve"> subsequently remained in CR until study termination, with duration of response of 519 days</w:t>
      </w:r>
      <w:r>
        <w:t xml:space="preserve">. Treatment prior to study entry included </w:t>
      </w:r>
      <w:r w:rsidRPr="006D5785">
        <w:t>CHOP</w:t>
      </w:r>
      <w:r>
        <w:t xml:space="preserve"> (best response CR); radiotherapy (best response CR); </w:t>
      </w:r>
      <w:r w:rsidRPr="0076001B">
        <w:t>and, most recently, combination ifosfamide, carboplatin, etoposide completed 3 months prior to treatment with pralatrexate, with best response of disease progression.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4D5254" w:rsidRPr="005917F6" w:rsidTr="00C80331">
        <w:tc>
          <w:tcPr>
            <w:tcW w:w="9242" w:type="dxa"/>
            <w:shd w:val="clear" w:color="auto" w:fill="D9D9D9" w:themeFill="background1" w:themeFillShade="D9"/>
          </w:tcPr>
          <w:p w:rsidR="004D5254" w:rsidRDefault="004D5254" w:rsidP="00C80331">
            <w:pPr>
              <w:tabs>
                <w:tab w:val="left" w:pos="1276"/>
                <w:tab w:val="left" w:pos="1843"/>
              </w:tabs>
              <w:spacing w:before="240"/>
            </w:pPr>
            <w:r w:rsidRPr="005917F6">
              <w:rPr>
                <w:u w:val="single"/>
              </w:rPr>
              <w:t>Evaluator’s comment</w:t>
            </w:r>
            <w:r>
              <w:t>:</w:t>
            </w:r>
          </w:p>
          <w:p w:rsidR="004D5254" w:rsidRPr="005917F6" w:rsidRDefault="004D5254" w:rsidP="00C80331">
            <w:pPr>
              <w:tabs>
                <w:tab w:val="left" w:pos="1276"/>
                <w:tab w:val="left" w:pos="1843"/>
              </w:tabs>
            </w:pPr>
            <w:r>
              <w:t xml:space="preserve">The issue here is whether these responses can be considered to be wholly due to pralatrexate, given such limited exposure. It is not immediately apparent what else could have influenced the disease response in these cases other than “spontaneous remission” because these patients completed their last prior treatment and relapsed well in advance of receiving pralatrexate. However, spontaneous remissions are exceedingly rare anyway, so to have 3 such occurrences in patients with very aggressive, relapsed PTCL is extremely unlikely. Thus, it is reasonable to assume that the response in these patients was due to pralatrexate activity. </w:t>
            </w:r>
          </w:p>
        </w:tc>
      </w:tr>
    </w:tbl>
    <w:p w:rsidR="004D5254" w:rsidRDefault="004D5254" w:rsidP="004D5254">
      <w:pPr>
        <w:pStyle w:val="FigureTitle"/>
      </w:pPr>
      <w:bookmarkStart w:id="188" w:name="_Toc320881531"/>
      <w:r>
        <w:lastRenderedPageBreak/>
        <w:t>Table 8. Study PDX-008 - Best response in patients with PTCL</w:t>
      </w:r>
      <w:bookmarkEnd w:id="188"/>
    </w:p>
    <w:p w:rsidR="004D5254" w:rsidRDefault="004D5254" w:rsidP="004D5254">
      <w:pPr>
        <w:autoSpaceDE w:val="0"/>
        <w:autoSpaceDN w:val="0"/>
        <w:adjustRightInd w:val="0"/>
        <w:rPr>
          <w:rFonts w:ascii="Times New Roman" w:hAnsi="Times New Roman"/>
          <w:color w:val="000000"/>
          <w:sz w:val="24"/>
        </w:rPr>
      </w:pPr>
      <w:r>
        <w:rPr>
          <w:noProof/>
          <w:lang w:eastAsia="en-AU"/>
        </w:rPr>
        <w:drawing>
          <wp:inline distT="0" distB="0" distL="0" distR="0">
            <wp:extent cx="5538624" cy="5791200"/>
            <wp:effectExtent l="19050" t="0" r="4926" b="0"/>
            <wp:docPr id="14" name="Picture 14" descr="Table 8. Study PDX-008 - Best response in patients with PT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l="1286"/>
                    <a:stretch>
                      <a:fillRect/>
                    </a:stretch>
                  </pic:blipFill>
                  <pic:spPr bwMode="auto">
                    <a:xfrm>
                      <a:off x="0" y="0"/>
                      <a:ext cx="5538624" cy="5791200"/>
                    </a:xfrm>
                    <a:prstGeom prst="rect">
                      <a:avLst/>
                    </a:prstGeom>
                    <a:noFill/>
                    <a:ln w="9525">
                      <a:noFill/>
                      <a:miter lim="800000"/>
                      <a:headEnd/>
                      <a:tailEnd/>
                    </a:ln>
                  </pic:spPr>
                </pic:pic>
              </a:graphicData>
            </a:graphic>
          </wp:inline>
        </w:drawing>
      </w:r>
      <w:r>
        <w:rPr>
          <w:rFonts w:ascii="Times New Roman" w:hAnsi="Times New Roman"/>
          <w:noProof/>
          <w:color w:val="000000"/>
          <w:sz w:val="24"/>
          <w:lang w:eastAsia="en-AU"/>
        </w:rPr>
        <w:drawing>
          <wp:inline distT="0" distB="0" distL="0" distR="0">
            <wp:extent cx="6010275" cy="676275"/>
            <wp:effectExtent l="19050" t="0" r="9525" b="0"/>
            <wp:docPr id="15" name="Picture 15" descr="Table 8 -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l="1097"/>
                    <a:stretch>
                      <a:fillRect/>
                    </a:stretch>
                  </pic:blipFill>
                  <pic:spPr bwMode="auto">
                    <a:xfrm>
                      <a:off x="0" y="0"/>
                      <a:ext cx="6010275" cy="676275"/>
                    </a:xfrm>
                    <a:prstGeom prst="rect">
                      <a:avLst/>
                    </a:prstGeom>
                    <a:noFill/>
                    <a:ln w="9525">
                      <a:noFill/>
                      <a:miter lim="800000"/>
                      <a:headEnd/>
                      <a:tailEnd/>
                    </a:ln>
                  </pic:spPr>
                </pic:pic>
              </a:graphicData>
            </a:graphic>
          </wp:inline>
        </w:drawing>
      </w:r>
    </w:p>
    <w:p w:rsidR="004D5254" w:rsidRDefault="004D5254" w:rsidP="004D5254">
      <w:pPr>
        <w:pStyle w:val="ListBullet"/>
        <w:numPr>
          <w:ilvl w:val="0"/>
          <w:numId w:val="1"/>
        </w:numPr>
      </w:pPr>
      <w:r w:rsidRPr="006D5785">
        <w:t>5 patients (1CR; 4 PR) had a response with pralatrexate therapy when they had failed to respond to</w:t>
      </w:r>
      <w:r>
        <w:t xml:space="preserve"> any of their</w:t>
      </w:r>
      <w:r w:rsidRPr="006D5785">
        <w:t xml:space="preserve"> earlier therapies</w:t>
      </w:r>
      <w:r>
        <w:t>:</w:t>
      </w:r>
    </w:p>
    <w:p w:rsidR="004D5254" w:rsidRDefault="004D5254" w:rsidP="004D5254">
      <w:pPr>
        <w:pStyle w:val="ListBullet2"/>
        <w:numPr>
          <w:ilvl w:val="1"/>
          <w:numId w:val="1"/>
        </w:numPr>
      </w:pPr>
      <w:r>
        <w:t>Patient F: a 76M with transformed mycosis fungoides, cutaneous lesions, an ECOG PS of 0 and an elevated LDH (1258 IU/L; NR 313 – 618) at screening; received 2 cycles of pralatrexate (with C1D3 and C1D4 omitted because of acute cholecystitis). A best response of PR was achieved at Day 42, with duration of response of 78 days. This patient had received 2 prior treatment courses, both systemic – denileukin diftitox and bexarotene, with the most recent treatment (bexarotene) completed 6 weeks prior to receiving pralatrexate. The best response to both prior therapies was disease progression.</w:t>
      </w:r>
    </w:p>
    <w:p w:rsidR="004D5254" w:rsidRDefault="004D5254" w:rsidP="004D5254">
      <w:pPr>
        <w:pStyle w:val="ListBullet2"/>
        <w:numPr>
          <w:ilvl w:val="1"/>
          <w:numId w:val="1"/>
        </w:numPr>
      </w:pPr>
      <w:r w:rsidRPr="008D18EF">
        <w:lastRenderedPageBreak/>
        <w:t xml:space="preserve">Patient </w:t>
      </w:r>
      <w:r>
        <w:t>G:</w:t>
      </w:r>
      <w:r w:rsidRPr="008D18EF">
        <w:t xml:space="preserve"> a 30M with T/NK cell lymphoma</w:t>
      </w:r>
      <w:r>
        <w:t>, an ECOG PS of 0 and an elevated LDH (428 IU/L; NR 313 – 618) at screening -</w:t>
      </w:r>
      <w:r w:rsidRPr="008D18EF">
        <w:t xml:space="preserve"> </w:t>
      </w:r>
      <w:r>
        <w:t>received a total of 9 cycles of pralatrexate, with a best response of CR occurring at Day 143 and duration of response of 306 days. This patient had received a mix of systemic and local treatments prior to pralatrexate initiation, including 4 cycles of CHOP (best response stable disease) and, most recently, radiation of the nasopharynx and base of skull (best response disease progression) 4 months prior to receiving pralatrexate.</w:t>
      </w:r>
    </w:p>
    <w:tbl>
      <w:tblPr>
        <w:tblStyle w:val="TableGrid"/>
        <w:tblW w:w="0" w:type="auto"/>
        <w:tblInd w:w="959" w:type="dxa"/>
        <w:tblLook w:val="04A0"/>
      </w:tblPr>
      <w:tblGrid>
        <w:gridCol w:w="8283"/>
      </w:tblGrid>
      <w:tr w:rsidR="004D5254" w:rsidTr="00C80331">
        <w:tc>
          <w:tcPr>
            <w:tcW w:w="8283" w:type="dxa"/>
            <w:shd w:val="clear" w:color="auto" w:fill="D9D9D9" w:themeFill="background1" w:themeFillShade="D9"/>
          </w:tcPr>
          <w:p w:rsidR="004D5254" w:rsidRDefault="004D5254" w:rsidP="00C80331">
            <w:pPr>
              <w:tabs>
                <w:tab w:val="left" w:pos="1843"/>
              </w:tabs>
              <w:ind w:left="34"/>
              <w:rPr>
                <w:szCs w:val="22"/>
              </w:rPr>
            </w:pPr>
            <w:r w:rsidRPr="00F349E5">
              <w:rPr>
                <w:szCs w:val="22"/>
                <w:u w:val="single"/>
              </w:rPr>
              <w:t>Evaluator’s comment</w:t>
            </w:r>
            <w:r>
              <w:rPr>
                <w:szCs w:val="22"/>
              </w:rPr>
              <w:t>:</w:t>
            </w:r>
          </w:p>
          <w:p w:rsidR="004D5254" w:rsidRDefault="004D5254" w:rsidP="00C80331">
            <w:pPr>
              <w:tabs>
                <w:tab w:val="left" w:pos="1843"/>
              </w:tabs>
              <w:ind w:left="34"/>
              <w:rPr>
                <w:szCs w:val="22"/>
              </w:rPr>
            </w:pPr>
            <w:r>
              <w:rPr>
                <w:szCs w:val="22"/>
              </w:rPr>
              <w:t>Data</w:t>
            </w:r>
            <w:r w:rsidRPr="00F349E5">
              <w:rPr>
                <w:szCs w:val="22"/>
              </w:rPr>
              <w:t xml:space="preserve"> indicate that </w:t>
            </w:r>
            <w:r>
              <w:rPr>
                <w:szCs w:val="22"/>
              </w:rPr>
              <w:t>P</w:t>
            </w:r>
            <w:r w:rsidRPr="00F349E5">
              <w:rPr>
                <w:szCs w:val="22"/>
              </w:rPr>
              <w:t>atient</w:t>
            </w:r>
            <w:r>
              <w:rPr>
                <w:szCs w:val="22"/>
              </w:rPr>
              <w:t xml:space="preserve"> G </w:t>
            </w:r>
            <w:r w:rsidRPr="00F349E5">
              <w:rPr>
                <w:szCs w:val="22"/>
              </w:rPr>
              <w:t>also had active disease in the mediastinum (PET positive nodes), which was outside the radiation field and which also appeared to respond to treatment on study (largest diameter reduced from 20</w:t>
            </w:r>
            <w:r>
              <w:rPr>
                <w:szCs w:val="22"/>
              </w:rPr>
              <w:t xml:space="preserve"> </w:t>
            </w:r>
            <w:r w:rsidRPr="00F349E5">
              <w:rPr>
                <w:szCs w:val="22"/>
              </w:rPr>
              <w:t>mm at screening to 9</w:t>
            </w:r>
            <w:r>
              <w:rPr>
                <w:szCs w:val="22"/>
              </w:rPr>
              <w:t xml:space="preserve"> </w:t>
            </w:r>
            <w:r w:rsidRPr="00F349E5">
              <w:rPr>
                <w:szCs w:val="22"/>
              </w:rPr>
              <w:t xml:space="preserve">mm at the time the </w:t>
            </w:r>
            <w:r>
              <w:rPr>
                <w:szCs w:val="22"/>
              </w:rPr>
              <w:t>response</w:t>
            </w:r>
            <w:r w:rsidRPr="00F349E5">
              <w:rPr>
                <w:szCs w:val="22"/>
              </w:rPr>
              <w:t xml:space="preserve"> was achieved).</w:t>
            </w:r>
            <w:r>
              <w:rPr>
                <w:szCs w:val="22"/>
              </w:rPr>
              <w:t xml:space="preserve"> </w:t>
            </w:r>
            <w:r w:rsidRPr="00F349E5">
              <w:rPr>
                <w:szCs w:val="22"/>
              </w:rPr>
              <w:t>Thus, it does not appear that the response in this patient was</w:t>
            </w:r>
            <w:r>
              <w:rPr>
                <w:szCs w:val="22"/>
              </w:rPr>
              <w:t xml:space="preserve"> likely to be</w:t>
            </w:r>
            <w:r w:rsidRPr="00F349E5">
              <w:rPr>
                <w:szCs w:val="22"/>
              </w:rPr>
              <w:t xml:space="preserve"> due to delayed radiation effects.</w:t>
            </w:r>
          </w:p>
        </w:tc>
      </w:tr>
    </w:tbl>
    <w:p w:rsidR="004D5254" w:rsidRDefault="004D5254" w:rsidP="004D5254">
      <w:pPr>
        <w:pStyle w:val="ListBullet2"/>
        <w:numPr>
          <w:ilvl w:val="1"/>
          <w:numId w:val="1"/>
        </w:numPr>
      </w:pPr>
      <w:r w:rsidRPr="008D18EF">
        <w:t xml:space="preserve">Patient </w:t>
      </w:r>
      <w:r>
        <w:t xml:space="preserve">H: a 64M with extranodal </w:t>
      </w:r>
      <w:r w:rsidRPr="006D5785">
        <w:t xml:space="preserve">PTCL </w:t>
      </w:r>
      <w:r>
        <w:t xml:space="preserve">– </w:t>
      </w:r>
      <w:r w:rsidRPr="006D5785">
        <w:t xml:space="preserve">unspecified </w:t>
      </w:r>
      <w:r>
        <w:t xml:space="preserve">involving lung, liver and kidney, a ECOG PS of 2 and an elevated LDH (341 IU/L; NR 60 – 200) at screening - received 2 cycles of pralatrexate (with C1D6 omitted because of mucositis; C2D3 and C2D6 omitted because of pancytopaenia, with dose reduction at C2D4 because of mucositis). A best response of PR was achieved at Day 43 and lasted 54 days. This patient had received 2 prior treatment courses, both systemic; interferon (best response disease progression); and </w:t>
      </w:r>
      <w:r w:rsidRPr="002A5757">
        <w:t>infusional etoposide, doxorubicin, vincristine plus bolus prednisone</w:t>
      </w:r>
      <w:r>
        <w:rPr>
          <w:rFonts w:eastAsia="TimesNewRoman" w:cs="TimesNewRoman"/>
        </w:rPr>
        <w:t xml:space="preserve"> and </w:t>
      </w:r>
      <w:r w:rsidRPr="002A5757">
        <w:t xml:space="preserve">cyclophosphamide </w:t>
      </w:r>
      <w:r>
        <w:rPr>
          <w:rFonts w:eastAsia="TimesNewRoman" w:cs="TimesNewRoman"/>
        </w:rPr>
        <w:t>(EPOCH)</w:t>
      </w:r>
      <w:r>
        <w:t>, with the most recent treatment (EPOCH) completed 6 weeks prior to receiving pralatrexate (best response disease progression).</w:t>
      </w:r>
    </w:p>
    <w:p w:rsidR="004D5254" w:rsidRDefault="004D5254" w:rsidP="004D5254">
      <w:pPr>
        <w:pStyle w:val="ListBullet2"/>
        <w:numPr>
          <w:ilvl w:val="1"/>
          <w:numId w:val="1"/>
        </w:numPr>
      </w:pPr>
      <w:r w:rsidRPr="008D18EF">
        <w:t xml:space="preserve">Patient </w:t>
      </w:r>
      <w:r>
        <w:t xml:space="preserve">C: </w:t>
      </w:r>
      <w:r w:rsidRPr="008D18EF">
        <w:t>discussed above</w:t>
      </w:r>
      <w:r>
        <w:t>.</w:t>
      </w:r>
    </w:p>
    <w:p w:rsidR="004D5254" w:rsidRPr="008D18EF" w:rsidRDefault="004D5254" w:rsidP="004D5254">
      <w:pPr>
        <w:pStyle w:val="ListBullet2"/>
        <w:numPr>
          <w:ilvl w:val="1"/>
          <w:numId w:val="1"/>
        </w:numPr>
      </w:pPr>
      <w:r w:rsidRPr="008D18EF">
        <w:t xml:space="preserve">Patient </w:t>
      </w:r>
      <w:r>
        <w:t>I: an 83M</w:t>
      </w:r>
      <w:r w:rsidRPr="008D18EF">
        <w:t xml:space="preserve"> </w:t>
      </w:r>
      <w:r>
        <w:t xml:space="preserve">with </w:t>
      </w:r>
      <w:r w:rsidRPr="006D5785">
        <w:t xml:space="preserve">PTCL </w:t>
      </w:r>
      <w:r>
        <w:t xml:space="preserve">– </w:t>
      </w:r>
      <w:r w:rsidRPr="006D5785">
        <w:t xml:space="preserve">unspecified </w:t>
      </w:r>
      <w:r>
        <w:t xml:space="preserve">with lung and liver involvement on PET, an ECOG PS of 1 and normal LDH (232 IU/L; NR 100 – 250) at screening - received 2 complete cycles of pralatrexate with no dose reduction. A best response of PR was achieved at day 41 and lasted 57 days. This patient had received 3 prior treatment courses, all systemic; Rituximab x 5 cycles (best response not assessable) cyclophosphamide/vincristine/ prednisone x 8 cycles (best response stable disease); and bexarotene (best response stable disease), with the most recent treatment (bexarotene) completed 4 months prior to receiving pralatrexate. </w:t>
      </w:r>
    </w:p>
    <w:p w:rsidR="004D5254" w:rsidRPr="006D5785" w:rsidRDefault="004D5254" w:rsidP="004D5254">
      <w:pPr>
        <w:pStyle w:val="ListBullet"/>
        <w:numPr>
          <w:ilvl w:val="0"/>
          <w:numId w:val="1"/>
        </w:numPr>
      </w:pPr>
      <w:r w:rsidRPr="006D5785">
        <w:t>Four of the 11 patients who were assessed by IWC as having a CR had an earlier response assessed as a PR:</w:t>
      </w:r>
    </w:p>
    <w:p w:rsidR="004D5254" w:rsidRPr="006D5785" w:rsidRDefault="004D5254" w:rsidP="004D5254">
      <w:pPr>
        <w:pStyle w:val="ListBullet2"/>
        <w:numPr>
          <w:ilvl w:val="1"/>
          <w:numId w:val="1"/>
        </w:numPr>
      </w:pPr>
      <w:r w:rsidRPr="006D5785">
        <w:t xml:space="preserve">Patient </w:t>
      </w:r>
      <w:r>
        <w:t>J</w:t>
      </w:r>
      <w:r w:rsidRPr="006D5785">
        <w:t xml:space="preserve"> became a CR approximately 1.5 months after assessment as a PR, 180 days after starting pralatrexate.</w:t>
      </w:r>
    </w:p>
    <w:p w:rsidR="004D5254" w:rsidRPr="006D5785" w:rsidRDefault="004D5254" w:rsidP="004D5254">
      <w:pPr>
        <w:pStyle w:val="ListBullet2"/>
        <w:numPr>
          <w:ilvl w:val="1"/>
          <w:numId w:val="1"/>
        </w:numPr>
      </w:pPr>
      <w:r w:rsidRPr="006D5785">
        <w:t xml:space="preserve">Patient </w:t>
      </w:r>
      <w:r>
        <w:t>K</w:t>
      </w:r>
      <w:r w:rsidRPr="006D5785">
        <w:t xml:space="preserve"> became a CR approximately 10 months after assessment as a PR, 348 days after starting pralatrexate.</w:t>
      </w:r>
    </w:p>
    <w:p w:rsidR="004D5254" w:rsidRPr="006D5785" w:rsidRDefault="004D5254" w:rsidP="004D5254">
      <w:pPr>
        <w:pStyle w:val="ListBullet2"/>
        <w:numPr>
          <w:ilvl w:val="1"/>
          <w:numId w:val="1"/>
        </w:numPr>
      </w:pPr>
      <w:r w:rsidRPr="006D5785">
        <w:t>Patient</w:t>
      </w:r>
      <w:r>
        <w:t xml:space="preserve"> E:</w:t>
      </w:r>
      <w:r w:rsidRPr="006D5785">
        <w:t xml:space="preserve"> </w:t>
      </w:r>
      <w:r>
        <w:t>discussed</w:t>
      </w:r>
      <w:r w:rsidRPr="006D5785">
        <w:t xml:space="preserve"> above</w:t>
      </w:r>
    </w:p>
    <w:p w:rsidR="004D5254" w:rsidRPr="0076001B" w:rsidRDefault="004D5254" w:rsidP="004D5254">
      <w:pPr>
        <w:pStyle w:val="ListBullet2"/>
        <w:numPr>
          <w:ilvl w:val="1"/>
          <w:numId w:val="1"/>
        </w:numPr>
      </w:pPr>
      <w:r w:rsidRPr="006D5785">
        <w:t xml:space="preserve">Patient </w:t>
      </w:r>
      <w:r>
        <w:t>L</w:t>
      </w:r>
      <w:r w:rsidRPr="006D5785">
        <w:t xml:space="preserve"> became a CR approximately 3 months after assessment as a PR, 140 days after starting pralatrexate.</w:t>
      </w:r>
    </w:p>
    <w:p w:rsidR="004D5254" w:rsidRDefault="004D5254" w:rsidP="004D5254">
      <w:pPr>
        <w:pStyle w:val="Heading6"/>
        <w:numPr>
          <w:ilvl w:val="4"/>
          <w:numId w:val="5"/>
        </w:numPr>
        <w:ind w:left="1702" w:hanging="1418"/>
      </w:pPr>
      <w:r>
        <w:t>IWC Response rate by patient age, gender and tumour subtype</w:t>
      </w:r>
    </w:p>
    <w:p w:rsidR="004D5254" w:rsidRPr="00900412" w:rsidRDefault="004D5254" w:rsidP="004D5254">
      <w:r w:rsidRPr="00900412">
        <w:t xml:space="preserve">Patients </w:t>
      </w:r>
      <w:r>
        <w:t>aged</w:t>
      </w:r>
      <w:r w:rsidRPr="00900412">
        <w:t xml:space="preserve"> </w:t>
      </w:r>
      <w:r>
        <w:rPr>
          <w:rFonts w:eastAsia="TimesNewRoman" w:cs="TimesNewRoman"/>
        </w:rPr>
        <w:t>≥</w:t>
      </w:r>
      <w:r w:rsidRPr="00900412">
        <w:rPr>
          <w:rFonts w:eastAsia="TimesNewRoman" w:cs="TimesNewRoman"/>
        </w:rPr>
        <w:t xml:space="preserve"> </w:t>
      </w:r>
      <w:r w:rsidRPr="00900412">
        <w:t xml:space="preserve">65 years old had a </w:t>
      </w:r>
      <w:r>
        <w:t xml:space="preserve">numerically </w:t>
      </w:r>
      <w:r w:rsidRPr="00900412">
        <w:t>higher response rate than</w:t>
      </w:r>
      <w:r>
        <w:t xml:space="preserve"> </w:t>
      </w:r>
      <w:r w:rsidRPr="00900412">
        <w:t xml:space="preserve">those &lt; 65 years old (33% </w:t>
      </w:r>
      <w:r>
        <w:t xml:space="preserve">versus </w:t>
      </w:r>
      <w:r w:rsidRPr="00900412">
        <w:t>27%)</w:t>
      </w:r>
      <w:r>
        <w:t>; however this was not statistically significant</w:t>
      </w:r>
      <w:r w:rsidRPr="00900412">
        <w:t>.</w:t>
      </w:r>
      <w:r>
        <w:t xml:space="preserve"> </w:t>
      </w:r>
      <w:r w:rsidRPr="00900412">
        <w:t>Response rate was similar among the</w:t>
      </w:r>
      <w:r>
        <w:t xml:space="preserve"> </w:t>
      </w:r>
      <w:r w:rsidRPr="00900412">
        <w:t xml:space="preserve">subtypes, </w:t>
      </w:r>
      <w:r>
        <w:t>ranging from 25% (3/12) response rate for patients with transformed mycosis fungoides to 35 % (6/17) for patients with anaplastic LCL. However,</w:t>
      </w:r>
      <w:r w:rsidRPr="00900412">
        <w:t xml:space="preserve"> </w:t>
      </w:r>
      <w:r>
        <w:t xml:space="preserve">patients with </w:t>
      </w:r>
      <w:r w:rsidRPr="00900412">
        <w:t xml:space="preserve">angioimmunoblastic T-cell lymphoma </w:t>
      </w:r>
      <w:r>
        <w:t>had</w:t>
      </w:r>
      <w:r w:rsidRPr="00900412">
        <w:t xml:space="preserve"> </w:t>
      </w:r>
      <w:r>
        <w:t>a response rate of only 8% (1/13)</w:t>
      </w:r>
      <w:r w:rsidRPr="00900412">
        <w:t>.</w:t>
      </w:r>
      <w:r>
        <w:t xml:space="preserve"> </w:t>
      </w:r>
      <w:r w:rsidRPr="00900412">
        <w:t xml:space="preserve">There was little or </w:t>
      </w:r>
      <w:r w:rsidRPr="00900412">
        <w:lastRenderedPageBreak/>
        <w:t>no difference in response rate in the subsets of gender</w:t>
      </w:r>
      <w:r>
        <w:t xml:space="preserve"> (male 30% versus female 29%); </w:t>
      </w:r>
      <w:r w:rsidRPr="00900412">
        <w:t>race</w:t>
      </w:r>
      <w:r>
        <w:t xml:space="preserve"> (White 29% versus non-White 30%);</w:t>
      </w:r>
      <w:r w:rsidRPr="00900412">
        <w:t xml:space="preserve"> or investigational site</w:t>
      </w:r>
      <w:r>
        <w:t>s.</w:t>
      </w:r>
    </w:p>
    <w:p w:rsidR="004D5254" w:rsidRDefault="004D5254" w:rsidP="004D5254">
      <w:pPr>
        <w:pStyle w:val="Heading6"/>
        <w:numPr>
          <w:ilvl w:val="4"/>
          <w:numId w:val="5"/>
        </w:numPr>
        <w:ind w:left="1702" w:hanging="1418"/>
      </w:pPr>
      <w:r>
        <w:t>Individual tumour response</w:t>
      </w:r>
    </w:p>
    <w:p w:rsidR="004D5254" w:rsidRDefault="004D5254" w:rsidP="004D5254">
      <w:r>
        <w:t xml:space="preserve">A total of 88 patients had disease measures at both baseline and post-treatment. Of these, 67 had a decrease in tumour volume when comparing the sum of the products of the greatest diameters (SPD) at baseline and their maximum decrease during the study, including 25 patients with decreases of &gt;75% and 11 with decreases of 50-75%. Increases in the SPD were observed in; 20 patients and 1 had no change. This is shown as a waterfall plot in </w:t>
      </w:r>
      <w:r w:rsidRPr="00760F5B">
        <w:rPr>
          <w:b/>
        </w:rPr>
        <w:t>Figure 5.</w:t>
      </w:r>
      <w:r>
        <w:t xml:space="preserve"> </w:t>
      </w:r>
    </w:p>
    <w:p w:rsidR="004D5254" w:rsidRDefault="004D5254" w:rsidP="004D5254">
      <w:pPr>
        <w:pStyle w:val="FigureTitle"/>
      </w:pPr>
      <w:bookmarkStart w:id="189" w:name="_Toc320881592"/>
      <w:r>
        <w:t>Figure 5. Study PDX-008 - Individual tumour responses measured by maximum change from baseline in the sum of products of the greatest diameter</w:t>
      </w:r>
      <w:bookmarkEnd w:id="189"/>
    </w:p>
    <w:p w:rsidR="004D5254" w:rsidRDefault="004D5254" w:rsidP="004D5254">
      <w:r>
        <w:rPr>
          <w:noProof/>
          <w:lang w:eastAsia="en-AU"/>
        </w:rPr>
        <w:drawing>
          <wp:inline distT="0" distB="0" distL="0" distR="0">
            <wp:extent cx="5410200" cy="3209925"/>
            <wp:effectExtent l="19050" t="0" r="0" b="0"/>
            <wp:docPr id="16" name="Picture 16" descr="Figure 5. Study PDX-008 - Individual tumour responses measured by maximum change from baseline in the sum of products of the greatest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2488" t="8831" r="3317"/>
                    <a:stretch>
                      <a:fillRect/>
                    </a:stretch>
                  </pic:blipFill>
                  <pic:spPr bwMode="auto">
                    <a:xfrm>
                      <a:off x="0" y="0"/>
                      <a:ext cx="5410200" cy="3209925"/>
                    </a:xfrm>
                    <a:prstGeom prst="rect">
                      <a:avLst/>
                    </a:prstGeom>
                    <a:noFill/>
                    <a:ln w="9525">
                      <a:noFill/>
                      <a:miter lim="800000"/>
                      <a:headEnd/>
                      <a:tailEnd/>
                    </a:ln>
                  </pic:spPr>
                </pic:pic>
              </a:graphicData>
            </a:graphic>
          </wp:inline>
        </w:drawing>
      </w:r>
    </w:p>
    <w:p w:rsidR="004D5254" w:rsidRDefault="004D5254" w:rsidP="004D5254">
      <w:r>
        <w:t xml:space="preserve">Patients with tumour size reductions of &gt;75% did not necessarily achieve a CR because there were multiple criteria, such as no new sites of disease (see the Appendix to this CER). For example, 4 patients who met the SPD criterion were considered to have disease progression because they developed new lesions. </w:t>
      </w:r>
    </w:p>
    <w:p w:rsidR="004D5254" w:rsidRDefault="004D5254" w:rsidP="004D5254">
      <w:r>
        <w:t>No patients without pre-post treatment SPD assessments were deemed to have had a response (6 had disease progression, 2 were unevaluable and 13 did not have a post-baseline evaluation).</w:t>
      </w:r>
    </w:p>
    <w:p w:rsidR="004D5254" w:rsidRPr="004B259C" w:rsidRDefault="004D5254" w:rsidP="004D5254">
      <w:pPr>
        <w:pStyle w:val="Heading6"/>
        <w:numPr>
          <w:ilvl w:val="4"/>
          <w:numId w:val="5"/>
        </w:numPr>
        <w:ind w:left="1702" w:hanging="1418"/>
      </w:pPr>
      <w:r w:rsidRPr="004B259C">
        <w:t>Results for other efficacy outcomes</w:t>
      </w:r>
    </w:p>
    <w:p w:rsidR="004D5254" w:rsidRDefault="004D5254" w:rsidP="004D5254">
      <w:pPr>
        <w:pStyle w:val="Heading6"/>
        <w:numPr>
          <w:ilvl w:val="0"/>
          <w:numId w:val="0"/>
        </w:numPr>
        <w:ind w:left="284"/>
      </w:pPr>
      <w:r>
        <w:t>Duration of response</w:t>
      </w:r>
    </w:p>
    <w:p w:rsidR="004D5254" w:rsidRDefault="004D5254" w:rsidP="004D5254">
      <w:pPr>
        <w:autoSpaceDE w:val="0"/>
        <w:autoSpaceDN w:val="0"/>
        <w:adjustRightInd w:val="0"/>
        <w:rPr>
          <w:color w:val="000000"/>
        </w:rPr>
      </w:pPr>
      <w:r w:rsidRPr="00146C49">
        <w:rPr>
          <w:color w:val="000000"/>
        </w:rPr>
        <w:t xml:space="preserve">The median duration of response assessed </w:t>
      </w:r>
      <w:r>
        <w:rPr>
          <w:color w:val="000000"/>
        </w:rPr>
        <w:t xml:space="preserve">per central review </w:t>
      </w:r>
      <w:r w:rsidRPr="00146C49">
        <w:rPr>
          <w:color w:val="000000"/>
        </w:rPr>
        <w:t>by IWC was 306 days (95% CI</w:t>
      </w:r>
      <w:r>
        <w:rPr>
          <w:color w:val="000000"/>
        </w:rPr>
        <w:t>:</w:t>
      </w:r>
      <w:r w:rsidRPr="00146C49">
        <w:rPr>
          <w:color w:val="000000"/>
        </w:rPr>
        <w:t xml:space="preserve"> 103 - not estimable)</w:t>
      </w:r>
      <w:r>
        <w:rPr>
          <w:color w:val="000000"/>
        </w:rPr>
        <w:t xml:space="preserve"> or 10.1 months</w:t>
      </w:r>
      <w:r w:rsidRPr="00146C49">
        <w:rPr>
          <w:color w:val="000000"/>
        </w:rPr>
        <w:t>, with a range of 1-673 days.</w:t>
      </w:r>
      <w:r>
        <w:rPr>
          <w:color w:val="000000"/>
        </w:rPr>
        <w:t xml:space="preserve"> The 6 month and 12 </w:t>
      </w:r>
      <w:r w:rsidRPr="00146C49">
        <w:rPr>
          <w:color w:val="000000"/>
        </w:rPr>
        <w:t>month Kaplan-Meier estimates for duration of response were 60% and 45%, respectively.</w:t>
      </w:r>
      <w:r>
        <w:rPr>
          <w:color w:val="000000"/>
        </w:rPr>
        <w:t xml:space="preserve"> The Kaplan-Meier plot is shown in </w:t>
      </w:r>
      <w:r w:rsidRPr="00760F5B">
        <w:rPr>
          <w:color w:val="000000"/>
        </w:rPr>
        <w:t xml:space="preserve">Figure 6, </w:t>
      </w:r>
      <w:r>
        <w:rPr>
          <w:color w:val="000000"/>
        </w:rPr>
        <w:t>below.</w:t>
      </w:r>
    </w:p>
    <w:p w:rsidR="004D5254" w:rsidRDefault="004D5254" w:rsidP="004D5254">
      <w:pPr>
        <w:autoSpaceDE w:val="0"/>
        <w:autoSpaceDN w:val="0"/>
        <w:adjustRightInd w:val="0"/>
      </w:pPr>
      <w:r>
        <w:rPr>
          <w:color w:val="000000"/>
        </w:rPr>
        <w:t xml:space="preserve"> </w:t>
      </w:r>
      <w:r w:rsidRPr="00BA6CC1">
        <w:t>The median duration of response assessed by IWC plus PET (28 responders) was 386 days (95% CI: 191 - not estimable)</w:t>
      </w:r>
      <w:r>
        <w:t>;</w:t>
      </w:r>
      <w:r w:rsidRPr="00BA6CC1">
        <w:t xml:space="preserve"> range of 1-682 days.</w:t>
      </w:r>
      <w:r>
        <w:t xml:space="preserve"> </w:t>
      </w:r>
      <w:r w:rsidRPr="00BA6CC1">
        <w:t>The median duration of response assessed by local investigator (for 43 responders) was 246 days (95% CI: 154 – 379)</w:t>
      </w:r>
      <w:r>
        <w:t>;</w:t>
      </w:r>
      <w:r w:rsidRPr="00BA6CC1">
        <w:t xml:space="preserve"> range of 1-677 days.</w:t>
      </w:r>
      <w:r>
        <w:t xml:space="preserve"> </w:t>
      </w:r>
    </w:p>
    <w:p w:rsidR="004D5254" w:rsidRDefault="004D5254" w:rsidP="004D5254">
      <w:pPr>
        <w:autoSpaceDE w:val="0"/>
        <w:autoSpaceDN w:val="0"/>
        <w:adjustRightInd w:val="0"/>
        <w:rPr>
          <w:color w:val="000000"/>
        </w:rPr>
      </w:pPr>
      <w:r>
        <w:rPr>
          <w:color w:val="000000"/>
        </w:rPr>
        <w:t>At the time of data cut off in August 2009, 14</w:t>
      </w:r>
      <w:r w:rsidRPr="00146C49">
        <w:rPr>
          <w:color w:val="000000"/>
        </w:rPr>
        <w:t xml:space="preserve"> patients had durations of response</w:t>
      </w:r>
      <w:r>
        <w:rPr>
          <w:color w:val="000000"/>
        </w:rPr>
        <w:t xml:space="preserve"> (assessed by IWC)</w:t>
      </w:r>
      <w:r w:rsidRPr="00146C49">
        <w:rPr>
          <w:color w:val="000000"/>
        </w:rPr>
        <w:t xml:space="preserve"> in excess of 6 months</w:t>
      </w:r>
      <w:r>
        <w:rPr>
          <w:color w:val="000000"/>
        </w:rPr>
        <w:t>, including 5 patients with a continued response to treatment (3CR; 2PR), ranging from 204 to 673 days. Four of these 5 patients also remained on treatment.</w:t>
      </w:r>
    </w:p>
    <w:p w:rsidR="004D5254" w:rsidRDefault="004D5254" w:rsidP="004D5254">
      <w:pPr>
        <w:pStyle w:val="FigureTitle"/>
        <w:keepNext/>
      </w:pPr>
      <w:bookmarkStart w:id="190" w:name="_Toc320881593"/>
      <w:r>
        <w:lastRenderedPageBreak/>
        <w:t>Figure 6. Study PDX-008 - Kaplan-Meier duration of response (IWC central review)</w:t>
      </w:r>
      <w:bookmarkEnd w:id="190"/>
    </w:p>
    <w:p w:rsidR="004D5254" w:rsidRDefault="004D5254" w:rsidP="004D5254">
      <w:pPr>
        <w:keepNext/>
        <w:autoSpaceDE w:val="0"/>
        <w:autoSpaceDN w:val="0"/>
        <w:adjustRightInd w:val="0"/>
        <w:rPr>
          <w:rFonts w:ascii="Times New Roman" w:hAnsi="Times New Roman"/>
          <w:color w:val="000000"/>
          <w:sz w:val="24"/>
        </w:rPr>
      </w:pPr>
      <w:r>
        <w:rPr>
          <w:rFonts w:ascii="Times New Roman" w:hAnsi="Times New Roman"/>
          <w:noProof/>
          <w:color w:val="000000"/>
          <w:sz w:val="24"/>
          <w:lang w:eastAsia="en-AU"/>
        </w:rPr>
        <w:drawing>
          <wp:inline distT="0" distB="0" distL="0" distR="0">
            <wp:extent cx="5000625" cy="3162300"/>
            <wp:effectExtent l="19050" t="0" r="9525" b="0"/>
            <wp:docPr id="17" name="Picture 17" descr="Figure 6. Study PDX-008 - Kaplan-Meier duration of response (IWC centr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t="17494"/>
                    <a:stretch>
                      <a:fillRect/>
                    </a:stretch>
                  </pic:blipFill>
                  <pic:spPr bwMode="auto">
                    <a:xfrm>
                      <a:off x="0" y="0"/>
                      <a:ext cx="5000625" cy="3162300"/>
                    </a:xfrm>
                    <a:prstGeom prst="rect">
                      <a:avLst/>
                    </a:prstGeom>
                    <a:noFill/>
                    <a:ln w="9525">
                      <a:noFill/>
                      <a:miter lim="800000"/>
                      <a:headEnd/>
                      <a:tailEnd/>
                    </a:ln>
                  </pic:spPr>
                </pic:pic>
              </a:graphicData>
            </a:graphic>
          </wp:inline>
        </w:drawing>
      </w:r>
    </w:p>
    <w:p w:rsidR="004D5254" w:rsidRDefault="004D5254" w:rsidP="004D5254">
      <w:pPr>
        <w:autoSpaceDE w:val="0"/>
        <w:autoSpaceDN w:val="0"/>
        <w:adjustRightInd w:val="0"/>
      </w:pPr>
      <w:r>
        <w:rPr>
          <w:color w:val="000000"/>
        </w:rPr>
        <w:t>It should be noted that p</w:t>
      </w:r>
      <w:r w:rsidRPr="003F697B">
        <w:t>atients went to clinic weekly to receive pralatrexate, and if they</w:t>
      </w:r>
      <w:r>
        <w:t xml:space="preserve"> </w:t>
      </w:r>
      <w:r w:rsidRPr="003F697B">
        <w:t>had new skin lesions or disease-related symptoms, they were discussed with the treating</w:t>
      </w:r>
      <w:r>
        <w:t xml:space="preserve"> </w:t>
      </w:r>
      <w:r w:rsidRPr="003F697B">
        <w:t>physician, which often led to an earlier determination of PD that would have been attained by</w:t>
      </w:r>
      <w:r>
        <w:t xml:space="preserve"> </w:t>
      </w:r>
      <w:r w:rsidRPr="003F697B">
        <w:t>scans (</w:t>
      </w:r>
      <w:r w:rsidRPr="00990CA1">
        <w:t>that is,</w:t>
      </w:r>
      <w:r w:rsidRPr="003F697B">
        <w:t xml:space="preserve"> every 14 weeks).</w:t>
      </w:r>
      <w:r>
        <w:t xml:space="preserve"> </w:t>
      </w:r>
      <w:r w:rsidRPr="003F697B">
        <w:t xml:space="preserve">In fact, 45% of all the </w:t>
      </w:r>
      <w:r>
        <w:t>disease progression</w:t>
      </w:r>
      <w:r w:rsidRPr="003F697B">
        <w:t xml:space="preserve"> determinations by central review were based on</w:t>
      </w:r>
      <w:r>
        <w:t xml:space="preserve"> </w:t>
      </w:r>
      <w:r w:rsidRPr="003F697B">
        <w:t xml:space="preserve">unscheduled assessments and only 33% of </w:t>
      </w:r>
      <w:r>
        <w:t>disease progression</w:t>
      </w:r>
      <w:r w:rsidRPr="003F697B">
        <w:t xml:space="preserve"> events in responders as determined by central</w:t>
      </w:r>
      <w:r>
        <w:t xml:space="preserve"> </w:t>
      </w:r>
      <w:r w:rsidRPr="003F697B">
        <w:t>review were based on a scheduled assessment.</w:t>
      </w:r>
      <w:r>
        <w:t xml:space="preserve"> </w:t>
      </w:r>
    </w:p>
    <w:p w:rsidR="004D5254" w:rsidRDefault="004D5254" w:rsidP="004D5254">
      <w:pPr>
        <w:autoSpaceDE w:val="0"/>
        <w:autoSpaceDN w:val="0"/>
        <w:adjustRightInd w:val="0"/>
      </w:pPr>
      <w:r>
        <w:t xml:space="preserve">In an undated update of efficacy presented in the </w:t>
      </w:r>
      <w:r w:rsidRPr="00276A2A">
        <w:rPr>
          <w:i/>
        </w:rPr>
        <w:t>Clinical Summary Efficacy Addendum</w:t>
      </w:r>
      <w:r>
        <w:t xml:space="preserve">, the sponsor reported that in the intervening 2 years (approximately) the 5 patients </w:t>
      </w:r>
      <w:r>
        <w:rPr>
          <w:color w:val="000000"/>
        </w:rPr>
        <w:t xml:space="preserve">with a continued response to treatment </w:t>
      </w:r>
      <w:r>
        <w:t>at the time of the original data cut-off all remained in response with durations ranging from 20.7 to 46.9 months (621 – 1407 days). This included 2 patients who received a stem cell transplant immediately after completion of pralatrexate treatment, with durations of response of 41.3 months (1239 days) and 44.6 months (1338 days), respectively.</w:t>
      </w:r>
    </w:p>
    <w:p w:rsidR="004D5254" w:rsidRDefault="004D5254" w:rsidP="004D5254">
      <w:pPr>
        <w:autoSpaceDE w:val="0"/>
        <w:autoSpaceDN w:val="0"/>
        <w:adjustRightInd w:val="0"/>
      </w:pPr>
      <w:r>
        <w:rPr>
          <w:color w:val="000000"/>
        </w:rPr>
        <w:t>Individual IWC response data and a further break down of these data according to whether there was CR/CRu or PR were included in the submission. The latter two tables include details of those covariates that might be considered to be of prognostic importance (such as age; ECOG PS; number of and best response to prior therapies; and LDH levels).</w:t>
      </w:r>
    </w:p>
    <w:tbl>
      <w:tblPr>
        <w:tblStyle w:val="TableGrid"/>
        <w:tblW w:w="0" w:type="auto"/>
        <w:tblLook w:val="04A0"/>
      </w:tblPr>
      <w:tblGrid>
        <w:gridCol w:w="9242"/>
      </w:tblGrid>
      <w:tr w:rsidR="004D5254" w:rsidTr="00C80331">
        <w:tc>
          <w:tcPr>
            <w:tcW w:w="9242" w:type="dxa"/>
            <w:shd w:val="clear" w:color="auto" w:fill="D9D9D9" w:themeFill="background1" w:themeFillShade="D9"/>
          </w:tcPr>
          <w:p w:rsidR="004D5254" w:rsidRPr="008D4A49" w:rsidRDefault="004D5254" w:rsidP="00C80331">
            <w:pPr>
              <w:autoSpaceDE w:val="0"/>
              <w:autoSpaceDN w:val="0"/>
              <w:adjustRightInd w:val="0"/>
              <w:rPr>
                <w:szCs w:val="22"/>
              </w:rPr>
            </w:pPr>
            <w:r w:rsidRPr="008D4A49">
              <w:rPr>
                <w:szCs w:val="22"/>
                <w:u w:val="single"/>
              </w:rPr>
              <w:t>Evaluator’s comment</w:t>
            </w:r>
            <w:r w:rsidRPr="008D4A49">
              <w:rPr>
                <w:szCs w:val="22"/>
              </w:rPr>
              <w:t>:</w:t>
            </w:r>
          </w:p>
          <w:p w:rsidR="004D5254" w:rsidRDefault="004D5254" w:rsidP="00C80331">
            <w:pPr>
              <w:autoSpaceDE w:val="0"/>
              <w:autoSpaceDN w:val="0"/>
              <w:adjustRightInd w:val="0"/>
              <w:rPr>
                <w:szCs w:val="22"/>
              </w:rPr>
            </w:pPr>
            <w:r w:rsidRPr="008D4A49">
              <w:rPr>
                <w:color w:val="000000"/>
                <w:szCs w:val="22"/>
              </w:rPr>
              <w:t>Fro</w:t>
            </w:r>
            <w:r w:rsidRPr="00760F5B">
              <w:rPr>
                <w:color w:val="000000"/>
                <w:szCs w:val="22"/>
              </w:rPr>
              <w:t>m the data it can be appr</w:t>
            </w:r>
            <w:r w:rsidRPr="008D4A49">
              <w:rPr>
                <w:color w:val="000000"/>
                <w:szCs w:val="22"/>
              </w:rPr>
              <w:t>eciated that there was a high degree of censoring for t</w:t>
            </w:r>
            <w:r w:rsidRPr="008D4A49">
              <w:rPr>
                <w:szCs w:val="22"/>
              </w:rPr>
              <w:t>he calculation of Kaplan-Meier estimates of the median duration of response.</w:t>
            </w:r>
            <w:r>
              <w:rPr>
                <w:szCs w:val="22"/>
              </w:rPr>
              <w:t xml:space="preserve"> </w:t>
            </w:r>
            <w:r w:rsidRPr="008D4A49">
              <w:rPr>
                <w:szCs w:val="22"/>
              </w:rPr>
              <w:t>Only 16 patients had event dates (14 disease progressions, 2 deaths).</w:t>
            </w:r>
            <w:r>
              <w:rPr>
                <w:szCs w:val="22"/>
              </w:rPr>
              <w:t xml:space="preserve"> </w:t>
            </w:r>
            <w:r w:rsidRPr="008D4A49">
              <w:rPr>
                <w:szCs w:val="22"/>
              </w:rPr>
              <w:t>End dates for the remaining 16 responders were censored.</w:t>
            </w:r>
            <w:r>
              <w:rPr>
                <w:szCs w:val="22"/>
              </w:rPr>
              <w:t xml:space="preserve"> </w:t>
            </w:r>
            <w:r w:rsidRPr="008D4A49">
              <w:rPr>
                <w:szCs w:val="22"/>
              </w:rPr>
              <w:t>The sponsor noted that among those patients with censored end dates, the duration of response will only change for 5</w:t>
            </w:r>
            <w:r>
              <w:rPr>
                <w:szCs w:val="22"/>
              </w:rPr>
              <w:t xml:space="preserve"> (</w:t>
            </w:r>
            <w:r w:rsidRPr="00990CA1">
              <w:rPr>
                <w:szCs w:val="22"/>
              </w:rPr>
              <w:t>that is,</w:t>
            </w:r>
            <w:r>
              <w:rPr>
                <w:szCs w:val="22"/>
              </w:rPr>
              <w:t xml:space="preserve"> those with continuing response at time of data cut off)</w:t>
            </w:r>
            <w:r w:rsidRPr="008D4A49">
              <w:rPr>
                <w:szCs w:val="22"/>
              </w:rPr>
              <w:t>.</w:t>
            </w:r>
            <w:r>
              <w:rPr>
                <w:szCs w:val="22"/>
              </w:rPr>
              <w:t xml:space="preserve"> </w:t>
            </w:r>
            <w:r w:rsidRPr="008D4A49">
              <w:rPr>
                <w:szCs w:val="22"/>
              </w:rPr>
              <w:t>The duration of response will never change for</w:t>
            </w:r>
            <w:r>
              <w:rPr>
                <w:szCs w:val="22"/>
              </w:rPr>
              <w:t xml:space="preserve"> the other </w:t>
            </w:r>
            <w:r w:rsidRPr="008D4A49">
              <w:rPr>
                <w:szCs w:val="22"/>
              </w:rPr>
              <w:t xml:space="preserve">11 </w:t>
            </w:r>
            <w:r>
              <w:rPr>
                <w:szCs w:val="22"/>
              </w:rPr>
              <w:t>patients</w:t>
            </w:r>
            <w:r w:rsidRPr="008D4A49">
              <w:rPr>
                <w:szCs w:val="22"/>
              </w:rPr>
              <w:t xml:space="preserve"> because 4 had gone on to transplant, 3 had started another cancer therapy, 3 had completed all protocol-required visits for follow-up, and 1 had withdrawn consent to be followed further.</w:t>
            </w:r>
            <w:r>
              <w:rPr>
                <w:szCs w:val="22"/>
              </w:rPr>
              <w:t xml:space="preserve"> </w:t>
            </w:r>
            <w:r w:rsidRPr="008D4A49">
              <w:rPr>
                <w:szCs w:val="22"/>
              </w:rPr>
              <w:t xml:space="preserve">The 3 patients that </w:t>
            </w:r>
            <w:r>
              <w:rPr>
                <w:szCs w:val="22"/>
              </w:rPr>
              <w:t xml:space="preserve">were censored because they had </w:t>
            </w:r>
            <w:r w:rsidRPr="008D4A49">
              <w:rPr>
                <w:szCs w:val="22"/>
              </w:rPr>
              <w:t xml:space="preserve">started </w:t>
            </w:r>
            <w:r>
              <w:rPr>
                <w:szCs w:val="22"/>
              </w:rPr>
              <w:t>an</w:t>
            </w:r>
            <w:r w:rsidRPr="008D4A49">
              <w:rPr>
                <w:szCs w:val="22"/>
              </w:rPr>
              <w:t>other cancer treatment are of interest to this evaluator:</w:t>
            </w:r>
          </w:p>
          <w:p w:rsidR="004D5254" w:rsidRDefault="004D5254" w:rsidP="004D5254">
            <w:pPr>
              <w:numPr>
                <w:ilvl w:val="0"/>
                <w:numId w:val="20"/>
              </w:num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240" w:after="0" w:line="240" w:lineRule="auto"/>
              <w:ind w:left="284" w:hanging="284"/>
              <w:rPr>
                <w:color w:val="000000"/>
                <w:szCs w:val="22"/>
              </w:rPr>
            </w:pPr>
            <w:r w:rsidRPr="008D4A49">
              <w:rPr>
                <w:color w:val="000000"/>
                <w:szCs w:val="22"/>
              </w:rPr>
              <w:t xml:space="preserve">Patient </w:t>
            </w:r>
            <w:r>
              <w:rPr>
                <w:color w:val="000000"/>
                <w:szCs w:val="22"/>
              </w:rPr>
              <w:t>G</w:t>
            </w:r>
            <w:r w:rsidRPr="008D4A49">
              <w:rPr>
                <w:color w:val="000000"/>
                <w:szCs w:val="22"/>
              </w:rPr>
              <w:t xml:space="preserve"> </w:t>
            </w:r>
            <w:r>
              <w:rPr>
                <w:color w:val="000000"/>
                <w:szCs w:val="22"/>
              </w:rPr>
              <w:t>(</w:t>
            </w:r>
            <w:r w:rsidRPr="00751F0B">
              <w:rPr>
                <w:color w:val="000000"/>
                <w:szCs w:val="22"/>
              </w:rPr>
              <w:t>duration of response censored at 306 days</w:t>
            </w:r>
            <w:r>
              <w:rPr>
                <w:color w:val="000000"/>
                <w:szCs w:val="22"/>
              </w:rPr>
              <w:t xml:space="preserve">) </w:t>
            </w:r>
            <w:r w:rsidRPr="008D4A49">
              <w:rPr>
                <w:color w:val="000000"/>
                <w:szCs w:val="22"/>
              </w:rPr>
              <w:t xml:space="preserve">- </w:t>
            </w:r>
            <w:r>
              <w:rPr>
                <w:color w:val="000000"/>
                <w:szCs w:val="22"/>
              </w:rPr>
              <w:t>a</w:t>
            </w:r>
            <w:r w:rsidRPr="008D4A49">
              <w:rPr>
                <w:color w:val="000000"/>
                <w:szCs w:val="22"/>
              </w:rPr>
              <w:t xml:space="preserve">ccording to </w:t>
            </w:r>
            <w:r>
              <w:rPr>
                <w:color w:val="000000"/>
                <w:szCs w:val="22"/>
              </w:rPr>
              <w:t xml:space="preserve">the data this patient received pralatrexate for 442 days, having first achieved a response of CR on 1 October 2007. </w:t>
            </w:r>
            <w:r>
              <w:rPr>
                <w:color w:val="000000"/>
                <w:szCs w:val="22"/>
              </w:rPr>
              <w:lastRenderedPageBreak/>
              <w:t>Pralatrexate was last administered on</w:t>
            </w:r>
            <w:r w:rsidRPr="00B361A7">
              <w:rPr>
                <w:color w:val="000000"/>
                <w:szCs w:val="22"/>
              </w:rPr>
              <w:t xml:space="preserve"> 25 July 2008</w:t>
            </w:r>
            <w:r>
              <w:rPr>
                <w:color w:val="000000"/>
                <w:szCs w:val="22"/>
              </w:rPr>
              <w:t xml:space="preserve">. On 8 August 2008 treatment was permanently discontinued and the primary reason was documented to be “Other, Progression of Disease”. According to the data, the therapy received subsequent to pralatrexate was combination liposomal </w:t>
            </w:r>
            <w:r w:rsidRPr="00816C22">
              <w:rPr>
                <w:color w:val="000000"/>
                <w:szCs w:val="22"/>
              </w:rPr>
              <w:t xml:space="preserve">doxorubicin </w:t>
            </w:r>
            <w:r>
              <w:rPr>
                <w:color w:val="000000"/>
                <w:szCs w:val="22"/>
              </w:rPr>
              <w:t>and gemcitabine, commenced on 22 August 2008;</w:t>
            </w:r>
          </w:p>
          <w:p w:rsidR="004D5254" w:rsidRDefault="004D5254" w:rsidP="004D5254">
            <w:pPr>
              <w:numPr>
                <w:ilvl w:val="0"/>
                <w:numId w:val="20"/>
              </w:num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0" w:line="240" w:lineRule="auto"/>
              <w:ind w:left="284" w:hanging="284"/>
              <w:rPr>
                <w:color w:val="000000"/>
                <w:szCs w:val="22"/>
              </w:rPr>
            </w:pPr>
            <w:r>
              <w:rPr>
                <w:color w:val="000000"/>
                <w:szCs w:val="22"/>
              </w:rPr>
              <w:t xml:space="preserve">Patient M </w:t>
            </w:r>
            <w:r w:rsidRPr="000C7A36">
              <w:rPr>
                <w:color w:val="000000"/>
                <w:szCs w:val="22"/>
              </w:rPr>
              <w:t>(</w:t>
            </w:r>
            <w:r w:rsidRPr="00751F0B">
              <w:rPr>
                <w:color w:val="000000"/>
                <w:szCs w:val="22"/>
              </w:rPr>
              <w:t xml:space="preserve">duration of response censored at </w:t>
            </w:r>
            <w:r>
              <w:rPr>
                <w:color w:val="000000"/>
                <w:szCs w:val="22"/>
              </w:rPr>
              <w:t xml:space="preserve">1 </w:t>
            </w:r>
            <w:r w:rsidRPr="00751F0B">
              <w:rPr>
                <w:color w:val="000000"/>
                <w:szCs w:val="22"/>
              </w:rPr>
              <w:t>day</w:t>
            </w:r>
            <w:r w:rsidRPr="000C7A36">
              <w:rPr>
                <w:color w:val="000000"/>
                <w:szCs w:val="22"/>
              </w:rPr>
              <w:t xml:space="preserve">) - according to </w:t>
            </w:r>
            <w:r>
              <w:rPr>
                <w:color w:val="000000"/>
                <w:szCs w:val="22"/>
              </w:rPr>
              <w:t>the data</w:t>
            </w:r>
            <w:r w:rsidRPr="000C7A36">
              <w:rPr>
                <w:color w:val="000000"/>
                <w:szCs w:val="22"/>
              </w:rPr>
              <w:t xml:space="preserve"> this patient received pralatrexate </w:t>
            </w:r>
            <w:r>
              <w:rPr>
                <w:color w:val="000000"/>
                <w:szCs w:val="22"/>
              </w:rPr>
              <w:t xml:space="preserve">for 246 days and the patient </w:t>
            </w:r>
            <w:r w:rsidRPr="000C7A36">
              <w:rPr>
                <w:color w:val="000000"/>
                <w:szCs w:val="22"/>
              </w:rPr>
              <w:t xml:space="preserve">first achieved a response of </w:t>
            </w:r>
            <w:r>
              <w:rPr>
                <w:color w:val="000000"/>
                <w:szCs w:val="22"/>
              </w:rPr>
              <w:t>P</w:t>
            </w:r>
            <w:r w:rsidRPr="000C7A36">
              <w:rPr>
                <w:color w:val="000000"/>
                <w:szCs w:val="22"/>
              </w:rPr>
              <w:t xml:space="preserve">R on </w:t>
            </w:r>
            <w:r w:rsidRPr="00B361A7">
              <w:rPr>
                <w:color w:val="000000"/>
                <w:szCs w:val="22"/>
              </w:rPr>
              <w:t>4 March 2008</w:t>
            </w:r>
            <w:r w:rsidRPr="000C7A36">
              <w:rPr>
                <w:color w:val="000000"/>
                <w:szCs w:val="22"/>
              </w:rPr>
              <w:t>.</w:t>
            </w:r>
            <w:r>
              <w:rPr>
                <w:color w:val="000000"/>
                <w:szCs w:val="22"/>
              </w:rPr>
              <w:t xml:space="preserve"> </w:t>
            </w:r>
            <w:r w:rsidRPr="00B361A7">
              <w:rPr>
                <w:color w:val="000000"/>
                <w:szCs w:val="22"/>
              </w:rPr>
              <w:t xml:space="preserve">Pralatrexate was last administered on </w:t>
            </w:r>
            <w:r>
              <w:rPr>
                <w:color w:val="000000"/>
                <w:szCs w:val="22"/>
              </w:rPr>
              <w:t xml:space="preserve">4 March 2008. </w:t>
            </w:r>
            <w:r w:rsidRPr="000C7A36">
              <w:rPr>
                <w:color w:val="000000"/>
                <w:szCs w:val="22"/>
              </w:rPr>
              <w:t xml:space="preserve">On </w:t>
            </w:r>
            <w:r>
              <w:rPr>
                <w:color w:val="000000"/>
                <w:szCs w:val="22"/>
              </w:rPr>
              <w:t>11 March</w:t>
            </w:r>
            <w:r w:rsidRPr="000C7A36">
              <w:rPr>
                <w:color w:val="000000"/>
                <w:szCs w:val="22"/>
              </w:rPr>
              <w:t xml:space="preserve"> 2008 treatment was permanently discontinued and the primary reason was documented to be “Other, Progression of Disease”.</w:t>
            </w:r>
            <w:r>
              <w:rPr>
                <w:color w:val="000000"/>
                <w:szCs w:val="22"/>
              </w:rPr>
              <w:t xml:space="preserve"> </w:t>
            </w:r>
            <w:r w:rsidRPr="000C7A36">
              <w:rPr>
                <w:color w:val="000000"/>
                <w:szCs w:val="22"/>
              </w:rPr>
              <w:t xml:space="preserve">According to </w:t>
            </w:r>
            <w:r>
              <w:rPr>
                <w:color w:val="000000"/>
                <w:szCs w:val="22"/>
              </w:rPr>
              <w:t>the data</w:t>
            </w:r>
            <w:r w:rsidRPr="000C7A36">
              <w:rPr>
                <w:color w:val="000000"/>
                <w:szCs w:val="22"/>
              </w:rPr>
              <w:t xml:space="preserve">, the therapy received subsequent to pralatrexate was </w:t>
            </w:r>
            <w:r>
              <w:rPr>
                <w:color w:val="000000"/>
                <w:szCs w:val="22"/>
              </w:rPr>
              <w:t>methotrexate, aracytine and hydrocortisone</w:t>
            </w:r>
            <w:r w:rsidRPr="000C7A36">
              <w:rPr>
                <w:color w:val="000000"/>
                <w:szCs w:val="22"/>
              </w:rPr>
              <w:t xml:space="preserve">, commenced on </w:t>
            </w:r>
            <w:r>
              <w:rPr>
                <w:color w:val="000000"/>
                <w:szCs w:val="22"/>
              </w:rPr>
              <w:t>13</w:t>
            </w:r>
            <w:r w:rsidRPr="000C7A36">
              <w:rPr>
                <w:color w:val="000000"/>
                <w:szCs w:val="22"/>
              </w:rPr>
              <w:t xml:space="preserve"> August 2008</w:t>
            </w:r>
            <w:r>
              <w:rPr>
                <w:color w:val="000000"/>
                <w:szCs w:val="22"/>
              </w:rPr>
              <w:t>;</w:t>
            </w:r>
          </w:p>
          <w:p w:rsidR="004D5254" w:rsidRDefault="004D5254" w:rsidP="004D5254">
            <w:pPr>
              <w:numPr>
                <w:ilvl w:val="0"/>
                <w:numId w:val="20"/>
              </w:num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0" w:line="240" w:lineRule="auto"/>
              <w:ind w:left="284" w:hanging="284"/>
              <w:rPr>
                <w:color w:val="000000"/>
                <w:szCs w:val="22"/>
              </w:rPr>
            </w:pPr>
            <w:r>
              <w:rPr>
                <w:color w:val="000000"/>
                <w:szCs w:val="22"/>
              </w:rPr>
              <w:t xml:space="preserve">Patient N </w:t>
            </w:r>
            <w:r w:rsidRPr="000C7A36">
              <w:rPr>
                <w:color w:val="000000"/>
                <w:szCs w:val="22"/>
              </w:rPr>
              <w:t>(</w:t>
            </w:r>
            <w:r w:rsidRPr="00751F0B">
              <w:rPr>
                <w:color w:val="000000"/>
                <w:szCs w:val="22"/>
              </w:rPr>
              <w:t xml:space="preserve">duration of response censored at </w:t>
            </w:r>
            <w:r>
              <w:rPr>
                <w:color w:val="000000"/>
                <w:szCs w:val="22"/>
              </w:rPr>
              <w:t>1 day</w:t>
            </w:r>
            <w:r w:rsidRPr="000C7A36">
              <w:rPr>
                <w:color w:val="000000"/>
                <w:szCs w:val="22"/>
              </w:rPr>
              <w:t xml:space="preserve">) - according to </w:t>
            </w:r>
            <w:r w:rsidRPr="004303B1">
              <w:rPr>
                <w:color w:val="000000"/>
                <w:szCs w:val="22"/>
              </w:rPr>
              <w:t>the data</w:t>
            </w:r>
            <w:r w:rsidRPr="000C7A36">
              <w:rPr>
                <w:color w:val="000000"/>
                <w:szCs w:val="22"/>
              </w:rPr>
              <w:t xml:space="preserve"> this patient received pralatrexate </w:t>
            </w:r>
            <w:r>
              <w:rPr>
                <w:color w:val="000000"/>
                <w:szCs w:val="22"/>
              </w:rPr>
              <w:t>for 135 days, with the last dose administered on</w:t>
            </w:r>
            <w:r w:rsidRPr="000C7A36">
              <w:rPr>
                <w:color w:val="000000"/>
                <w:szCs w:val="22"/>
              </w:rPr>
              <w:t xml:space="preserve"> </w:t>
            </w:r>
            <w:r>
              <w:rPr>
                <w:color w:val="000000"/>
                <w:szCs w:val="22"/>
              </w:rPr>
              <w:t>16</w:t>
            </w:r>
            <w:r w:rsidRPr="000C7A36">
              <w:rPr>
                <w:color w:val="000000"/>
                <w:szCs w:val="22"/>
              </w:rPr>
              <w:t xml:space="preserve"> J</w:t>
            </w:r>
            <w:r>
              <w:rPr>
                <w:color w:val="000000"/>
                <w:szCs w:val="22"/>
              </w:rPr>
              <w:t>anuary 2008. She</w:t>
            </w:r>
            <w:r w:rsidRPr="000C7A36">
              <w:rPr>
                <w:color w:val="000000"/>
                <w:szCs w:val="22"/>
              </w:rPr>
              <w:t xml:space="preserve"> first achieved a response of </w:t>
            </w:r>
            <w:r>
              <w:rPr>
                <w:color w:val="000000"/>
                <w:szCs w:val="22"/>
              </w:rPr>
              <w:t>P</w:t>
            </w:r>
            <w:r w:rsidRPr="000C7A36">
              <w:rPr>
                <w:color w:val="000000"/>
                <w:szCs w:val="22"/>
              </w:rPr>
              <w:t xml:space="preserve">R on </w:t>
            </w:r>
            <w:r>
              <w:rPr>
                <w:color w:val="000000"/>
                <w:szCs w:val="22"/>
              </w:rPr>
              <w:t>22 January 2008</w:t>
            </w:r>
            <w:r w:rsidRPr="000C7A36">
              <w:rPr>
                <w:color w:val="000000"/>
                <w:szCs w:val="22"/>
              </w:rPr>
              <w:t>.</w:t>
            </w:r>
            <w:r>
              <w:rPr>
                <w:color w:val="000000"/>
                <w:szCs w:val="22"/>
              </w:rPr>
              <w:t xml:space="preserve"> </w:t>
            </w:r>
            <w:r w:rsidRPr="000C7A36">
              <w:rPr>
                <w:color w:val="000000"/>
                <w:szCs w:val="22"/>
              </w:rPr>
              <w:t xml:space="preserve">On </w:t>
            </w:r>
            <w:r>
              <w:rPr>
                <w:color w:val="000000"/>
                <w:szCs w:val="22"/>
              </w:rPr>
              <w:t>29 January</w:t>
            </w:r>
            <w:r w:rsidRPr="000C7A36">
              <w:rPr>
                <w:color w:val="000000"/>
                <w:szCs w:val="22"/>
              </w:rPr>
              <w:t xml:space="preserve"> 2008 treatment was permanently discontinued and the primary reason was documented to be “</w:t>
            </w:r>
            <w:r>
              <w:rPr>
                <w:color w:val="000000"/>
                <w:szCs w:val="22"/>
              </w:rPr>
              <w:t>Non haematological adverse event, PNEUMONITIS</w:t>
            </w:r>
            <w:r w:rsidRPr="000C7A36">
              <w:rPr>
                <w:color w:val="000000"/>
                <w:szCs w:val="22"/>
              </w:rPr>
              <w:t>”.</w:t>
            </w:r>
            <w:r>
              <w:rPr>
                <w:color w:val="000000"/>
                <w:szCs w:val="22"/>
              </w:rPr>
              <w:t xml:space="preserve"> </w:t>
            </w:r>
            <w:r w:rsidRPr="000C7A36">
              <w:rPr>
                <w:color w:val="000000"/>
                <w:szCs w:val="22"/>
              </w:rPr>
              <w:t>According to</w:t>
            </w:r>
            <w:r>
              <w:rPr>
                <w:color w:val="000000"/>
                <w:szCs w:val="22"/>
              </w:rPr>
              <w:t xml:space="preserve"> </w:t>
            </w:r>
            <w:r w:rsidRPr="004303B1">
              <w:rPr>
                <w:color w:val="000000"/>
                <w:szCs w:val="22"/>
              </w:rPr>
              <w:t>the data</w:t>
            </w:r>
            <w:r w:rsidRPr="000C7A36">
              <w:rPr>
                <w:color w:val="000000"/>
                <w:szCs w:val="22"/>
              </w:rPr>
              <w:t xml:space="preserve">, the therapy received subsequent to pralatrexate was </w:t>
            </w:r>
            <w:r>
              <w:rPr>
                <w:color w:val="000000"/>
                <w:szCs w:val="22"/>
              </w:rPr>
              <w:t>“Steroid (UNK)”</w:t>
            </w:r>
            <w:r w:rsidRPr="000C7A36">
              <w:rPr>
                <w:color w:val="000000"/>
                <w:szCs w:val="22"/>
              </w:rPr>
              <w:t xml:space="preserve">, commenced on </w:t>
            </w:r>
            <w:r>
              <w:rPr>
                <w:color w:val="000000"/>
                <w:szCs w:val="22"/>
              </w:rPr>
              <w:t>7 February</w:t>
            </w:r>
            <w:r w:rsidRPr="000C7A36">
              <w:rPr>
                <w:color w:val="000000"/>
                <w:szCs w:val="22"/>
              </w:rPr>
              <w:t xml:space="preserve"> 2008</w:t>
            </w:r>
            <w:r>
              <w:rPr>
                <w:color w:val="000000"/>
                <w:szCs w:val="22"/>
              </w:rPr>
              <w:t>.</w:t>
            </w:r>
          </w:p>
          <w:p w:rsidR="004D5254" w:rsidRDefault="004D5254" w:rsidP="00C80331">
            <w:pPr>
              <w:autoSpaceDE w:val="0"/>
              <w:autoSpaceDN w:val="0"/>
              <w:adjustRightInd w:val="0"/>
              <w:rPr>
                <w:color w:val="000000"/>
                <w:szCs w:val="22"/>
              </w:rPr>
            </w:pPr>
            <w:r>
              <w:rPr>
                <w:color w:val="000000"/>
                <w:szCs w:val="22"/>
              </w:rPr>
              <w:t>For Patients G and M the commencement of another cancer treatment occurred after the documentation of progression of disease. The censoring of these patients in preference to including them with an end date for the event of disease progression needs to be fully explained and justified by the sponsor.</w:t>
            </w:r>
          </w:p>
          <w:p w:rsidR="004D5254" w:rsidRPr="007933F4" w:rsidRDefault="004D5254" w:rsidP="00C80331">
            <w:pPr>
              <w:autoSpaceDE w:val="0"/>
              <w:autoSpaceDN w:val="0"/>
              <w:adjustRightInd w:val="0"/>
              <w:rPr>
                <w:color w:val="000000"/>
                <w:szCs w:val="22"/>
              </w:rPr>
            </w:pPr>
            <w:r>
              <w:rPr>
                <w:color w:val="000000"/>
                <w:szCs w:val="22"/>
              </w:rPr>
              <w:t>Also, Patient M had a censored duration of only 1 day (although in actuality the duration may be as long as 7 days before subsequent disease progression if the dates are as recorded in the line listings). This raises the issue of whether it can be accepted that this patient had a meaningful clinical response - is it simply enough to have tumour shrinkage, for however limited a period of time, or does one need either an enduring response and/or an accompanying reduction in symptoms? Importantly, symptomatology and quality of life were not assessed in the study.</w:t>
            </w:r>
          </w:p>
        </w:tc>
      </w:tr>
    </w:tbl>
    <w:p w:rsidR="004D5254" w:rsidRDefault="004D5254" w:rsidP="004D5254">
      <w:pPr>
        <w:pStyle w:val="Heading6"/>
        <w:numPr>
          <w:ilvl w:val="0"/>
          <w:numId w:val="0"/>
        </w:numPr>
      </w:pPr>
      <w:r>
        <w:lastRenderedPageBreak/>
        <w:t>Progression free survival (PFS)</w:t>
      </w:r>
    </w:p>
    <w:p w:rsidR="004D5254" w:rsidRDefault="004D5254" w:rsidP="004D5254">
      <w:pPr>
        <w:autoSpaceDE w:val="0"/>
        <w:autoSpaceDN w:val="0"/>
        <w:adjustRightInd w:val="0"/>
      </w:pPr>
      <w:r w:rsidRPr="00E52F69">
        <w:t>The median PFS based on response assessed by IWC, estimated by the Kaplan-Meier method</w:t>
      </w:r>
      <w:r>
        <w:t xml:space="preserve"> </w:t>
      </w:r>
      <w:r w:rsidRPr="006A1976">
        <w:t>(Figure 7, belo</w:t>
      </w:r>
      <w:r>
        <w:t>w)</w:t>
      </w:r>
      <w:r w:rsidRPr="00E52F69">
        <w:t>, was 106 days (95% CI: 51 - 146 days)</w:t>
      </w:r>
      <w:r>
        <w:t xml:space="preserve"> or 3.5 months</w:t>
      </w:r>
      <w:r w:rsidRPr="00E52F69">
        <w:t>, with a range of 1-726 days.</w:t>
      </w:r>
      <w:r>
        <w:t xml:space="preserve"> </w:t>
      </w:r>
      <w:r w:rsidRPr="00E52F69">
        <w:t xml:space="preserve">Seventy patients (64%) had an event of either </w:t>
      </w:r>
      <w:r>
        <w:t>disease progression</w:t>
      </w:r>
      <w:r w:rsidRPr="00E52F69">
        <w:t xml:space="preserve"> (n = 63, 58%) or death (n = 7, 6%) that was used to calculate their PFS.</w:t>
      </w:r>
      <w:r>
        <w:t xml:space="preserve"> </w:t>
      </w:r>
      <w:r w:rsidRPr="00E52F69">
        <w:t xml:space="preserve">The remaining 39 patients were censored because they had either not yet progressed at the time of the data cut-off date (n = 5, 5%) or had received anti-cancer therapy before progressive disease was assessed (n = 26, 24%) or they had received a transplant (n=4, 4%) or they terminated study follow-up </w:t>
      </w:r>
      <w:r>
        <w:t>of</w:t>
      </w:r>
      <w:r w:rsidRPr="00E52F69">
        <w:t xml:space="preserve"> response (n=4, 4%). </w:t>
      </w:r>
    </w:p>
    <w:p w:rsidR="004D5254" w:rsidRDefault="004D5254" w:rsidP="004D5254">
      <w:pPr>
        <w:autoSpaceDE w:val="0"/>
        <w:autoSpaceDN w:val="0"/>
        <w:adjustRightInd w:val="0"/>
      </w:pPr>
      <w:r w:rsidRPr="00BA6CC1">
        <w:t>The median PFS based on response assessed by IWC plus PET was 141 days (95% CI: 79 - 243), with a range of 1-726 days. The median PFS based on response assessed by local investigator was 121 days (95% CI: 77-148 days), with a range of 1-726 days.</w:t>
      </w:r>
      <w:r>
        <w:t xml:space="preserve"> </w:t>
      </w:r>
      <w:r w:rsidRPr="00BA6CC1">
        <w:t>The median PFS based on response assessed by IWC plus PET was 141 days (95% CI: 79 - 243), with a range of 1-726 days.</w:t>
      </w:r>
      <w:r>
        <w:t xml:space="preserve"> </w:t>
      </w:r>
      <w:r w:rsidRPr="00BA6CC1">
        <w:t>The median PFS based on response assessed by local investigator was 121 days (95% CI: 77-148 days), with a range of 1-726 days.</w:t>
      </w:r>
    </w:p>
    <w:p w:rsidR="004D5254" w:rsidRDefault="004D5254" w:rsidP="004D5254">
      <w:pPr>
        <w:pStyle w:val="Heading6"/>
        <w:numPr>
          <w:ilvl w:val="0"/>
          <w:numId w:val="0"/>
        </w:numPr>
      </w:pPr>
      <w:r>
        <w:t>Overall survival (OS)</w:t>
      </w:r>
    </w:p>
    <w:p w:rsidR="004D5254" w:rsidRDefault="004D5254" w:rsidP="004D5254">
      <w:pPr>
        <w:autoSpaceDE w:val="0"/>
        <w:autoSpaceDN w:val="0"/>
        <w:adjustRightInd w:val="0"/>
        <w:rPr>
          <w:color w:val="000000"/>
        </w:rPr>
      </w:pPr>
      <w:r w:rsidRPr="007B1636">
        <w:rPr>
          <w:color w:val="000000"/>
        </w:rPr>
        <w:t>As at data cut-off in August 2009</w:t>
      </w:r>
      <w:r>
        <w:rPr>
          <w:color w:val="000000"/>
        </w:rPr>
        <w:t>,</w:t>
      </w:r>
      <w:r w:rsidRPr="007B1636">
        <w:rPr>
          <w:color w:val="000000"/>
        </w:rPr>
        <w:t xml:space="preserve"> the overall survival ranged from 1.0 to 24.1 months, with median duration 14.5 months (95% CI: 10.6-22.5).</w:t>
      </w:r>
      <w:r>
        <w:rPr>
          <w:color w:val="000000"/>
        </w:rPr>
        <w:t xml:space="preserve"> </w:t>
      </w:r>
      <w:r w:rsidRPr="007B1636">
        <w:rPr>
          <w:color w:val="000000"/>
        </w:rPr>
        <w:t>Forty-seven patients (43%) were censored because they were still alive at the time of the data cut-off date.</w:t>
      </w:r>
      <w:r>
        <w:rPr>
          <w:color w:val="000000"/>
        </w:rPr>
        <w:t xml:space="preserve"> </w:t>
      </w:r>
      <w:r w:rsidRPr="007B1636">
        <w:rPr>
          <w:color w:val="000000"/>
        </w:rPr>
        <w:t>Of the 62 patients who had died, 52 (84%) were due to progression of their PTCL.</w:t>
      </w:r>
    </w:p>
    <w:p w:rsidR="004D5254" w:rsidRPr="007B1636" w:rsidRDefault="004D5254" w:rsidP="004D5254">
      <w:pPr>
        <w:autoSpaceDE w:val="0"/>
        <w:autoSpaceDN w:val="0"/>
        <w:adjustRightInd w:val="0"/>
      </w:pPr>
      <w:r>
        <w:t xml:space="preserve">In its </w:t>
      </w:r>
      <w:r w:rsidRPr="00276A2A">
        <w:rPr>
          <w:i/>
        </w:rPr>
        <w:t>Clinical Summary Efficacy Addendum</w:t>
      </w:r>
      <w:r>
        <w:t xml:space="preserve"> the sponsor reported that, after the intervening 2 years (approx), 12</w:t>
      </w:r>
      <w:r w:rsidRPr="007B1636">
        <w:rPr>
          <w:rFonts w:eastAsia="TimesNewRoman" w:cs="TimesNewRoman"/>
        </w:rPr>
        <w:t xml:space="preserve"> patients</w:t>
      </w:r>
      <w:r>
        <w:rPr>
          <w:rFonts w:eastAsia="TimesNewRoman" w:cs="TimesNewRoman"/>
        </w:rPr>
        <w:t xml:space="preserve"> </w:t>
      </w:r>
      <w:r w:rsidRPr="007B1636">
        <w:rPr>
          <w:rFonts w:eastAsia="TimesNewRoman" w:cs="TimesNewRoman"/>
        </w:rPr>
        <w:t xml:space="preserve">were still alive </w:t>
      </w:r>
      <w:r>
        <w:rPr>
          <w:rFonts w:eastAsia="TimesNewRoman" w:cs="TimesNewRoman"/>
        </w:rPr>
        <w:t>with survival from Treatment D</w:t>
      </w:r>
      <w:r w:rsidRPr="007B1636">
        <w:rPr>
          <w:rFonts w:eastAsia="TimesNewRoman" w:cs="TimesNewRoman"/>
        </w:rPr>
        <w:t>ay 1</w:t>
      </w:r>
      <w:r>
        <w:rPr>
          <w:rFonts w:eastAsia="TimesNewRoman" w:cs="TimesNewRoman"/>
        </w:rPr>
        <w:t xml:space="preserve"> ranging from 36.0 to</w:t>
      </w:r>
      <w:r w:rsidRPr="007B1636">
        <w:rPr>
          <w:rFonts w:eastAsia="TimesNewRoman" w:cs="TimesNewRoman"/>
        </w:rPr>
        <w:t xml:space="preserve"> 52.8</w:t>
      </w:r>
      <w:r>
        <w:rPr>
          <w:rFonts w:eastAsia="TimesNewRoman" w:cs="TimesNewRoman"/>
        </w:rPr>
        <w:t xml:space="preserve"> </w:t>
      </w:r>
      <w:r w:rsidRPr="007B1636">
        <w:rPr>
          <w:rFonts w:eastAsia="TimesNewRoman" w:cs="TimesNewRoman"/>
        </w:rPr>
        <w:t>months, including 5 patients with an OS of mo</w:t>
      </w:r>
      <w:r>
        <w:rPr>
          <w:rFonts w:eastAsia="TimesNewRoman" w:cs="TimesNewRoman"/>
        </w:rPr>
        <w:t>re than 4 years from Treatment D</w:t>
      </w:r>
      <w:r w:rsidRPr="007B1636">
        <w:rPr>
          <w:rFonts w:eastAsia="TimesNewRoman" w:cs="TimesNewRoman"/>
        </w:rPr>
        <w:t xml:space="preserve">ay </w:t>
      </w:r>
      <w:r w:rsidRPr="007B1636">
        <w:rPr>
          <w:rFonts w:eastAsia="TimesNewRoman" w:cs="TimesNewRoman"/>
        </w:rPr>
        <w:lastRenderedPageBreak/>
        <w:t>1</w:t>
      </w:r>
      <w:r>
        <w:rPr>
          <w:rFonts w:eastAsia="TimesNewRoman" w:cs="TimesNewRoman"/>
        </w:rPr>
        <w:t xml:space="preserve">. </w:t>
      </w:r>
      <w:r w:rsidRPr="006A1976">
        <w:rPr>
          <w:rFonts w:eastAsia="TimesNewRoman" w:cs="TimesNewRoman"/>
        </w:rPr>
        <w:t xml:space="preserve">Table 9, </w:t>
      </w:r>
      <w:r>
        <w:rPr>
          <w:rFonts w:eastAsia="TimesNewRoman" w:cs="TimesNewRoman"/>
        </w:rPr>
        <w:t xml:space="preserve">below </w:t>
      </w:r>
      <w:r w:rsidRPr="007B1636">
        <w:rPr>
          <w:rFonts w:eastAsia="TimesNewRoman" w:cs="TimesNewRoman"/>
        </w:rPr>
        <w:t xml:space="preserve">presents the </w:t>
      </w:r>
      <w:r>
        <w:rPr>
          <w:rFonts w:eastAsia="TimesNewRoman" w:cs="TimesNewRoman"/>
        </w:rPr>
        <w:t xml:space="preserve">original and updated </w:t>
      </w:r>
      <w:r w:rsidRPr="007B1636">
        <w:rPr>
          <w:rFonts w:eastAsia="TimesNewRoman" w:cs="TimesNewRoman"/>
        </w:rPr>
        <w:t xml:space="preserve">survival rates </w:t>
      </w:r>
      <w:r>
        <w:rPr>
          <w:rFonts w:eastAsia="TimesNewRoman" w:cs="TimesNewRoman"/>
        </w:rPr>
        <w:t xml:space="preserve">and their 95% CIs, </w:t>
      </w:r>
      <w:r w:rsidRPr="007B1636">
        <w:rPr>
          <w:rFonts w:eastAsia="TimesNewRoman" w:cs="TimesNewRoman"/>
        </w:rPr>
        <w:t>calculated from the beginning of pralatrexate treatment</w:t>
      </w:r>
      <w:r>
        <w:rPr>
          <w:rFonts w:eastAsia="TimesNewRoman" w:cs="TimesNewRoman"/>
        </w:rPr>
        <w:t xml:space="preserve"> </w:t>
      </w:r>
      <w:r w:rsidRPr="007B1636">
        <w:rPr>
          <w:rFonts w:eastAsia="TimesNewRoman" w:cs="TimesNewRoman"/>
        </w:rPr>
        <w:t>through the time of the last available follow-up.</w:t>
      </w:r>
    </w:p>
    <w:p w:rsidR="004D5254" w:rsidRDefault="004D5254" w:rsidP="004D5254">
      <w:pPr>
        <w:pStyle w:val="FigureTitle"/>
      </w:pPr>
      <w:bookmarkStart w:id="191" w:name="_Toc320881594"/>
      <w:r>
        <w:t>Figure 7. Study PDX-008.</w:t>
      </w:r>
      <w:r w:rsidRPr="007B1636">
        <w:t xml:space="preserve"> </w:t>
      </w:r>
      <w:r>
        <w:t>Kaplan-Meier progression free survival per central review (IWC)</w:t>
      </w:r>
      <w:bookmarkEnd w:id="191"/>
    </w:p>
    <w:p w:rsidR="004D5254" w:rsidRDefault="004D5254" w:rsidP="004D5254">
      <w:pPr>
        <w:autoSpaceDE w:val="0"/>
        <w:autoSpaceDN w:val="0"/>
        <w:adjustRightInd w:val="0"/>
      </w:pPr>
      <w:r>
        <w:rPr>
          <w:noProof/>
          <w:lang w:eastAsia="en-AU"/>
        </w:rPr>
        <w:drawing>
          <wp:inline distT="0" distB="0" distL="0" distR="0">
            <wp:extent cx="4124325" cy="2905125"/>
            <wp:effectExtent l="19050" t="0" r="9525" b="0"/>
            <wp:docPr id="18" name="Picture 18" descr="Figure 7. Study PDX-008. Kaplan-Meier progression free survival per central review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duotone>
                        <a:prstClr val="black"/>
                        <a:schemeClr val="bg1">
                          <a:tint val="45000"/>
                          <a:satMod val="400000"/>
                        </a:schemeClr>
                      </a:duotone>
                    </a:blip>
                    <a:srcRect l="9198" t="13334" r="6067" b="1944"/>
                    <a:stretch>
                      <a:fillRect/>
                    </a:stretch>
                  </pic:blipFill>
                  <pic:spPr bwMode="auto">
                    <a:xfrm>
                      <a:off x="0" y="0"/>
                      <a:ext cx="4124325" cy="2905125"/>
                    </a:xfrm>
                    <a:prstGeom prst="rect">
                      <a:avLst/>
                    </a:prstGeom>
                    <a:noFill/>
                    <a:ln w="9525">
                      <a:noFill/>
                      <a:miter lim="800000"/>
                      <a:headEnd/>
                      <a:tailEnd/>
                    </a:ln>
                  </pic:spPr>
                </pic:pic>
              </a:graphicData>
            </a:graphic>
          </wp:inline>
        </w:drawing>
      </w:r>
    </w:p>
    <w:p w:rsidR="004D5254" w:rsidRDefault="004D5254" w:rsidP="004D5254">
      <w:pPr>
        <w:pStyle w:val="FigureTitle"/>
      </w:pPr>
      <w:bookmarkStart w:id="192" w:name="_Toc320881532"/>
      <w:r>
        <w:t>Table 9. Study PDX-008. Survival rates in PTCL patients treated with pralatrexate</w:t>
      </w:r>
      <w:bookmarkEnd w:id="192"/>
    </w:p>
    <w:tbl>
      <w:tblPr>
        <w:tblStyle w:val="TableTGAblue"/>
        <w:tblW w:w="0" w:type="auto"/>
        <w:tblInd w:w="108" w:type="dxa"/>
        <w:tblLook w:val="04A0"/>
      </w:tblPr>
      <w:tblGrid>
        <w:gridCol w:w="1985"/>
        <w:gridCol w:w="1736"/>
        <w:gridCol w:w="1737"/>
        <w:gridCol w:w="1736"/>
        <w:gridCol w:w="1595"/>
      </w:tblGrid>
      <w:tr w:rsidR="004D5254" w:rsidTr="00C80331">
        <w:trPr>
          <w:cnfStyle w:val="100000000000"/>
        </w:trPr>
        <w:tc>
          <w:tcPr>
            <w:cnfStyle w:val="001000000000"/>
            <w:tcW w:w="1985" w:type="dxa"/>
          </w:tcPr>
          <w:p w:rsidR="004D5254" w:rsidRPr="006A1976" w:rsidRDefault="004D5254" w:rsidP="00C80331">
            <w:pPr>
              <w:spacing w:before="40" w:after="40"/>
              <w:rPr>
                <w:sz w:val="20"/>
                <w:szCs w:val="20"/>
              </w:rPr>
            </w:pPr>
          </w:p>
        </w:tc>
        <w:tc>
          <w:tcPr>
            <w:tcW w:w="1736" w:type="dxa"/>
          </w:tcPr>
          <w:p w:rsidR="004D5254" w:rsidRPr="006A1976" w:rsidRDefault="004D5254" w:rsidP="00C80331">
            <w:pPr>
              <w:spacing w:before="40" w:after="40"/>
              <w:jc w:val="center"/>
              <w:cnfStyle w:val="100000000000"/>
              <w:rPr>
                <w:sz w:val="20"/>
                <w:szCs w:val="20"/>
              </w:rPr>
            </w:pPr>
            <w:r w:rsidRPr="006A1976">
              <w:rPr>
                <w:sz w:val="20"/>
                <w:szCs w:val="20"/>
              </w:rPr>
              <w:t>1 year</w:t>
            </w:r>
          </w:p>
        </w:tc>
        <w:tc>
          <w:tcPr>
            <w:tcW w:w="1737" w:type="dxa"/>
          </w:tcPr>
          <w:p w:rsidR="004D5254" w:rsidRPr="006A1976" w:rsidRDefault="004D5254" w:rsidP="00C80331">
            <w:pPr>
              <w:spacing w:before="40" w:after="40"/>
              <w:jc w:val="center"/>
              <w:cnfStyle w:val="100000000000"/>
              <w:rPr>
                <w:sz w:val="20"/>
                <w:szCs w:val="20"/>
              </w:rPr>
            </w:pPr>
            <w:r w:rsidRPr="006A1976">
              <w:rPr>
                <w:sz w:val="20"/>
                <w:szCs w:val="20"/>
              </w:rPr>
              <w:t>2 years</w:t>
            </w:r>
          </w:p>
        </w:tc>
        <w:tc>
          <w:tcPr>
            <w:tcW w:w="1736" w:type="dxa"/>
          </w:tcPr>
          <w:p w:rsidR="004D5254" w:rsidRPr="006A1976" w:rsidRDefault="004D5254" w:rsidP="00C80331">
            <w:pPr>
              <w:spacing w:before="40" w:after="40"/>
              <w:jc w:val="center"/>
              <w:cnfStyle w:val="100000000000"/>
              <w:rPr>
                <w:sz w:val="20"/>
                <w:szCs w:val="20"/>
              </w:rPr>
            </w:pPr>
            <w:r w:rsidRPr="006A1976">
              <w:rPr>
                <w:sz w:val="20"/>
                <w:szCs w:val="20"/>
              </w:rPr>
              <w:t>3 years</w:t>
            </w:r>
          </w:p>
        </w:tc>
        <w:tc>
          <w:tcPr>
            <w:tcW w:w="1595" w:type="dxa"/>
          </w:tcPr>
          <w:p w:rsidR="004D5254" w:rsidRPr="006A1976" w:rsidRDefault="004D5254" w:rsidP="00C80331">
            <w:pPr>
              <w:spacing w:before="40" w:after="40"/>
              <w:jc w:val="center"/>
              <w:cnfStyle w:val="100000000000"/>
              <w:rPr>
                <w:sz w:val="20"/>
                <w:szCs w:val="20"/>
              </w:rPr>
            </w:pPr>
            <w:r w:rsidRPr="006A1976">
              <w:rPr>
                <w:sz w:val="20"/>
                <w:szCs w:val="20"/>
              </w:rPr>
              <w:t>4 years</w:t>
            </w:r>
          </w:p>
        </w:tc>
      </w:tr>
      <w:tr w:rsidR="004D5254" w:rsidTr="00C80331">
        <w:tc>
          <w:tcPr>
            <w:cnfStyle w:val="001000000000"/>
            <w:tcW w:w="1985" w:type="dxa"/>
          </w:tcPr>
          <w:p w:rsidR="004D5254" w:rsidRPr="001D248D" w:rsidRDefault="004D5254" w:rsidP="00C80331">
            <w:pPr>
              <w:spacing w:before="40" w:after="40"/>
              <w:rPr>
                <w:b/>
                <w:sz w:val="20"/>
                <w:szCs w:val="20"/>
              </w:rPr>
            </w:pPr>
            <w:r w:rsidRPr="001D248D">
              <w:rPr>
                <w:b/>
                <w:sz w:val="20"/>
                <w:szCs w:val="20"/>
              </w:rPr>
              <w:t>Original data</w:t>
            </w:r>
            <w:r>
              <w:rPr>
                <w:b/>
                <w:sz w:val="20"/>
                <w:szCs w:val="20"/>
              </w:rPr>
              <w:t xml:space="preserve"> (CSR)</w:t>
            </w:r>
          </w:p>
        </w:tc>
        <w:tc>
          <w:tcPr>
            <w:tcW w:w="1736" w:type="dxa"/>
          </w:tcPr>
          <w:p w:rsidR="004D5254" w:rsidRDefault="004D5254" w:rsidP="00C80331">
            <w:pPr>
              <w:spacing w:before="40" w:after="40"/>
              <w:jc w:val="center"/>
              <w:cnfStyle w:val="000000000000"/>
              <w:rPr>
                <w:sz w:val="20"/>
                <w:szCs w:val="20"/>
              </w:rPr>
            </w:pPr>
          </w:p>
        </w:tc>
        <w:tc>
          <w:tcPr>
            <w:tcW w:w="1737" w:type="dxa"/>
          </w:tcPr>
          <w:p w:rsidR="004D5254" w:rsidRDefault="004D5254" w:rsidP="00C80331">
            <w:pPr>
              <w:spacing w:before="40" w:after="40"/>
              <w:jc w:val="center"/>
              <w:cnfStyle w:val="000000000000"/>
              <w:rPr>
                <w:sz w:val="20"/>
                <w:szCs w:val="20"/>
              </w:rPr>
            </w:pPr>
          </w:p>
        </w:tc>
        <w:tc>
          <w:tcPr>
            <w:tcW w:w="1736" w:type="dxa"/>
          </w:tcPr>
          <w:p w:rsidR="004D5254" w:rsidRDefault="004D5254" w:rsidP="00C80331">
            <w:pPr>
              <w:spacing w:before="40" w:after="40"/>
              <w:jc w:val="center"/>
              <w:cnfStyle w:val="000000000000"/>
              <w:rPr>
                <w:sz w:val="20"/>
                <w:szCs w:val="20"/>
              </w:rPr>
            </w:pPr>
          </w:p>
        </w:tc>
        <w:tc>
          <w:tcPr>
            <w:tcW w:w="1595" w:type="dxa"/>
          </w:tcPr>
          <w:p w:rsidR="004D5254" w:rsidRDefault="004D5254" w:rsidP="00C80331">
            <w:pPr>
              <w:spacing w:before="40" w:after="40"/>
              <w:jc w:val="center"/>
              <w:cnfStyle w:val="000000000000"/>
              <w:rPr>
                <w:sz w:val="20"/>
                <w:szCs w:val="20"/>
              </w:rPr>
            </w:pPr>
          </w:p>
        </w:tc>
      </w:tr>
      <w:tr w:rsidR="004D5254" w:rsidTr="00C80331">
        <w:tc>
          <w:tcPr>
            <w:cnfStyle w:val="001000000000"/>
            <w:tcW w:w="1985" w:type="dxa"/>
          </w:tcPr>
          <w:p w:rsidR="004D5254" w:rsidRDefault="004D5254" w:rsidP="00C80331">
            <w:pPr>
              <w:spacing w:before="40" w:after="40"/>
              <w:rPr>
                <w:sz w:val="20"/>
                <w:szCs w:val="20"/>
              </w:rPr>
            </w:pPr>
            <w:r>
              <w:rPr>
                <w:sz w:val="20"/>
                <w:szCs w:val="20"/>
              </w:rPr>
              <w:t xml:space="preserve"> Rate (%)</w:t>
            </w:r>
          </w:p>
        </w:tc>
        <w:tc>
          <w:tcPr>
            <w:tcW w:w="1736" w:type="dxa"/>
          </w:tcPr>
          <w:p w:rsidR="004D5254" w:rsidRDefault="004D5254" w:rsidP="00C80331">
            <w:pPr>
              <w:spacing w:before="40" w:after="40"/>
              <w:jc w:val="center"/>
              <w:cnfStyle w:val="000000000000"/>
              <w:rPr>
                <w:sz w:val="20"/>
                <w:szCs w:val="20"/>
              </w:rPr>
            </w:pPr>
            <w:r>
              <w:rPr>
                <w:sz w:val="20"/>
                <w:szCs w:val="20"/>
              </w:rPr>
              <w:t>55.3</w:t>
            </w:r>
          </w:p>
        </w:tc>
        <w:tc>
          <w:tcPr>
            <w:tcW w:w="1737" w:type="dxa"/>
          </w:tcPr>
          <w:p w:rsidR="004D5254" w:rsidRDefault="004D5254" w:rsidP="00C80331">
            <w:pPr>
              <w:spacing w:before="40" w:after="40"/>
              <w:jc w:val="center"/>
              <w:cnfStyle w:val="000000000000"/>
              <w:rPr>
                <w:sz w:val="20"/>
                <w:szCs w:val="20"/>
              </w:rPr>
            </w:pPr>
            <w:r>
              <w:rPr>
                <w:sz w:val="20"/>
                <w:szCs w:val="20"/>
              </w:rPr>
              <w:t>33.7</w:t>
            </w:r>
          </w:p>
        </w:tc>
        <w:tc>
          <w:tcPr>
            <w:tcW w:w="1736" w:type="dxa"/>
          </w:tcPr>
          <w:p w:rsidR="004D5254" w:rsidRDefault="004D5254" w:rsidP="00C80331">
            <w:pPr>
              <w:spacing w:before="40" w:after="40"/>
              <w:jc w:val="center"/>
              <w:cnfStyle w:val="000000000000"/>
              <w:rPr>
                <w:sz w:val="20"/>
                <w:szCs w:val="20"/>
              </w:rPr>
            </w:pPr>
            <w:r>
              <w:rPr>
                <w:sz w:val="20"/>
                <w:szCs w:val="20"/>
              </w:rPr>
              <w:t>-</w:t>
            </w:r>
          </w:p>
        </w:tc>
        <w:tc>
          <w:tcPr>
            <w:tcW w:w="1595" w:type="dxa"/>
          </w:tcPr>
          <w:p w:rsidR="004D5254" w:rsidRDefault="004D5254" w:rsidP="00C80331">
            <w:pPr>
              <w:spacing w:before="40" w:after="40"/>
              <w:jc w:val="center"/>
              <w:cnfStyle w:val="000000000000"/>
              <w:rPr>
                <w:sz w:val="20"/>
                <w:szCs w:val="20"/>
              </w:rPr>
            </w:pPr>
            <w:r>
              <w:rPr>
                <w:sz w:val="20"/>
                <w:szCs w:val="20"/>
              </w:rPr>
              <w:t>-</w:t>
            </w:r>
          </w:p>
        </w:tc>
      </w:tr>
      <w:tr w:rsidR="004D5254" w:rsidTr="00C80331">
        <w:tc>
          <w:tcPr>
            <w:cnfStyle w:val="001000000000"/>
            <w:tcW w:w="1985" w:type="dxa"/>
          </w:tcPr>
          <w:p w:rsidR="004D5254" w:rsidRDefault="004D5254" w:rsidP="00C80331">
            <w:pPr>
              <w:spacing w:before="40" w:after="40"/>
              <w:rPr>
                <w:sz w:val="20"/>
                <w:szCs w:val="20"/>
              </w:rPr>
            </w:pPr>
            <w:r>
              <w:rPr>
                <w:sz w:val="20"/>
                <w:szCs w:val="20"/>
              </w:rPr>
              <w:t xml:space="preserve"> 95% CI</w:t>
            </w:r>
          </w:p>
        </w:tc>
        <w:tc>
          <w:tcPr>
            <w:tcW w:w="1736" w:type="dxa"/>
          </w:tcPr>
          <w:p w:rsidR="004D5254" w:rsidRDefault="004D5254" w:rsidP="00C80331">
            <w:pPr>
              <w:spacing w:before="40" w:after="40"/>
              <w:jc w:val="center"/>
              <w:cnfStyle w:val="000000000000"/>
              <w:rPr>
                <w:sz w:val="20"/>
                <w:szCs w:val="20"/>
              </w:rPr>
            </w:pPr>
            <w:r>
              <w:rPr>
                <w:sz w:val="20"/>
                <w:szCs w:val="20"/>
              </w:rPr>
              <w:t>45.2 – 64.3</w:t>
            </w:r>
          </w:p>
        </w:tc>
        <w:tc>
          <w:tcPr>
            <w:tcW w:w="1737" w:type="dxa"/>
          </w:tcPr>
          <w:p w:rsidR="004D5254" w:rsidRDefault="004D5254" w:rsidP="00C80331">
            <w:pPr>
              <w:spacing w:before="40" w:after="40"/>
              <w:jc w:val="center"/>
              <w:cnfStyle w:val="000000000000"/>
              <w:rPr>
                <w:sz w:val="20"/>
                <w:szCs w:val="20"/>
              </w:rPr>
            </w:pPr>
            <w:r>
              <w:rPr>
                <w:sz w:val="20"/>
                <w:szCs w:val="20"/>
              </w:rPr>
              <w:t>23.3 – 44.5</w:t>
            </w:r>
          </w:p>
        </w:tc>
        <w:tc>
          <w:tcPr>
            <w:tcW w:w="1736" w:type="dxa"/>
          </w:tcPr>
          <w:p w:rsidR="004D5254" w:rsidRDefault="004D5254" w:rsidP="00C80331">
            <w:pPr>
              <w:spacing w:before="40" w:after="40"/>
              <w:jc w:val="center"/>
              <w:cnfStyle w:val="000000000000"/>
              <w:rPr>
                <w:sz w:val="20"/>
                <w:szCs w:val="20"/>
              </w:rPr>
            </w:pPr>
            <w:r>
              <w:rPr>
                <w:sz w:val="20"/>
                <w:szCs w:val="20"/>
              </w:rPr>
              <w:t>-</w:t>
            </w:r>
          </w:p>
        </w:tc>
        <w:tc>
          <w:tcPr>
            <w:tcW w:w="1595" w:type="dxa"/>
          </w:tcPr>
          <w:p w:rsidR="004D5254" w:rsidRDefault="004D5254" w:rsidP="00C80331">
            <w:pPr>
              <w:spacing w:before="40" w:after="40"/>
              <w:jc w:val="center"/>
              <w:cnfStyle w:val="000000000000"/>
              <w:rPr>
                <w:sz w:val="20"/>
                <w:szCs w:val="20"/>
              </w:rPr>
            </w:pPr>
            <w:r>
              <w:rPr>
                <w:sz w:val="20"/>
                <w:szCs w:val="20"/>
              </w:rPr>
              <w:t>-</w:t>
            </w:r>
          </w:p>
        </w:tc>
      </w:tr>
      <w:tr w:rsidR="004D5254" w:rsidTr="00C80331">
        <w:tc>
          <w:tcPr>
            <w:cnfStyle w:val="001000000000"/>
            <w:tcW w:w="1985" w:type="dxa"/>
          </w:tcPr>
          <w:p w:rsidR="004D5254" w:rsidRPr="001D248D" w:rsidRDefault="004D5254" w:rsidP="00C80331">
            <w:pPr>
              <w:spacing w:before="40" w:after="40"/>
              <w:rPr>
                <w:b/>
                <w:sz w:val="20"/>
                <w:szCs w:val="20"/>
              </w:rPr>
            </w:pPr>
            <w:r w:rsidRPr="001D248D">
              <w:rPr>
                <w:b/>
                <w:sz w:val="20"/>
                <w:szCs w:val="20"/>
              </w:rPr>
              <w:t>Updated data</w:t>
            </w:r>
          </w:p>
        </w:tc>
        <w:tc>
          <w:tcPr>
            <w:tcW w:w="1736" w:type="dxa"/>
          </w:tcPr>
          <w:p w:rsidR="004D5254" w:rsidRDefault="004D5254" w:rsidP="00C80331">
            <w:pPr>
              <w:spacing w:before="40" w:after="40"/>
              <w:jc w:val="center"/>
              <w:cnfStyle w:val="000000000000"/>
              <w:rPr>
                <w:sz w:val="20"/>
                <w:szCs w:val="20"/>
              </w:rPr>
            </w:pPr>
          </w:p>
        </w:tc>
        <w:tc>
          <w:tcPr>
            <w:tcW w:w="1737" w:type="dxa"/>
          </w:tcPr>
          <w:p w:rsidR="004D5254" w:rsidRDefault="004D5254" w:rsidP="00C80331">
            <w:pPr>
              <w:spacing w:before="40" w:after="40"/>
              <w:jc w:val="center"/>
              <w:cnfStyle w:val="000000000000"/>
              <w:rPr>
                <w:sz w:val="20"/>
                <w:szCs w:val="20"/>
              </w:rPr>
            </w:pPr>
          </w:p>
        </w:tc>
        <w:tc>
          <w:tcPr>
            <w:tcW w:w="1736" w:type="dxa"/>
          </w:tcPr>
          <w:p w:rsidR="004D5254" w:rsidRDefault="004D5254" w:rsidP="00C80331">
            <w:pPr>
              <w:spacing w:before="40" w:after="40"/>
              <w:jc w:val="center"/>
              <w:cnfStyle w:val="000000000000"/>
              <w:rPr>
                <w:sz w:val="20"/>
                <w:szCs w:val="20"/>
              </w:rPr>
            </w:pPr>
          </w:p>
        </w:tc>
        <w:tc>
          <w:tcPr>
            <w:tcW w:w="1595" w:type="dxa"/>
          </w:tcPr>
          <w:p w:rsidR="004D5254" w:rsidRDefault="004D5254" w:rsidP="00C80331">
            <w:pPr>
              <w:spacing w:before="40" w:after="40"/>
              <w:jc w:val="center"/>
              <w:cnfStyle w:val="000000000000"/>
              <w:rPr>
                <w:sz w:val="20"/>
                <w:szCs w:val="20"/>
              </w:rPr>
            </w:pPr>
          </w:p>
        </w:tc>
      </w:tr>
      <w:tr w:rsidR="004D5254" w:rsidTr="00C80331">
        <w:tc>
          <w:tcPr>
            <w:cnfStyle w:val="001000000000"/>
            <w:tcW w:w="1985" w:type="dxa"/>
          </w:tcPr>
          <w:p w:rsidR="004D5254" w:rsidRDefault="004D5254" w:rsidP="00C80331">
            <w:pPr>
              <w:spacing w:before="40" w:after="40"/>
              <w:rPr>
                <w:sz w:val="20"/>
                <w:szCs w:val="20"/>
              </w:rPr>
            </w:pPr>
            <w:r>
              <w:rPr>
                <w:sz w:val="20"/>
                <w:szCs w:val="20"/>
              </w:rPr>
              <w:t xml:space="preserve"> Rate (%)</w:t>
            </w:r>
          </w:p>
        </w:tc>
        <w:tc>
          <w:tcPr>
            <w:tcW w:w="1736" w:type="dxa"/>
          </w:tcPr>
          <w:p w:rsidR="004D5254" w:rsidRDefault="004D5254" w:rsidP="00C80331">
            <w:pPr>
              <w:spacing w:before="40" w:after="40"/>
              <w:jc w:val="center"/>
              <w:cnfStyle w:val="000000000000"/>
              <w:rPr>
                <w:sz w:val="20"/>
                <w:szCs w:val="20"/>
              </w:rPr>
            </w:pPr>
            <w:r>
              <w:rPr>
                <w:sz w:val="20"/>
                <w:szCs w:val="20"/>
              </w:rPr>
              <w:t>56.0</w:t>
            </w:r>
          </w:p>
        </w:tc>
        <w:tc>
          <w:tcPr>
            <w:tcW w:w="1737" w:type="dxa"/>
          </w:tcPr>
          <w:p w:rsidR="004D5254" w:rsidRDefault="004D5254" w:rsidP="00C80331">
            <w:pPr>
              <w:spacing w:before="40" w:after="40"/>
              <w:jc w:val="center"/>
              <w:cnfStyle w:val="000000000000"/>
              <w:rPr>
                <w:sz w:val="20"/>
                <w:szCs w:val="20"/>
              </w:rPr>
            </w:pPr>
            <w:r>
              <w:rPr>
                <w:sz w:val="20"/>
                <w:szCs w:val="20"/>
              </w:rPr>
              <w:t>34.8</w:t>
            </w:r>
          </w:p>
        </w:tc>
        <w:tc>
          <w:tcPr>
            <w:tcW w:w="1736" w:type="dxa"/>
          </w:tcPr>
          <w:p w:rsidR="004D5254" w:rsidRDefault="004D5254" w:rsidP="00C80331">
            <w:pPr>
              <w:spacing w:before="40" w:after="40"/>
              <w:jc w:val="center"/>
              <w:cnfStyle w:val="000000000000"/>
              <w:rPr>
                <w:sz w:val="20"/>
                <w:szCs w:val="20"/>
              </w:rPr>
            </w:pPr>
            <w:r>
              <w:rPr>
                <w:sz w:val="20"/>
                <w:szCs w:val="20"/>
              </w:rPr>
              <w:t>28.5</w:t>
            </w:r>
          </w:p>
        </w:tc>
        <w:tc>
          <w:tcPr>
            <w:tcW w:w="1595" w:type="dxa"/>
          </w:tcPr>
          <w:p w:rsidR="004D5254" w:rsidRDefault="004D5254" w:rsidP="00C80331">
            <w:pPr>
              <w:spacing w:before="40" w:after="40"/>
              <w:jc w:val="center"/>
              <w:cnfStyle w:val="000000000000"/>
              <w:rPr>
                <w:sz w:val="20"/>
                <w:szCs w:val="20"/>
              </w:rPr>
            </w:pPr>
            <w:r>
              <w:rPr>
                <w:sz w:val="20"/>
                <w:szCs w:val="20"/>
              </w:rPr>
              <w:t>24.9</w:t>
            </w:r>
          </w:p>
        </w:tc>
      </w:tr>
      <w:tr w:rsidR="004D5254" w:rsidTr="00C80331">
        <w:tc>
          <w:tcPr>
            <w:cnfStyle w:val="001000000000"/>
            <w:tcW w:w="1985" w:type="dxa"/>
          </w:tcPr>
          <w:p w:rsidR="004D5254" w:rsidRDefault="004D5254" w:rsidP="00C80331">
            <w:pPr>
              <w:spacing w:before="40" w:after="40"/>
              <w:rPr>
                <w:sz w:val="20"/>
                <w:szCs w:val="20"/>
              </w:rPr>
            </w:pPr>
            <w:r>
              <w:rPr>
                <w:sz w:val="20"/>
                <w:szCs w:val="20"/>
              </w:rPr>
              <w:t xml:space="preserve"> 95% CI</w:t>
            </w:r>
          </w:p>
        </w:tc>
        <w:tc>
          <w:tcPr>
            <w:tcW w:w="1736" w:type="dxa"/>
          </w:tcPr>
          <w:p w:rsidR="004D5254" w:rsidRDefault="004D5254" w:rsidP="00C80331">
            <w:pPr>
              <w:spacing w:before="40" w:after="40"/>
              <w:jc w:val="center"/>
              <w:cnfStyle w:val="000000000000"/>
              <w:rPr>
                <w:sz w:val="20"/>
                <w:szCs w:val="20"/>
              </w:rPr>
            </w:pPr>
            <w:r>
              <w:rPr>
                <w:sz w:val="20"/>
                <w:szCs w:val="20"/>
              </w:rPr>
              <w:t>46.1 – 64.9</w:t>
            </w:r>
          </w:p>
        </w:tc>
        <w:tc>
          <w:tcPr>
            <w:tcW w:w="1737" w:type="dxa"/>
          </w:tcPr>
          <w:p w:rsidR="004D5254" w:rsidRDefault="004D5254" w:rsidP="00C80331">
            <w:pPr>
              <w:spacing w:before="40" w:after="40"/>
              <w:jc w:val="center"/>
              <w:cnfStyle w:val="000000000000"/>
              <w:rPr>
                <w:sz w:val="20"/>
                <w:szCs w:val="20"/>
              </w:rPr>
            </w:pPr>
            <w:r>
              <w:rPr>
                <w:sz w:val="20"/>
                <w:szCs w:val="20"/>
              </w:rPr>
              <w:t>25.8 – 43.9</w:t>
            </w:r>
          </w:p>
        </w:tc>
        <w:tc>
          <w:tcPr>
            <w:tcW w:w="1736" w:type="dxa"/>
          </w:tcPr>
          <w:p w:rsidR="004D5254" w:rsidRDefault="004D5254" w:rsidP="00C80331">
            <w:pPr>
              <w:spacing w:before="40" w:after="40"/>
              <w:jc w:val="center"/>
              <w:cnfStyle w:val="000000000000"/>
              <w:rPr>
                <w:sz w:val="20"/>
                <w:szCs w:val="20"/>
              </w:rPr>
            </w:pPr>
            <w:r>
              <w:rPr>
                <w:sz w:val="20"/>
                <w:szCs w:val="20"/>
              </w:rPr>
              <w:t>19.1 – 38.6</w:t>
            </w:r>
          </w:p>
        </w:tc>
        <w:tc>
          <w:tcPr>
            <w:tcW w:w="1595" w:type="dxa"/>
          </w:tcPr>
          <w:p w:rsidR="004D5254" w:rsidRDefault="004D5254" w:rsidP="00C80331">
            <w:pPr>
              <w:spacing w:before="40" w:after="40"/>
              <w:jc w:val="center"/>
              <w:cnfStyle w:val="000000000000"/>
              <w:rPr>
                <w:sz w:val="20"/>
                <w:szCs w:val="20"/>
              </w:rPr>
            </w:pPr>
            <w:r>
              <w:rPr>
                <w:sz w:val="20"/>
                <w:szCs w:val="20"/>
              </w:rPr>
              <w:t>15.0 – 36.2</w:t>
            </w:r>
          </w:p>
        </w:tc>
      </w:tr>
    </w:tbl>
    <w:p w:rsidR="004D5254" w:rsidRDefault="004D5254" w:rsidP="004D5254">
      <w:pPr>
        <w:pStyle w:val="Heading6"/>
        <w:numPr>
          <w:ilvl w:val="0"/>
          <w:numId w:val="0"/>
        </w:numPr>
      </w:pPr>
      <w:r>
        <w:t>Correlation between tumour response and survival</w:t>
      </w:r>
    </w:p>
    <w:p w:rsidR="004D5254" w:rsidRDefault="004D5254" w:rsidP="004D5254">
      <w:pPr>
        <w:autoSpaceDE w:val="0"/>
        <w:autoSpaceDN w:val="0"/>
        <w:adjustRightInd w:val="0"/>
      </w:pPr>
      <w:r>
        <w:t xml:space="preserve">The results of the Cox model and Landmark analyses are shown in </w:t>
      </w:r>
      <w:r w:rsidRPr="006A1976">
        <w:t>Table 10, bel</w:t>
      </w:r>
      <w:r>
        <w:t>ow. An HR</w:t>
      </w:r>
      <w:r w:rsidRPr="001D248D">
        <w:t xml:space="preserve"> </w:t>
      </w:r>
      <w:r>
        <w:t>&lt;</w:t>
      </w:r>
      <w:r w:rsidRPr="001D248D">
        <w:t>1 support</w:t>
      </w:r>
      <w:r>
        <w:t>s</w:t>
      </w:r>
      <w:r w:rsidRPr="001D248D">
        <w:t xml:space="preserve"> the claim that increasing response rate leads to increased survival.</w:t>
      </w:r>
      <w:r>
        <w:t xml:space="preserve"> However, not all such results were statistically significant (and, correspondingly, the 95% CIs for the HR were quite wide) as a consequence of the small number of responders included in the analyses, particularly in the landmark analyses. </w:t>
      </w:r>
    </w:p>
    <w:p w:rsidR="004D5254" w:rsidRDefault="004D5254" w:rsidP="004D5254">
      <w:pPr>
        <w:autoSpaceDE w:val="0"/>
        <w:autoSpaceDN w:val="0"/>
        <w:adjustRightInd w:val="0"/>
      </w:pPr>
      <w:r>
        <w:t>P</w:t>
      </w:r>
      <w:r w:rsidRPr="001D248D">
        <w:t>atients treated with pralatrexate</w:t>
      </w:r>
      <w:r>
        <w:t xml:space="preserve"> </w:t>
      </w:r>
      <w:r w:rsidRPr="001D248D">
        <w:t>who responded at any time had a 44% (per central review) and 56% (per investigator)</w:t>
      </w:r>
      <w:r>
        <w:t xml:space="preserve"> </w:t>
      </w:r>
      <w:r w:rsidRPr="001D248D">
        <w:t>reduction in risk of death</w:t>
      </w:r>
      <w:r>
        <w:t xml:space="preserve"> (</w:t>
      </w:r>
      <w:r w:rsidRPr="001D248D">
        <w:t>Cox model</w:t>
      </w:r>
      <w:r>
        <w:t xml:space="preserve"> p=0.07 and &lt;0.01, respectively</w:t>
      </w:r>
      <w:r w:rsidRPr="001D248D">
        <w:t>)</w:t>
      </w:r>
      <w:r>
        <w:t>. P</w:t>
      </w:r>
      <w:r w:rsidRPr="001D248D">
        <w:t xml:space="preserve">atients who responded during </w:t>
      </w:r>
      <w:r>
        <w:t>C</w:t>
      </w:r>
      <w:r w:rsidRPr="001D248D">
        <w:t>ycle 1 had a 31% (per central</w:t>
      </w:r>
      <w:r>
        <w:t xml:space="preserve"> </w:t>
      </w:r>
      <w:r w:rsidRPr="001D248D">
        <w:t xml:space="preserve">review) and 49% (per investigator) reduction in risk of death </w:t>
      </w:r>
      <w:r>
        <w:t>(Landmark analysis p=0.32 and 0.03, respectively).</w:t>
      </w:r>
    </w:p>
    <w:p w:rsidR="004D5254" w:rsidRDefault="004D5254" w:rsidP="004D5254">
      <w:pPr>
        <w:pStyle w:val="FigureTitle"/>
        <w:keepNext/>
      </w:pPr>
      <w:bookmarkStart w:id="193" w:name="_Toc320881533"/>
      <w:r>
        <w:lastRenderedPageBreak/>
        <w:t>Table 10. Study PDX-008 - Analysis of survival by tumour response</w:t>
      </w:r>
      <w:bookmarkEnd w:id="193"/>
    </w:p>
    <w:p w:rsidR="004D5254" w:rsidRPr="001D248D" w:rsidRDefault="004D5254" w:rsidP="004D5254">
      <w:pPr>
        <w:keepNext/>
        <w:autoSpaceDE w:val="0"/>
        <w:autoSpaceDN w:val="0"/>
        <w:adjustRightInd w:val="0"/>
      </w:pPr>
      <w:r>
        <w:rPr>
          <w:noProof/>
          <w:lang w:eastAsia="en-AU"/>
        </w:rPr>
        <w:drawing>
          <wp:inline distT="0" distB="0" distL="0" distR="0">
            <wp:extent cx="5958840" cy="3886200"/>
            <wp:effectExtent l="19050" t="0" r="3810" b="0"/>
            <wp:docPr id="19" name="Picture 19" descr="Table 10. Study PDX-008 - Analysis of survival by tumour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duotone>
                        <a:prstClr val="black"/>
                        <a:schemeClr val="bg1">
                          <a:tint val="45000"/>
                          <a:satMod val="400000"/>
                        </a:schemeClr>
                      </a:duotone>
                    </a:blip>
                    <a:srcRect l="965" t="4816" r="2894"/>
                    <a:stretch>
                      <a:fillRect/>
                    </a:stretch>
                  </pic:blipFill>
                  <pic:spPr bwMode="auto">
                    <a:xfrm>
                      <a:off x="0" y="0"/>
                      <a:ext cx="5958840" cy="3886200"/>
                    </a:xfrm>
                    <a:prstGeom prst="rect">
                      <a:avLst/>
                    </a:prstGeom>
                    <a:noFill/>
                    <a:ln w="9525">
                      <a:noFill/>
                      <a:miter lim="800000"/>
                      <a:headEnd/>
                      <a:tailEnd/>
                    </a:ln>
                  </pic:spPr>
                </pic:pic>
              </a:graphicData>
            </a:graphic>
          </wp:inline>
        </w:drawing>
      </w:r>
    </w:p>
    <w:p w:rsidR="004D5254" w:rsidRDefault="004D5254" w:rsidP="004D5254">
      <w:pPr>
        <w:pStyle w:val="Heading6"/>
        <w:numPr>
          <w:ilvl w:val="0"/>
          <w:numId w:val="0"/>
        </w:numPr>
      </w:pPr>
      <w:r>
        <w:t>Subsequent therapies</w:t>
      </w:r>
    </w:p>
    <w:p w:rsidR="004D5254" w:rsidRPr="0059409C" w:rsidRDefault="004D5254" w:rsidP="004D5254">
      <w:r>
        <w:t xml:space="preserve">The majority of </w:t>
      </w:r>
      <w:r w:rsidRPr="0059409C">
        <w:t xml:space="preserve">patients </w:t>
      </w:r>
      <w:r>
        <w:t xml:space="preserve">(n=80; 73%) </w:t>
      </w:r>
      <w:r w:rsidRPr="0059409C">
        <w:t>went on to treatment with a subsequent therapy after discontinuing</w:t>
      </w:r>
      <w:r>
        <w:t xml:space="preserve"> </w:t>
      </w:r>
      <w:r w:rsidRPr="0059409C">
        <w:t>pralatrexate.</w:t>
      </w:r>
      <w:r>
        <w:t xml:space="preserve"> Most commonly </w:t>
      </w:r>
      <w:r w:rsidRPr="0059409C">
        <w:t>(n = 36</w:t>
      </w:r>
      <w:r>
        <w:t>;</w:t>
      </w:r>
      <w:r w:rsidRPr="0059409C">
        <w:t xml:space="preserve"> 33%)</w:t>
      </w:r>
      <w:r>
        <w:t xml:space="preserve"> this comprised</w:t>
      </w:r>
      <w:r w:rsidRPr="0059409C">
        <w:t xml:space="preserve"> </w:t>
      </w:r>
      <w:r>
        <w:t>c</w:t>
      </w:r>
      <w:r w:rsidRPr="0059409C">
        <w:t>ombination chemotherapy (with or</w:t>
      </w:r>
      <w:r>
        <w:t xml:space="preserve"> </w:t>
      </w:r>
      <w:r w:rsidRPr="0059409C">
        <w:t>without a platinum agent).</w:t>
      </w:r>
      <w:r>
        <w:t xml:space="preserve"> At data cut off in August 2009, 6</w:t>
      </w:r>
      <w:r w:rsidRPr="0059409C">
        <w:t xml:space="preserve"> (6%) </w:t>
      </w:r>
      <w:r>
        <w:t xml:space="preserve">patients </w:t>
      </w:r>
      <w:r w:rsidRPr="0059409C">
        <w:t xml:space="preserve">had gone on to </w:t>
      </w:r>
      <w:r>
        <w:t>SCT</w:t>
      </w:r>
      <w:r w:rsidRPr="0059409C">
        <w:t xml:space="preserve"> as their initial subsequent therapy.</w:t>
      </w:r>
      <w:r>
        <w:t xml:space="preserve"> </w:t>
      </w:r>
      <w:r w:rsidRPr="0059409C">
        <w:t>This included 5 patients who had a response to</w:t>
      </w:r>
      <w:r>
        <w:t xml:space="preserve"> </w:t>
      </w:r>
      <w:r w:rsidRPr="0059409C">
        <w:t>pralatrexate per IWC (</w:t>
      </w:r>
      <w:r>
        <w:t>3 CR;</w:t>
      </w:r>
      <w:r w:rsidRPr="0059409C">
        <w:t xml:space="preserve"> </w:t>
      </w:r>
      <w:r>
        <w:t xml:space="preserve">2 PR) and of these all but one (PR) </w:t>
      </w:r>
      <w:r w:rsidRPr="0059409C">
        <w:t xml:space="preserve">were still in response </w:t>
      </w:r>
      <w:r>
        <w:t>at the time of the</w:t>
      </w:r>
      <w:r w:rsidRPr="0059409C">
        <w:t xml:space="preserve"> </w:t>
      </w:r>
      <w:r>
        <w:t>SCT</w:t>
      </w:r>
      <w:r w:rsidRPr="0059409C">
        <w:t>.</w:t>
      </w:r>
      <w:r>
        <w:t xml:space="preserve"> </w:t>
      </w:r>
      <w:r w:rsidRPr="0059409C">
        <w:t>At the time of last contact prior to</w:t>
      </w:r>
      <w:r>
        <w:t xml:space="preserve"> </w:t>
      </w:r>
      <w:r w:rsidRPr="0059409C">
        <w:t>data cut-off, none of these 4 patients had received any therapy after the SCT, suggesting that</w:t>
      </w:r>
      <w:r>
        <w:t xml:space="preserve"> </w:t>
      </w:r>
      <w:r w:rsidRPr="0059409C">
        <w:t>all 4 remain</w:t>
      </w:r>
      <w:r>
        <w:t>ed</w:t>
      </w:r>
      <w:r w:rsidRPr="0059409C">
        <w:t xml:space="preserve"> in response.</w:t>
      </w:r>
      <w:r>
        <w:t xml:space="preserve"> </w:t>
      </w:r>
      <w:r w:rsidRPr="0059409C">
        <w:t>An additional 7 patients had SCT after their initial failure to respond to pralatrexate treatment.</w:t>
      </w:r>
      <w:r>
        <w:t xml:space="preserve"> </w:t>
      </w:r>
      <w:r w:rsidRPr="0059409C">
        <w:t>Of the</w:t>
      </w:r>
      <w:r>
        <w:t xml:space="preserve"> </w:t>
      </w:r>
      <w:r w:rsidRPr="0059409C">
        <w:t xml:space="preserve">13 (12%) patients who </w:t>
      </w:r>
      <w:r>
        <w:t>underwent</w:t>
      </w:r>
      <w:r w:rsidRPr="0059409C">
        <w:t xml:space="preserve"> an SCT</w:t>
      </w:r>
      <w:r>
        <w:t xml:space="preserve"> at the August 2009 cut-off date</w:t>
      </w:r>
      <w:r w:rsidRPr="0059409C">
        <w:t xml:space="preserve">, 2 </w:t>
      </w:r>
      <w:r>
        <w:t>had</w:t>
      </w:r>
      <w:r w:rsidRPr="0059409C">
        <w:t xml:space="preserve"> an autologous SCT and 11 had an</w:t>
      </w:r>
      <w:r>
        <w:t xml:space="preserve"> </w:t>
      </w:r>
      <w:r w:rsidRPr="0059409C">
        <w:t>allogeneic SCT</w:t>
      </w:r>
      <w:r>
        <w:t>.</w:t>
      </w:r>
    </w:p>
    <w:p w:rsidR="004D5254" w:rsidRDefault="004D5254" w:rsidP="004D5254">
      <w:pPr>
        <w:pStyle w:val="Heading6"/>
        <w:numPr>
          <w:ilvl w:val="4"/>
          <w:numId w:val="5"/>
        </w:numPr>
        <w:ind w:left="1702" w:hanging="1418"/>
      </w:pPr>
      <w:r>
        <w:t>Retrospective analyses of data from Study PDX-008</w:t>
      </w:r>
    </w:p>
    <w:p w:rsidR="004D5254" w:rsidRDefault="004D5254" w:rsidP="004D5254">
      <w:pPr>
        <w:autoSpaceDE w:val="0"/>
        <w:autoSpaceDN w:val="0"/>
        <w:adjustRightInd w:val="0"/>
      </w:pPr>
      <w:r>
        <w:t xml:space="preserve">In recognition of the limitations of data generated from a non-comparative study, the sponsor undertook a number of retrospective analyses to better define the clinical benefit of pralatrexate. These analyses employed patients as their own controls, as well as historical controls and were reported in summary form in the </w:t>
      </w:r>
      <w:r w:rsidRPr="001E53CA">
        <w:rPr>
          <w:i/>
        </w:rPr>
        <w:t>Clinical Summary of Efficacy Addendum</w:t>
      </w:r>
      <w:r>
        <w:t>.</w:t>
      </w:r>
    </w:p>
    <w:p w:rsidR="004D5254" w:rsidRDefault="004D5254" w:rsidP="004D5254">
      <w:pPr>
        <w:pStyle w:val="Heading6"/>
        <w:numPr>
          <w:ilvl w:val="0"/>
          <w:numId w:val="0"/>
        </w:numPr>
      </w:pPr>
      <w:r>
        <w:t>Patients as their own controls</w:t>
      </w:r>
    </w:p>
    <w:p w:rsidR="004D5254" w:rsidRDefault="004D5254" w:rsidP="004D5254">
      <w:r>
        <w:t>In the first analysis the sponsor examined the patterns of change in response rate and PFS with successive lines of treatment and the impact of pralatrexate relative to prior therapies. Results are shown in</w:t>
      </w:r>
      <w:r w:rsidRPr="00674724">
        <w:t xml:space="preserve"> Table 11, b</w:t>
      </w:r>
      <w:r>
        <w:t>elow for 3 subsets of patients; those with 3 or more prior systemic therapies; those with 2 or more prior systemic therapies and all patients (</w:t>
      </w:r>
      <w:r w:rsidRPr="00990CA1">
        <w:t>that is,</w:t>
      </w:r>
      <w:r>
        <w:t xml:space="preserve"> immediate prior therapy). </w:t>
      </w:r>
    </w:p>
    <w:p w:rsidR="004D5254" w:rsidRDefault="004D5254" w:rsidP="004D5254">
      <w:pPr>
        <w:pStyle w:val="FigureTitle"/>
        <w:keepNext/>
      </w:pPr>
      <w:bookmarkStart w:id="194" w:name="_Toc320881534"/>
      <w:r>
        <w:lastRenderedPageBreak/>
        <w:t>Table 11. Study PDX-008 - Response rate and progression-free survival with pralatrexate versus earlier lines of therapy</w:t>
      </w:r>
      <w:bookmarkEnd w:id="194"/>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567"/>
        <w:gridCol w:w="1134"/>
        <w:gridCol w:w="1843"/>
        <w:gridCol w:w="1134"/>
        <w:gridCol w:w="1785"/>
      </w:tblGrid>
      <w:tr w:rsidR="004D5254" w:rsidTr="005A260D">
        <w:trPr>
          <w:tblHeader/>
        </w:trPr>
        <w:tc>
          <w:tcPr>
            <w:tcW w:w="3085" w:type="dxa"/>
            <w:vMerge w:val="restart"/>
            <w:shd w:val="clear" w:color="auto" w:fill="0070C0"/>
          </w:tcPr>
          <w:p w:rsidR="004D5254" w:rsidRPr="00674724" w:rsidRDefault="004D5254" w:rsidP="00C80331">
            <w:pPr>
              <w:keepNext/>
              <w:spacing w:after="40"/>
              <w:rPr>
                <w:b/>
                <w:color w:val="FFFFFF" w:themeColor="background1"/>
                <w:sz w:val="20"/>
                <w:szCs w:val="20"/>
              </w:rPr>
            </w:pPr>
          </w:p>
          <w:p w:rsidR="004D5254" w:rsidRPr="00674724" w:rsidRDefault="004D5254" w:rsidP="00C80331">
            <w:pPr>
              <w:keepNext/>
              <w:spacing w:after="40"/>
              <w:rPr>
                <w:b/>
                <w:color w:val="FFFFFF" w:themeColor="background1"/>
                <w:sz w:val="20"/>
                <w:szCs w:val="20"/>
              </w:rPr>
            </w:pPr>
            <w:r w:rsidRPr="00674724">
              <w:rPr>
                <w:b/>
                <w:color w:val="FFFFFF" w:themeColor="background1"/>
                <w:sz w:val="20"/>
                <w:szCs w:val="20"/>
              </w:rPr>
              <w:t>Prior systemic therapy</w:t>
            </w:r>
          </w:p>
        </w:tc>
        <w:tc>
          <w:tcPr>
            <w:tcW w:w="567" w:type="dxa"/>
            <w:vMerge w:val="restart"/>
            <w:shd w:val="clear" w:color="auto" w:fill="0070C0"/>
          </w:tcPr>
          <w:p w:rsidR="004D5254" w:rsidRPr="00674724" w:rsidRDefault="004D5254" w:rsidP="00C80331">
            <w:pPr>
              <w:keepNext/>
              <w:spacing w:after="40"/>
              <w:jc w:val="center"/>
              <w:rPr>
                <w:b/>
                <w:color w:val="FFFFFF" w:themeColor="background1"/>
                <w:sz w:val="20"/>
                <w:szCs w:val="20"/>
              </w:rPr>
            </w:pPr>
          </w:p>
          <w:p w:rsidR="004D5254" w:rsidRPr="00674724" w:rsidRDefault="004D5254" w:rsidP="00C80331">
            <w:pPr>
              <w:keepNext/>
              <w:spacing w:after="40"/>
              <w:jc w:val="center"/>
              <w:rPr>
                <w:b/>
                <w:color w:val="FFFFFF" w:themeColor="background1"/>
                <w:sz w:val="20"/>
                <w:szCs w:val="20"/>
              </w:rPr>
            </w:pPr>
            <w:r w:rsidRPr="00674724">
              <w:rPr>
                <w:b/>
                <w:color w:val="FFFFFF" w:themeColor="background1"/>
                <w:sz w:val="20"/>
                <w:szCs w:val="20"/>
              </w:rPr>
              <w:t>N</w:t>
            </w:r>
          </w:p>
        </w:tc>
        <w:tc>
          <w:tcPr>
            <w:tcW w:w="1134" w:type="dxa"/>
            <w:vMerge w:val="restart"/>
            <w:shd w:val="clear" w:color="auto" w:fill="0070C0"/>
          </w:tcPr>
          <w:p w:rsidR="004D5254" w:rsidRPr="00674724" w:rsidRDefault="004D5254" w:rsidP="00C80331">
            <w:pPr>
              <w:keepNext/>
              <w:spacing w:after="40"/>
              <w:jc w:val="center"/>
              <w:rPr>
                <w:b/>
                <w:color w:val="FFFFFF" w:themeColor="background1"/>
                <w:sz w:val="20"/>
                <w:szCs w:val="20"/>
              </w:rPr>
            </w:pPr>
          </w:p>
          <w:p w:rsidR="004D5254" w:rsidRPr="00674724" w:rsidRDefault="004D5254" w:rsidP="00C80331">
            <w:pPr>
              <w:keepNext/>
              <w:spacing w:before="40" w:after="40"/>
              <w:jc w:val="center"/>
              <w:rPr>
                <w:color w:val="FFFFFF" w:themeColor="background1"/>
                <w:sz w:val="20"/>
                <w:szCs w:val="20"/>
              </w:rPr>
            </w:pPr>
            <w:r w:rsidRPr="00674724">
              <w:rPr>
                <w:b/>
                <w:color w:val="FFFFFF" w:themeColor="background1"/>
                <w:sz w:val="20"/>
                <w:szCs w:val="20"/>
              </w:rPr>
              <w:t>Response rate</w:t>
            </w:r>
          </w:p>
        </w:tc>
        <w:tc>
          <w:tcPr>
            <w:tcW w:w="4762" w:type="dxa"/>
            <w:gridSpan w:val="3"/>
            <w:shd w:val="clear" w:color="auto" w:fill="0070C0"/>
          </w:tcPr>
          <w:p w:rsidR="004D5254" w:rsidRPr="00674724" w:rsidRDefault="004D5254" w:rsidP="00C80331">
            <w:pPr>
              <w:keepNext/>
              <w:spacing w:before="40" w:after="40"/>
              <w:jc w:val="center"/>
              <w:rPr>
                <w:b/>
                <w:color w:val="FFFFFF" w:themeColor="background1"/>
                <w:sz w:val="20"/>
                <w:szCs w:val="20"/>
              </w:rPr>
            </w:pPr>
            <w:r w:rsidRPr="00674724">
              <w:rPr>
                <w:b/>
                <w:color w:val="FFFFFF" w:themeColor="background1"/>
                <w:sz w:val="20"/>
                <w:szCs w:val="20"/>
              </w:rPr>
              <w:t>Progression-free survival</w:t>
            </w:r>
          </w:p>
        </w:tc>
      </w:tr>
      <w:tr w:rsidR="004D5254" w:rsidTr="005A260D">
        <w:trPr>
          <w:tblHeader/>
        </w:trPr>
        <w:tc>
          <w:tcPr>
            <w:tcW w:w="3085" w:type="dxa"/>
            <w:vMerge/>
            <w:shd w:val="clear" w:color="auto" w:fill="0070C0"/>
          </w:tcPr>
          <w:p w:rsidR="004D5254" w:rsidRPr="00674724" w:rsidRDefault="004D5254" w:rsidP="00C80331">
            <w:pPr>
              <w:keepNext/>
              <w:spacing w:before="40" w:after="40"/>
              <w:rPr>
                <w:color w:val="FFFFFF" w:themeColor="background1"/>
                <w:sz w:val="20"/>
                <w:szCs w:val="20"/>
              </w:rPr>
            </w:pPr>
          </w:p>
        </w:tc>
        <w:tc>
          <w:tcPr>
            <w:tcW w:w="567" w:type="dxa"/>
            <w:vMerge/>
            <w:shd w:val="clear" w:color="auto" w:fill="0070C0"/>
          </w:tcPr>
          <w:p w:rsidR="004D5254" w:rsidRPr="00674724" w:rsidRDefault="004D5254" w:rsidP="00C80331">
            <w:pPr>
              <w:keepNext/>
              <w:spacing w:before="40" w:after="40"/>
              <w:jc w:val="center"/>
              <w:rPr>
                <w:color w:val="FFFFFF" w:themeColor="background1"/>
                <w:sz w:val="20"/>
                <w:szCs w:val="20"/>
              </w:rPr>
            </w:pPr>
          </w:p>
        </w:tc>
        <w:tc>
          <w:tcPr>
            <w:tcW w:w="1134" w:type="dxa"/>
            <w:vMerge/>
            <w:shd w:val="clear" w:color="auto" w:fill="0070C0"/>
          </w:tcPr>
          <w:p w:rsidR="004D5254" w:rsidRPr="00674724" w:rsidRDefault="004D5254" w:rsidP="00C80331">
            <w:pPr>
              <w:keepNext/>
              <w:spacing w:before="40" w:after="40"/>
              <w:jc w:val="center"/>
              <w:rPr>
                <w:b/>
                <w:color w:val="FFFFFF" w:themeColor="background1"/>
                <w:sz w:val="20"/>
                <w:szCs w:val="20"/>
              </w:rPr>
            </w:pPr>
          </w:p>
        </w:tc>
        <w:tc>
          <w:tcPr>
            <w:tcW w:w="1843" w:type="dxa"/>
            <w:shd w:val="clear" w:color="auto" w:fill="0070C0"/>
          </w:tcPr>
          <w:p w:rsidR="004D5254" w:rsidRPr="00674724" w:rsidRDefault="004D5254" w:rsidP="00C80331">
            <w:pPr>
              <w:keepNext/>
              <w:spacing w:before="40" w:after="40"/>
              <w:jc w:val="center"/>
              <w:rPr>
                <w:b/>
                <w:color w:val="FFFFFF" w:themeColor="background1"/>
                <w:sz w:val="20"/>
                <w:szCs w:val="20"/>
              </w:rPr>
            </w:pPr>
            <w:r w:rsidRPr="00674724">
              <w:rPr>
                <w:b/>
                <w:color w:val="FFFFFF" w:themeColor="background1"/>
                <w:sz w:val="20"/>
                <w:szCs w:val="20"/>
              </w:rPr>
              <w:t>PFS median (days) [95%CI]</w:t>
            </w:r>
          </w:p>
        </w:tc>
        <w:tc>
          <w:tcPr>
            <w:tcW w:w="2919" w:type="dxa"/>
            <w:gridSpan w:val="2"/>
            <w:shd w:val="clear" w:color="auto" w:fill="0070C0"/>
          </w:tcPr>
          <w:p w:rsidR="004D5254" w:rsidRPr="00674724" w:rsidRDefault="004D5254" w:rsidP="00C80331">
            <w:pPr>
              <w:keepNext/>
              <w:spacing w:before="40" w:after="40"/>
              <w:jc w:val="center"/>
              <w:rPr>
                <w:b/>
                <w:color w:val="FFFFFF" w:themeColor="background1"/>
                <w:sz w:val="20"/>
                <w:szCs w:val="20"/>
              </w:rPr>
            </w:pPr>
            <w:r w:rsidRPr="00674724">
              <w:rPr>
                <w:b/>
                <w:color w:val="FFFFFF" w:themeColor="background1"/>
                <w:sz w:val="20"/>
                <w:szCs w:val="20"/>
              </w:rPr>
              <w:t>HR</w:t>
            </w:r>
          </w:p>
          <w:p w:rsidR="004D5254" w:rsidRPr="00674724" w:rsidRDefault="004D5254" w:rsidP="00C80331">
            <w:pPr>
              <w:keepNext/>
              <w:spacing w:before="40" w:after="40"/>
              <w:jc w:val="center"/>
              <w:rPr>
                <w:b/>
                <w:color w:val="FFFFFF" w:themeColor="background1"/>
                <w:sz w:val="20"/>
                <w:szCs w:val="20"/>
              </w:rPr>
            </w:pPr>
            <w:r w:rsidRPr="00674724">
              <w:rPr>
                <w:b/>
                <w:color w:val="FFFFFF" w:themeColor="background1"/>
                <w:sz w:val="20"/>
                <w:szCs w:val="20"/>
              </w:rPr>
              <w:t>[95%CI]</w:t>
            </w:r>
          </w:p>
        </w:tc>
      </w:tr>
      <w:tr w:rsidR="004D5254" w:rsidTr="00C80331">
        <w:tc>
          <w:tcPr>
            <w:tcW w:w="3085" w:type="dxa"/>
          </w:tcPr>
          <w:p w:rsidR="004D5254" w:rsidRPr="000C50FC" w:rsidRDefault="004D5254" w:rsidP="00C80331">
            <w:pPr>
              <w:keepNext/>
              <w:spacing w:before="40" w:after="40"/>
              <w:rPr>
                <w:sz w:val="20"/>
                <w:szCs w:val="20"/>
              </w:rPr>
            </w:pPr>
            <w:r w:rsidRPr="00E62ADE">
              <w:rPr>
                <w:b/>
                <w:i/>
                <w:sz w:val="20"/>
                <w:szCs w:val="20"/>
              </w:rPr>
              <w:t>Patients with ≥ 3 previous treatments</w:t>
            </w:r>
            <w:r w:rsidRPr="00E62ADE">
              <w:rPr>
                <w:sz w:val="20"/>
                <w:szCs w:val="20"/>
              </w:rPr>
              <w:t xml:space="preserve"> </w:t>
            </w:r>
            <w:r>
              <w:rPr>
                <w:sz w:val="20"/>
                <w:szCs w:val="20"/>
              </w:rPr>
              <w:t xml:space="preserve">                                    </w:t>
            </w:r>
            <w:r w:rsidRPr="000C50FC">
              <w:rPr>
                <w:sz w:val="20"/>
                <w:szCs w:val="20"/>
              </w:rPr>
              <w:t>- 3</w:t>
            </w:r>
          </w:p>
        </w:tc>
        <w:tc>
          <w:tcPr>
            <w:tcW w:w="567" w:type="dxa"/>
          </w:tcPr>
          <w:p w:rsidR="004D5254" w:rsidRPr="000C50FC" w:rsidRDefault="004D5254" w:rsidP="00C80331">
            <w:pPr>
              <w:keepNext/>
              <w:spacing w:before="40" w:after="40"/>
              <w:jc w:val="center"/>
              <w:rPr>
                <w:sz w:val="20"/>
                <w:szCs w:val="20"/>
              </w:rPr>
            </w:pPr>
            <w:r w:rsidRPr="000C50FC">
              <w:rPr>
                <w:sz w:val="20"/>
                <w:szCs w:val="20"/>
              </w:rPr>
              <w:t>57</w:t>
            </w:r>
          </w:p>
        </w:tc>
        <w:tc>
          <w:tcPr>
            <w:tcW w:w="1134" w:type="dxa"/>
          </w:tcPr>
          <w:p w:rsidR="004D5254" w:rsidRPr="000C50FC" w:rsidRDefault="004D5254" w:rsidP="00C80331">
            <w:pPr>
              <w:keepNext/>
              <w:spacing w:before="40" w:after="40"/>
              <w:jc w:val="center"/>
              <w:rPr>
                <w:sz w:val="20"/>
                <w:szCs w:val="20"/>
              </w:rPr>
            </w:pPr>
            <w:r w:rsidRPr="000C50FC">
              <w:rPr>
                <w:sz w:val="20"/>
                <w:szCs w:val="20"/>
              </w:rPr>
              <w:t>56%</w:t>
            </w:r>
          </w:p>
        </w:tc>
        <w:tc>
          <w:tcPr>
            <w:tcW w:w="1843" w:type="dxa"/>
          </w:tcPr>
          <w:p w:rsidR="004D5254" w:rsidRPr="000C50FC" w:rsidRDefault="004D5254" w:rsidP="00C80331">
            <w:pPr>
              <w:keepNext/>
              <w:spacing w:before="40" w:after="40"/>
              <w:jc w:val="center"/>
              <w:rPr>
                <w:sz w:val="20"/>
                <w:szCs w:val="20"/>
              </w:rPr>
            </w:pPr>
            <w:r w:rsidRPr="000C50FC">
              <w:rPr>
                <w:sz w:val="20"/>
                <w:szCs w:val="20"/>
              </w:rPr>
              <w:t>213.5 [122 – 180]</w:t>
            </w:r>
          </w:p>
        </w:tc>
        <w:tc>
          <w:tcPr>
            <w:tcW w:w="1134" w:type="dxa"/>
            <w:tcBorders>
              <w:right w:val="nil"/>
            </w:tcBorders>
          </w:tcPr>
          <w:p w:rsidR="004D5254" w:rsidRPr="000C50FC" w:rsidRDefault="004D5254" w:rsidP="00C80331">
            <w:pPr>
              <w:keepNext/>
              <w:spacing w:before="40" w:after="40"/>
              <w:jc w:val="center"/>
              <w:rPr>
                <w:i/>
                <w:sz w:val="20"/>
                <w:szCs w:val="20"/>
              </w:rPr>
            </w:pPr>
            <w:r w:rsidRPr="000C50FC">
              <w:rPr>
                <w:i/>
                <w:sz w:val="20"/>
                <w:szCs w:val="20"/>
              </w:rPr>
              <w:t xml:space="preserve">- 3 </w:t>
            </w:r>
            <w:r>
              <w:rPr>
                <w:i/>
                <w:sz w:val="20"/>
                <w:szCs w:val="20"/>
              </w:rPr>
              <w:t xml:space="preserve">versus </w:t>
            </w:r>
            <w:r w:rsidRPr="000C50FC">
              <w:rPr>
                <w:i/>
                <w:sz w:val="20"/>
                <w:szCs w:val="20"/>
              </w:rPr>
              <w:t>– 2</w:t>
            </w:r>
          </w:p>
        </w:tc>
        <w:tc>
          <w:tcPr>
            <w:tcW w:w="1785" w:type="dxa"/>
            <w:tcBorders>
              <w:left w:val="nil"/>
            </w:tcBorders>
          </w:tcPr>
          <w:p w:rsidR="004D5254" w:rsidRPr="000C50FC" w:rsidRDefault="004D5254" w:rsidP="00C80331">
            <w:pPr>
              <w:keepNext/>
              <w:spacing w:before="40" w:after="40"/>
              <w:jc w:val="center"/>
              <w:rPr>
                <w:sz w:val="20"/>
                <w:szCs w:val="20"/>
              </w:rPr>
            </w:pPr>
            <w:r w:rsidRPr="000C50FC">
              <w:rPr>
                <w:sz w:val="20"/>
                <w:szCs w:val="20"/>
              </w:rPr>
              <w:t>0.66 [0.45 – 0.97]</w:t>
            </w:r>
          </w:p>
        </w:tc>
      </w:tr>
      <w:tr w:rsidR="004D5254" w:rsidTr="00C80331">
        <w:tc>
          <w:tcPr>
            <w:tcW w:w="3085" w:type="dxa"/>
          </w:tcPr>
          <w:p w:rsidR="004D5254" w:rsidRPr="000C50FC" w:rsidRDefault="004D5254" w:rsidP="00C80331">
            <w:pPr>
              <w:keepNext/>
              <w:spacing w:before="40" w:after="40"/>
              <w:jc w:val="right"/>
              <w:rPr>
                <w:sz w:val="20"/>
                <w:szCs w:val="20"/>
              </w:rPr>
            </w:pPr>
            <w:r w:rsidRPr="000C50FC">
              <w:rPr>
                <w:sz w:val="20"/>
                <w:szCs w:val="20"/>
              </w:rPr>
              <w:t>- 2</w:t>
            </w:r>
          </w:p>
        </w:tc>
        <w:tc>
          <w:tcPr>
            <w:tcW w:w="567" w:type="dxa"/>
          </w:tcPr>
          <w:p w:rsidR="004D5254" w:rsidRPr="000C50FC" w:rsidRDefault="004D5254" w:rsidP="00C80331">
            <w:pPr>
              <w:keepNext/>
              <w:spacing w:before="40" w:after="40"/>
              <w:jc w:val="center"/>
              <w:rPr>
                <w:sz w:val="20"/>
                <w:szCs w:val="20"/>
              </w:rPr>
            </w:pPr>
            <w:r w:rsidRPr="000C50FC">
              <w:rPr>
                <w:sz w:val="20"/>
                <w:szCs w:val="20"/>
              </w:rPr>
              <w:t>57</w:t>
            </w:r>
          </w:p>
        </w:tc>
        <w:tc>
          <w:tcPr>
            <w:tcW w:w="1134" w:type="dxa"/>
          </w:tcPr>
          <w:p w:rsidR="004D5254" w:rsidRPr="000C50FC" w:rsidRDefault="004D5254" w:rsidP="00C80331">
            <w:pPr>
              <w:keepNext/>
              <w:spacing w:before="40" w:after="40"/>
              <w:jc w:val="center"/>
              <w:rPr>
                <w:sz w:val="20"/>
                <w:szCs w:val="20"/>
              </w:rPr>
            </w:pPr>
            <w:r w:rsidRPr="000C50FC">
              <w:rPr>
                <w:sz w:val="20"/>
                <w:szCs w:val="20"/>
              </w:rPr>
              <w:t>33%</w:t>
            </w:r>
          </w:p>
        </w:tc>
        <w:tc>
          <w:tcPr>
            <w:tcW w:w="1843" w:type="dxa"/>
          </w:tcPr>
          <w:p w:rsidR="004D5254" w:rsidRPr="000C50FC" w:rsidRDefault="004D5254" w:rsidP="00C80331">
            <w:pPr>
              <w:keepNext/>
              <w:spacing w:before="40" w:after="40"/>
              <w:jc w:val="center"/>
              <w:rPr>
                <w:sz w:val="20"/>
                <w:szCs w:val="20"/>
              </w:rPr>
            </w:pPr>
            <w:r w:rsidRPr="000C50FC">
              <w:rPr>
                <w:sz w:val="20"/>
                <w:szCs w:val="20"/>
              </w:rPr>
              <w:t>140.0 [75 – 208]</w:t>
            </w:r>
          </w:p>
        </w:tc>
        <w:tc>
          <w:tcPr>
            <w:tcW w:w="1134" w:type="dxa"/>
            <w:tcBorders>
              <w:right w:val="nil"/>
            </w:tcBorders>
          </w:tcPr>
          <w:p w:rsidR="004D5254" w:rsidRPr="000C50FC" w:rsidRDefault="004D5254" w:rsidP="00C80331">
            <w:pPr>
              <w:keepNext/>
              <w:spacing w:before="40" w:after="40"/>
              <w:jc w:val="center"/>
              <w:rPr>
                <w:i/>
                <w:sz w:val="20"/>
                <w:szCs w:val="20"/>
              </w:rPr>
            </w:pPr>
            <w:r w:rsidRPr="000C50FC">
              <w:rPr>
                <w:i/>
                <w:sz w:val="20"/>
                <w:szCs w:val="20"/>
              </w:rPr>
              <w:t xml:space="preserve">- 2 </w:t>
            </w:r>
            <w:r>
              <w:rPr>
                <w:i/>
                <w:sz w:val="20"/>
                <w:szCs w:val="20"/>
              </w:rPr>
              <w:t xml:space="preserve">versus </w:t>
            </w:r>
            <w:r w:rsidRPr="000C50FC">
              <w:rPr>
                <w:i/>
                <w:sz w:val="20"/>
                <w:szCs w:val="20"/>
              </w:rPr>
              <w:t>– 1</w:t>
            </w:r>
          </w:p>
        </w:tc>
        <w:tc>
          <w:tcPr>
            <w:tcW w:w="1785" w:type="dxa"/>
            <w:tcBorders>
              <w:left w:val="nil"/>
            </w:tcBorders>
          </w:tcPr>
          <w:p w:rsidR="004D5254" w:rsidRPr="000C50FC" w:rsidRDefault="004D5254" w:rsidP="00C80331">
            <w:pPr>
              <w:keepNext/>
              <w:spacing w:before="40" w:after="40"/>
              <w:jc w:val="center"/>
              <w:rPr>
                <w:sz w:val="20"/>
                <w:szCs w:val="20"/>
              </w:rPr>
            </w:pPr>
            <w:r w:rsidRPr="000C50FC">
              <w:rPr>
                <w:sz w:val="20"/>
                <w:szCs w:val="20"/>
              </w:rPr>
              <w:t>0.82 [0.57 – 1.20]</w:t>
            </w:r>
          </w:p>
        </w:tc>
      </w:tr>
      <w:tr w:rsidR="004D5254" w:rsidTr="00C80331">
        <w:tc>
          <w:tcPr>
            <w:tcW w:w="3085" w:type="dxa"/>
          </w:tcPr>
          <w:p w:rsidR="004D5254" w:rsidRPr="000C50FC" w:rsidRDefault="004D5254" w:rsidP="00C80331">
            <w:pPr>
              <w:spacing w:before="40" w:after="40"/>
              <w:jc w:val="right"/>
              <w:rPr>
                <w:sz w:val="20"/>
                <w:szCs w:val="20"/>
              </w:rPr>
            </w:pPr>
            <w:r w:rsidRPr="000C50FC">
              <w:rPr>
                <w:sz w:val="20"/>
                <w:szCs w:val="20"/>
              </w:rPr>
              <w:t>- 1</w:t>
            </w:r>
          </w:p>
        </w:tc>
        <w:tc>
          <w:tcPr>
            <w:tcW w:w="567" w:type="dxa"/>
          </w:tcPr>
          <w:p w:rsidR="004D5254" w:rsidRPr="000C50FC" w:rsidRDefault="004D5254" w:rsidP="00C80331">
            <w:pPr>
              <w:spacing w:before="40" w:after="40"/>
              <w:jc w:val="center"/>
              <w:rPr>
                <w:sz w:val="20"/>
                <w:szCs w:val="20"/>
              </w:rPr>
            </w:pPr>
            <w:r w:rsidRPr="000C50FC">
              <w:rPr>
                <w:sz w:val="20"/>
                <w:szCs w:val="20"/>
              </w:rPr>
              <w:t>57</w:t>
            </w:r>
          </w:p>
        </w:tc>
        <w:tc>
          <w:tcPr>
            <w:tcW w:w="1134" w:type="dxa"/>
          </w:tcPr>
          <w:p w:rsidR="004D5254" w:rsidRPr="000C50FC" w:rsidRDefault="004D5254" w:rsidP="00C80331">
            <w:pPr>
              <w:spacing w:before="40" w:after="40"/>
              <w:jc w:val="center"/>
              <w:rPr>
                <w:sz w:val="20"/>
                <w:szCs w:val="20"/>
              </w:rPr>
            </w:pPr>
            <w:r w:rsidRPr="000C50FC">
              <w:rPr>
                <w:sz w:val="20"/>
                <w:szCs w:val="20"/>
              </w:rPr>
              <w:t>30%</w:t>
            </w:r>
          </w:p>
        </w:tc>
        <w:tc>
          <w:tcPr>
            <w:tcW w:w="1843" w:type="dxa"/>
          </w:tcPr>
          <w:p w:rsidR="004D5254" w:rsidRPr="000C50FC" w:rsidRDefault="004D5254" w:rsidP="00C80331">
            <w:pPr>
              <w:spacing w:before="40" w:after="40"/>
              <w:jc w:val="center"/>
              <w:rPr>
                <w:sz w:val="20"/>
                <w:szCs w:val="20"/>
              </w:rPr>
            </w:pPr>
            <w:r w:rsidRPr="000C50FC">
              <w:rPr>
                <w:sz w:val="20"/>
                <w:szCs w:val="20"/>
              </w:rPr>
              <w:t>95.0 [72 – 136]</w:t>
            </w:r>
          </w:p>
        </w:tc>
        <w:tc>
          <w:tcPr>
            <w:tcW w:w="1134" w:type="dxa"/>
            <w:tcBorders>
              <w:right w:val="nil"/>
            </w:tcBorders>
          </w:tcPr>
          <w:p w:rsidR="004D5254" w:rsidRPr="000C50FC" w:rsidRDefault="004D5254" w:rsidP="00C80331">
            <w:pPr>
              <w:spacing w:before="40" w:after="40"/>
              <w:jc w:val="center"/>
              <w:rPr>
                <w:i/>
                <w:sz w:val="20"/>
                <w:szCs w:val="20"/>
              </w:rPr>
            </w:pPr>
            <w:r w:rsidRPr="000C50FC">
              <w:rPr>
                <w:i/>
                <w:sz w:val="20"/>
                <w:szCs w:val="20"/>
              </w:rPr>
              <w:t xml:space="preserve">- 1 </w:t>
            </w:r>
            <w:r>
              <w:rPr>
                <w:i/>
                <w:sz w:val="20"/>
                <w:szCs w:val="20"/>
              </w:rPr>
              <w:t xml:space="preserve">versus </w:t>
            </w:r>
            <w:r w:rsidRPr="000C50FC">
              <w:rPr>
                <w:i/>
                <w:sz w:val="20"/>
                <w:szCs w:val="20"/>
              </w:rPr>
              <w:t>PDX</w:t>
            </w:r>
          </w:p>
        </w:tc>
        <w:tc>
          <w:tcPr>
            <w:tcW w:w="1785" w:type="dxa"/>
            <w:tcBorders>
              <w:left w:val="nil"/>
            </w:tcBorders>
          </w:tcPr>
          <w:p w:rsidR="004D5254" w:rsidRPr="000C50FC" w:rsidRDefault="004D5254" w:rsidP="00C80331">
            <w:pPr>
              <w:spacing w:before="40" w:after="40"/>
              <w:jc w:val="center"/>
              <w:rPr>
                <w:sz w:val="20"/>
                <w:szCs w:val="20"/>
              </w:rPr>
            </w:pPr>
            <w:r w:rsidRPr="000C50FC">
              <w:rPr>
                <w:sz w:val="20"/>
                <w:szCs w:val="20"/>
              </w:rPr>
              <w:t>1.12 [0.75 – 1.67]</w:t>
            </w:r>
          </w:p>
        </w:tc>
      </w:tr>
      <w:tr w:rsidR="004D5254" w:rsidTr="00C80331">
        <w:tc>
          <w:tcPr>
            <w:tcW w:w="3085" w:type="dxa"/>
          </w:tcPr>
          <w:p w:rsidR="004D5254" w:rsidRPr="000C50FC" w:rsidRDefault="004D5254" w:rsidP="00C80331">
            <w:pPr>
              <w:spacing w:before="40" w:after="40"/>
              <w:rPr>
                <w:sz w:val="20"/>
                <w:szCs w:val="20"/>
              </w:rPr>
            </w:pPr>
            <w:r w:rsidRPr="000C50FC">
              <w:rPr>
                <w:sz w:val="20"/>
                <w:szCs w:val="20"/>
              </w:rPr>
              <w:t>Pralatrexate (PDX)</w:t>
            </w:r>
          </w:p>
        </w:tc>
        <w:tc>
          <w:tcPr>
            <w:tcW w:w="567" w:type="dxa"/>
          </w:tcPr>
          <w:p w:rsidR="004D5254" w:rsidRPr="000C50FC" w:rsidRDefault="004D5254" w:rsidP="00C80331">
            <w:pPr>
              <w:spacing w:before="40" w:after="40"/>
              <w:jc w:val="center"/>
              <w:rPr>
                <w:sz w:val="20"/>
                <w:szCs w:val="20"/>
              </w:rPr>
            </w:pPr>
            <w:r w:rsidRPr="000C50FC">
              <w:rPr>
                <w:sz w:val="20"/>
                <w:szCs w:val="20"/>
              </w:rPr>
              <w:t>57</w:t>
            </w:r>
          </w:p>
        </w:tc>
        <w:tc>
          <w:tcPr>
            <w:tcW w:w="1134" w:type="dxa"/>
          </w:tcPr>
          <w:p w:rsidR="004D5254" w:rsidRPr="000C50FC" w:rsidRDefault="004D5254" w:rsidP="00C80331">
            <w:pPr>
              <w:spacing w:before="40" w:after="40"/>
              <w:jc w:val="center"/>
              <w:rPr>
                <w:sz w:val="20"/>
                <w:szCs w:val="20"/>
              </w:rPr>
            </w:pPr>
            <w:r w:rsidRPr="000C50FC">
              <w:rPr>
                <w:sz w:val="20"/>
                <w:szCs w:val="20"/>
              </w:rPr>
              <w:t>40%</w:t>
            </w:r>
          </w:p>
        </w:tc>
        <w:tc>
          <w:tcPr>
            <w:tcW w:w="1843" w:type="dxa"/>
          </w:tcPr>
          <w:p w:rsidR="004D5254" w:rsidRPr="000C50FC" w:rsidRDefault="004D5254" w:rsidP="00C80331">
            <w:pPr>
              <w:spacing w:before="40" w:after="40"/>
              <w:jc w:val="center"/>
              <w:rPr>
                <w:sz w:val="20"/>
                <w:szCs w:val="20"/>
              </w:rPr>
            </w:pPr>
            <w:r w:rsidRPr="000C50FC">
              <w:rPr>
                <w:sz w:val="20"/>
                <w:szCs w:val="20"/>
              </w:rPr>
              <w:t>134.0 [51 – 162]</w:t>
            </w:r>
          </w:p>
        </w:tc>
        <w:tc>
          <w:tcPr>
            <w:tcW w:w="1134" w:type="dxa"/>
            <w:tcBorders>
              <w:right w:val="nil"/>
            </w:tcBorders>
          </w:tcPr>
          <w:p w:rsidR="004D5254" w:rsidRPr="000C50FC" w:rsidRDefault="004D5254" w:rsidP="00C80331">
            <w:pPr>
              <w:spacing w:before="40" w:after="40"/>
              <w:jc w:val="center"/>
              <w:rPr>
                <w:i/>
                <w:sz w:val="20"/>
                <w:szCs w:val="20"/>
              </w:rPr>
            </w:pPr>
          </w:p>
        </w:tc>
        <w:tc>
          <w:tcPr>
            <w:tcW w:w="1785" w:type="dxa"/>
            <w:tcBorders>
              <w:left w:val="nil"/>
            </w:tcBorders>
          </w:tcPr>
          <w:p w:rsidR="004D5254" w:rsidRPr="000C50FC" w:rsidRDefault="004D5254" w:rsidP="00C80331">
            <w:pPr>
              <w:spacing w:before="40" w:after="40"/>
              <w:jc w:val="center"/>
              <w:rPr>
                <w:sz w:val="20"/>
                <w:szCs w:val="20"/>
              </w:rPr>
            </w:pPr>
          </w:p>
        </w:tc>
      </w:tr>
      <w:tr w:rsidR="004D5254" w:rsidTr="00C80331">
        <w:tc>
          <w:tcPr>
            <w:tcW w:w="3085" w:type="dxa"/>
          </w:tcPr>
          <w:p w:rsidR="004D5254" w:rsidRPr="000C50FC" w:rsidRDefault="004D5254" w:rsidP="00C80331">
            <w:pPr>
              <w:spacing w:before="40" w:after="40"/>
              <w:rPr>
                <w:sz w:val="20"/>
                <w:szCs w:val="20"/>
              </w:rPr>
            </w:pPr>
            <w:r w:rsidRPr="00E62ADE">
              <w:rPr>
                <w:b/>
                <w:i/>
                <w:sz w:val="20"/>
                <w:szCs w:val="20"/>
              </w:rPr>
              <w:t>Patients with ≥ 2 previous treatments</w:t>
            </w:r>
            <w:r w:rsidRPr="00E62ADE">
              <w:rPr>
                <w:sz w:val="20"/>
                <w:szCs w:val="20"/>
              </w:rPr>
              <w:t xml:space="preserve"> </w:t>
            </w:r>
            <w:r>
              <w:rPr>
                <w:sz w:val="20"/>
                <w:szCs w:val="20"/>
              </w:rPr>
              <w:t xml:space="preserve">                                    </w:t>
            </w:r>
            <w:r w:rsidRPr="000C50FC">
              <w:rPr>
                <w:sz w:val="20"/>
                <w:szCs w:val="20"/>
              </w:rPr>
              <w:t>- 2</w:t>
            </w:r>
          </w:p>
        </w:tc>
        <w:tc>
          <w:tcPr>
            <w:tcW w:w="567" w:type="dxa"/>
          </w:tcPr>
          <w:p w:rsidR="004D5254" w:rsidRPr="000C50FC" w:rsidRDefault="004D5254" w:rsidP="00C80331">
            <w:pPr>
              <w:spacing w:before="40" w:after="40"/>
              <w:jc w:val="center"/>
              <w:rPr>
                <w:sz w:val="20"/>
                <w:szCs w:val="20"/>
              </w:rPr>
            </w:pPr>
            <w:r w:rsidRPr="000C50FC">
              <w:rPr>
                <w:sz w:val="20"/>
                <w:szCs w:val="20"/>
              </w:rPr>
              <w:t>86</w:t>
            </w:r>
          </w:p>
        </w:tc>
        <w:tc>
          <w:tcPr>
            <w:tcW w:w="1134" w:type="dxa"/>
          </w:tcPr>
          <w:p w:rsidR="004D5254" w:rsidRPr="000C50FC" w:rsidRDefault="004D5254" w:rsidP="00C80331">
            <w:pPr>
              <w:spacing w:before="40" w:after="40"/>
              <w:jc w:val="center"/>
              <w:rPr>
                <w:sz w:val="20"/>
                <w:szCs w:val="20"/>
              </w:rPr>
            </w:pPr>
            <w:r w:rsidRPr="000C50FC">
              <w:rPr>
                <w:sz w:val="20"/>
                <w:szCs w:val="20"/>
              </w:rPr>
              <w:t>38%</w:t>
            </w:r>
          </w:p>
        </w:tc>
        <w:tc>
          <w:tcPr>
            <w:tcW w:w="1843" w:type="dxa"/>
          </w:tcPr>
          <w:p w:rsidR="004D5254" w:rsidRPr="000C50FC" w:rsidRDefault="004D5254" w:rsidP="00C80331">
            <w:pPr>
              <w:spacing w:before="40" w:after="40"/>
              <w:jc w:val="center"/>
              <w:rPr>
                <w:sz w:val="20"/>
                <w:szCs w:val="20"/>
              </w:rPr>
            </w:pPr>
            <w:r w:rsidRPr="000C50FC">
              <w:rPr>
                <w:sz w:val="20"/>
                <w:szCs w:val="20"/>
              </w:rPr>
              <w:t>144.0 [ 91 – 188]</w:t>
            </w:r>
          </w:p>
        </w:tc>
        <w:tc>
          <w:tcPr>
            <w:tcW w:w="1134" w:type="dxa"/>
            <w:tcBorders>
              <w:right w:val="nil"/>
            </w:tcBorders>
          </w:tcPr>
          <w:p w:rsidR="004D5254" w:rsidRPr="000C50FC" w:rsidRDefault="004D5254" w:rsidP="00C80331">
            <w:pPr>
              <w:spacing w:before="40" w:after="40"/>
              <w:jc w:val="center"/>
              <w:rPr>
                <w:i/>
                <w:sz w:val="20"/>
                <w:szCs w:val="20"/>
              </w:rPr>
            </w:pPr>
            <w:r w:rsidRPr="000C50FC">
              <w:rPr>
                <w:i/>
                <w:sz w:val="20"/>
                <w:szCs w:val="20"/>
              </w:rPr>
              <w:t xml:space="preserve">- 2 </w:t>
            </w:r>
            <w:r>
              <w:rPr>
                <w:i/>
                <w:sz w:val="20"/>
                <w:szCs w:val="20"/>
              </w:rPr>
              <w:t xml:space="preserve">versus </w:t>
            </w:r>
            <w:r w:rsidRPr="000C50FC">
              <w:rPr>
                <w:i/>
                <w:sz w:val="20"/>
                <w:szCs w:val="20"/>
              </w:rPr>
              <w:t>– 1</w:t>
            </w:r>
          </w:p>
        </w:tc>
        <w:tc>
          <w:tcPr>
            <w:tcW w:w="1785" w:type="dxa"/>
            <w:tcBorders>
              <w:left w:val="nil"/>
            </w:tcBorders>
          </w:tcPr>
          <w:p w:rsidR="004D5254" w:rsidRPr="000C50FC" w:rsidRDefault="004D5254" w:rsidP="00C80331">
            <w:pPr>
              <w:spacing w:before="40" w:after="40"/>
              <w:jc w:val="center"/>
              <w:rPr>
                <w:sz w:val="20"/>
                <w:szCs w:val="20"/>
              </w:rPr>
            </w:pPr>
            <w:r w:rsidRPr="000C50FC">
              <w:rPr>
                <w:sz w:val="20"/>
                <w:szCs w:val="20"/>
              </w:rPr>
              <w:t>0.79 [0.58 – 1.06]</w:t>
            </w:r>
          </w:p>
        </w:tc>
      </w:tr>
      <w:tr w:rsidR="004D5254" w:rsidTr="00C80331">
        <w:tc>
          <w:tcPr>
            <w:tcW w:w="3085" w:type="dxa"/>
          </w:tcPr>
          <w:p w:rsidR="004D5254" w:rsidRPr="000C50FC" w:rsidRDefault="004D5254" w:rsidP="00C80331">
            <w:pPr>
              <w:spacing w:before="40" w:after="40"/>
              <w:jc w:val="right"/>
              <w:rPr>
                <w:sz w:val="20"/>
                <w:szCs w:val="20"/>
              </w:rPr>
            </w:pPr>
            <w:r w:rsidRPr="000C50FC">
              <w:rPr>
                <w:sz w:val="20"/>
                <w:szCs w:val="20"/>
              </w:rPr>
              <w:t>- 1</w:t>
            </w:r>
          </w:p>
        </w:tc>
        <w:tc>
          <w:tcPr>
            <w:tcW w:w="567" w:type="dxa"/>
          </w:tcPr>
          <w:p w:rsidR="004D5254" w:rsidRPr="000C50FC" w:rsidRDefault="004D5254" w:rsidP="00C80331">
            <w:pPr>
              <w:spacing w:before="40" w:after="40"/>
              <w:jc w:val="center"/>
              <w:rPr>
                <w:sz w:val="20"/>
                <w:szCs w:val="20"/>
              </w:rPr>
            </w:pPr>
            <w:r w:rsidRPr="000C50FC">
              <w:rPr>
                <w:sz w:val="20"/>
                <w:szCs w:val="20"/>
              </w:rPr>
              <w:t>86</w:t>
            </w:r>
          </w:p>
        </w:tc>
        <w:tc>
          <w:tcPr>
            <w:tcW w:w="1134" w:type="dxa"/>
          </w:tcPr>
          <w:p w:rsidR="004D5254" w:rsidRPr="000C50FC" w:rsidRDefault="004D5254" w:rsidP="00C80331">
            <w:pPr>
              <w:spacing w:before="40" w:after="40"/>
              <w:jc w:val="center"/>
              <w:rPr>
                <w:sz w:val="20"/>
                <w:szCs w:val="20"/>
              </w:rPr>
            </w:pPr>
            <w:r w:rsidRPr="000C50FC">
              <w:rPr>
                <w:sz w:val="20"/>
                <w:szCs w:val="20"/>
              </w:rPr>
              <w:t>29%</w:t>
            </w:r>
          </w:p>
        </w:tc>
        <w:tc>
          <w:tcPr>
            <w:tcW w:w="1843" w:type="dxa"/>
          </w:tcPr>
          <w:p w:rsidR="004D5254" w:rsidRPr="000C50FC" w:rsidRDefault="004D5254" w:rsidP="00C80331">
            <w:pPr>
              <w:spacing w:before="40" w:after="40"/>
              <w:jc w:val="center"/>
              <w:rPr>
                <w:sz w:val="20"/>
                <w:szCs w:val="20"/>
              </w:rPr>
            </w:pPr>
            <w:r w:rsidRPr="000C50FC">
              <w:rPr>
                <w:sz w:val="20"/>
                <w:szCs w:val="20"/>
              </w:rPr>
              <w:t>89.5 [72 – 123]</w:t>
            </w:r>
          </w:p>
        </w:tc>
        <w:tc>
          <w:tcPr>
            <w:tcW w:w="1134" w:type="dxa"/>
            <w:tcBorders>
              <w:right w:val="nil"/>
            </w:tcBorders>
          </w:tcPr>
          <w:p w:rsidR="004D5254" w:rsidRPr="000C50FC" w:rsidRDefault="004D5254" w:rsidP="00C80331">
            <w:pPr>
              <w:spacing w:before="40" w:after="40"/>
              <w:jc w:val="center"/>
              <w:rPr>
                <w:i/>
                <w:sz w:val="20"/>
                <w:szCs w:val="20"/>
              </w:rPr>
            </w:pPr>
            <w:r w:rsidRPr="000C50FC">
              <w:rPr>
                <w:i/>
                <w:sz w:val="20"/>
                <w:szCs w:val="20"/>
              </w:rPr>
              <w:t xml:space="preserve">- 1 </w:t>
            </w:r>
            <w:r>
              <w:rPr>
                <w:i/>
                <w:sz w:val="20"/>
                <w:szCs w:val="20"/>
              </w:rPr>
              <w:t xml:space="preserve">versus </w:t>
            </w:r>
            <w:r w:rsidRPr="000C50FC">
              <w:rPr>
                <w:i/>
                <w:sz w:val="20"/>
                <w:szCs w:val="20"/>
              </w:rPr>
              <w:t>PDX</w:t>
            </w:r>
          </w:p>
        </w:tc>
        <w:tc>
          <w:tcPr>
            <w:tcW w:w="1785" w:type="dxa"/>
            <w:tcBorders>
              <w:left w:val="nil"/>
            </w:tcBorders>
          </w:tcPr>
          <w:p w:rsidR="004D5254" w:rsidRPr="000C50FC" w:rsidRDefault="004D5254" w:rsidP="00C80331">
            <w:pPr>
              <w:spacing w:before="40" w:after="40"/>
              <w:jc w:val="center"/>
              <w:rPr>
                <w:sz w:val="20"/>
                <w:szCs w:val="20"/>
              </w:rPr>
            </w:pPr>
            <w:r w:rsidRPr="000C50FC">
              <w:rPr>
                <w:sz w:val="20"/>
                <w:szCs w:val="20"/>
              </w:rPr>
              <w:t>1.20 [ 0.87 – 1.66]</w:t>
            </w:r>
          </w:p>
        </w:tc>
      </w:tr>
      <w:tr w:rsidR="004D5254" w:rsidTr="00C80331">
        <w:tc>
          <w:tcPr>
            <w:tcW w:w="3085" w:type="dxa"/>
          </w:tcPr>
          <w:p w:rsidR="004D5254" w:rsidRPr="000C50FC" w:rsidRDefault="004D5254" w:rsidP="00C80331">
            <w:pPr>
              <w:spacing w:before="40" w:after="40"/>
              <w:rPr>
                <w:sz w:val="20"/>
                <w:szCs w:val="20"/>
              </w:rPr>
            </w:pPr>
            <w:r w:rsidRPr="000C50FC">
              <w:rPr>
                <w:sz w:val="20"/>
                <w:szCs w:val="20"/>
              </w:rPr>
              <w:t>Pralatrexate (PDX)</w:t>
            </w:r>
          </w:p>
        </w:tc>
        <w:tc>
          <w:tcPr>
            <w:tcW w:w="567" w:type="dxa"/>
          </w:tcPr>
          <w:p w:rsidR="004D5254" w:rsidRPr="000C50FC" w:rsidRDefault="004D5254" w:rsidP="00C80331">
            <w:pPr>
              <w:spacing w:before="40" w:after="40"/>
              <w:jc w:val="center"/>
              <w:rPr>
                <w:sz w:val="20"/>
                <w:szCs w:val="20"/>
              </w:rPr>
            </w:pPr>
            <w:r w:rsidRPr="000C50FC">
              <w:rPr>
                <w:sz w:val="20"/>
                <w:szCs w:val="20"/>
              </w:rPr>
              <w:t>86</w:t>
            </w:r>
          </w:p>
        </w:tc>
        <w:tc>
          <w:tcPr>
            <w:tcW w:w="1134" w:type="dxa"/>
          </w:tcPr>
          <w:p w:rsidR="004D5254" w:rsidRPr="000C50FC" w:rsidRDefault="004D5254" w:rsidP="00C80331">
            <w:pPr>
              <w:spacing w:before="40" w:after="40"/>
              <w:jc w:val="center"/>
              <w:rPr>
                <w:sz w:val="20"/>
                <w:szCs w:val="20"/>
              </w:rPr>
            </w:pPr>
            <w:r w:rsidRPr="000C50FC">
              <w:rPr>
                <w:sz w:val="20"/>
                <w:szCs w:val="20"/>
              </w:rPr>
              <w:t>40%</w:t>
            </w:r>
          </w:p>
        </w:tc>
        <w:tc>
          <w:tcPr>
            <w:tcW w:w="1843" w:type="dxa"/>
          </w:tcPr>
          <w:p w:rsidR="004D5254" w:rsidRPr="000C50FC" w:rsidRDefault="004D5254" w:rsidP="00C80331">
            <w:pPr>
              <w:spacing w:before="40" w:after="40"/>
              <w:jc w:val="center"/>
              <w:rPr>
                <w:sz w:val="20"/>
                <w:szCs w:val="20"/>
              </w:rPr>
            </w:pPr>
            <w:r w:rsidRPr="000C50FC">
              <w:rPr>
                <w:sz w:val="20"/>
                <w:szCs w:val="20"/>
              </w:rPr>
              <w:t>119.0 [77 – 146]</w:t>
            </w:r>
          </w:p>
        </w:tc>
        <w:tc>
          <w:tcPr>
            <w:tcW w:w="1134" w:type="dxa"/>
            <w:tcBorders>
              <w:right w:val="nil"/>
            </w:tcBorders>
          </w:tcPr>
          <w:p w:rsidR="004D5254" w:rsidRPr="000C50FC" w:rsidRDefault="004D5254" w:rsidP="00C80331">
            <w:pPr>
              <w:spacing w:before="40" w:after="40"/>
              <w:jc w:val="center"/>
              <w:rPr>
                <w:sz w:val="20"/>
                <w:szCs w:val="20"/>
              </w:rPr>
            </w:pPr>
          </w:p>
        </w:tc>
        <w:tc>
          <w:tcPr>
            <w:tcW w:w="1785" w:type="dxa"/>
            <w:tcBorders>
              <w:left w:val="nil"/>
            </w:tcBorders>
          </w:tcPr>
          <w:p w:rsidR="004D5254" w:rsidRPr="000C50FC" w:rsidRDefault="004D5254" w:rsidP="00C80331">
            <w:pPr>
              <w:spacing w:before="40" w:after="40"/>
              <w:jc w:val="center"/>
              <w:rPr>
                <w:sz w:val="20"/>
                <w:szCs w:val="20"/>
              </w:rPr>
            </w:pPr>
          </w:p>
        </w:tc>
      </w:tr>
      <w:tr w:rsidR="004D5254" w:rsidTr="00C80331">
        <w:tc>
          <w:tcPr>
            <w:tcW w:w="3085" w:type="dxa"/>
          </w:tcPr>
          <w:p w:rsidR="004D5254" w:rsidRPr="000C50FC" w:rsidRDefault="004D5254" w:rsidP="00C80331">
            <w:pPr>
              <w:spacing w:before="40" w:after="40"/>
              <w:rPr>
                <w:sz w:val="20"/>
                <w:szCs w:val="20"/>
              </w:rPr>
            </w:pPr>
            <w:r w:rsidRPr="00E62ADE">
              <w:rPr>
                <w:b/>
                <w:i/>
                <w:sz w:val="20"/>
                <w:szCs w:val="20"/>
              </w:rPr>
              <w:t>Immediate prior treatment</w:t>
            </w:r>
            <w:r w:rsidRPr="00E62ADE">
              <w:rPr>
                <w:sz w:val="20"/>
                <w:szCs w:val="20"/>
              </w:rPr>
              <w:t xml:space="preserve"> </w:t>
            </w:r>
            <w:r>
              <w:rPr>
                <w:sz w:val="20"/>
                <w:szCs w:val="20"/>
              </w:rPr>
              <w:t xml:space="preserve">   </w:t>
            </w:r>
            <w:r w:rsidRPr="000C50FC">
              <w:rPr>
                <w:sz w:val="20"/>
                <w:szCs w:val="20"/>
              </w:rPr>
              <w:t>- 1</w:t>
            </w:r>
          </w:p>
        </w:tc>
        <w:tc>
          <w:tcPr>
            <w:tcW w:w="567" w:type="dxa"/>
          </w:tcPr>
          <w:p w:rsidR="004D5254" w:rsidRPr="000C50FC" w:rsidRDefault="004D5254" w:rsidP="00C80331">
            <w:pPr>
              <w:spacing w:before="40" w:after="40"/>
              <w:rPr>
                <w:sz w:val="20"/>
                <w:szCs w:val="20"/>
              </w:rPr>
            </w:pPr>
            <w:r w:rsidRPr="000C50FC">
              <w:rPr>
                <w:sz w:val="20"/>
                <w:szCs w:val="20"/>
              </w:rPr>
              <w:t>109</w:t>
            </w:r>
          </w:p>
        </w:tc>
        <w:tc>
          <w:tcPr>
            <w:tcW w:w="1134" w:type="dxa"/>
          </w:tcPr>
          <w:p w:rsidR="004D5254" w:rsidRPr="000C50FC" w:rsidRDefault="004D5254" w:rsidP="00C80331">
            <w:pPr>
              <w:spacing w:before="40" w:after="40"/>
              <w:jc w:val="center"/>
              <w:rPr>
                <w:sz w:val="20"/>
                <w:szCs w:val="20"/>
              </w:rPr>
            </w:pPr>
            <w:r w:rsidRPr="000C50FC">
              <w:rPr>
                <w:sz w:val="20"/>
                <w:szCs w:val="20"/>
              </w:rPr>
              <w:t>38%</w:t>
            </w:r>
          </w:p>
        </w:tc>
        <w:tc>
          <w:tcPr>
            <w:tcW w:w="1843" w:type="dxa"/>
          </w:tcPr>
          <w:p w:rsidR="004D5254" w:rsidRPr="000C50FC" w:rsidRDefault="004D5254" w:rsidP="00C80331">
            <w:pPr>
              <w:spacing w:before="40" w:after="40"/>
              <w:jc w:val="center"/>
              <w:rPr>
                <w:sz w:val="20"/>
                <w:szCs w:val="20"/>
              </w:rPr>
            </w:pPr>
            <w:r w:rsidRPr="000C50FC">
              <w:rPr>
                <w:sz w:val="20"/>
                <w:szCs w:val="20"/>
              </w:rPr>
              <w:t>114.0 [89 – 151]</w:t>
            </w:r>
          </w:p>
        </w:tc>
        <w:tc>
          <w:tcPr>
            <w:tcW w:w="1134" w:type="dxa"/>
            <w:tcBorders>
              <w:right w:val="nil"/>
            </w:tcBorders>
          </w:tcPr>
          <w:p w:rsidR="004D5254" w:rsidRPr="000C50FC" w:rsidRDefault="004D5254" w:rsidP="00C80331">
            <w:pPr>
              <w:spacing w:before="40" w:after="40"/>
              <w:jc w:val="center"/>
              <w:rPr>
                <w:sz w:val="20"/>
                <w:szCs w:val="20"/>
              </w:rPr>
            </w:pPr>
            <w:r w:rsidRPr="000C50FC">
              <w:rPr>
                <w:i/>
                <w:sz w:val="20"/>
                <w:szCs w:val="20"/>
              </w:rPr>
              <w:t xml:space="preserve">- 1 </w:t>
            </w:r>
            <w:r>
              <w:rPr>
                <w:i/>
                <w:sz w:val="20"/>
                <w:szCs w:val="20"/>
              </w:rPr>
              <w:t xml:space="preserve">versus </w:t>
            </w:r>
            <w:r w:rsidRPr="000C50FC">
              <w:rPr>
                <w:i/>
                <w:sz w:val="20"/>
                <w:szCs w:val="20"/>
              </w:rPr>
              <w:t>PDX</w:t>
            </w:r>
          </w:p>
        </w:tc>
        <w:tc>
          <w:tcPr>
            <w:tcW w:w="1785" w:type="dxa"/>
            <w:tcBorders>
              <w:left w:val="nil"/>
            </w:tcBorders>
          </w:tcPr>
          <w:p w:rsidR="004D5254" w:rsidRPr="000C50FC" w:rsidRDefault="004D5254" w:rsidP="00C80331">
            <w:pPr>
              <w:spacing w:before="40" w:after="40"/>
              <w:jc w:val="center"/>
              <w:rPr>
                <w:sz w:val="20"/>
                <w:szCs w:val="20"/>
              </w:rPr>
            </w:pPr>
            <w:r w:rsidRPr="000C50FC">
              <w:rPr>
                <w:sz w:val="20"/>
                <w:szCs w:val="20"/>
              </w:rPr>
              <w:t>1.05 [ 0.79 – 1.41]</w:t>
            </w:r>
          </w:p>
        </w:tc>
      </w:tr>
      <w:tr w:rsidR="004D5254" w:rsidTr="00C80331">
        <w:tc>
          <w:tcPr>
            <w:tcW w:w="3085" w:type="dxa"/>
          </w:tcPr>
          <w:p w:rsidR="004D5254" w:rsidRPr="000C50FC" w:rsidRDefault="004D5254" w:rsidP="00C80331">
            <w:pPr>
              <w:spacing w:before="40" w:after="40"/>
              <w:rPr>
                <w:sz w:val="20"/>
                <w:szCs w:val="20"/>
              </w:rPr>
            </w:pPr>
            <w:r w:rsidRPr="000C50FC">
              <w:rPr>
                <w:sz w:val="20"/>
                <w:szCs w:val="20"/>
              </w:rPr>
              <w:t>Pralatrexate (PDX)</w:t>
            </w:r>
          </w:p>
        </w:tc>
        <w:tc>
          <w:tcPr>
            <w:tcW w:w="567" w:type="dxa"/>
          </w:tcPr>
          <w:p w:rsidR="004D5254" w:rsidRPr="000C50FC" w:rsidRDefault="004D5254" w:rsidP="00C80331">
            <w:pPr>
              <w:spacing w:before="40" w:after="40"/>
              <w:rPr>
                <w:sz w:val="20"/>
                <w:szCs w:val="20"/>
              </w:rPr>
            </w:pPr>
            <w:r w:rsidRPr="000C50FC">
              <w:rPr>
                <w:sz w:val="20"/>
                <w:szCs w:val="20"/>
              </w:rPr>
              <w:t>109</w:t>
            </w:r>
          </w:p>
        </w:tc>
        <w:tc>
          <w:tcPr>
            <w:tcW w:w="1134" w:type="dxa"/>
          </w:tcPr>
          <w:p w:rsidR="004D5254" w:rsidRPr="000C50FC" w:rsidRDefault="004D5254" w:rsidP="00C80331">
            <w:pPr>
              <w:spacing w:before="40" w:after="40"/>
              <w:jc w:val="center"/>
              <w:rPr>
                <w:sz w:val="20"/>
                <w:szCs w:val="20"/>
              </w:rPr>
            </w:pPr>
            <w:r w:rsidRPr="000C50FC">
              <w:rPr>
                <w:sz w:val="20"/>
                <w:szCs w:val="20"/>
              </w:rPr>
              <w:t>39%</w:t>
            </w:r>
          </w:p>
        </w:tc>
        <w:tc>
          <w:tcPr>
            <w:tcW w:w="1843" w:type="dxa"/>
          </w:tcPr>
          <w:p w:rsidR="004D5254" w:rsidRPr="000C50FC" w:rsidRDefault="004D5254" w:rsidP="00C80331">
            <w:pPr>
              <w:spacing w:before="40" w:after="40"/>
              <w:jc w:val="center"/>
              <w:rPr>
                <w:sz w:val="20"/>
                <w:szCs w:val="20"/>
              </w:rPr>
            </w:pPr>
            <w:r w:rsidRPr="000C50FC">
              <w:rPr>
                <w:sz w:val="20"/>
                <w:szCs w:val="20"/>
              </w:rPr>
              <w:t>121.0 [77 – 148]</w:t>
            </w:r>
          </w:p>
        </w:tc>
        <w:tc>
          <w:tcPr>
            <w:tcW w:w="1134" w:type="dxa"/>
            <w:tcBorders>
              <w:right w:val="nil"/>
            </w:tcBorders>
          </w:tcPr>
          <w:p w:rsidR="004D5254" w:rsidRPr="000C50FC" w:rsidRDefault="004D5254" w:rsidP="00C80331">
            <w:pPr>
              <w:spacing w:before="40" w:after="40"/>
              <w:jc w:val="center"/>
              <w:rPr>
                <w:sz w:val="20"/>
                <w:szCs w:val="20"/>
              </w:rPr>
            </w:pPr>
          </w:p>
        </w:tc>
        <w:tc>
          <w:tcPr>
            <w:tcW w:w="1785" w:type="dxa"/>
            <w:tcBorders>
              <w:left w:val="nil"/>
            </w:tcBorders>
          </w:tcPr>
          <w:p w:rsidR="004D5254" w:rsidRPr="000C50FC" w:rsidRDefault="004D5254" w:rsidP="00C80331">
            <w:pPr>
              <w:spacing w:before="40" w:after="40"/>
              <w:jc w:val="center"/>
              <w:rPr>
                <w:sz w:val="20"/>
                <w:szCs w:val="20"/>
              </w:rPr>
            </w:pPr>
          </w:p>
        </w:tc>
      </w:tr>
    </w:tbl>
    <w:p w:rsidR="004D5254" w:rsidRDefault="004D5254" w:rsidP="004D5254">
      <w:r>
        <w:t>It is known that, generally, the response rates and progression-free survival of patients who progress through successive lines of therapy decreases with each subsequent line of therapy (so-called progressive resistance). The sponsor’s analyses of data from Study PDX-008 confirmed there was a trend for decreasing response rates and PFS with successive prior treatments in patients who had 3 or more and 2 or more prior treatments. Importantly, pralatrexate appeared to reverse these trends in these two patient subsets. Also, when compared to immediate prior therapy, pralatrexate appeared to stabilise the trend, whereas ordinarily one would expect the response rate and progression free survival to have declined. It is important to remember that these were retrospective analyses and the study was not powered for such comparisons – and although the hazard ratios (HR) for comparisons involving pralatrexate were all in favour of pralatrexate, statistical significance was not achieved at a 5% level and the 95% CIs are quite wide. Another limitation with this analysis is that it was based on investigator assessments because central review was not available for prior therapies. Investigator response rates were higher than the central review rate by 10%, whilst the duration of PFS was assessed as being slightly longer by investigators compared to central review.</w:t>
      </w:r>
    </w:p>
    <w:p w:rsidR="004D5254" w:rsidRDefault="004D5254" w:rsidP="004D5254">
      <w:r>
        <w:t xml:space="preserve">In the second analysis, the response to pralatrexate (response rate, PFS and time to progression) was compared with the last prior treatment regimen by regimen type </w:t>
      </w:r>
      <w:r w:rsidRPr="008A0D23">
        <w:t xml:space="preserve">(Table 12, </w:t>
      </w:r>
      <w:r>
        <w:t>below). Response numerically favoured pralatrexate in all the comparisons except the comparison with CHOP. Statistical significance (&amp;/or 95% CI intervals) not reported for these analyses, but the regimen subgroups are quite small. Of particular note, half of the patients who received CHOP in the treatment immediately prior to pralatrexate, received CHOP as their first and only treatment up to that point in time, so they did not at that stage have relapsed disease and were not known to be refractory to treatment. When such patients are removed from the analysis (</w:t>
      </w:r>
      <w:r w:rsidRPr="00990CA1">
        <w:t>that is,</w:t>
      </w:r>
      <w:r>
        <w:t xml:space="preserve"> analysis restricted to patients with ≥ 2 prior systemic therapies), there were similar outcomes for pralatrexate and COHP as a second or subsequent therapy. </w:t>
      </w:r>
    </w:p>
    <w:p w:rsidR="004D5254" w:rsidRDefault="004D5254" w:rsidP="004D5254">
      <w:pPr>
        <w:pStyle w:val="FigureTitle"/>
        <w:keepNext/>
      </w:pPr>
      <w:bookmarkStart w:id="195" w:name="_Toc320881535"/>
      <w:r>
        <w:lastRenderedPageBreak/>
        <w:t>Table 12. Study PDX-008 - Median progression-free survival and response rate with pralatrexate versus the immediate prior systemic regimen, by regimen</w:t>
      </w:r>
      <w:bookmarkEnd w:id="195"/>
    </w:p>
    <w:tbl>
      <w:tblPr>
        <w:tblStyle w:val="TableGrid"/>
        <w:tblW w:w="9548" w:type="dxa"/>
        <w:tblLayout w:type="fixed"/>
        <w:tblLook w:val="04A0"/>
      </w:tblPr>
      <w:tblGrid>
        <w:gridCol w:w="3369"/>
        <w:gridCol w:w="992"/>
        <w:gridCol w:w="567"/>
        <w:gridCol w:w="1134"/>
        <w:gridCol w:w="992"/>
        <w:gridCol w:w="680"/>
        <w:gridCol w:w="907"/>
        <w:gridCol w:w="907"/>
      </w:tblGrid>
      <w:tr w:rsidR="004D5254" w:rsidTr="005A260D">
        <w:trPr>
          <w:tblHeader/>
        </w:trPr>
        <w:tc>
          <w:tcPr>
            <w:tcW w:w="3369" w:type="dxa"/>
            <w:vMerge w:val="restart"/>
            <w:shd w:val="clear" w:color="auto" w:fill="0070C0"/>
          </w:tcPr>
          <w:p w:rsidR="004D5254" w:rsidRPr="00866B26" w:rsidRDefault="004D5254" w:rsidP="00C80331">
            <w:pPr>
              <w:keepNext/>
              <w:spacing w:before="40" w:after="40"/>
              <w:rPr>
                <w:b/>
                <w:color w:val="FFFFFF" w:themeColor="background1"/>
                <w:sz w:val="18"/>
                <w:szCs w:val="18"/>
              </w:rPr>
            </w:pPr>
          </w:p>
          <w:p w:rsidR="004D5254" w:rsidRPr="00866B26" w:rsidRDefault="004D5254" w:rsidP="00C80331">
            <w:pPr>
              <w:keepNext/>
              <w:spacing w:before="40" w:after="40"/>
              <w:rPr>
                <w:b/>
                <w:color w:val="FFFFFF" w:themeColor="background1"/>
                <w:sz w:val="18"/>
                <w:szCs w:val="18"/>
              </w:rPr>
            </w:pPr>
            <w:r w:rsidRPr="00866B26">
              <w:rPr>
                <w:b/>
                <w:color w:val="FFFFFF" w:themeColor="background1"/>
                <w:sz w:val="18"/>
                <w:szCs w:val="18"/>
              </w:rPr>
              <w:t>Regimen</w:t>
            </w:r>
          </w:p>
        </w:tc>
        <w:tc>
          <w:tcPr>
            <w:tcW w:w="992" w:type="dxa"/>
            <w:vMerge w:val="restart"/>
            <w:shd w:val="clear" w:color="auto" w:fill="0070C0"/>
          </w:tcPr>
          <w:p w:rsidR="004D5254" w:rsidRPr="00866B26" w:rsidRDefault="004D5254" w:rsidP="00C80331">
            <w:pPr>
              <w:keepNext/>
              <w:spacing w:before="40" w:after="40"/>
              <w:jc w:val="center"/>
              <w:rPr>
                <w:b/>
                <w:color w:val="FFFFFF" w:themeColor="background1"/>
                <w:sz w:val="18"/>
                <w:szCs w:val="18"/>
              </w:rPr>
            </w:pPr>
          </w:p>
          <w:p w:rsidR="004D5254" w:rsidRPr="00866B26" w:rsidRDefault="004D5254" w:rsidP="00C80331">
            <w:pPr>
              <w:keepNext/>
              <w:spacing w:before="40" w:after="40"/>
              <w:jc w:val="center"/>
              <w:rPr>
                <w:b/>
                <w:color w:val="FFFFFF" w:themeColor="background1"/>
                <w:sz w:val="18"/>
                <w:szCs w:val="18"/>
              </w:rPr>
            </w:pPr>
            <w:r w:rsidRPr="00866B26">
              <w:rPr>
                <w:b/>
                <w:color w:val="FFFFFF" w:themeColor="background1"/>
                <w:sz w:val="18"/>
                <w:szCs w:val="18"/>
              </w:rPr>
              <w:t>Prior therapy</w:t>
            </w:r>
          </w:p>
        </w:tc>
        <w:tc>
          <w:tcPr>
            <w:tcW w:w="567" w:type="dxa"/>
            <w:vMerge w:val="restart"/>
            <w:shd w:val="clear" w:color="auto" w:fill="0070C0"/>
          </w:tcPr>
          <w:p w:rsidR="004D5254" w:rsidRPr="00866B26" w:rsidRDefault="004D5254" w:rsidP="00C80331">
            <w:pPr>
              <w:keepNext/>
              <w:spacing w:before="40" w:after="40"/>
              <w:jc w:val="center"/>
              <w:rPr>
                <w:b/>
                <w:color w:val="FFFFFF" w:themeColor="background1"/>
                <w:sz w:val="18"/>
                <w:szCs w:val="18"/>
              </w:rPr>
            </w:pPr>
          </w:p>
          <w:p w:rsidR="004D5254" w:rsidRPr="00866B26" w:rsidRDefault="004D5254" w:rsidP="00C80331">
            <w:pPr>
              <w:keepNext/>
              <w:spacing w:before="40" w:after="40"/>
              <w:jc w:val="center"/>
              <w:rPr>
                <w:b/>
                <w:color w:val="FFFFFF" w:themeColor="background1"/>
                <w:sz w:val="18"/>
                <w:szCs w:val="18"/>
              </w:rPr>
            </w:pPr>
            <w:r w:rsidRPr="00866B26">
              <w:rPr>
                <w:b/>
                <w:color w:val="FFFFFF" w:themeColor="background1"/>
                <w:sz w:val="18"/>
                <w:szCs w:val="18"/>
              </w:rPr>
              <w:t>N</w:t>
            </w:r>
          </w:p>
        </w:tc>
        <w:tc>
          <w:tcPr>
            <w:tcW w:w="1134" w:type="dxa"/>
            <w:vMerge w:val="restart"/>
            <w:shd w:val="clear" w:color="auto" w:fill="0070C0"/>
          </w:tcPr>
          <w:p w:rsidR="004D5254" w:rsidRPr="00866B26" w:rsidRDefault="004D5254" w:rsidP="00C80331">
            <w:pPr>
              <w:keepNext/>
              <w:spacing w:before="40" w:after="40"/>
              <w:jc w:val="center"/>
              <w:rPr>
                <w:b/>
                <w:color w:val="FFFFFF" w:themeColor="background1"/>
                <w:sz w:val="18"/>
                <w:szCs w:val="18"/>
              </w:rPr>
            </w:pPr>
          </w:p>
          <w:p w:rsidR="004D5254" w:rsidRPr="00866B26" w:rsidRDefault="004D5254" w:rsidP="00C80331">
            <w:pPr>
              <w:keepNext/>
              <w:spacing w:before="40" w:after="40"/>
              <w:jc w:val="center"/>
              <w:rPr>
                <w:b/>
                <w:color w:val="FFFFFF" w:themeColor="background1"/>
                <w:sz w:val="18"/>
                <w:szCs w:val="18"/>
              </w:rPr>
            </w:pPr>
            <w:r w:rsidRPr="00866B26">
              <w:rPr>
                <w:b/>
                <w:color w:val="FFFFFF" w:themeColor="background1"/>
                <w:sz w:val="18"/>
                <w:szCs w:val="18"/>
              </w:rPr>
              <w:t>Response rate</w:t>
            </w:r>
          </w:p>
        </w:tc>
        <w:tc>
          <w:tcPr>
            <w:tcW w:w="1672" w:type="dxa"/>
            <w:gridSpan w:val="2"/>
            <w:shd w:val="clear" w:color="auto" w:fill="0070C0"/>
          </w:tcPr>
          <w:p w:rsidR="004D5254" w:rsidRPr="00866B26" w:rsidRDefault="004D5254" w:rsidP="00C80331">
            <w:pPr>
              <w:keepNext/>
              <w:spacing w:before="40" w:after="40"/>
              <w:jc w:val="center"/>
              <w:rPr>
                <w:b/>
                <w:color w:val="FFFFFF" w:themeColor="background1"/>
                <w:sz w:val="18"/>
                <w:szCs w:val="18"/>
              </w:rPr>
            </w:pPr>
            <w:r w:rsidRPr="00866B26">
              <w:rPr>
                <w:b/>
                <w:color w:val="FFFFFF" w:themeColor="background1"/>
                <w:sz w:val="18"/>
                <w:szCs w:val="18"/>
              </w:rPr>
              <w:t>Progression-free survival</w:t>
            </w:r>
          </w:p>
        </w:tc>
        <w:tc>
          <w:tcPr>
            <w:tcW w:w="1814" w:type="dxa"/>
            <w:gridSpan w:val="2"/>
            <w:shd w:val="clear" w:color="auto" w:fill="0070C0"/>
          </w:tcPr>
          <w:p w:rsidR="004D5254" w:rsidRPr="00866B26" w:rsidRDefault="004D5254" w:rsidP="00C80331">
            <w:pPr>
              <w:keepNext/>
              <w:spacing w:before="40" w:after="40"/>
              <w:jc w:val="center"/>
              <w:rPr>
                <w:b/>
                <w:color w:val="FFFFFF" w:themeColor="background1"/>
                <w:sz w:val="18"/>
                <w:szCs w:val="18"/>
              </w:rPr>
            </w:pPr>
            <w:r w:rsidRPr="00866B26">
              <w:rPr>
                <w:b/>
                <w:color w:val="FFFFFF" w:themeColor="background1"/>
                <w:sz w:val="18"/>
                <w:szCs w:val="18"/>
              </w:rPr>
              <w:t>Time to progression</w:t>
            </w:r>
          </w:p>
        </w:tc>
      </w:tr>
      <w:tr w:rsidR="004D5254" w:rsidTr="005A260D">
        <w:trPr>
          <w:tblHeader/>
        </w:trPr>
        <w:tc>
          <w:tcPr>
            <w:tcW w:w="3369" w:type="dxa"/>
            <w:vMerge/>
            <w:shd w:val="clear" w:color="auto" w:fill="0070C0"/>
          </w:tcPr>
          <w:p w:rsidR="004D5254" w:rsidRPr="00866B26" w:rsidRDefault="004D5254" w:rsidP="00C80331">
            <w:pPr>
              <w:keepNext/>
              <w:spacing w:before="40" w:after="40"/>
              <w:rPr>
                <w:b/>
                <w:color w:val="FFFFFF" w:themeColor="background1"/>
                <w:sz w:val="18"/>
                <w:szCs w:val="18"/>
              </w:rPr>
            </w:pPr>
          </w:p>
        </w:tc>
        <w:tc>
          <w:tcPr>
            <w:tcW w:w="992" w:type="dxa"/>
            <w:vMerge/>
            <w:shd w:val="clear" w:color="auto" w:fill="0070C0"/>
          </w:tcPr>
          <w:p w:rsidR="004D5254" w:rsidRPr="00866B26" w:rsidRDefault="004D5254" w:rsidP="00C80331">
            <w:pPr>
              <w:keepNext/>
              <w:spacing w:before="40" w:after="40"/>
              <w:jc w:val="center"/>
              <w:rPr>
                <w:b/>
                <w:color w:val="FFFFFF" w:themeColor="background1"/>
                <w:sz w:val="18"/>
                <w:szCs w:val="18"/>
              </w:rPr>
            </w:pPr>
          </w:p>
        </w:tc>
        <w:tc>
          <w:tcPr>
            <w:tcW w:w="567" w:type="dxa"/>
            <w:vMerge/>
            <w:shd w:val="clear" w:color="auto" w:fill="0070C0"/>
          </w:tcPr>
          <w:p w:rsidR="004D5254" w:rsidRPr="00866B26" w:rsidRDefault="004D5254" w:rsidP="00C80331">
            <w:pPr>
              <w:keepNext/>
              <w:spacing w:before="40" w:after="40"/>
              <w:jc w:val="center"/>
              <w:rPr>
                <w:b/>
                <w:color w:val="FFFFFF" w:themeColor="background1"/>
                <w:sz w:val="18"/>
                <w:szCs w:val="18"/>
              </w:rPr>
            </w:pPr>
          </w:p>
        </w:tc>
        <w:tc>
          <w:tcPr>
            <w:tcW w:w="1134" w:type="dxa"/>
            <w:vMerge/>
            <w:shd w:val="clear" w:color="auto" w:fill="0070C0"/>
          </w:tcPr>
          <w:p w:rsidR="004D5254" w:rsidRPr="00866B26" w:rsidRDefault="004D5254" w:rsidP="00C80331">
            <w:pPr>
              <w:keepNext/>
              <w:spacing w:before="40" w:after="40"/>
              <w:jc w:val="center"/>
              <w:rPr>
                <w:b/>
                <w:color w:val="FFFFFF" w:themeColor="background1"/>
                <w:sz w:val="18"/>
                <w:szCs w:val="18"/>
              </w:rPr>
            </w:pPr>
          </w:p>
        </w:tc>
        <w:tc>
          <w:tcPr>
            <w:tcW w:w="992" w:type="dxa"/>
            <w:shd w:val="clear" w:color="auto" w:fill="0070C0"/>
          </w:tcPr>
          <w:p w:rsidR="004D5254" w:rsidRPr="00866B26" w:rsidRDefault="004D5254" w:rsidP="00C80331">
            <w:pPr>
              <w:keepNext/>
              <w:spacing w:before="40" w:after="40"/>
              <w:jc w:val="center"/>
              <w:rPr>
                <w:b/>
                <w:color w:val="FFFFFF" w:themeColor="background1"/>
                <w:sz w:val="18"/>
                <w:szCs w:val="18"/>
              </w:rPr>
            </w:pPr>
            <w:r w:rsidRPr="00866B26">
              <w:rPr>
                <w:b/>
                <w:color w:val="FFFFFF" w:themeColor="background1"/>
                <w:sz w:val="18"/>
                <w:szCs w:val="18"/>
              </w:rPr>
              <w:t>Median (days)</w:t>
            </w:r>
          </w:p>
        </w:tc>
        <w:tc>
          <w:tcPr>
            <w:tcW w:w="680" w:type="dxa"/>
            <w:shd w:val="clear" w:color="auto" w:fill="0070C0"/>
          </w:tcPr>
          <w:p w:rsidR="004D5254" w:rsidRPr="00866B26" w:rsidRDefault="004D5254" w:rsidP="00C80331">
            <w:pPr>
              <w:keepNext/>
              <w:spacing w:before="40" w:after="40"/>
              <w:jc w:val="center"/>
              <w:rPr>
                <w:b/>
                <w:color w:val="FFFFFF" w:themeColor="background1"/>
                <w:sz w:val="18"/>
                <w:szCs w:val="18"/>
              </w:rPr>
            </w:pPr>
            <w:r w:rsidRPr="00866B26">
              <w:rPr>
                <w:b/>
                <w:color w:val="FFFFFF" w:themeColor="background1"/>
                <w:sz w:val="18"/>
                <w:szCs w:val="18"/>
              </w:rPr>
              <w:t>HR</w:t>
            </w:r>
          </w:p>
        </w:tc>
        <w:tc>
          <w:tcPr>
            <w:tcW w:w="907" w:type="dxa"/>
            <w:shd w:val="clear" w:color="auto" w:fill="0070C0"/>
          </w:tcPr>
          <w:p w:rsidR="004D5254" w:rsidRPr="00866B26" w:rsidRDefault="004D5254" w:rsidP="00C80331">
            <w:pPr>
              <w:keepNext/>
              <w:spacing w:before="40" w:after="40"/>
              <w:jc w:val="center"/>
              <w:rPr>
                <w:b/>
                <w:color w:val="FFFFFF" w:themeColor="background1"/>
                <w:sz w:val="18"/>
                <w:szCs w:val="18"/>
              </w:rPr>
            </w:pPr>
            <w:r w:rsidRPr="00866B26">
              <w:rPr>
                <w:b/>
                <w:color w:val="FFFFFF" w:themeColor="background1"/>
                <w:sz w:val="18"/>
                <w:szCs w:val="18"/>
              </w:rPr>
              <w:t>Median (days)</w:t>
            </w:r>
          </w:p>
        </w:tc>
        <w:tc>
          <w:tcPr>
            <w:tcW w:w="907" w:type="dxa"/>
            <w:shd w:val="clear" w:color="auto" w:fill="0070C0"/>
          </w:tcPr>
          <w:p w:rsidR="004D5254" w:rsidRPr="00866B26" w:rsidRDefault="004D5254" w:rsidP="00C80331">
            <w:pPr>
              <w:keepNext/>
              <w:spacing w:before="40" w:after="40"/>
              <w:jc w:val="center"/>
              <w:rPr>
                <w:b/>
                <w:color w:val="FFFFFF" w:themeColor="background1"/>
                <w:sz w:val="18"/>
                <w:szCs w:val="18"/>
              </w:rPr>
            </w:pPr>
            <w:r w:rsidRPr="00866B26">
              <w:rPr>
                <w:b/>
                <w:color w:val="FFFFFF" w:themeColor="background1"/>
                <w:sz w:val="18"/>
                <w:szCs w:val="18"/>
              </w:rPr>
              <w:t>HR</w:t>
            </w:r>
          </w:p>
        </w:tc>
      </w:tr>
      <w:tr w:rsidR="004D5254" w:rsidTr="005A260D">
        <w:tc>
          <w:tcPr>
            <w:tcW w:w="3369" w:type="dxa"/>
            <w:vMerge w:val="restart"/>
          </w:tcPr>
          <w:p w:rsidR="004D5254" w:rsidRPr="00866B26" w:rsidRDefault="004D5254" w:rsidP="00C80331">
            <w:pPr>
              <w:keepNext/>
              <w:spacing w:before="40" w:after="40"/>
              <w:rPr>
                <w:sz w:val="18"/>
                <w:szCs w:val="18"/>
              </w:rPr>
            </w:pPr>
            <w:r w:rsidRPr="00866B26">
              <w:rPr>
                <w:b/>
                <w:i/>
                <w:sz w:val="18"/>
                <w:szCs w:val="18"/>
              </w:rPr>
              <w:t>All patients</w:t>
            </w:r>
            <w:r w:rsidRPr="00866B26">
              <w:rPr>
                <w:sz w:val="18"/>
                <w:szCs w:val="18"/>
              </w:rPr>
              <w:t xml:space="preserve">                                   Overall</w:t>
            </w:r>
          </w:p>
        </w:tc>
        <w:tc>
          <w:tcPr>
            <w:tcW w:w="992" w:type="dxa"/>
          </w:tcPr>
          <w:p w:rsidR="004D5254" w:rsidRPr="00866B26" w:rsidRDefault="004D5254" w:rsidP="00C80331">
            <w:pPr>
              <w:keepNext/>
              <w:spacing w:before="40" w:after="40"/>
              <w:jc w:val="center"/>
              <w:rPr>
                <w:sz w:val="18"/>
                <w:szCs w:val="18"/>
              </w:rPr>
            </w:pPr>
            <w:r w:rsidRPr="00866B26">
              <w:rPr>
                <w:sz w:val="18"/>
                <w:szCs w:val="18"/>
              </w:rPr>
              <w:t>PDX</w:t>
            </w:r>
          </w:p>
        </w:tc>
        <w:tc>
          <w:tcPr>
            <w:tcW w:w="567" w:type="dxa"/>
          </w:tcPr>
          <w:p w:rsidR="004D5254" w:rsidRPr="00866B26" w:rsidRDefault="004D5254" w:rsidP="00C80331">
            <w:pPr>
              <w:keepNext/>
              <w:spacing w:before="40" w:after="40"/>
              <w:jc w:val="center"/>
              <w:rPr>
                <w:sz w:val="18"/>
                <w:szCs w:val="18"/>
              </w:rPr>
            </w:pPr>
            <w:r w:rsidRPr="00866B26">
              <w:rPr>
                <w:sz w:val="18"/>
                <w:szCs w:val="18"/>
              </w:rPr>
              <w:t>109</w:t>
            </w:r>
          </w:p>
        </w:tc>
        <w:tc>
          <w:tcPr>
            <w:tcW w:w="1134" w:type="dxa"/>
          </w:tcPr>
          <w:p w:rsidR="004D5254" w:rsidRPr="00866B26" w:rsidRDefault="004D5254" w:rsidP="00C80331">
            <w:pPr>
              <w:keepNext/>
              <w:spacing w:before="40" w:after="40"/>
              <w:jc w:val="center"/>
              <w:rPr>
                <w:sz w:val="18"/>
                <w:szCs w:val="18"/>
              </w:rPr>
            </w:pPr>
            <w:r w:rsidRPr="00866B26">
              <w:rPr>
                <w:sz w:val="18"/>
                <w:szCs w:val="18"/>
              </w:rPr>
              <w:t>39%</w:t>
            </w:r>
          </w:p>
        </w:tc>
        <w:tc>
          <w:tcPr>
            <w:tcW w:w="992" w:type="dxa"/>
          </w:tcPr>
          <w:p w:rsidR="004D5254" w:rsidRPr="00866B26" w:rsidRDefault="004D5254" w:rsidP="00C80331">
            <w:pPr>
              <w:keepNext/>
              <w:spacing w:before="40" w:after="40"/>
              <w:jc w:val="center"/>
              <w:rPr>
                <w:sz w:val="18"/>
                <w:szCs w:val="18"/>
              </w:rPr>
            </w:pPr>
            <w:r w:rsidRPr="00866B26">
              <w:rPr>
                <w:sz w:val="18"/>
                <w:szCs w:val="18"/>
              </w:rPr>
              <w:t>121</w:t>
            </w:r>
          </w:p>
        </w:tc>
        <w:tc>
          <w:tcPr>
            <w:tcW w:w="680" w:type="dxa"/>
            <w:vMerge w:val="restart"/>
          </w:tcPr>
          <w:p w:rsidR="004D5254" w:rsidRPr="00866B26" w:rsidRDefault="004D5254" w:rsidP="00C80331">
            <w:pPr>
              <w:keepNext/>
              <w:jc w:val="center"/>
              <w:rPr>
                <w:sz w:val="18"/>
                <w:szCs w:val="18"/>
              </w:rPr>
            </w:pPr>
          </w:p>
          <w:p w:rsidR="004D5254" w:rsidRPr="00866B26" w:rsidRDefault="004D5254" w:rsidP="00C80331">
            <w:pPr>
              <w:keepNext/>
              <w:jc w:val="center"/>
              <w:rPr>
                <w:sz w:val="18"/>
                <w:szCs w:val="18"/>
              </w:rPr>
            </w:pPr>
            <w:r w:rsidRPr="00866B26">
              <w:rPr>
                <w:sz w:val="18"/>
                <w:szCs w:val="18"/>
              </w:rPr>
              <w:t>1.05</w:t>
            </w:r>
          </w:p>
        </w:tc>
        <w:tc>
          <w:tcPr>
            <w:tcW w:w="907" w:type="dxa"/>
          </w:tcPr>
          <w:p w:rsidR="004D5254" w:rsidRPr="00866B26" w:rsidRDefault="004D5254" w:rsidP="00C80331">
            <w:pPr>
              <w:keepNext/>
              <w:spacing w:before="40" w:after="40"/>
              <w:jc w:val="center"/>
              <w:rPr>
                <w:sz w:val="18"/>
                <w:szCs w:val="18"/>
              </w:rPr>
            </w:pPr>
            <w:r w:rsidRPr="00866B26">
              <w:rPr>
                <w:sz w:val="18"/>
                <w:szCs w:val="18"/>
              </w:rPr>
              <w:t>142</w:t>
            </w:r>
          </w:p>
        </w:tc>
        <w:tc>
          <w:tcPr>
            <w:tcW w:w="907" w:type="dxa"/>
            <w:vMerge w:val="restart"/>
          </w:tcPr>
          <w:p w:rsidR="004D5254" w:rsidRPr="00866B26" w:rsidRDefault="004D5254" w:rsidP="00C80331">
            <w:pPr>
              <w:keepNext/>
              <w:jc w:val="center"/>
              <w:rPr>
                <w:sz w:val="18"/>
                <w:szCs w:val="18"/>
              </w:rPr>
            </w:pPr>
          </w:p>
          <w:p w:rsidR="004D5254" w:rsidRPr="00866B26" w:rsidRDefault="004D5254" w:rsidP="00C80331">
            <w:pPr>
              <w:keepNext/>
              <w:jc w:val="center"/>
              <w:rPr>
                <w:sz w:val="18"/>
                <w:szCs w:val="18"/>
              </w:rPr>
            </w:pPr>
            <w:r w:rsidRPr="00866B26">
              <w:rPr>
                <w:sz w:val="18"/>
                <w:szCs w:val="18"/>
              </w:rPr>
              <w:t>1.15</w:t>
            </w:r>
          </w:p>
        </w:tc>
      </w:tr>
      <w:tr w:rsidR="004D5254" w:rsidTr="005A260D">
        <w:tc>
          <w:tcPr>
            <w:tcW w:w="3369" w:type="dxa"/>
            <w:vMerge/>
          </w:tcPr>
          <w:p w:rsidR="004D5254" w:rsidRPr="00866B26" w:rsidRDefault="004D5254" w:rsidP="00C80331">
            <w:pPr>
              <w:spacing w:before="40" w:after="40"/>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109</w:t>
            </w:r>
          </w:p>
        </w:tc>
        <w:tc>
          <w:tcPr>
            <w:tcW w:w="1134" w:type="dxa"/>
          </w:tcPr>
          <w:p w:rsidR="004D5254" w:rsidRPr="00866B26" w:rsidRDefault="004D5254" w:rsidP="00C80331">
            <w:pPr>
              <w:spacing w:before="40" w:after="40"/>
              <w:jc w:val="center"/>
              <w:rPr>
                <w:sz w:val="18"/>
                <w:szCs w:val="18"/>
              </w:rPr>
            </w:pPr>
            <w:r w:rsidRPr="00866B26">
              <w:rPr>
                <w:sz w:val="18"/>
                <w:szCs w:val="18"/>
              </w:rPr>
              <w:t>38%</w:t>
            </w:r>
          </w:p>
        </w:tc>
        <w:tc>
          <w:tcPr>
            <w:tcW w:w="992" w:type="dxa"/>
          </w:tcPr>
          <w:p w:rsidR="004D5254" w:rsidRPr="00866B26" w:rsidRDefault="004D5254" w:rsidP="00C80331">
            <w:pPr>
              <w:spacing w:before="40" w:after="40"/>
              <w:jc w:val="center"/>
              <w:rPr>
                <w:sz w:val="18"/>
                <w:szCs w:val="18"/>
              </w:rPr>
            </w:pPr>
            <w:r w:rsidRPr="00866B26">
              <w:rPr>
                <w:sz w:val="18"/>
                <w:szCs w:val="18"/>
              </w:rPr>
              <w:t>114</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114</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jc w:val="right"/>
              <w:rPr>
                <w:sz w:val="18"/>
                <w:szCs w:val="18"/>
              </w:rPr>
            </w:pPr>
            <w:r w:rsidRPr="00866B26">
              <w:rPr>
                <w:sz w:val="18"/>
                <w:szCs w:val="18"/>
              </w:rPr>
              <w:t>Single agent</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20</w:t>
            </w:r>
          </w:p>
        </w:tc>
        <w:tc>
          <w:tcPr>
            <w:tcW w:w="1134" w:type="dxa"/>
          </w:tcPr>
          <w:p w:rsidR="004D5254" w:rsidRPr="00866B26" w:rsidRDefault="004D5254" w:rsidP="00C80331">
            <w:pPr>
              <w:spacing w:before="40" w:after="40"/>
              <w:jc w:val="center"/>
              <w:rPr>
                <w:sz w:val="18"/>
                <w:szCs w:val="18"/>
              </w:rPr>
            </w:pPr>
            <w:r w:rsidRPr="00866B26">
              <w:rPr>
                <w:sz w:val="18"/>
                <w:szCs w:val="18"/>
              </w:rPr>
              <w:t>50%</w:t>
            </w:r>
          </w:p>
        </w:tc>
        <w:tc>
          <w:tcPr>
            <w:tcW w:w="992" w:type="dxa"/>
          </w:tcPr>
          <w:p w:rsidR="004D5254" w:rsidRPr="00866B26" w:rsidRDefault="004D5254" w:rsidP="00C80331">
            <w:pPr>
              <w:spacing w:before="40" w:after="40"/>
              <w:jc w:val="center"/>
              <w:rPr>
                <w:sz w:val="18"/>
                <w:szCs w:val="18"/>
              </w:rPr>
            </w:pPr>
            <w:r w:rsidRPr="00866B26">
              <w:rPr>
                <w:sz w:val="18"/>
                <w:szCs w:val="18"/>
              </w:rPr>
              <w:t>67.5</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1.09</w:t>
            </w:r>
          </w:p>
        </w:tc>
        <w:tc>
          <w:tcPr>
            <w:tcW w:w="907" w:type="dxa"/>
          </w:tcPr>
          <w:p w:rsidR="004D5254" w:rsidRPr="00866B26" w:rsidRDefault="004D5254" w:rsidP="00C80331">
            <w:pPr>
              <w:spacing w:before="40" w:after="40"/>
              <w:jc w:val="center"/>
              <w:rPr>
                <w:sz w:val="18"/>
                <w:szCs w:val="18"/>
              </w:rPr>
            </w:pPr>
            <w:r w:rsidRPr="00866B26">
              <w:rPr>
                <w:sz w:val="18"/>
                <w:szCs w:val="18"/>
              </w:rPr>
              <w:t>86</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1.21</w:t>
            </w:r>
          </w:p>
        </w:tc>
      </w:tr>
      <w:tr w:rsidR="004D5254" w:rsidTr="005A260D">
        <w:tc>
          <w:tcPr>
            <w:tcW w:w="3369" w:type="dxa"/>
            <w:vMerge/>
          </w:tcPr>
          <w:p w:rsidR="004D5254" w:rsidRPr="00866B26" w:rsidRDefault="004D5254" w:rsidP="00C80331">
            <w:pPr>
              <w:spacing w:before="40" w:after="40"/>
              <w:jc w:val="right"/>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20</w:t>
            </w:r>
          </w:p>
        </w:tc>
        <w:tc>
          <w:tcPr>
            <w:tcW w:w="1134" w:type="dxa"/>
          </w:tcPr>
          <w:p w:rsidR="004D5254" w:rsidRPr="00866B26" w:rsidRDefault="004D5254" w:rsidP="00C80331">
            <w:pPr>
              <w:spacing w:before="40" w:after="40"/>
              <w:jc w:val="center"/>
              <w:rPr>
                <w:sz w:val="18"/>
                <w:szCs w:val="18"/>
              </w:rPr>
            </w:pPr>
            <w:r w:rsidRPr="00866B26">
              <w:rPr>
                <w:sz w:val="18"/>
                <w:szCs w:val="18"/>
              </w:rPr>
              <w:t>15%</w:t>
            </w:r>
          </w:p>
        </w:tc>
        <w:tc>
          <w:tcPr>
            <w:tcW w:w="992" w:type="dxa"/>
          </w:tcPr>
          <w:p w:rsidR="004D5254" w:rsidRPr="00866B26" w:rsidRDefault="004D5254" w:rsidP="00C80331">
            <w:pPr>
              <w:spacing w:before="40" w:after="40"/>
              <w:jc w:val="center"/>
              <w:rPr>
                <w:sz w:val="18"/>
                <w:szCs w:val="18"/>
              </w:rPr>
            </w:pPr>
            <w:r w:rsidRPr="00866B26">
              <w:rPr>
                <w:sz w:val="18"/>
                <w:szCs w:val="18"/>
              </w:rPr>
              <w:t>82.5</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82.5</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jc w:val="right"/>
              <w:rPr>
                <w:sz w:val="18"/>
                <w:szCs w:val="18"/>
              </w:rPr>
            </w:pPr>
            <w:r w:rsidRPr="00866B26">
              <w:rPr>
                <w:sz w:val="18"/>
                <w:szCs w:val="18"/>
              </w:rPr>
              <w:t>CHOP</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31</w:t>
            </w:r>
          </w:p>
        </w:tc>
        <w:tc>
          <w:tcPr>
            <w:tcW w:w="1134" w:type="dxa"/>
          </w:tcPr>
          <w:p w:rsidR="004D5254" w:rsidRPr="00866B26" w:rsidRDefault="004D5254" w:rsidP="00C80331">
            <w:pPr>
              <w:spacing w:before="40" w:after="40"/>
              <w:jc w:val="center"/>
              <w:rPr>
                <w:sz w:val="18"/>
                <w:szCs w:val="18"/>
              </w:rPr>
            </w:pPr>
            <w:r w:rsidRPr="00866B26">
              <w:rPr>
                <w:sz w:val="18"/>
                <w:szCs w:val="18"/>
              </w:rPr>
              <w:t>35%</w:t>
            </w:r>
          </w:p>
        </w:tc>
        <w:tc>
          <w:tcPr>
            <w:tcW w:w="992" w:type="dxa"/>
          </w:tcPr>
          <w:p w:rsidR="004D5254" w:rsidRPr="00866B26" w:rsidRDefault="004D5254" w:rsidP="00C80331">
            <w:pPr>
              <w:spacing w:before="40" w:after="40"/>
              <w:jc w:val="center"/>
              <w:rPr>
                <w:sz w:val="18"/>
                <w:szCs w:val="18"/>
              </w:rPr>
            </w:pPr>
            <w:r w:rsidRPr="00866B26">
              <w:rPr>
                <w:sz w:val="18"/>
                <w:szCs w:val="18"/>
              </w:rPr>
              <w:t>148</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0.79</w:t>
            </w:r>
          </w:p>
        </w:tc>
        <w:tc>
          <w:tcPr>
            <w:tcW w:w="907" w:type="dxa"/>
          </w:tcPr>
          <w:p w:rsidR="004D5254" w:rsidRPr="00866B26" w:rsidRDefault="004D5254" w:rsidP="00C80331">
            <w:pPr>
              <w:spacing w:before="40" w:after="40"/>
              <w:jc w:val="center"/>
              <w:rPr>
                <w:sz w:val="18"/>
                <w:szCs w:val="18"/>
              </w:rPr>
            </w:pPr>
            <w:r w:rsidRPr="00866B26">
              <w:rPr>
                <w:sz w:val="18"/>
                <w:szCs w:val="18"/>
              </w:rPr>
              <w:t>150</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0.86</w:t>
            </w:r>
          </w:p>
        </w:tc>
      </w:tr>
      <w:tr w:rsidR="004D5254" w:rsidTr="005A260D">
        <w:tc>
          <w:tcPr>
            <w:tcW w:w="3369" w:type="dxa"/>
            <w:vMerge/>
          </w:tcPr>
          <w:p w:rsidR="004D5254" w:rsidRPr="00866B26" w:rsidRDefault="004D5254" w:rsidP="00C80331">
            <w:pPr>
              <w:spacing w:before="40" w:after="40"/>
              <w:jc w:val="right"/>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31</w:t>
            </w:r>
          </w:p>
        </w:tc>
        <w:tc>
          <w:tcPr>
            <w:tcW w:w="1134" w:type="dxa"/>
          </w:tcPr>
          <w:p w:rsidR="004D5254" w:rsidRPr="00866B26" w:rsidRDefault="004D5254" w:rsidP="00C80331">
            <w:pPr>
              <w:spacing w:before="40" w:after="40"/>
              <w:jc w:val="center"/>
              <w:rPr>
                <w:sz w:val="18"/>
                <w:szCs w:val="18"/>
              </w:rPr>
            </w:pPr>
            <w:r w:rsidRPr="00866B26">
              <w:rPr>
                <w:sz w:val="18"/>
                <w:szCs w:val="18"/>
              </w:rPr>
              <w:t>58%</w:t>
            </w:r>
          </w:p>
        </w:tc>
        <w:tc>
          <w:tcPr>
            <w:tcW w:w="992" w:type="dxa"/>
          </w:tcPr>
          <w:p w:rsidR="004D5254" w:rsidRPr="00866B26" w:rsidRDefault="004D5254" w:rsidP="00C80331">
            <w:pPr>
              <w:spacing w:before="40" w:after="40"/>
              <w:jc w:val="center"/>
              <w:rPr>
                <w:sz w:val="18"/>
                <w:szCs w:val="18"/>
              </w:rPr>
            </w:pPr>
            <w:r w:rsidRPr="00866B26">
              <w:rPr>
                <w:sz w:val="18"/>
                <w:szCs w:val="18"/>
              </w:rPr>
              <w:t>151</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151</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jc w:val="right"/>
              <w:rPr>
                <w:sz w:val="18"/>
                <w:szCs w:val="18"/>
              </w:rPr>
            </w:pPr>
            <w:r w:rsidRPr="00866B26">
              <w:rPr>
                <w:sz w:val="18"/>
                <w:szCs w:val="18"/>
              </w:rPr>
              <w:t>Bexarotene/denileukin diftitox</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10</w:t>
            </w:r>
          </w:p>
        </w:tc>
        <w:tc>
          <w:tcPr>
            <w:tcW w:w="1134" w:type="dxa"/>
          </w:tcPr>
          <w:p w:rsidR="004D5254" w:rsidRPr="00866B26" w:rsidRDefault="004D5254" w:rsidP="00C80331">
            <w:pPr>
              <w:spacing w:before="40" w:after="40"/>
              <w:jc w:val="center"/>
              <w:rPr>
                <w:sz w:val="18"/>
                <w:szCs w:val="18"/>
              </w:rPr>
            </w:pPr>
            <w:r w:rsidRPr="00866B26">
              <w:rPr>
                <w:sz w:val="18"/>
                <w:szCs w:val="18"/>
              </w:rPr>
              <w:t>70%</w:t>
            </w:r>
          </w:p>
        </w:tc>
        <w:tc>
          <w:tcPr>
            <w:tcW w:w="992" w:type="dxa"/>
          </w:tcPr>
          <w:p w:rsidR="004D5254" w:rsidRPr="00866B26" w:rsidRDefault="004D5254" w:rsidP="00C80331">
            <w:pPr>
              <w:spacing w:before="40" w:after="40"/>
              <w:jc w:val="center"/>
              <w:rPr>
                <w:sz w:val="18"/>
                <w:szCs w:val="18"/>
              </w:rPr>
            </w:pPr>
            <w:r w:rsidRPr="00866B26">
              <w:rPr>
                <w:sz w:val="18"/>
                <w:szCs w:val="18"/>
              </w:rPr>
              <w:t>254</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1.58</w:t>
            </w:r>
          </w:p>
        </w:tc>
        <w:tc>
          <w:tcPr>
            <w:tcW w:w="907" w:type="dxa"/>
          </w:tcPr>
          <w:p w:rsidR="004D5254" w:rsidRPr="00866B26" w:rsidRDefault="004D5254" w:rsidP="00C80331">
            <w:pPr>
              <w:spacing w:before="40" w:after="40"/>
              <w:jc w:val="center"/>
              <w:rPr>
                <w:sz w:val="18"/>
                <w:szCs w:val="18"/>
              </w:rPr>
            </w:pPr>
            <w:r w:rsidRPr="00866B26">
              <w:rPr>
                <w:sz w:val="18"/>
                <w:szCs w:val="18"/>
              </w:rPr>
              <w:t>254</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1.58</w:t>
            </w:r>
          </w:p>
        </w:tc>
      </w:tr>
      <w:tr w:rsidR="004D5254" w:rsidTr="005A260D">
        <w:tc>
          <w:tcPr>
            <w:tcW w:w="3369" w:type="dxa"/>
            <w:vMerge/>
          </w:tcPr>
          <w:p w:rsidR="004D5254" w:rsidRPr="00866B26" w:rsidRDefault="004D5254" w:rsidP="00C80331">
            <w:pPr>
              <w:spacing w:before="40" w:after="40"/>
              <w:jc w:val="right"/>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10</w:t>
            </w:r>
          </w:p>
        </w:tc>
        <w:tc>
          <w:tcPr>
            <w:tcW w:w="1134" w:type="dxa"/>
          </w:tcPr>
          <w:p w:rsidR="004D5254" w:rsidRPr="00866B26" w:rsidRDefault="004D5254" w:rsidP="00C80331">
            <w:pPr>
              <w:spacing w:before="40" w:after="40"/>
              <w:jc w:val="center"/>
              <w:rPr>
                <w:sz w:val="18"/>
                <w:szCs w:val="18"/>
              </w:rPr>
            </w:pPr>
            <w:r w:rsidRPr="00866B26">
              <w:rPr>
                <w:sz w:val="18"/>
                <w:szCs w:val="18"/>
              </w:rPr>
              <w:t>30%</w:t>
            </w:r>
          </w:p>
        </w:tc>
        <w:tc>
          <w:tcPr>
            <w:tcW w:w="992" w:type="dxa"/>
          </w:tcPr>
          <w:p w:rsidR="004D5254" w:rsidRPr="00866B26" w:rsidRDefault="004D5254" w:rsidP="00C80331">
            <w:pPr>
              <w:spacing w:before="40" w:after="40"/>
              <w:jc w:val="center"/>
              <w:rPr>
                <w:sz w:val="18"/>
                <w:szCs w:val="18"/>
              </w:rPr>
            </w:pPr>
            <w:r w:rsidRPr="00866B26">
              <w:rPr>
                <w:sz w:val="18"/>
                <w:szCs w:val="18"/>
              </w:rPr>
              <w:t>84.5</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84.5</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jc w:val="right"/>
              <w:rPr>
                <w:sz w:val="18"/>
                <w:szCs w:val="18"/>
              </w:rPr>
            </w:pPr>
            <w:r w:rsidRPr="00866B26">
              <w:rPr>
                <w:sz w:val="18"/>
                <w:szCs w:val="18"/>
              </w:rPr>
              <w:t>Platinum-based multi-agent</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17</w:t>
            </w:r>
          </w:p>
        </w:tc>
        <w:tc>
          <w:tcPr>
            <w:tcW w:w="1134" w:type="dxa"/>
          </w:tcPr>
          <w:p w:rsidR="004D5254" w:rsidRPr="00866B26" w:rsidRDefault="004D5254" w:rsidP="00C80331">
            <w:pPr>
              <w:spacing w:before="40" w:after="40"/>
              <w:jc w:val="center"/>
              <w:rPr>
                <w:sz w:val="18"/>
                <w:szCs w:val="18"/>
              </w:rPr>
            </w:pPr>
            <w:r w:rsidRPr="00866B26">
              <w:rPr>
                <w:sz w:val="18"/>
                <w:szCs w:val="18"/>
              </w:rPr>
              <w:t>24%</w:t>
            </w:r>
          </w:p>
        </w:tc>
        <w:tc>
          <w:tcPr>
            <w:tcW w:w="992" w:type="dxa"/>
          </w:tcPr>
          <w:p w:rsidR="004D5254" w:rsidRPr="00866B26" w:rsidRDefault="004D5254" w:rsidP="00C80331">
            <w:pPr>
              <w:spacing w:before="40" w:after="40"/>
              <w:jc w:val="center"/>
              <w:rPr>
                <w:sz w:val="18"/>
                <w:szCs w:val="18"/>
              </w:rPr>
            </w:pPr>
            <w:r w:rsidRPr="00866B26">
              <w:rPr>
                <w:sz w:val="18"/>
                <w:szCs w:val="18"/>
              </w:rPr>
              <w:t>77</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1.12</w:t>
            </w:r>
          </w:p>
        </w:tc>
        <w:tc>
          <w:tcPr>
            <w:tcW w:w="907" w:type="dxa"/>
          </w:tcPr>
          <w:p w:rsidR="004D5254" w:rsidRPr="00866B26" w:rsidRDefault="004D5254" w:rsidP="00C80331">
            <w:pPr>
              <w:spacing w:before="40" w:after="40"/>
              <w:jc w:val="center"/>
              <w:rPr>
                <w:sz w:val="18"/>
                <w:szCs w:val="18"/>
              </w:rPr>
            </w:pPr>
            <w:r w:rsidRPr="00866B26">
              <w:rPr>
                <w:sz w:val="18"/>
                <w:szCs w:val="18"/>
              </w:rPr>
              <w:t>77</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1.12</w:t>
            </w:r>
          </w:p>
        </w:tc>
      </w:tr>
      <w:tr w:rsidR="004D5254" w:rsidTr="005A260D">
        <w:tc>
          <w:tcPr>
            <w:tcW w:w="3369" w:type="dxa"/>
            <w:vMerge/>
          </w:tcPr>
          <w:p w:rsidR="004D5254" w:rsidRPr="00866B26" w:rsidRDefault="004D5254" w:rsidP="00C80331">
            <w:pPr>
              <w:spacing w:before="40" w:after="40"/>
              <w:jc w:val="right"/>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17</w:t>
            </w:r>
          </w:p>
        </w:tc>
        <w:tc>
          <w:tcPr>
            <w:tcW w:w="1134" w:type="dxa"/>
          </w:tcPr>
          <w:p w:rsidR="004D5254" w:rsidRPr="00866B26" w:rsidRDefault="004D5254" w:rsidP="00C80331">
            <w:pPr>
              <w:spacing w:before="40" w:after="40"/>
              <w:jc w:val="center"/>
              <w:rPr>
                <w:sz w:val="18"/>
                <w:szCs w:val="18"/>
              </w:rPr>
            </w:pPr>
            <w:r w:rsidRPr="00866B26">
              <w:rPr>
                <w:sz w:val="18"/>
                <w:szCs w:val="18"/>
              </w:rPr>
              <w:t>24%</w:t>
            </w:r>
          </w:p>
        </w:tc>
        <w:tc>
          <w:tcPr>
            <w:tcW w:w="992" w:type="dxa"/>
          </w:tcPr>
          <w:p w:rsidR="004D5254" w:rsidRPr="00866B26" w:rsidRDefault="004D5254" w:rsidP="00C80331">
            <w:pPr>
              <w:spacing w:before="40" w:after="40"/>
              <w:jc w:val="center"/>
              <w:rPr>
                <w:sz w:val="18"/>
                <w:szCs w:val="18"/>
              </w:rPr>
            </w:pPr>
            <w:r w:rsidRPr="00866B26">
              <w:rPr>
                <w:sz w:val="18"/>
                <w:szCs w:val="18"/>
              </w:rPr>
              <w:t>63</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63</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rPr>
                <w:sz w:val="18"/>
                <w:szCs w:val="18"/>
              </w:rPr>
            </w:pPr>
            <w:r>
              <w:rPr>
                <w:sz w:val="18"/>
                <w:szCs w:val="18"/>
              </w:rPr>
              <w:t xml:space="preserve">     </w:t>
            </w:r>
            <w:r w:rsidRPr="00866B26">
              <w:rPr>
                <w:sz w:val="18"/>
                <w:szCs w:val="18"/>
              </w:rPr>
              <w:t>Non-platinum non-CHOP multi-agent</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14</w:t>
            </w:r>
          </w:p>
        </w:tc>
        <w:tc>
          <w:tcPr>
            <w:tcW w:w="1134" w:type="dxa"/>
          </w:tcPr>
          <w:p w:rsidR="004D5254" w:rsidRPr="00866B26" w:rsidRDefault="004D5254" w:rsidP="00C80331">
            <w:pPr>
              <w:spacing w:before="40" w:after="40"/>
              <w:jc w:val="center"/>
              <w:rPr>
                <w:sz w:val="18"/>
                <w:szCs w:val="18"/>
              </w:rPr>
            </w:pPr>
            <w:r w:rsidRPr="00866B26">
              <w:rPr>
                <w:sz w:val="18"/>
                <w:szCs w:val="18"/>
              </w:rPr>
              <w:t>29%</w:t>
            </w:r>
          </w:p>
        </w:tc>
        <w:tc>
          <w:tcPr>
            <w:tcW w:w="992" w:type="dxa"/>
          </w:tcPr>
          <w:p w:rsidR="004D5254" w:rsidRPr="00866B26" w:rsidRDefault="004D5254" w:rsidP="00C80331">
            <w:pPr>
              <w:spacing w:before="40" w:after="40"/>
              <w:jc w:val="center"/>
              <w:rPr>
                <w:sz w:val="18"/>
                <w:szCs w:val="18"/>
              </w:rPr>
            </w:pPr>
            <w:r w:rsidRPr="00866B26">
              <w:rPr>
                <w:sz w:val="18"/>
                <w:szCs w:val="18"/>
              </w:rPr>
              <w:t>57</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0.97</w:t>
            </w:r>
          </w:p>
        </w:tc>
        <w:tc>
          <w:tcPr>
            <w:tcW w:w="907" w:type="dxa"/>
          </w:tcPr>
          <w:p w:rsidR="004D5254" w:rsidRPr="00866B26" w:rsidRDefault="004D5254" w:rsidP="00C80331">
            <w:pPr>
              <w:spacing w:before="40" w:after="40"/>
              <w:jc w:val="center"/>
              <w:rPr>
                <w:sz w:val="18"/>
                <w:szCs w:val="18"/>
              </w:rPr>
            </w:pPr>
            <w:r w:rsidRPr="00866B26">
              <w:rPr>
                <w:sz w:val="18"/>
                <w:szCs w:val="18"/>
              </w:rPr>
              <w:t>121</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1.22</w:t>
            </w:r>
          </w:p>
        </w:tc>
      </w:tr>
      <w:tr w:rsidR="004D5254" w:rsidTr="005A260D">
        <w:tc>
          <w:tcPr>
            <w:tcW w:w="3369" w:type="dxa"/>
            <w:vMerge/>
          </w:tcPr>
          <w:p w:rsidR="004D5254" w:rsidRPr="00866B26" w:rsidRDefault="004D5254" w:rsidP="00C80331">
            <w:pPr>
              <w:spacing w:before="40" w:after="40"/>
              <w:jc w:val="right"/>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14</w:t>
            </w:r>
          </w:p>
        </w:tc>
        <w:tc>
          <w:tcPr>
            <w:tcW w:w="1134" w:type="dxa"/>
          </w:tcPr>
          <w:p w:rsidR="004D5254" w:rsidRPr="00866B26" w:rsidRDefault="004D5254" w:rsidP="00C80331">
            <w:pPr>
              <w:spacing w:before="40" w:after="40"/>
              <w:jc w:val="center"/>
              <w:rPr>
                <w:sz w:val="18"/>
                <w:szCs w:val="18"/>
              </w:rPr>
            </w:pPr>
            <w:r w:rsidRPr="00866B26">
              <w:rPr>
                <w:sz w:val="18"/>
                <w:szCs w:val="18"/>
              </w:rPr>
              <w:t>43%</w:t>
            </w:r>
          </w:p>
        </w:tc>
        <w:tc>
          <w:tcPr>
            <w:tcW w:w="992" w:type="dxa"/>
          </w:tcPr>
          <w:p w:rsidR="004D5254" w:rsidRPr="00866B26" w:rsidRDefault="004D5254" w:rsidP="00C80331">
            <w:pPr>
              <w:spacing w:before="40" w:after="40"/>
              <w:jc w:val="center"/>
              <w:rPr>
                <w:sz w:val="18"/>
                <w:szCs w:val="18"/>
              </w:rPr>
            </w:pPr>
            <w:r w:rsidRPr="00866B26">
              <w:rPr>
                <w:sz w:val="18"/>
                <w:szCs w:val="18"/>
              </w:rPr>
              <w:t>95.5</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95.5</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jc w:val="right"/>
              <w:rPr>
                <w:sz w:val="18"/>
                <w:szCs w:val="18"/>
              </w:rPr>
            </w:pPr>
            <w:r w:rsidRPr="00866B26">
              <w:rPr>
                <w:sz w:val="18"/>
                <w:szCs w:val="18"/>
              </w:rPr>
              <w:t>SCT</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9</w:t>
            </w:r>
          </w:p>
        </w:tc>
        <w:tc>
          <w:tcPr>
            <w:tcW w:w="1134" w:type="dxa"/>
          </w:tcPr>
          <w:p w:rsidR="004D5254" w:rsidRPr="00866B26" w:rsidRDefault="004D5254" w:rsidP="00C80331">
            <w:pPr>
              <w:spacing w:before="40" w:after="40"/>
              <w:jc w:val="center"/>
              <w:rPr>
                <w:sz w:val="18"/>
                <w:szCs w:val="18"/>
              </w:rPr>
            </w:pPr>
            <w:r w:rsidRPr="00866B26">
              <w:rPr>
                <w:sz w:val="18"/>
                <w:szCs w:val="18"/>
              </w:rPr>
              <w:t>56%</w:t>
            </w:r>
          </w:p>
        </w:tc>
        <w:tc>
          <w:tcPr>
            <w:tcW w:w="992" w:type="dxa"/>
          </w:tcPr>
          <w:p w:rsidR="004D5254" w:rsidRPr="00866B26" w:rsidRDefault="004D5254" w:rsidP="00C80331">
            <w:pPr>
              <w:spacing w:before="40" w:after="40"/>
              <w:jc w:val="center"/>
              <w:rPr>
                <w:sz w:val="18"/>
                <w:szCs w:val="18"/>
              </w:rPr>
            </w:pPr>
            <w:r w:rsidRPr="00866B26">
              <w:rPr>
                <w:sz w:val="18"/>
                <w:szCs w:val="18"/>
              </w:rPr>
              <w:t>324</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2.38</w:t>
            </w:r>
          </w:p>
        </w:tc>
        <w:tc>
          <w:tcPr>
            <w:tcW w:w="907" w:type="dxa"/>
          </w:tcPr>
          <w:p w:rsidR="004D5254" w:rsidRPr="00866B26" w:rsidRDefault="004D5254" w:rsidP="00C80331">
            <w:pPr>
              <w:spacing w:before="40" w:after="40"/>
              <w:jc w:val="center"/>
              <w:rPr>
                <w:sz w:val="18"/>
                <w:szCs w:val="18"/>
              </w:rPr>
            </w:pPr>
            <w:r w:rsidRPr="00866B26">
              <w:rPr>
                <w:sz w:val="18"/>
                <w:szCs w:val="18"/>
              </w:rPr>
              <w:t>234</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2.38</w:t>
            </w:r>
          </w:p>
        </w:tc>
      </w:tr>
      <w:tr w:rsidR="004D5254" w:rsidTr="005A260D">
        <w:tc>
          <w:tcPr>
            <w:tcW w:w="3369" w:type="dxa"/>
            <w:vMerge/>
          </w:tcPr>
          <w:p w:rsidR="004D5254" w:rsidRPr="00866B26" w:rsidRDefault="004D5254" w:rsidP="00C80331">
            <w:pPr>
              <w:spacing w:before="40" w:after="40"/>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9</w:t>
            </w:r>
          </w:p>
        </w:tc>
        <w:tc>
          <w:tcPr>
            <w:tcW w:w="1134" w:type="dxa"/>
          </w:tcPr>
          <w:p w:rsidR="004D5254" w:rsidRPr="00866B26" w:rsidRDefault="004D5254" w:rsidP="00C80331">
            <w:pPr>
              <w:spacing w:before="40" w:after="40"/>
              <w:jc w:val="center"/>
              <w:rPr>
                <w:sz w:val="18"/>
                <w:szCs w:val="18"/>
              </w:rPr>
            </w:pPr>
            <w:r w:rsidRPr="00866B26">
              <w:rPr>
                <w:sz w:val="18"/>
                <w:szCs w:val="18"/>
              </w:rPr>
              <w:t>56%</w:t>
            </w:r>
          </w:p>
        </w:tc>
        <w:tc>
          <w:tcPr>
            <w:tcW w:w="992" w:type="dxa"/>
          </w:tcPr>
          <w:p w:rsidR="004D5254" w:rsidRPr="00866B26" w:rsidRDefault="004D5254" w:rsidP="00C80331">
            <w:pPr>
              <w:spacing w:before="40" w:after="40"/>
              <w:jc w:val="center"/>
              <w:rPr>
                <w:sz w:val="18"/>
                <w:szCs w:val="18"/>
              </w:rPr>
            </w:pPr>
            <w:r w:rsidRPr="00866B26">
              <w:rPr>
                <w:sz w:val="18"/>
                <w:szCs w:val="18"/>
              </w:rPr>
              <w:t>274</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274</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rPr>
                <w:sz w:val="18"/>
                <w:szCs w:val="18"/>
              </w:rPr>
            </w:pPr>
            <w:r w:rsidRPr="00866B26">
              <w:rPr>
                <w:b/>
                <w:i/>
                <w:sz w:val="18"/>
                <w:szCs w:val="18"/>
              </w:rPr>
              <w:t>Patients with ≥2 prior regimens</w:t>
            </w:r>
            <w:r w:rsidRPr="00866B26">
              <w:rPr>
                <w:sz w:val="18"/>
                <w:szCs w:val="18"/>
              </w:rPr>
              <w:t xml:space="preserve"> </w:t>
            </w:r>
          </w:p>
          <w:p w:rsidR="004D5254" w:rsidRPr="00866B26" w:rsidRDefault="004D5254" w:rsidP="00C80331">
            <w:pPr>
              <w:spacing w:before="40" w:after="40"/>
              <w:jc w:val="right"/>
              <w:rPr>
                <w:sz w:val="18"/>
                <w:szCs w:val="18"/>
              </w:rPr>
            </w:pPr>
            <w:r w:rsidRPr="00866B26">
              <w:rPr>
                <w:sz w:val="18"/>
                <w:szCs w:val="18"/>
              </w:rPr>
              <w:t>Overall</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86</w:t>
            </w:r>
          </w:p>
        </w:tc>
        <w:tc>
          <w:tcPr>
            <w:tcW w:w="1134" w:type="dxa"/>
          </w:tcPr>
          <w:p w:rsidR="004D5254" w:rsidRPr="00866B26" w:rsidRDefault="004D5254" w:rsidP="00C80331">
            <w:pPr>
              <w:spacing w:before="40" w:after="40"/>
              <w:jc w:val="center"/>
              <w:rPr>
                <w:sz w:val="18"/>
                <w:szCs w:val="18"/>
              </w:rPr>
            </w:pPr>
            <w:r w:rsidRPr="00866B26">
              <w:rPr>
                <w:sz w:val="18"/>
                <w:szCs w:val="18"/>
              </w:rPr>
              <w:t>40%</w:t>
            </w:r>
          </w:p>
        </w:tc>
        <w:tc>
          <w:tcPr>
            <w:tcW w:w="992" w:type="dxa"/>
          </w:tcPr>
          <w:p w:rsidR="004D5254" w:rsidRPr="00866B26" w:rsidRDefault="004D5254" w:rsidP="00C80331">
            <w:pPr>
              <w:spacing w:before="40" w:after="40"/>
              <w:jc w:val="center"/>
              <w:rPr>
                <w:sz w:val="18"/>
                <w:szCs w:val="18"/>
              </w:rPr>
            </w:pPr>
            <w:r w:rsidRPr="00866B26">
              <w:rPr>
                <w:sz w:val="18"/>
                <w:szCs w:val="18"/>
              </w:rPr>
              <w:t>119</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1.20</w:t>
            </w:r>
          </w:p>
        </w:tc>
        <w:tc>
          <w:tcPr>
            <w:tcW w:w="907" w:type="dxa"/>
          </w:tcPr>
          <w:p w:rsidR="004D5254" w:rsidRPr="00866B26" w:rsidRDefault="004D5254" w:rsidP="00C80331">
            <w:pPr>
              <w:spacing w:before="40" w:after="40"/>
              <w:jc w:val="center"/>
              <w:rPr>
                <w:sz w:val="18"/>
                <w:szCs w:val="18"/>
              </w:rPr>
            </w:pPr>
            <w:r w:rsidRPr="00866B26">
              <w:rPr>
                <w:sz w:val="18"/>
                <w:szCs w:val="18"/>
              </w:rPr>
              <w:t>127</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1.29</w:t>
            </w:r>
          </w:p>
        </w:tc>
      </w:tr>
      <w:tr w:rsidR="004D5254" w:rsidTr="005A260D">
        <w:tc>
          <w:tcPr>
            <w:tcW w:w="3369" w:type="dxa"/>
            <w:vMerge/>
          </w:tcPr>
          <w:p w:rsidR="004D5254" w:rsidRPr="00866B26" w:rsidRDefault="004D5254" w:rsidP="00C80331">
            <w:pPr>
              <w:spacing w:before="40" w:after="40"/>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86</w:t>
            </w:r>
          </w:p>
        </w:tc>
        <w:tc>
          <w:tcPr>
            <w:tcW w:w="1134" w:type="dxa"/>
          </w:tcPr>
          <w:p w:rsidR="004D5254" w:rsidRPr="00866B26" w:rsidRDefault="004D5254" w:rsidP="00C80331">
            <w:pPr>
              <w:spacing w:before="40" w:after="40"/>
              <w:jc w:val="center"/>
              <w:rPr>
                <w:sz w:val="18"/>
                <w:szCs w:val="18"/>
              </w:rPr>
            </w:pPr>
            <w:r w:rsidRPr="00866B26">
              <w:rPr>
                <w:sz w:val="18"/>
                <w:szCs w:val="18"/>
              </w:rPr>
              <w:t>29%</w:t>
            </w:r>
          </w:p>
        </w:tc>
        <w:tc>
          <w:tcPr>
            <w:tcW w:w="992" w:type="dxa"/>
          </w:tcPr>
          <w:p w:rsidR="004D5254" w:rsidRPr="00866B26" w:rsidRDefault="004D5254" w:rsidP="00C80331">
            <w:pPr>
              <w:spacing w:before="40" w:after="40"/>
              <w:jc w:val="center"/>
              <w:rPr>
                <w:sz w:val="18"/>
                <w:szCs w:val="18"/>
              </w:rPr>
            </w:pPr>
            <w:r w:rsidRPr="00866B26">
              <w:rPr>
                <w:sz w:val="18"/>
                <w:szCs w:val="18"/>
              </w:rPr>
              <w:t>89.5</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89.5</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jc w:val="right"/>
              <w:rPr>
                <w:sz w:val="18"/>
                <w:szCs w:val="18"/>
              </w:rPr>
            </w:pPr>
            <w:r w:rsidRPr="00866B26">
              <w:rPr>
                <w:sz w:val="18"/>
                <w:szCs w:val="18"/>
              </w:rPr>
              <w:t>Single agent</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18</w:t>
            </w:r>
          </w:p>
        </w:tc>
        <w:tc>
          <w:tcPr>
            <w:tcW w:w="1134" w:type="dxa"/>
          </w:tcPr>
          <w:p w:rsidR="004D5254" w:rsidRPr="00866B26" w:rsidRDefault="004D5254" w:rsidP="00C80331">
            <w:pPr>
              <w:spacing w:before="40" w:after="40"/>
              <w:jc w:val="center"/>
              <w:rPr>
                <w:sz w:val="18"/>
                <w:szCs w:val="18"/>
              </w:rPr>
            </w:pPr>
            <w:r w:rsidRPr="00866B26">
              <w:rPr>
                <w:sz w:val="18"/>
                <w:szCs w:val="18"/>
              </w:rPr>
              <w:t>44%</w:t>
            </w:r>
          </w:p>
        </w:tc>
        <w:tc>
          <w:tcPr>
            <w:tcW w:w="992" w:type="dxa"/>
          </w:tcPr>
          <w:p w:rsidR="004D5254" w:rsidRPr="00866B26" w:rsidRDefault="004D5254" w:rsidP="00C80331">
            <w:pPr>
              <w:spacing w:before="40" w:after="40"/>
              <w:jc w:val="center"/>
              <w:rPr>
                <w:sz w:val="18"/>
                <w:szCs w:val="18"/>
              </w:rPr>
            </w:pPr>
            <w:r w:rsidRPr="00866B26">
              <w:rPr>
                <w:sz w:val="18"/>
                <w:szCs w:val="18"/>
              </w:rPr>
              <w:t>68.5</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1.25</w:t>
            </w:r>
          </w:p>
        </w:tc>
        <w:tc>
          <w:tcPr>
            <w:tcW w:w="907" w:type="dxa"/>
          </w:tcPr>
          <w:p w:rsidR="004D5254" w:rsidRPr="00866B26" w:rsidRDefault="004D5254" w:rsidP="00C80331">
            <w:pPr>
              <w:spacing w:before="40" w:after="40"/>
              <w:jc w:val="center"/>
              <w:rPr>
                <w:sz w:val="18"/>
                <w:szCs w:val="18"/>
              </w:rPr>
            </w:pPr>
            <w:r w:rsidRPr="00866B26">
              <w:rPr>
                <w:sz w:val="18"/>
                <w:szCs w:val="18"/>
              </w:rPr>
              <w:t>86</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1.34</w:t>
            </w:r>
          </w:p>
        </w:tc>
      </w:tr>
      <w:tr w:rsidR="004D5254" w:rsidTr="005A260D">
        <w:tc>
          <w:tcPr>
            <w:tcW w:w="3369" w:type="dxa"/>
            <w:vMerge/>
          </w:tcPr>
          <w:p w:rsidR="004D5254" w:rsidRPr="00866B26" w:rsidRDefault="004D5254" w:rsidP="00C80331">
            <w:pPr>
              <w:spacing w:before="40" w:after="40"/>
              <w:jc w:val="right"/>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18</w:t>
            </w:r>
          </w:p>
        </w:tc>
        <w:tc>
          <w:tcPr>
            <w:tcW w:w="1134" w:type="dxa"/>
          </w:tcPr>
          <w:p w:rsidR="004D5254" w:rsidRPr="00866B26" w:rsidRDefault="004D5254" w:rsidP="00C80331">
            <w:pPr>
              <w:spacing w:before="40" w:after="40"/>
              <w:jc w:val="center"/>
              <w:rPr>
                <w:sz w:val="18"/>
                <w:szCs w:val="18"/>
              </w:rPr>
            </w:pPr>
            <w:r w:rsidRPr="00866B26">
              <w:rPr>
                <w:sz w:val="18"/>
                <w:szCs w:val="18"/>
              </w:rPr>
              <w:t>11%</w:t>
            </w:r>
          </w:p>
        </w:tc>
        <w:tc>
          <w:tcPr>
            <w:tcW w:w="992" w:type="dxa"/>
          </w:tcPr>
          <w:p w:rsidR="004D5254" w:rsidRPr="00866B26" w:rsidRDefault="004D5254" w:rsidP="00C80331">
            <w:pPr>
              <w:spacing w:before="40" w:after="40"/>
              <w:jc w:val="center"/>
              <w:rPr>
                <w:sz w:val="18"/>
                <w:szCs w:val="18"/>
              </w:rPr>
            </w:pPr>
            <w:r w:rsidRPr="00866B26">
              <w:rPr>
                <w:sz w:val="18"/>
                <w:szCs w:val="18"/>
              </w:rPr>
              <w:t>81.5</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81.5</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jc w:val="right"/>
              <w:rPr>
                <w:sz w:val="18"/>
                <w:szCs w:val="18"/>
              </w:rPr>
            </w:pPr>
            <w:r w:rsidRPr="00866B26">
              <w:rPr>
                <w:sz w:val="18"/>
                <w:szCs w:val="18"/>
              </w:rPr>
              <w:t>CHOP</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15</w:t>
            </w:r>
          </w:p>
        </w:tc>
        <w:tc>
          <w:tcPr>
            <w:tcW w:w="1134" w:type="dxa"/>
          </w:tcPr>
          <w:p w:rsidR="004D5254" w:rsidRPr="00866B26" w:rsidRDefault="004D5254" w:rsidP="00C80331">
            <w:pPr>
              <w:spacing w:before="40" w:after="40"/>
              <w:jc w:val="center"/>
              <w:rPr>
                <w:sz w:val="18"/>
                <w:szCs w:val="18"/>
              </w:rPr>
            </w:pPr>
            <w:r w:rsidRPr="00866B26">
              <w:rPr>
                <w:sz w:val="18"/>
                <w:szCs w:val="18"/>
              </w:rPr>
              <w:t>33%</w:t>
            </w:r>
          </w:p>
        </w:tc>
        <w:tc>
          <w:tcPr>
            <w:tcW w:w="992" w:type="dxa"/>
          </w:tcPr>
          <w:p w:rsidR="004D5254" w:rsidRPr="00866B26" w:rsidRDefault="004D5254" w:rsidP="00C80331">
            <w:pPr>
              <w:spacing w:before="40" w:after="40"/>
              <w:jc w:val="center"/>
              <w:rPr>
                <w:sz w:val="18"/>
                <w:szCs w:val="18"/>
              </w:rPr>
            </w:pPr>
            <w:r w:rsidRPr="00866B26">
              <w:rPr>
                <w:sz w:val="18"/>
                <w:szCs w:val="18"/>
              </w:rPr>
              <w:t>97</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0.92</w:t>
            </w:r>
          </w:p>
        </w:tc>
        <w:tc>
          <w:tcPr>
            <w:tcW w:w="907" w:type="dxa"/>
          </w:tcPr>
          <w:p w:rsidR="004D5254" w:rsidRPr="00866B26" w:rsidRDefault="004D5254" w:rsidP="00C80331">
            <w:pPr>
              <w:spacing w:before="40" w:after="40"/>
              <w:jc w:val="center"/>
              <w:rPr>
                <w:sz w:val="18"/>
                <w:szCs w:val="18"/>
              </w:rPr>
            </w:pPr>
            <w:r w:rsidRPr="00866B26">
              <w:rPr>
                <w:sz w:val="18"/>
                <w:szCs w:val="18"/>
              </w:rPr>
              <w:t>127</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1.10</w:t>
            </w:r>
          </w:p>
        </w:tc>
      </w:tr>
      <w:tr w:rsidR="004D5254" w:rsidTr="005A260D">
        <w:tc>
          <w:tcPr>
            <w:tcW w:w="3369" w:type="dxa"/>
            <w:vMerge/>
          </w:tcPr>
          <w:p w:rsidR="004D5254" w:rsidRPr="00866B26" w:rsidRDefault="004D5254" w:rsidP="00C80331">
            <w:pPr>
              <w:spacing w:before="40" w:after="40"/>
              <w:jc w:val="right"/>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15</w:t>
            </w:r>
          </w:p>
        </w:tc>
        <w:tc>
          <w:tcPr>
            <w:tcW w:w="1134" w:type="dxa"/>
          </w:tcPr>
          <w:p w:rsidR="004D5254" w:rsidRPr="00866B26" w:rsidRDefault="004D5254" w:rsidP="00C80331">
            <w:pPr>
              <w:spacing w:before="40" w:after="40"/>
              <w:jc w:val="center"/>
              <w:rPr>
                <w:sz w:val="18"/>
                <w:szCs w:val="18"/>
              </w:rPr>
            </w:pPr>
            <w:r w:rsidRPr="00866B26">
              <w:rPr>
                <w:sz w:val="18"/>
                <w:szCs w:val="18"/>
              </w:rPr>
              <w:t>40%</w:t>
            </w:r>
          </w:p>
        </w:tc>
        <w:tc>
          <w:tcPr>
            <w:tcW w:w="992" w:type="dxa"/>
          </w:tcPr>
          <w:p w:rsidR="004D5254" w:rsidRPr="00866B26" w:rsidRDefault="004D5254" w:rsidP="00C80331">
            <w:pPr>
              <w:spacing w:before="40" w:after="40"/>
              <w:jc w:val="center"/>
              <w:rPr>
                <w:sz w:val="18"/>
                <w:szCs w:val="18"/>
              </w:rPr>
            </w:pPr>
            <w:r w:rsidRPr="00866B26">
              <w:rPr>
                <w:sz w:val="18"/>
                <w:szCs w:val="18"/>
              </w:rPr>
              <w:t>114</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114</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jc w:val="right"/>
              <w:rPr>
                <w:sz w:val="18"/>
                <w:szCs w:val="18"/>
              </w:rPr>
            </w:pPr>
            <w:r w:rsidRPr="00866B26">
              <w:rPr>
                <w:sz w:val="18"/>
                <w:szCs w:val="18"/>
              </w:rPr>
              <w:t>Bexarotene/denileukin diftitox</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9</w:t>
            </w:r>
          </w:p>
        </w:tc>
        <w:tc>
          <w:tcPr>
            <w:tcW w:w="1134" w:type="dxa"/>
          </w:tcPr>
          <w:p w:rsidR="004D5254" w:rsidRPr="00866B26" w:rsidRDefault="004D5254" w:rsidP="00C80331">
            <w:pPr>
              <w:spacing w:before="40" w:after="40"/>
              <w:jc w:val="center"/>
              <w:rPr>
                <w:sz w:val="18"/>
                <w:szCs w:val="18"/>
              </w:rPr>
            </w:pPr>
            <w:r w:rsidRPr="00866B26">
              <w:rPr>
                <w:sz w:val="18"/>
                <w:szCs w:val="18"/>
              </w:rPr>
              <w:t>67%</w:t>
            </w:r>
          </w:p>
        </w:tc>
        <w:tc>
          <w:tcPr>
            <w:tcW w:w="992" w:type="dxa"/>
          </w:tcPr>
          <w:p w:rsidR="004D5254" w:rsidRPr="00866B26" w:rsidRDefault="004D5254" w:rsidP="00C80331">
            <w:pPr>
              <w:spacing w:before="40" w:after="40"/>
              <w:jc w:val="center"/>
              <w:rPr>
                <w:sz w:val="18"/>
                <w:szCs w:val="18"/>
              </w:rPr>
            </w:pPr>
            <w:r w:rsidRPr="00866B26">
              <w:rPr>
                <w:sz w:val="18"/>
                <w:szCs w:val="18"/>
              </w:rPr>
              <w:t>178</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1.36</w:t>
            </w:r>
          </w:p>
        </w:tc>
        <w:tc>
          <w:tcPr>
            <w:tcW w:w="907" w:type="dxa"/>
          </w:tcPr>
          <w:p w:rsidR="004D5254" w:rsidRPr="00866B26" w:rsidRDefault="004D5254" w:rsidP="00C80331">
            <w:pPr>
              <w:spacing w:before="40" w:after="40"/>
              <w:jc w:val="center"/>
              <w:rPr>
                <w:sz w:val="18"/>
                <w:szCs w:val="18"/>
              </w:rPr>
            </w:pPr>
            <w:r w:rsidRPr="00866B26">
              <w:rPr>
                <w:sz w:val="18"/>
                <w:szCs w:val="18"/>
              </w:rPr>
              <w:t>178</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1.36</w:t>
            </w:r>
          </w:p>
        </w:tc>
      </w:tr>
      <w:tr w:rsidR="004D5254" w:rsidTr="005A260D">
        <w:tc>
          <w:tcPr>
            <w:tcW w:w="3369" w:type="dxa"/>
            <w:vMerge/>
          </w:tcPr>
          <w:p w:rsidR="004D5254" w:rsidRPr="00866B26" w:rsidRDefault="004D5254" w:rsidP="00C80331">
            <w:pPr>
              <w:spacing w:before="40" w:after="40"/>
              <w:jc w:val="right"/>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9</w:t>
            </w:r>
          </w:p>
        </w:tc>
        <w:tc>
          <w:tcPr>
            <w:tcW w:w="1134" w:type="dxa"/>
          </w:tcPr>
          <w:p w:rsidR="004D5254" w:rsidRPr="00866B26" w:rsidRDefault="004D5254" w:rsidP="00C80331">
            <w:pPr>
              <w:spacing w:before="40" w:after="40"/>
              <w:jc w:val="center"/>
              <w:rPr>
                <w:sz w:val="18"/>
                <w:szCs w:val="18"/>
              </w:rPr>
            </w:pPr>
            <w:r w:rsidRPr="00866B26">
              <w:rPr>
                <w:sz w:val="18"/>
                <w:szCs w:val="18"/>
              </w:rPr>
              <w:t>33%</w:t>
            </w:r>
          </w:p>
        </w:tc>
        <w:tc>
          <w:tcPr>
            <w:tcW w:w="992" w:type="dxa"/>
          </w:tcPr>
          <w:p w:rsidR="004D5254" w:rsidRPr="00866B26" w:rsidRDefault="004D5254" w:rsidP="00C80331">
            <w:pPr>
              <w:spacing w:before="40" w:after="40"/>
              <w:jc w:val="center"/>
              <w:rPr>
                <w:sz w:val="18"/>
                <w:szCs w:val="18"/>
              </w:rPr>
            </w:pPr>
            <w:r w:rsidRPr="00866B26">
              <w:rPr>
                <w:sz w:val="18"/>
                <w:szCs w:val="18"/>
              </w:rPr>
              <w:t>56</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56</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jc w:val="right"/>
              <w:rPr>
                <w:sz w:val="18"/>
                <w:szCs w:val="18"/>
              </w:rPr>
            </w:pPr>
            <w:r w:rsidRPr="00866B26">
              <w:rPr>
                <w:sz w:val="18"/>
                <w:szCs w:val="18"/>
              </w:rPr>
              <w:t>Platinum-based multi-agent</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16</w:t>
            </w:r>
          </w:p>
        </w:tc>
        <w:tc>
          <w:tcPr>
            <w:tcW w:w="1134" w:type="dxa"/>
          </w:tcPr>
          <w:p w:rsidR="004D5254" w:rsidRPr="00866B26" w:rsidRDefault="004D5254" w:rsidP="00C80331">
            <w:pPr>
              <w:spacing w:before="40" w:after="40"/>
              <w:jc w:val="center"/>
              <w:rPr>
                <w:sz w:val="18"/>
                <w:szCs w:val="18"/>
              </w:rPr>
            </w:pPr>
            <w:r w:rsidRPr="00866B26">
              <w:rPr>
                <w:sz w:val="18"/>
                <w:szCs w:val="18"/>
              </w:rPr>
              <w:t>25%</w:t>
            </w:r>
          </w:p>
        </w:tc>
        <w:tc>
          <w:tcPr>
            <w:tcW w:w="992" w:type="dxa"/>
          </w:tcPr>
          <w:p w:rsidR="004D5254" w:rsidRPr="00866B26" w:rsidRDefault="004D5254" w:rsidP="00C80331">
            <w:pPr>
              <w:spacing w:before="40" w:after="40"/>
              <w:jc w:val="center"/>
              <w:rPr>
                <w:sz w:val="18"/>
                <w:szCs w:val="18"/>
              </w:rPr>
            </w:pPr>
            <w:r w:rsidRPr="00866B26">
              <w:rPr>
                <w:sz w:val="18"/>
                <w:szCs w:val="18"/>
              </w:rPr>
              <w:t>77</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1.29</w:t>
            </w:r>
          </w:p>
        </w:tc>
        <w:tc>
          <w:tcPr>
            <w:tcW w:w="907" w:type="dxa"/>
          </w:tcPr>
          <w:p w:rsidR="004D5254" w:rsidRPr="00866B26" w:rsidRDefault="004D5254" w:rsidP="00C80331">
            <w:pPr>
              <w:spacing w:before="40" w:after="40"/>
              <w:jc w:val="center"/>
              <w:rPr>
                <w:sz w:val="18"/>
                <w:szCs w:val="18"/>
              </w:rPr>
            </w:pPr>
            <w:r w:rsidRPr="00866B26">
              <w:rPr>
                <w:sz w:val="18"/>
                <w:szCs w:val="18"/>
              </w:rPr>
              <w:t>77</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1.29</w:t>
            </w:r>
          </w:p>
        </w:tc>
      </w:tr>
      <w:tr w:rsidR="004D5254" w:rsidTr="005A260D">
        <w:tc>
          <w:tcPr>
            <w:tcW w:w="3369" w:type="dxa"/>
            <w:vMerge/>
          </w:tcPr>
          <w:p w:rsidR="004D5254" w:rsidRPr="00866B26" w:rsidRDefault="004D5254" w:rsidP="00C80331">
            <w:pPr>
              <w:spacing w:before="40" w:after="40"/>
              <w:jc w:val="right"/>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16</w:t>
            </w:r>
          </w:p>
        </w:tc>
        <w:tc>
          <w:tcPr>
            <w:tcW w:w="1134" w:type="dxa"/>
          </w:tcPr>
          <w:p w:rsidR="004D5254" w:rsidRPr="00866B26" w:rsidRDefault="004D5254" w:rsidP="00C80331">
            <w:pPr>
              <w:spacing w:before="40" w:after="40"/>
              <w:jc w:val="center"/>
              <w:rPr>
                <w:sz w:val="18"/>
                <w:szCs w:val="18"/>
              </w:rPr>
            </w:pPr>
            <w:r w:rsidRPr="00866B26">
              <w:rPr>
                <w:sz w:val="18"/>
                <w:szCs w:val="18"/>
              </w:rPr>
              <w:t>19%</w:t>
            </w:r>
          </w:p>
        </w:tc>
        <w:tc>
          <w:tcPr>
            <w:tcW w:w="992" w:type="dxa"/>
          </w:tcPr>
          <w:p w:rsidR="004D5254" w:rsidRPr="00866B26" w:rsidRDefault="004D5254" w:rsidP="00C80331">
            <w:pPr>
              <w:spacing w:before="40" w:after="40"/>
              <w:jc w:val="center"/>
              <w:rPr>
                <w:sz w:val="18"/>
                <w:szCs w:val="18"/>
              </w:rPr>
            </w:pPr>
            <w:r w:rsidRPr="00866B26">
              <w:rPr>
                <w:sz w:val="18"/>
                <w:szCs w:val="18"/>
              </w:rPr>
              <w:t>62</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62</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jc w:val="right"/>
              <w:rPr>
                <w:sz w:val="18"/>
                <w:szCs w:val="18"/>
              </w:rPr>
            </w:pPr>
            <w:r w:rsidRPr="00866B26">
              <w:rPr>
                <w:sz w:val="18"/>
                <w:szCs w:val="18"/>
              </w:rPr>
              <w:t>Non-platinum, non-CHOP multi-agent</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12</w:t>
            </w:r>
          </w:p>
        </w:tc>
        <w:tc>
          <w:tcPr>
            <w:tcW w:w="1134" w:type="dxa"/>
          </w:tcPr>
          <w:p w:rsidR="004D5254" w:rsidRPr="00866B26" w:rsidRDefault="004D5254" w:rsidP="00C80331">
            <w:pPr>
              <w:spacing w:before="40" w:after="40"/>
              <w:jc w:val="center"/>
              <w:rPr>
                <w:sz w:val="18"/>
                <w:szCs w:val="18"/>
              </w:rPr>
            </w:pPr>
            <w:r w:rsidRPr="00866B26">
              <w:rPr>
                <w:sz w:val="18"/>
                <w:szCs w:val="18"/>
              </w:rPr>
              <w:t>33%</w:t>
            </w:r>
          </w:p>
        </w:tc>
        <w:tc>
          <w:tcPr>
            <w:tcW w:w="992" w:type="dxa"/>
          </w:tcPr>
          <w:p w:rsidR="004D5254" w:rsidRPr="00866B26" w:rsidRDefault="004D5254" w:rsidP="00C80331">
            <w:pPr>
              <w:spacing w:before="40" w:after="40"/>
              <w:jc w:val="center"/>
              <w:rPr>
                <w:sz w:val="18"/>
                <w:szCs w:val="18"/>
              </w:rPr>
            </w:pPr>
            <w:r w:rsidRPr="00866B26">
              <w:rPr>
                <w:sz w:val="18"/>
                <w:szCs w:val="18"/>
              </w:rPr>
              <w:t>121</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1.17</w:t>
            </w:r>
          </w:p>
        </w:tc>
        <w:tc>
          <w:tcPr>
            <w:tcW w:w="907" w:type="dxa"/>
          </w:tcPr>
          <w:p w:rsidR="004D5254" w:rsidRPr="00866B26" w:rsidRDefault="004D5254" w:rsidP="00C80331">
            <w:pPr>
              <w:spacing w:before="40" w:after="40"/>
              <w:jc w:val="center"/>
              <w:rPr>
                <w:sz w:val="18"/>
                <w:szCs w:val="18"/>
              </w:rPr>
            </w:pPr>
            <w:r w:rsidRPr="00866B26">
              <w:rPr>
                <w:sz w:val="18"/>
                <w:szCs w:val="18"/>
              </w:rPr>
              <w:t>121</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1.34</w:t>
            </w:r>
          </w:p>
        </w:tc>
      </w:tr>
      <w:tr w:rsidR="004D5254" w:rsidTr="005A260D">
        <w:tc>
          <w:tcPr>
            <w:tcW w:w="3369" w:type="dxa"/>
            <w:vMerge/>
          </w:tcPr>
          <w:p w:rsidR="004D5254" w:rsidRPr="00866B26" w:rsidRDefault="004D5254" w:rsidP="00C80331">
            <w:pPr>
              <w:spacing w:before="40" w:after="40"/>
              <w:jc w:val="right"/>
              <w:rPr>
                <w:sz w:val="18"/>
                <w:szCs w:val="18"/>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12</w:t>
            </w:r>
          </w:p>
        </w:tc>
        <w:tc>
          <w:tcPr>
            <w:tcW w:w="1134" w:type="dxa"/>
          </w:tcPr>
          <w:p w:rsidR="004D5254" w:rsidRPr="00866B26" w:rsidRDefault="004D5254" w:rsidP="00C80331">
            <w:pPr>
              <w:spacing w:before="40" w:after="40"/>
              <w:jc w:val="center"/>
              <w:rPr>
                <w:sz w:val="18"/>
                <w:szCs w:val="18"/>
              </w:rPr>
            </w:pPr>
            <w:r w:rsidRPr="00866B26">
              <w:rPr>
                <w:sz w:val="18"/>
                <w:szCs w:val="18"/>
              </w:rPr>
              <w:t>42%</w:t>
            </w:r>
          </w:p>
        </w:tc>
        <w:tc>
          <w:tcPr>
            <w:tcW w:w="992" w:type="dxa"/>
          </w:tcPr>
          <w:p w:rsidR="004D5254" w:rsidRPr="00866B26" w:rsidRDefault="004D5254" w:rsidP="00C80331">
            <w:pPr>
              <w:spacing w:before="40" w:after="40"/>
              <w:jc w:val="center"/>
              <w:rPr>
                <w:sz w:val="18"/>
                <w:szCs w:val="18"/>
              </w:rPr>
            </w:pPr>
            <w:r w:rsidRPr="00866B26">
              <w:rPr>
                <w:sz w:val="18"/>
                <w:szCs w:val="18"/>
              </w:rPr>
              <w:t>87.5</w:t>
            </w:r>
          </w:p>
        </w:tc>
        <w:tc>
          <w:tcPr>
            <w:tcW w:w="680" w:type="dxa"/>
            <w:vMerge/>
          </w:tcPr>
          <w:p w:rsidR="004D5254" w:rsidRPr="00866B26" w:rsidRDefault="004D5254" w:rsidP="00C80331">
            <w:pPr>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87.5</w:t>
            </w:r>
          </w:p>
        </w:tc>
        <w:tc>
          <w:tcPr>
            <w:tcW w:w="907" w:type="dxa"/>
            <w:vMerge/>
          </w:tcPr>
          <w:p w:rsidR="004D5254" w:rsidRPr="00866B26" w:rsidRDefault="004D5254" w:rsidP="00C80331">
            <w:pPr>
              <w:jc w:val="center"/>
              <w:rPr>
                <w:sz w:val="18"/>
                <w:szCs w:val="18"/>
              </w:rPr>
            </w:pPr>
          </w:p>
        </w:tc>
      </w:tr>
      <w:tr w:rsidR="004D5254" w:rsidTr="005A260D">
        <w:tc>
          <w:tcPr>
            <w:tcW w:w="3369" w:type="dxa"/>
            <w:vMerge w:val="restart"/>
          </w:tcPr>
          <w:p w:rsidR="004D5254" w:rsidRPr="00866B26" w:rsidRDefault="004D5254" w:rsidP="00C80331">
            <w:pPr>
              <w:spacing w:before="40" w:after="40"/>
              <w:jc w:val="right"/>
              <w:rPr>
                <w:sz w:val="18"/>
                <w:szCs w:val="18"/>
              </w:rPr>
            </w:pPr>
            <w:r w:rsidRPr="00866B26">
              <w:rPr>
                <w:sz w:val="18"/>
                <w:szCs w:val="18"/>
              </w:rPr>
              <w:t>SCT</w:t>
            </w:r>
          </w:p>
        </w:tc>
        <w:tc>
          <w:tcPr>
            <w:tcW w:w="992" w:type="dxa"/>
          </w:tcPr>
          <w:p w:rsidR="004D5254" w:rsidRPr="00866B26" w:rsidRDefault="004D5254" w:rsidP="00C80331">
            <w:pPr>
              <w:spacing w:before="40" w:after="40"/>
              <w:jc w:val="center"/>
              <w:rPr>
                <w:sz w:val="18"/>
                <w:szCs w:val="18"/>
              </w:rPr>
            </w:pPr>
            <w:r w:rsidRPr="00866B26">
              <w:rPr>
                <w:sz w:val="18"/>
                <w:szCs w:val="18"/>
              </w:rPr>
              <w:t>PDX</w:t>
            </w:r>
          </w:p>
        </w:tc>
        <w:tc>
          <w:tcPr>
            <w:tcW w:w="567" w:type="dxa"/>
          </w:tcPr>
          <w:p w:rsidR="004D5254" w:rsidRPr="00866B26" w:rsidRDefault="004D5254" w:rsidP="00C80331">
            <w:pPr>
              <w:spacing w:before="40" w:after="40"/>
              <w:jc w:val="center"/>
              <w:rPr>
                <w:sz w:val="18"/>
                <w:szCs w:val="18"/>
              </w:rPr>
            </w:pPr>
            <w:r w:rsidRPr="00866B26">
              <w:rPr>
                <w:sz w:val="18"/>
                <w:szCs w:val="18"/>
              </w:rPr>
              <w:t>9</w:t>
            </w:r>
          </w:p>
        </w:tc>
        <w:tc>
          <w:tcPr>
            <w:tcW w:w="1134" w:type="dxa"/>
          </w:tcPr>
          <w:p w:rsidR="004D5254" w:rsidRPr="00866B26" w:rsidRDefault="004D5254" w:rsidP="00C80331">
            <w:pPr>
              <w:spacing w:before="40" w:after="40"/>
              <w:jc w:val="center"/>
              <w:rPr>
                <w:sz w:val="18"/>
                <w:szCs w:val="18"/>
              </w:rPr>
            </w:pPr>
            <w:r w:rsidRPr="00866B26">
              <w:rPr>
                <w:sz w:val="18"/>
                <w:szCs w:val="18"/>
              </w:rPr>
              <w:t>56%</w:t>
            </w:r>
          </w:p>
        </w:tc>
        <w:tc>
          <w:tcPr>
            <w:tcW w:w="992" w:type="dxa"/>
          </w:tcPr>
          <w:p w:rsidR="004D5254" w:rsidRPr="00866B26" w:rsidRDefault="004D5254" w:rsidP="00C80331">
            <w:pPr>
              <w:spacing w:before="40" w:after="40"/>
              <w:jc w:val="center"/>
              <w:rPr>
                <w:sz w:val="18"/>
                <w:szCs w:val="18"/>
              </w:rPr>
            </w:pPr>
            <w:r w:rsidRPr="00866B26">
              <w:rPr>
                <w:sz w:val="18"/>
                <w:szCs w:val="18"/>
              </w:rPr>
              <w:t>324</w:t>
            </w:r>
          </w:p>
        </w:tc>
        <w:tc>
          <w:tcPr>
            <w:tcW w:w="680"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2.38</w:t>
            </w:r>
          </w:p>
        </w:tc>
        <w:tc>
          <w:tcPr>
            <w:tcW w:w="907" w:type="dxa"/>
          </w:tcPr>
          <w:p w:rsidR="004D5254" w:rsidRPr="00866B26" w:rsidRDefault="004D5254" w:rsidP="00C80331">
            <w:pPr>
              <w:spacing w:before="40" w:after="40"/>
              <w:jc w:val="center"/>
              <w:rPr>
                <w:sz w:val="18"/>
                <w:szCs w:val="18"/>
              </w:rPr>
            </w:pPr>
            <w:r w:rsidRPr="00866B26">
              <w:rPr>
                <w:sz w:val="18"/>
                <w:szCs w:val="18"/>
              </w:rPr>
              <w:t>324</w:t>
            </w:r>
          </w:p>
        </w:tc>
        <w:tc>
          <w:tcPr>
            <w:tcW w:w="907" w:type="dxa"/>
            <w:vMerge w:val="restart"/>
          </w:tcPr>
          <w:p w:rsidR="004D5254" w:rsidRPr="00866B26" w:rsidRDefault="004D5254" w:rsidP="00C80331">
            <w:pPr>
              <w:jc w:val="center"/>
              <w:rPr>
                <w:sz w:val="18"/>
                <w:szCs w:val="18"/>
              </w:rPr>
            </w:pPr>
          </w:p>
          <w:p w:rsidR="004D5254" w:rsidRPr="00866B26" w:rsidRDefault="004D5254" w:rsidP="00C80331">
            <w:pPr>
              <w:jc w:val="center"/>
              <w:rPr>
                <w:sz w:val="18"/>
                <w:szCs w:val="18"/>
              </w:rPr>
            </w:pPr>
            <w:r w:rsidRPr="00866B26">
              <w:rPr>
                <w:sz w:val="18"/>
                <w:szCs w:val="18"/>
              </w:rPr>
              <w:t>2.38</w:t>
            </w:r>
          </w:p>
        </w:tc>
      </w:tr>
      <w:tr w:rsidR="004D5254" w:rsidTr="005A260D">
        <w:tc>
          <w:tcPr>
            <w:tcW w:w="3369" w:type="dxa"/>
            <w:vMerge/>
          </w:tcPr>
          <w:p w:rsidR="004D5254" w:rsidRPr="001E1909" w:rsidRDefault="004D5254" w:rsidP="00C80331">
            <w:pPr>
              <w:rPr>
                <w:sz w:val="20"/>
                <w:szCs w:val="20"/>
              </w:rPr>
            </w:pPr>
          </w:p>
        </w:tc>
        <w:tc>
          <w:tcPr>
            <w:tcW w:w="992" w:type="dxa"/>
          </w:tcPr>
          <w:p w:rsidR="004D5254" w:rsidRPr="00866B26" w:rsidRDefault="004D5254" w:rsidP="00C80331">
            <w:pPr>
              <w:spacing w:before="40" w:after="40"/>
              <w:jc w:val="center"/>
              <w:rPr>
                <w:sz w:val="18"/>
                <w:szCs w:val="18"/>
              </w:rPr>
            </w:pPr>
            <w:r w:rsidRPr="00866B26">
              <w:rPr>
                <w:sz w:val="18"/>
                <w:szCs w:val="18"/>
              </w:rPr>
              <w:t>- 1</w:t>
            </w:r>
          </w:p>
        </w:tc>
        <w:tc>
          <w:tcPr>
            <w:tcW w:w="567" w:type="dxa"/>
          </w:tcPr>
          <w:p w:rsidR="004D5254" w:rsidRPr="00866B26" w:rsidRDefault="004D5254" w:rsidP="00C80331">
            <w:pPr>
              <w:spacing w:before="40" w:after="40"/>
              <w:jc w:val="center"/>
              <w:rPr>
                <w:sz w:val="18"/>
                <w:szCs w:val="18"/>
              </w:rPr>
            </w:pPr>
            <w:r w:rsidRPr="00866B26">
              <w:rPr>
                <w:sz w:val="18"/>
                <w:szCs w:val="18"/>
              </w:rPr>
              <w:t>9</w:t>
            </w:r>
          </w:p>
        </w:tc>
        <w:tc>
          <w:tcPr>
            <w:tcW w:w="1134" w:type="dxa"/>
          </w:tcPr>
          <w:p w:rsidR="004D5254" w:rsidRPr="00866B26" w:rsidRDefault="004D5254" w:rsidP="00C80331">
            <w:pPr>
              <w:spacing w:before="40" w:after="40"/>
              <w:jc w:val="center"/>
              <w:rPr>
                <w:sz w:val="18"/>
                <w:szCs w:val="18"/>
              </w:rPr>
            </w:pPr>
            <w:r w:rsidRPr="00866B26">
              <w:rPr>
                <w:sz w:val="18"/>
                <w:szCs w:val="18"/>
              </w:rPr>
              <w:t>56%</w:t>
            </w:r>
          </w:p>
        </w:tc>
        <w:tc>
          <w:tcPr>
            <w:tcW w:w="992" w:type="dxa"/>
          </w:tcPr>
          <w:p w:rsidR="004D5254" w:rsidRPr="00866B26" w:rsidRDefault="004D5254" w:rsidP="00C80331">
            <w:pPr>
              <w:spacing w:before="40" w:after="40"/>
              <w:jc w:val="center"/>
              <w:rPr>
                <w:sz w:val="18"/>
                <w:szCs w:val="18"/>
              </w:rPr>
            </w:pPr>
            <w:r w:rsidRPr="00866B26">
              <w:rPr>
                <w:sz w:val="18"/>
                <w:szCs w:val="18"/>
              </w:rPr>
              <w:t>274</w:t>
            </w:r>
          </w:p>
        </w:tc>
        <w:tc>
          <w:tcPr>
            <w:tcW w:w="680" w:type="dxa"/>
            <w:vMerge/>
          </w:tcPr>
          <w:p w:rsidR="004D5254" w:rsidRPr="00866B26" w:rsidRDefault="004D5254" w:rsidP="00C80331">
            <w:pPr>
              <w:spacing w:before="40" w:after="40"/>
              <w:jc w:val="center"/>
              <w:rPr>
                <w:sz w:val="18"/>
                <w:szCs w:val="18"/>
              </w:rPr>
            </w:pPr>
          </w:p>
        </w:tc>
        <w:tc>
          <w:tcPr>
            <w:tcW w:w="907" w:type="dxa"/>
          </w:tcPr>
          <w:p w:rsidR="004D5254" w:rsidRPr="00866B26" w:rsidRDefault="004D5254" w:rsidP="00C80331">
            <w:pPr>
              <w:spacing w:before="40" w:after="40"/>
              <w:jc w:val="center"/>
              <w:rPr>
                <w:sz w:val="18"/>
                <w:szCs w:val="18"/>
              </w:rPr>
            </w:pPr>
            <w:r w:rsidRPr="00866B26">
              <w:rPr>
                <w:sz w:val="18"/>
                <w:szCs w:val="18"/>
              </w:rPr>
              <w:t>274</w:t>
            </w:r>
          </w:p>
        </w:tc>
        <w:tc>
          <w:tcPr>
            <w:tcW w:w="907" w:type="dxa"/>
            <w:vMerge/>
          </w:tcPr>
          <w:p w:rsidR="004D5254" w:rsidRPr="00866B26" w:rsidRDefault="004D5254" w:rsidP="00C80331">
            <w:pPr>
              <w:jc w:val="center"/>
              <w:rPr>
                <w:sz w:val="18"/>
                <w:szCs w:val="18"/>
              </w:rPr>
            </w:pPr>
          </w:p>
        </w:tc>
      </w:tr>
    </w:tbl>
    <w:p w:rsidR="004D5254" w:rsidRPr="00077B69" w:rsidRDefault="004D5254" w:rsidP="004D5254">
      <w:pPr>
        <w:autoSpaceDE w:val="0"/>
        <w:autoSpaceDN w:val="0"/>
        <w:adjustRightInd w:val="0"/>
        <w:rPr>
          <w:rFonts w:eastAsia="TimesNewRoman" w:cs="TimesNewRoman"/>
        </w:rPr>
      </w:pPr>
      <w:r>
        <w:lastRenderedPageBreak/>
        <w:t>The sponsor also examined the response to pralatrexate after failure of CHOP and after failure of i</w:t>
      </w:r>
      <w:r w:rsidRPr="007F3B8E">
        <w:t>fosfamide</w:t>
      </w:r>
      <w:r>
        <w:t>/</w:t>
      </w:r>
      <w:r w:rsidRPr="007F3B8E">
        <w:t>carboplatin</w:t>
      </w:r>
      <w:r>
        <w:t>/e</w:t>
      </w:r>
      <w:r w:rsidRPr="007F3B8E">
        <w:t>toposide</w:t>
      </w:r>
      <w:r>
        <w:rPr>
          <w:sz w:val="18"/>
          <w:szCs w:val="18"/>
        </w:rPr>
        <w:t xml:space="preserve"> </w:t>
      </w:r>
      <w:r>
        <w:t xml:space="preserve">(ICE)-based regimens. CHOP is the most common first line treatment used for PTCL, whilst ICE-based regimens are often used in salvage situations. A total of 16 patients received pralatrexate as second-line treatment post CHOP. The response rate per central review in these patients was 44% (19% CR and 25% PR) with a median duration of response that was not estimable due to insufficient disease progression events. Among these patients were 2 who went onto to SCT and remained in CR at 20 and 21.7 months follow-up, respectively. A total of 20 patients had received a prior ICE-based regimen (9 as most recent therapy) and their overall response rate was 40% (15% CR and 25% PR) with a median duration of response of 13.1 months. 95% CI intervals for these outcomes were not reported for these analyses but could be expected to be quite wide given that the regimen subgroups are quite small. </w:t>
      </w:r>
      <w:r w:rsidRPr="00897845">
        <w:rPr>
          <w:rFonts w:eastAsia="TimesNewRoman" w:cs="TimesNewRoman"/>
        </w:rPr>
        <w:t>Of the 9 patients whose most recent prior therapy was ICE, 2 patients did not respond to the</w:t>
      </w:r>
      <w:r>
        <w:rPr>
          <w:rFonts w:eastAsia="TimesNewRoman" w:cs="TimesNewRoman"/>
        </w:rPr>
        <w:t xml:space="preserve"> </w:t>
      </w:r>
      <w:r w:rsidRPr="00897845">
        <w:rPr>
          <w:rFonts w:eastAsia="TimesNewRoman" w:cs="TimesNewRoman"/>
        </w:rPr>
        <w:t>prior ICE-based regimen but did respond to pralatrexate (1 CR and 1 PR).</w:t>
      </w:r>
      <w:r>
        <w:rPr>
          <w:rFonts w:eastAsia="TimesNewRoman" w:cs="TimesNewRoman"/>
        </w:rPr>
        <w:t xml:space="preserve"> </w:t>
      </w:r>
      <w:r w:rsidRPr="00897845">
        <w:rPr>
          <w:rFonts w:eastAsia="TimesNewRoman" w:cs="TimesNewRoman"/>
        </w:rPr>
        <w:t>Two of the</w:t>
      </w:r>
      <w:r>
        <w:rPr>
          <w:rFonts w:eastAsia="TimesNewRoman" w:cs="TimesNewRoman"/>
        </w:rPr>
        <w:t xml:space="preserve"> </w:t>
      </w:r>
      <w:r w:rsidRPr="00897845">
        <w:rPr>
          <w:rFonts w:eastAsia="TimesNewRoman" w:cs="TimesNewRoman"/>
        </w:rPr>
        <w:t>20 patients who had previously received ICE-based</w:t>
      </w:r>
      <w:r>
        <w:rPr>
          <w:rFonts w:eastAsia="TimesNewRoman" w:cs="TimesNewRoman"/>
        </w:rPr>
        <w:t xml:space="preserve"> </w:t>
      </w:r>
      <w:r w:rsidRPr="00897845">
        <w:rPr>
          <w:rFonts w:eastAsia="TimesNewRoman" w:cs="TimesNewRoman"/>
        </w:rPr>
        <w:t>regimens achieved a CR on pralatrexate</w:t>
      </w:r>
      <w:r>
        <w:rPr>
          <w:rFonts w:eastAsia="TimesNewRoman" w:cs="TimesNewRoman"/>
        </w:rPr>
        <w:t xml:space="preserve"> </w:t>
      </w:r>
      <w:r w:rsidRPr="00897845">
        <w:rPr>
          <w:rFonts w:eastAsia="TimesNewRoman" w:cs="TimesNewRoman"/>
        </w:rPr>
        <w:t>and proceeded to SCT; the duration of response to pralatrexate in these patients was censored</w:t>
      </w:r>
      <w:r>
        <w:rPr>
          <w:rFonts w:eastAsia="TimesNewRoman" w:cs="TimesNewRoman"/>
        </w:rPr>
        <w:t xml:space="preserve"> </w:t>
      </w:r>
      <w:r w:rsidRPr="00897845">
        <w:rPr>
          <w:rFonts w:eastAsia="TimesNewRoman" w:cs="TimesNewRoman"/>
        </w:rPr>
        <w:t>(at 1.3 and 4.9 months).</w:t>
      </w:r>
      <w:r>
        <w:rPr>
          <w:rFonts w:eastAsia="TimesNewRoman" w:cs="TimesNewRoman"/>
        </w:rPr>
        <w:t xml:space="preserve"> </w:t>
      </w:r>
      <w:r w:rsidRPr="00897845">
        <w:rPr>
          <w:rFonts w:eastAsia="TimesNewRoman" w:cs="TimesNewRoman"/>
        </w:rPr>
        <w:t>However, these 2 patients remain in CR and their disease-free</w:t>
      </w:r>
      <w:r>
        <w:rPr>
          <w:rFonts w:eastAsia="TimesNewRoman" w:cs="TimesNewRoman"/>
        </w:rPr>
        <w:t xml:space="preserve"> </w:t>
      </w:r>
      <w:r w:rsidRPr="00897845">
        <w:rPr>
          <w:rFonts w:eastAsia="TimesNewRoman" w:cs="TimesNewRoman"/>
        </w:rPr>
        <w:t>period (duration of response: pralatrexate + transplant) at most recent follow-up is 10.9 and 30.8 months.</w:t>
      </w:r>
    </w:p>
    <w:p w:rsidR="004D5254" w:rsidRDefault="004D5254" w:rsidP="004D5254">
      <w:pPr>
        <w:autoSpaceDE w:val="0"/>
        <w:autoSpaceDN w:val="0"/>
        <w:adjustRightInd w:val="0"/>
        <w:rPr>
          <w:rFonts w:eastAsia="TimesNewRoman" w:cs="TimesNewRoman"/>
        </w:rPr>
      </w:pPr>
      <w:r w:rsidRPr="00A974FA">
        <w:rPr>
          <w:rFonts w:eastAsia="TimesNewRoman" w:cs="TimesNewRoman"/>
        </w:rPr>
        <w:t>In order to determine whether patients who</w:t>
      </w:r>
      <w:r>
        <w:rPr>
          <w:rFonts w:eastAsia="TimesNewRoman" w:cs="TimesNewRoman"/>
        </w:rPr>
        <w:t xml:space="preserve"> </w:t>
      </w:r>
      <w:r w:rsidRPr="00A974FA">
        <w:rPr>
          <w:rFonts w:eastAsia="TimesNewRoman" w:cs="TimesNewRoman"/>
        </w:rPr>
        <w:t>responded to pralatrexate on PDX-008 were more likely to respond due to a superior disease</w:t>
      </w:r>
      <w:r>
        <w:rPr>
          <w:rFonts w:eastAsia="TimesNewRoman" w:cs="TimesNewRoman"/>
        </w:rPr>
        <w:t xml:space="preserve"> </w:t>
      </w:r>
      <w:r w:rsidRPr="00A974FA">
        <w:rPr>
          <w:rFonts w:eastAsia="TimesNewRoman" w:cs="TimesNewRoman"/>
        </w:rPr>
        <w:t xml:space="preserve">prognosis at study entry, </w:t>
      </w:r>
      <w:r>
        <w:rPr>
          <w:rFonts w:eastAsia="TimesNewRoman" w:cs="TimesNewRoman"/>
        </w:rPr>
        <w:t xml:space="preserve">the sponsor conducted </w:t>
      </w:r>
      <w:r w:rsidRPr="00A974FA">
        <w:rPr>
          <w:rFonts w:eastAsia="TimesNewRoman" w:cs="TimesNewRoman"/>
        </w:rPr>
        <w:t xml:space="preserve">a retrospective analysis comparing the PFS of pralatrexate responders </w:t>
      </w:r>
      <w:r>
        <w:rPr>
          <w:rFonts w:eastAsia="TimesNewRoman" w:cs="TimesNewRoman"/>
        </w:rPr>
        <w:t xml:space="preserve">according to central review (n=32) </w:t>
      </w:r>
      <w:r w:rsidRPr="00A974FA">
        <w:rPr>
          <w:rFonts w:eastAsia="TimesNewRoman" w:cs="TimesNewRoman"/>
        </w:rPr>
        <w:t>with the PFS of the same patients’ most recent prior therapies.</w:t>
      </w:r>
      <w:r>
        <w:rPr>
          <w:rFonts w:eastAsia="TimesNewRoman" w:cs="TimesNewRoman"/>
        </w:rPr>
        <w:t xml:space="preserve"> The median PFS from pralatrexate was 438 days compared to a median PFS of 242 days from the most recent prior therapy. A further subset analysis amongst patients who had responded to pralatrexate but not to their most recent prior therapy (n=17) also revealed a prolonged median PFS with pralatrexate compared to the previous treatment (419 days versus 111 days). </w:t>
      </w:r>
    </w:p>
    <w:p w:rsidR="004D5254" w:rsidRPr="000D6BB9" w:rsidRDefault="004D5254" w:rsidP="004D5254">
      <w:pPr>
        <w:autoSpaceDE w:val="0"/>
        <w:autoSpaceDN w:val="0"/>
        <w:adjustRightInd w:val="0"/>
      </w:pPr>
      <w:r>
        <w:rPr>
          <w:rFonts w:eastAsia="TimesNewRoman" w:cs="TimesNewRoman"/>
        </w:rPr>
        <w:t>The sponsor considered that the</w:t>
      </w:r>
      <w:r w:rsidRPr="000D6BB9">
        <w:rPr>
          <w:rFonts w:eastAsia="TimesNewRoman" w:cs="TimesNewRoman"/>
        </w:rPr>
        <w:t xml:space="preserve"> data for the patients who did not respond to the most recent prior therapy </w:t>
      </w:r>
      <w:r>
        <w:rPr>
          <w:rFonts w:eastAsia="TimesNewRoman" w:cs="TimesNewRoman"/>
        </w:rPr>
        <w:t>were</w:t>
      </w:r>
      <w:r w:rsidRPr="000D6BB9">
        <w:rPr>
          <w:rFonts w:eastAsia="TimesNewRoman" w:cs="TimesNewRoman"/>
        </w:rPr>
        <w:t xml:space="preserve"> particularly</w:t>
      </w:r>
      <w:r>
        <w:rPr>
          <w:rFonts w:eastAsia="TimesNewRoman" w:cs="TimesNewRoman"/>
        </w:rPr>
        <w:t xml:space="preserve"> important, arguing that it was </w:t>
      </w:r>
      <w:r w:rsidRPr="000D6BB9">
        <w:rPr>
          <w:rFonts w:eastAsia="TimesNewRoman" w:cs="TimesNewRoman"/>
        </w:rPr>
        <w:t>reasonable to assume that</w:t>
      </w:r>
      <w:r>
        <w:rPr>
          <w:rFonts w:eastAsia="TimesNewRoman" w:cs="TimesNewRoman"/>
        </w:rPr>
        <w:t xml:space="preserve"> the disease course</w:t>
      </w:r>
      <w:r w:rsidRPr="000D6BB9">
        <w:rPr>
          <w:rFonts w:eastAsia="TimesNewRoman" w:cs="TimesNewRoman"/>
        </w:rPr>
        <w:t xml:space="preserve"> was unaffected</w:t>
      </w:r>
      <w:r>
        <w:rPr>
          <w:rFonts w:eastAsia="TimesNewRoman" w:cs="TimesNewRoman"/>
        </w:rPr>
        <w:t>, or only</w:t>
      </w:r>
      <w:r w:rsidRPr="000D6BB9">
        <w:rPr>
          <w:rFonts w:eastAsia="TimesNewRoman" w:cs="TimesNewRoman"/>
        </w:rPr>
        <w:t xml:space="preserve"> minimally affected by prior therapy.</w:t>
      </w:r>
      <w:r>
        <w:rPr>
          <w:rFonts w:eastAsia="TimesNewRoman" w:cs="TimesNewRoman"/>
        </w:rPr>
        <w:t xml:space="preserve"> In this context, </w:t>
      </w:r>
      <w:r w:rsidRPr="000D6BB9">
        <w:rPr>
          <w:rFonts w:eastAsia="TimesNewRoman" w:cs="TimesNewRoman"/>
        </w:rPr>
        <w:t>a prolonged</w:t>
      </w:r>
      <w:r>
        <w:rPr>
          <w:rFonts w:eastAsia="TimesNewRoman" w:cs="TimesNewRoman"/>
        </w:rPr>
        <w:t xml:space="preserve"> </w:t>
      </w:r>
      <w:r w:rsidRPr="000D6BB9">
        <w:rPr>
          <w:rFonts w:eastAsia="TimesNewRoman" w:cs="TimesNewRoman"/>
        </w:rPr>
        <w:t>progression time following a response to pralatrexate therapy in those patients c</w:t>
      </w:r>
      <w:r>
        <w:rPr>
          <w:rFonts w:eastAsia="TimesNewRoman" w:cs="TimesNewRoman"/>
        </w:rPr>
        <w:t>ould</w:t>
      </w:r>
      <w:r w:rsidRPr="000D6BB9">
        <w:rPr>
          <w:rFonts w:eastAsia="TimesNewRoman" w:cs="TimesNewRoman"/>
        </w:rPr>
        <w:t xml:space="preserve"> </w:t>
      </w:r>
      <w:r>
        <w:rPr>
          <w:rFonts w:eastAsia="TimesNewRoman" w:cs="TimesNewRoman"/>
        </w:rPr>
        <w:t>be considered to be due to treatment with pralatrexate,</w:t>
      </w:r>
      <w:r w:rsidRPr="000D6BB9">
        <w:rPr>
          <w:rFonts w:eastAsia="TimesNewRoman" w:cs="TimesNewRoman"/>
        </w:rPr>
        <w:t xml:space="preserve"> not patient factor</w:t>
      </w:r>
      <w:r>
        <w:rPr>
          <w:rFonts w:eastAsia="TimesNewRoman" w:cs="TimesNewRoman"/>
        </w:rPr>
        <w:t>s</w:t>
      </w:r>
      <w:r w:rsidRPr="000D6BB9">
        <w:rPr>
          <w:rFonts w:eastAsia="TimesNewRoman" w:cs="TimesNewRoman"/>
        </w:rPr>
        <w:t>.</w:t>
      </w:r>
      <w:r>
        <w:rPr>
          <w:rFonts w:eastAsia="TimesNewRoman" w:cs="TimesNewRoman"/>
        </w:rPr>
        <w:t xml:space="preserve"> It was further argued that</w:t>
      </w:r>
      <w:r w:rsidRPr="000D6BB9">
        <w:rPr>
          <w:rFonts w:eastAsia="TimesNewRoman" w:cs="TimesNewRoman"/>
        </w:rPr>
        <w:t>, as the great</w:t>
      </w:r>
      <w:r>
        <w:rPr>
          <w:rFonts w:eastAsia="TimesNewRoman" w:cs="TimesNewRoman"/>
        </w:rPr>
        <w:t xml:space="preserve"> </w:t>
      </w:r>
      <w:r w:rsidRPr="000D6BB9">
        <w:rPr>
          <w:rFonts w:eastAsia="TimesNewRoman" w:cs="TimesNewRoman"/>
        </w:rPr>
        <w:t>majority of patients with relapsed/refractory PTCL die as a result of progression of their</w:t>
      </w:r>
      <w:r>
        <w:rPr>
          <w:rFonts w:eastAsia="TimesNewRoman" w:cs="TimesNewRoman"/>
        </w:rPr>
        <w:t xml:space="preserve"> </w:t>
      </w:r>
      <w:r w:rsidRPr="000D6BB9">
        <w:rPr>
          <w:rFonts w:eastAsia="TimesNewRoman" w:cs="TimesNewRoman"/>
        </w:rPr>
        <w:t xml:space="preserve">lymphoma, it </w:t>
      </w:r>
      <w:r>
        <w:rPr>
          <w:rFonts w:eastAsia="TimesNewRoman" w:cs="TimesNewRoman"/>
        </w:rPr>
        <w:t>wa</w:t>
      </w:r>
      <w:r w:rsidRPr="000D6BB9">
        <w:rPr>
          <w:rFonts w:eastAsia="TimesNewRoman" w:cs="TimesNewRoman"/>
        </w:rPr>
        <w:t xml:space="preserve">s reasonable to assume that </w:t>
      </w:r>
      <w:r>
        <w:rPr>
          <w:rFonts w:eastAsia="TimesNewRoman" w:cs="TimesNewRoman"/>
        </w:rPr>
        <w:t>a</w:t>
      </w:r>
      <w:r w:rsidRPr="000D6BB9">
        <w:rPr>
          <w:rFonts w:eastAsia="TimesNewRoman" w:cs="TimesNewRoman"/>
        </w:rPr>
        <w:t xml:space="preserve"> positive impact on progression contribute</w:t>
      </w:r>
      <w:r>
        <w:rPr>
          <w:rFonts w:eastAsia="TimesNewRoman" w:cs="TimesNewRoman"/>
        </w:rPr>
        <w:t>d</w:t>
      </w:r>
      <w:r w:rsidRPr="000D6BB9">
        <w:rPr>
          <w:rFonts w:eastAsia="TimesNewRoman" w:cs="TimesNewRoman"/>
        </w:rPr>
        <w:t xml:space="preserve"> to</w:t>
      </w:r>
      <w:r>
        <w:rPr>
          <w:rFonts w:eastAsia="TimesNewRoman" w:cs="TimesNewRoman"/>
        </w:rPr>
        <w:t xml:space="preserve"> </w:t>
      </w:r>
      <w:r w:rsidRPr="000D6BB9">
        <w:rPr>
          <w:rFonts w:eastAsia="TimesNewRoman" w:cs="TimesNewRoman"/>
        </w:rPr>
        <w:t xml:space="preserve">the improved survival observed for responding patients </w:t>
      </w:r>
      <w:r>
        <w:rPr>
          <w:rFonts w:eastAsia="TimesNewRoman" w:cs="TimesNewRoman"/>
        </w:rPr>
        <w:t>in the</w:t>
      </w:r>
      <w:r w:rsidRPr="000D6BB9">
        <w:rPr>
          <w:rFonts w:eastAsia="TimesNewRoman" w:cs="TimesNewRoman"/>
        </w:rPr>
        <w:t xml:space="preserve"> landmark</w:t>
      </w:r>
      <w:r>
        <w:rPr>
          <w:rFonts w:eastAsia="TimesNewRoman" w:cs="TimesNewRoman"/>
        </w:rPr>
        <w:t xml:space="preserve"> </w:t>
      </w:r>
      <w:r w:rsidRPr="00E62ADE">
        <w:rPr>
          <w:rFonts w:eastAsia="TimesNewRoman" w:cs="TimesNewRoman"/>
        </w:rPr>
        <w:t>analyses (Table 10).</w:t>
      </w:r>
    </w:p>
    <w:p w:rsidR="004D5254" w:rsidRDefault="004D5254" w:rsidP="004D5254">
      <w:pPr>
        <w:pStyle w:val="Heading6"/>
        <w:numPr>
          <w:ilvl w:val="0"/>
          <w:numId w:val="0"/>
        </w:numPr>
      </w:pPr>
      <w:r>
        <w:t>Comparison with historical controls</w:t>
      </w:r>
    </w:p>
    <w:p w:rsidR="004D5254" w:rsidRDefault="004D5254" w:rsidP="004D5254">
      <w:r>
        <w:t>The sponsor compared survival data from Study PDX-008 with data from historical controls from a number of registries and databases:</w:t>
      </w:r>
    </w:p>
    <w:p w:rsidR="004D5254" w:rsidRDefault="004D5254" w:rsidP="004D5254">
      <w:pPr>
        <w:pStyle w:val="ListBullet"/>
        <w:numPr>
          <w:ilvl w:val="0"/>
          <w:numId w:val="1"/>
        </w:numPr>
      </w:pPr>
      <w:r>
        <w:t xml:space="preserve">The International T-cell Registry (Vose </w:t>
      </w:r>
      <w:r w:rsidRPr="005F61C6">
        <w:rPr>
          <w:i/>
        </w:rPr>
        <w:t>et al</w:t>
      </w:r>
      <w:r>
        <w:t xml:space="preserve"> 2008) – comprising 1153 confirmed cases of PTCL and NK/T-cell diagnosed between January 1990 to December 2002. </w:t>
      </w:r>
    </w:p>
    <w:p w:rsidR="004D5254" w:rsidRDefault="004D5254" w:rsidP="004D5254">
      <w:pPr>
        <w:pStyle w:val="ListBullet"/>
        <w:numPr>
          <w:ilvl w:val="0"/>
          <w:numId w:val="0"/>
        </w:numPr>
        <w:ind w:left="360"/>
      </w:pPr>
      <w:r w:rsidRPr="0011735A">
        <w:rPr>
          <w:rFonts w:eastAsia="TimesNewRoman" w:cs="TimesNewRoman"/>
        </w:rPr>
        <w:t xml:space="preserve">The 5-year survival </w:t>
      </w:r>
      <w:r>
        <w:rPr>
          <w:rFonts w:eastAsia="TimesNewRoman" w:cs="TimesNewRoman"/>
        </w:rPr>
        <w:t xml:space="preserve">from diagnosis </w:t>
      </w:r>
      <w:r w:rsidRPr="0011735A">
        <w:rPr>
          <w:rFonts w:eastAsia="TimesNewRoman" w:cs="TimesNewRoman"/>
        </w:rPr>
        <w:t>for PTCL-U, angioimmunoblastic, and all NK/T-cell lymphomas was 32%, compared with only 14% for ATLL.</w:t>
      </w:r>
      <w:r>
        <w:rPr>
          <w:rFonts w:eastAsia="TimesNewRoman" w:cs="TimesNewRoman"/>
        </w:rPr>
        <w:t xml:space="preserve"> </w:t>
      </w:r>
      <w:r w:rsidRPr="0011735A">
        <w:rPr>
          <w:rFonts w:eastAsia="TimesNewRoman" w:cs="TimesNewRoman"/>
        </w:rPr>
        <w:t>Anaplastic large-cell lymphoma (ALCL), ALK</w:t>
      </w:r>
      <w:r>
        <w:rPr>
          <w:rFonts w:eastAsia="TimesNewRoman" w:cs="TimesNewRoman"/>
        </w:rPr>
        <w:t>+</w:t>
      </w:r>
      <w:r w:rsidRPr="0011735A">
        <w:rPr>
          <w:rFonts w:eastAsia="TimesNewRoman" w:cs="TimesNewRoman"/>
        </w:rPr>
        <w:t xml:space="preserve"> demonstrated the best 5-year </w:t>
      </w:r>
      <w:r>
        <w:rPr>
          <w:rFonts w:eastAsia="TimesNewRoman" w:cs="TimesNewRoman"/>
        </w:rPr>
        <w:t>survival</w:t>
      </w:r>
      <w:r w:rsidRPr="0011735A">
        <w:rPr>
          <w:rFonts w:eastAsia="TimesNewRoman" w:cs="TimesNewRoman"/>
        </w:rPr>
        <w:t xml:space="preserve"> (70%), ALCL, ALK </w:t>
      </w:r>
      <w:r>
        <w:rPr>
          <w:rFonts w:eastAsia="TimesNewRoman" w:cs="TimesNewRoman"/>
        </w:rPr>
        <w:t>-</w:t>
      </w:r>
      <w:r w:rsidRPr="0011735A">
        <w:rPr>
          <w:rFonts w:eastAsia="TimesNewRoman" w:cs="TimesNewRoman"/>
        </w:rPr>
        <w:t xml:space="preserve"> </w:t>
      </w:r>
      <w:r>
        <w:rPr>
          <w:rFonts w:eastAsia="TimesNewRoman" w:cs="TimesNewRoman"/>
        </w:rPr>
        <w:t>had</w:t>
      </w:r>
      <w:r w:rsidRPr="0011735A">
        <w:rPr>
          <w:rFonts w:eastAsia="TimesNewRoman" w:cs="TimesNewRoman"/>
        </w:rPr>
        <w:t xml:space="preserve"> an intermediate 5-year </w:t>
      </w:r>
      <w:r>
        <w:rPr>
          <w:rFonts w:eastAsia="TimesNewRoman" w:cs="TimesNewRoman"/>
        </w:rPr>
        <w:t>survival</w:t>
      </w:r>
      <w:r w:rsidRPr="0011735A">
        <w:rPr>
          <w:rFonts w:eastAsia="TimesNewRoman" w:cs="TimesNewRoman"/>
        </w:rPr>
        <w:t xml:space="preserve"> (49%)</w:t>
      </w:r>
      <w:r>
        <w:rPr>
          <w:rFonts w:eastAsia="TimesNewRoman" w:cs="TimesNewRoman"/>
        </w:rPr>
        <w:t xml:space="preserve">. </w:t>
      </w:r>
      <w:r>
        <w:t xml:space="preserve">This is the largest available data set and has the advantage of central review/confirmation of diagnosis. However, there were no data specifically </w:t>
      </w:r>
      <w:r>
        <w:rPr>
          <w:rFonts w:eastAsia="TimesNewRoman" w:cs="TimesNewRoman"/>
        </w:rPr>
        <w:t xml:space="preserve">about </w:t>
      </w:r>
      <w:r>
        <w:t>outcomes in relapsed/refractory patients and the data weren’t contemporaneous with those from PDX-008.</w:t>
      </w:r>
    </w:p>
    <w:p w:rsidR="004D5254" w:rsidRDefault="004D5254" w:rsidP="004D5254">
      <w:pPr>
        <w:pStyle w:val="Bullet2"/>
        <w:numPr>
          <w:ilvl w:val="0"/>
          <w:numId w:val="0"/>
        </w:numPr>
        <w:autoSpaceDE w:val="0"/>
        <w:autoSpaceDN w:val="0"/>
        <w:adjustRightInd w:val="0"/>
        <w:spacing w:before="0"/>
        <w:ind w:left="425"/>
      </w:pPr>
    </w:p>
    <w:p w:rsidR="004D5254" w:rsidRDefault="004D5254" w:rsidP="004D5254">
      <w:pPr>
        <w:pStyle w:val="ListBullet"/>
        <w:numPr>
          <w:ilvl w:val="0"/>
          <w:numId w:val="1"/>
        </w:numPr>
      </w:pPr>
      <w:r>
        <w:lastRenderedPageBreak/>
        <w:t xml:space="preserve">The T-cell project (Federico </w:t>
      </w:r>
      <w:r w:rsidRPr="005F61C6">
        <w:rPr>
          <w:i/>
        </w:rPr>
        <w:t>et al</w:t>
      </w:r>
      <w:r>
        <w:t xml:space="preserve"> 2011)– comprising 524 newly diagnosed PTCL cases collected from 2006 onwards. </w:t>
      </w:r>
    </w:p>
    <w:p w:rsidR="004D5254" w:rsidRDefault="004D5254" w:rsidP="004D5254">
      <w:pPr>
        <w:pStyle w:val="ListBullet"/>
        <w:numPr>
          <w:ilvl w:val="0"/>
          <w:numId w:val="0"/>
        </w:numPr>
        <w:ind w:left="360"/>
      </w:pPr>
      <w:r>
        <w:t xml:space="preserve">The </w:t>
      </w:r>
      <w:r w:rsidRPr="00CE12A1">
        <w:rPr>
          <w:rFonts w:eastAsia="TimesNewRoman" w:cs="TimesNewRoman"/>
        </w:rPr>
        <w:t xml:space="preserve">3-year </w:t>
      </w:r>
      <w:r>
        <w:rPr>
          <w:rFonts w:eastAsia="TimesNewRoman" w:cs="TimesNewRoman"/>
        </w:rPr>
        <w:t xml:space="preserve">survival </w:t>
      </w:r>
      <w:r w:rsidRPr="00CE12A1">
        <w:rPr>
          <w:rFonts w:eastAsia="TimesNewRoman" w:cs="TimesNewRoman"/>
        </w:rPr>
        <w:t xml:space="preserve">from initial diagnosis for the entire population </w:t>
      </w:r>
      <w:r>
        <w:rPr>
          <w:rFonts w:eastAsia="TimesNewRoman" w:cs="TimesNewRoman"/>
        </w:rPr>
        <w:t>was</w:t>
      </w:r>
      <w:r w:rsidRPr="00CE12A1">
        <w:rPr>
          <w:rFonts w:eastAsia="TimesNewRoman" w:cs="TimesNewRoman"/>
        </w:rPr>
        <w:t xml:space="preserve"> 50% (95% CI 43-56</w:t>
      </w:r>
      <w:r>
        <w:rPr>
          <w:rFonts w:eastAsia="TimesNewRoman" w:cs="TimesNewRoman"/>
        </w:rPr>
        <w:t>%</w:t>
      </w:r>
      <w:r w:rsidRPr="00CE12A1">
        <w:rPr>
          <w:rFonts w:eastAsia="TimesNewRoman" w:cs="TimesNewRoman"/>
        </w:rPr>
        <w:t>)</w:t>
      </w:r>
      <w:r>
        <w:rPr>
          <w:rFonts w:eastAsia="TimesNewRoman" w:cs="TimesNewRoman"/>
        </w:rPr>
        <w:t xml:space="preserve">. This dataset has the advantage of being </w:t>
      </w:r>
      <w:r>
        <w:t xml:space="preserve">contemporaneous with those from Study PDX-008 but does not contain information specifically </w:t>
      </w:r>
      <w:r>
        <w:rPr>
          <w:rFonts w:eastAsia="TimesNewRoman" w:cs="TimesNewRoman"/>
        </w:rPr>
        <w:t xml:space="preserve">about </w:t>
      </w:r>
      <w:r>
        <w:t>outcomes in relapsed/refractory patients;</w:t>
      </w:r>
    </w:p>
    <w:p w:rsidR="004D5254" w:rsidRDefault="004D5254" w:rsidP="004D5254">
      <w:pPr>
        <w:pStyle w:val="ListBullet"/>
        <w:numPr>
          <w:ilvl w:val="0"/>
          <w:numId w:val="1"/>
        </w:numPr>
      </w:pPr>
      <w:r>
        <w:t>The Modena Cancer registry –</w:t>
      </w:r>
      <w:r w:rsidRPr="003454BA">
        <w:t xml:space="preserve"> </w:t>
      </w:r>
      <w:r>
        <w:t xml:space="preserve">comprising data from 104 patients with PTCL diagnosed between 1997 and 2007. </w:t>
      </w:r>
    </w:p>
    <w:p w:rsidR="004D5254" w:rsidRDefault="004D5254" w:rsidP="004D5254">
      <w:pPr>
        <w:pStyle w:val="ListBullet"/>
        <w:numPr>
          <w:ilvl w:val="0"/>
          <w:numId w:val="0"/>
        </w:numPr>
        <w:ind w:left="360"/>
      </w:pPr>
      <w:r>
        <w:t>Median survival</w:t>
      </w:r>
      <w:r w:rsidRPr="00CE12A1">
        <w:rPr>
          <w:rFonts w:eastAsia="TimesNewRoman" w:cs="TimesNewRoman"/>
        </w:rPr>
        <w:t xml:space="preserve"> from diagnosis in this patient group </w:t>
      </w:r>
      <w:r>
        <w:rPr>
          <w:rFonts w:eastAsia="TimesNewRoman" w:cs="TimesNewRoman"/>
        </w:rPr>
        <w:t>was</w:t>
      </w:r>
      <w:r w:rsidRPr="00CE12A1">
        <w:rPr>
          <w:rFonts w:eastAsia="TimesNewRoman" w:cs="TimesNewRoman"/>
        </w:rPr>
        <w:t xml:space="preserve"> 10 months, with a 5-year </w:t>
      </w:r>
      <w:r>
        <w:rPr>
          <w:rFonts w:eastAsia="TimesNewRoman" w:cs="TimesNewRoman"/>
        </w:rPr>
        <w:t>survival</w:t>
      </w:r>
      <w:r w:rsidRPr="00CE12A1">
        <w:rPr>
          <w:rFonts w:eastAsia="TimesNewRoman" w:cs="TimesNewRoman"/>
        </w:rPr>
        <w:t xml:space="preserve"> rate of 34.9%</w:t>
      </w:r>
      <w:r>
        <w:rPr>
          <w:rFonts w:eastAsia="TimesNewRoman" w:cs="TimesNewRoman"/>
        </w:rPr>
        <w:t>. T</w:t>
      </w:r>
      <w:r>
        <w:t>here were no data available on the therapies received after progression or relapse and the data are mostly not contemporaneous with those from Study PDX-008.</w:t>
      </w:r>
    </w:p>
    <w:p w:rsidR="004D5254" w:rsidRDefault="004D5254" w:rsidP="004D5254">
      <w:pPr>
        <w:pStyle w:val="ListBullet"/>
        <w:numPr>
          <w:ilvl w:val="0"/>
          <w:numId w:val="1"/>
        </w:numPr>
      </w:pPr>
      <w:r>
        <w:t xml:space="preserve">The University of Nebraska Medical Center (UNMC) database – comprising data from 76 patients diagnosed between July 1984 and May 2010, including 50 PTCL patients who received 2 or more therapies. </w:t>
      </w:r>
    </w:p>
    <w:p w:rsidR="004D5254" w:rsidRDefault="004D5254" w:rsidP="004D5254">
      <w:pPr>
        <w:pStyle w:val="ListBullet"/>
        <w:numPr>
          <w:ilvl w:val="0"/>
          <w:numId w:val="0"/>
        </w:numPr>
        <w:ind w:left="360"/>
        <w:rPr>
          <w:rFonts w:eastAsia="TimesNewRoman" w:cs="TimesNewRoman"/>
        </w:rPr>
      </w:pPr>
      <w:r>
        <w:t xml:space="preserve">The sponsor was able to access the centre’s web-based </w:t>
      </w:r>
      <w:r w:rsidRPr="0012578B">
        <w:rPr>
          <w:rFonts w:eastAsia="TimesNewRoman" w:cs="TimesNewRoman"/>
        </w:rPr>
        <w:t>oncology database</w:t>
      </w:r>
      <w:r>
        <w:rPr>
          <w:rFonts w:eastAsia="TimesNewRoman" w:cs="TimesNewRoman"/>
        </w:rPr>
        <w:t xml:space="preserve"> and use the P</w:t>
      </w:r>
      <w:r w:rsidRPr="0012578B">
        <w:rPr>
          <w:rFonts w:eastAsia="TimesNewRoman" w:cs="TimesNewRoman"/>
        </w:rPr>
        <w:t xml:space="preserve">atient Repository Module </w:t>
      </w:r>
      <w:r>
        <w:rPr>
          <w:rFonts w:eastAsia="TimesNewRoman" w:cs="TimesNewRoman"/>
        </w:rPr>
        <w:t xml:space="preserve">which </w:t>
      </w:r>
      <w:r w:rsidRPr="0012578B">
        <w:rPr>
          <w:rFonts w:eastAsia="TimesNewRoman" w:cs="TimesNewRoman"/>
        </w:rPr>
        <w:t>allow</w:t>
      </w:r>
      <w:r>
        <w:rPr>
          <w:rFonts w:eastAsia="TimesNewRoman" w:cs="TimesNewRoman"/>
        </w:rPr>
        <w:t>ed</w:t>
      </w:r>
      <w:r w:rsidRPr="0012578B">
        <w:rPr>
          <w:rFonts w:eastAsia="TimesNewRoman" w:cs="TimesNewRoman"/>
        </w:rPr>
        <w:t xml:space="preserve"> for accurate tracking of patients at UNMC and partner centres.</w:t>
      </w:r>
      <w:r>
        <w:rPr>
          <w:rFonts w:eastAsia="TimesNewRoman" w:cs="TimesNewRoman"/>
        </w:rPr>
        <w:t xml:space="preserve"> Consequently, </w:t>
      </w:r>
      <w:r w:rsidRPr="0012578B">
        <w:rPr>
          <w:rFonts w:eastAsia="TimesNewRoman" w:cs="TimesNewRoman"/>
        </w:rPr>
        <w:t xml:space="preserve">the </w:t>
      </w:r>
      <w:r>
        <w:rPr>
          <w:rFonts w:eastAsia="TimesNewRoman" w:cs="TimesNewRoman"/>
        </w:rPr>
        <w:t>sponsor</w:t>
      </w:r>
      <w:r w:rsidRPr="0012578B">
        <w:rPr>
          <w:rFonts w:eastAsia="TimesNewRoman" w:cs="TimesNewRoman"/>
        </w:rPr>
        <w:t xml:space="preserve"> was able to evaluate the data with a focus on survival outcomes for</w:t>
      </w:r>
      <w:r>
        <w:rPr>
          <w:rFonts w:eastAsia="TimesNewRoman" w:cs="TimesNewRoman"/>
        </w:rPr>
        <w:t xml:space="preserve"> </w:t>
      </w:r>
      <w:r w:rsidRPr="0012578B">
        <w:rPr>
          <w:rFonts w:eastAsia="TimesNewRoman" w:cs="TimesNewRoman"/>
        </w:rPr>
        <w:t>patients treated for relapsed or refractory disease.</w:t>
      </w:r>
      <w:r>
        <w:rPr>
          <w:rFonts w:eastAsia="TimesNewRoman" w:cs="TimesNewRoman"/>
        </w:rPr>
        <w:t xml:space="preserve"> </w:t>
      </w:r>
    </w:p>
    <w:p w:rsidR="004D5254" w:rsidRDefault="004D5254" w:rsidP="004D5254">
      <w:pPr>
        <w:pStyle w:val="ListBullet"/>
        <w:numPr>
          <w:ilvl w:val="0"/>
          <w:numId w:val="0"/>
        </w:numPr>
        <w:ind w:left="360"/>
        <w:rPr>
          <w:rFonts w:eastAsia="TimesNewRoman" w:cs="TimesNewRoman"/>
        </w:rPr>
      </w:pPr>
      <w:r>
        <w:rPr>
          <w:rFonts w:eastAsia="TimesNewRoman" w:cs="TimesNewRoman"/>
        </w:rPr>
        <w:t>UNMC patients who received 2 or more therapies had a</w:t>
      </w:r>
      <w:r w:rsidRPr="0012578B">
        <w:rPr>
          <w:rFonts w:eastAsia="TimesNewRoman" w:cs="TimesNewRoman"/>
        </w:rPr>
        <w:t xml:space="preserve"> median </w:t>
      </w:r>
      <w:r>
        <w:rPr>
          <w:rFonts w:eastAsia="TimesNewRoman" w:cs="TimesNewRoman"/>
        </w:rPr>
        <w:t>survival (calculated from the initiation of last therapy to death or censoring) of</w:t>
      </w:r>
      <w:r w:rsidRPr="0012578B">
        <w:rPr>
          <w:rFonts w:eastAsia="TimesNewRoman" w:cs="TimesNewRoman"/>
        </w:rPr>
        <w:t xml:space="preserve"> 8.7 months compared to 14.5 months</w:t>
      </w:r>
      <w:r w:rsidRPr="00C626D7">
        <w:rPr>
          <w:rFonts w:eastAsia="TimesNewRoman" w:cs="TimesNewRoman"/>
        </w:rPr>
        <w:t xml:space="preserve"> </w:t>
      </w:r>
      <w:r>
        <w:rPr>
          <w:rFonts w:eastAsia="TimesNewRoman" w:cs="TimesNewRoman"/>
        </w:rPr>
        <w:t xml:space="preserve">for patients </w:t>
      </w:r>
      <w:r w:rsidRPr="0012578B">
        <w:rPr>
          <w:rFonts w:eastAsia="TimesNewRoman" w:cs="TimesNewRoman"/>
        </w:rPr>
        <w:t xml:space="preserve">in </w:t>
      </w:r>
      <w:r>
        <w:rPr>
          <w:rFonts w:eastAsia="TimesNewRoman" w:cs="TimesNewRoman"/>
        </w:rPr>
        <w:t>Study PDX-</w:t>
      </w:r>
      <w:r w:rsidRPr="0012578B">
        <w:rPr>
          <w:rFonts w:eastAsia="TimesNewRoman" w:cs="TimesNewRoman"/>
        </w:rPr>
        <w:t>008</w:t>
      </w:r>
      <w:r>
        <w:rPr>
          <w:rFonts w:eastAsia="TimesNewRoman" w:cs="TimesNewRoman"/>
        </w:rPr>
        <w:t xml:space="preserve">. This was whilst having seemingly better prognostic factors than Study PDX-008 patients - UNMC patients had a shorter time from diagnosis to most recent therapy (median 7.8 versus 15.6 months) </w:t>
      </w:r>
      <w:r w:rsidRPr="0012578B">
        <w:rPr>
          <w:rFonts w:eastAsia="TimesNewRoman" w:cs="TimesNewRoman"/>
        </w:rPr>
        <w:t xml:space="preserve">and </w:t>
      </w:r>
      <w:r>
        <w:rPr>
          <w:rFonts w:eastAsia="TimesNewRoman" w:cs="TimesNewRoman"/>
        </w:rPr>
        <w:t xml:space="preserve">were </w:t>
      </w:r>
      <w:r w:rsidRPr="0012578B">
        <w:rPr>
          <w:rFonts w:eastAsia="TimesNewRoman" w:cs="TimesNewRoman"/>
        </w:rPr>
        <w:t>less heavily pre</w:t>
      </w:r>
      <w:r>
        <w:rPr>
          <w:rFonts w:eastAsia="TimesNewRoman" w:cs="TimesNewRoman"/>
        </w:rPr>
        <w:t>-treated (50% received only 1 therapy prior to the last, whereas in Study PDX-008 50% of patients had received 3 prior therapies)</w:t>
      </w:r>
      <w:r w:rsidRPr="0012578B">
        <w:rPr>
          <w:rFonts w:eastAsia="TimesNewRoman" w:cs="TimesNewRoman"/>
        </w:rPr>
        <w:t>.</w:t>
      </w:r>
      <w:r>
        <w:rPr>
          <w:rFonts w:eastAsia="TimesNewRoman" w:cs="TimesNewRoman"/>
        </w:rPr>
        <w:t xml:space="preserve"> </w:t>
      </w:r>
      <w:r w:rsidRPr="0012578B">
        <w:rPr>
          <w:rFonts w:eastAsia="TimesNewRoman" w:cs="TimesNewRoman"/>
        </w:rPr>
        <w:t xml:space="preserve">The majority of </w:t>
      </w:r>
      <w:r>
        <w:rPr>
          <w:rFonts w:eastAsia="TimesNewRoman" w:cs="TimesNewRoman"/>
        </w:rPr>
        <w:t xml:space="preserve">UNMC </w:t>
      </w:r>
      <w:r w:rsidRPr="0012578B">
        <w:rPr>
          <w:rFonts w:eastAsia="TimesNewRoman" w:cs="TimesNewRoman"/>
        </w:rPr>
        <w:t xml:space="preserve">patients received </w:t>
      </w:r>
      <w:r>
        <w:rPr>
          <w:rFonts w:eastAsia="TimesNewRoman" w:cs="TimesNewRoman"/>
        </w:rPr>
        <w:t xml:space="preserve">combination </w:t>
      </w:r>
      <w:r w:rsidRPr="0012578B">
        <w:rPr>
          <w:rFonts w:eastAsia="TimesNewRoman" w:cs="TimesNewRoman"/>
        </w:rPr>
        <w:t>chemotherapy as their most recent treatment</w:t>
      </w:r>
      <w:r>
        <w:rPr>
          <w:rFonts w:eastAsia="TimesNewRoman" w:cs="TimesNewRoman"/>
        </w:rPr>
        <w:t xml:space="preserve"> – most commonly ICE (26%) and combination dexamethasone, cisplatin and cytarabine (DHAP; 14%).</w:t>
      </w:r>
    </w:p>
    <w:p w:rsidR="004D5254" w:rsidRDefault="004D5254" w:rsidP="004D5254">
      <w:pPr>
        <w:pStyle w:val="ListBullet"/>
        <w:numPr>
          <w:ilvl w:val="0"/>
          <w:numId w:val="1"/>
        </w:numPr>
      </w:pPr>
      <w:r>
        <w:t>The Memorial Sloan-Kettering Cancer Center (MSKCC) database - comprising data from 171 patients with PTCL, diagnosed from June 1997 to July 2011.</w:t>
      </w:r>
    </w:p>
    <w:p w:rsidR="004D5254" w:rsidRDefault="004D5254" w:rsidP="004D5254">
      <w:pPr>
        <w:pStyle w:val="ListBullet"/>
        <w:numPr>
          <w:ilvl w:val="0"/>
          <w:numId w:val="0"/>
        </w:numPr>
        <w:ind w:left="360"/>
        <w:rPr>
          <w:rFonts w:eastAsia="TimesNewRoman" w:cs="TimesNewRoman"/>
        </w:rPr>
      </w:pPr>
      <w:r>
        <w:rPr>
          <w:rFonts w:eastAsia="TimesNewRoman" w:cs="TimesNewRoman"/>
        </w:rPr>
        <w:t>MSKCC provided the sponsor with access to demographic, treatment and outcome data for patients treated at the centre</w:t>
      </w:r>
      <w:r>
        <w:t xml:space="preserve">, including 100 patients </w:t>
      </w:r>
      <w:r w:rsidRPr="007F25CF">
        <w:rPr>
          <w:rFonts w:eastAsia="TimesNewRoman" w:cs="TimesNewRoman"/>
        </w:rPr>
        <w:t xml:space="preserve">who had received at least 2 </w:t>
      </w:r>
      <w:r>
        <w:rPr>
          <w:rFonts w:eastAsia="TimesNewRoman" w:cs="TimesNewRoman"/>
        </w:rPr>
        <w:t xml:space="preserve">prior </w:t>
      </w:r>
      <w:r w:rsidRPr="007F25CF">
        <w:rPr>
          <w:rFonts w:eastAsia="TimesNewRoman" w:cs="TimesNewRoman"/>
        </w:rPr>
        <w:t>systemic therapies</w:t>
      </w:r>
      <w:r>
        <w:rPr>
          <w:rFonts w:eastAsia="TimesNewRoman" w:cs="TimesNewRoman"/>
        </w:rPr>
        <w:t xml:space="preserve"> </w:t>
      </w:r>
      <w:r w:rsidRPr="00BA0042">
        <w:rPr>
          <w:rFonts w:eastAsia="TimesNewRoman" w:cs="TimesNewRoman"/>
        </w:rPr>
        <w:t>for PTCL</w:t>
      </w:r>
      <w:r>
        <w:rPr>
          <w:rFonts w:eastAsia="TimesNewRoman" w:cs="TimesNewRoman"/>
        </w:rPr>
        <w:t xml:space="preserve">. A total of 70 patients were included in the comparison with Study PDX-008; the remaining 30 patients </w:t>
      </w:r>
      <w:r w:rsidRPr="00BA0042">
        <w:rPr>
          <w:rFonts w:eastAsia="TimesNewRoman" w:cs="TimesNewRoman"/>
        </w:rPr>
        <w:t xml:space="preserve">had received pralatrexate </w:t>
      </w:r>
      <w:r>
        <w:rPr>
          <w:rFonts w:eastAsia="TimesNewRoman" w:cs="TimesNewRoman"/>
        </w:rPr>
        <w:t xml:space="preserve">either </w:t>
      </w:r>
      <w:r w:rsidRPr="00BA0042">
        <w:rPr>
          <w:rFonts w:eastAsia="TimesNewRoman" w:cs="TimesNewRoman"/>
        </w:rPr>
        <w:t xml:space="preserve">in </w:t>
      </w:r>
      <w:r>
        <w:rPr>
          <w:rFonts w:eastAsia="TimesNewRoman" w:cs="TimesNewRoman"/>
        </w:rPr>
        <w:t>studies</w:t>
      </w:r>
      <w:r w:rsidRPr="00BA0042">
        <w:rPr>
          <w:rFonts w:eastAsia="TimesNewRoman" w:cs="TimesNewRoman"/>
        </w:rPr>
        <w:t xml:space="preserve"> PDX-008, PDX-02-078 or</w:t>
      </w:r>
      <w:r>
        <w:rPr>
          <w:rFonts w:eastAsia="TimesNewRoman" w:cs="TimesNewRoman"/>
        </w:rPr>
        <w:t xml:space="preserve"> </w:t>
      </w:r>
      <w:r w:rsidRPr="00BA0042">
        <w:rPr>
          <w:rFonts w:eastAsia="TimesNewRoman" w:cs="TimesNewRoman"/>
        </w:rPr>
        <w:t>PDX-009 or in the post-marketing setting</w:t>
      </w:r>
      <w:r>
        <w:rPr>
          <w:rFonts w:eastAsia="TimesNewRoman" w:cs="TimesNewRoman"/>
        </w:rPr>
        <w:t xml:space="preserve">. </w:t>
      </w:r>
    </w:p>
    <w:p w:rsidR="004D5254" w:rsidRDefault="004D5254" w:rsidP="004D5254">
      <w:pPr>
        <w:pStyle w:val="ListBullet"/>
        <w:numPr>
          <w:ilvl w:val="0"/>
          <w:numId w:val="0"/>
        </w:numPr>
        <w:ind w:left="360"/>
      </w:pPr>
      <w:r w:rsidRPr="007F25CF">
        <w:rPr>
          <w:rFonts w:eastAsia="TimesNewRoman" w:cs="TimesNewRoman"/>
        </w:rPr>
        <w:t xml:space="preserve">The PDX-008 patients </w:t>
      </w:r>
      <w:r>
        <w:rPr>
          <w:rFonts w:eastAsia="TimesNewRoman" w:cs="TimesNewRoman"/>
        </w:rPr>
        <w:t>were</w:t>
      </w:r>
      <w:r w:rsidRPr="007F25CF">
        <w:rPr>
          <w:rFonts w:eastAsia="TimesNewRoman" w:cs="TimesNewRoman"/>
        </w:rPr>
        <w:t xml:space="preserve"> slightly older</w:t>
      </w:r>
      <w:r>
        <w:rPr>
          <w:rFonts w:eastAsia="TimesNewRoman" w:cs="TimesNewRoman"/>
        </w:rPr>
        <w:t xml:space="preserve"> and</w:t>
      </w:r>
      <w:r w:rsidRPr="007F25CF">
        <w:rPr>
          <w:rFonts w:eastAsia="TimesNewRoman" w:cs="TimesNewRoman"/>
        </w:rPr>
        <w:t xml:space="preserve"> more heavily pre-treated than the</w:t>
      </w:r>
      <w:r>
        <w:rPr>
          <w:rFonts w:eastAsia="TimesNewRoman" w:cs="TimesNewRoman"/>
        </w:rPr>
        <w:t xml:space="preserve"> MSKCC controls</w:t>
      </w:r>
      <w:r w:rsidRPr="007F25CF">
        <w:rPr>
          <w:rFonts w:eastAsia="TimesNewRoman" w:cs="TimesNewRoman"/>
        </w:rPr>
        <w:t>.</w:t>
      </w:r>
      <w:r>
        <w:rPr>
          <w:rFonts w:eastAsia="TimesNewRoman" w:cs="TimesNewRoman"/>
        </w:rPr>
        <w:t xml:space="preserve"> Also, t</w:t>
      </w:r>
      <w:r w:rsidRPr="007F25CF">
        <w:rPr>
          <w:rFonts w:eastAsia="TimesNewRoman" w:cs="TimesNewRoman"/>
        </w:rPr>
        <w:t>he median time from initial diagnosis to</w:t>
      </w:r>
      <w:r>
        <w:rPr>
          <w:rFonts w:eastAsia="TimesNewRoman" w:cs="TimesNewRoman"/>
        </w:rPr>
        <w:t xml:space="preserve"> </w:t>
      </w:r>
      <w:r w:rsidRPr="007F25CF">
        <w:rPr>
          <w:rFonts w:eastAsia="TimesNewRoman" w:cs="TimesNewRoman"/>
        </w:rPr>
        <w:t xml:space="preserve">initiation of the last therapy </w:t>
      </w:r>
      <w:r>
        <w:rPr>
          <w:rFonts w:eastAsia="TimesNewRoman" w:cs="TimesNewRoman"/>
        </w:rPr>
        <w:t xml:space="preserve">was longer in Study PDX-008 and a lower proportion of patients in Study PDX-008 </w:t>
      </w:r>
      <w:r w:rsidRPr="00CE4A20">
        <w:rPr>
          <w:rFonts w:eastAsia="TimesNewRoman" w:cs="TimesNewRoman"/>
        </w:rPr>
        <w:t xml:space="preserve">had demonstrated </w:t>
      </w:r>
      <w:r>
        <w:rPr>
          <w:rFonts w:eastAsia="TimesNewRoman" w:cs="TimesNewRoman"/>
        </w:rPr>
        <w:t xml:space="preserve">a </w:t>
      </w:r>
      <w:r w:rsidRPr="00CE4A20">
        <w:rPr>
          <w:rFonts w:eastAsia="TimesNewRoman" w:cs="TimesNewRoman"/>
        </w:rPr>
        <w:t>response to previous therapies and to the most recent therapy</w:t>
      </w:r>
      <w:r>
        <w:rPr>
          <w:rFonts w:eastAsia="TimesNewRoman" w:cs="TimesNewRoman"/>
        </w:rPr>
        <w:t xml:space="preserve">. </w:t>
      </w:r>
      <w:r w:rsidRPr="00BA0042">
        <w:rPr>
          <w:rFonts w:eastAsia="TimesNewRoman" w:cs="TimesNewRoman"/>
        </w:rPr>
        <w:t xml:space="preserve">The median </w:t>
      </w:r>
      <w:r>
        <w:rPr>
          <w:rFonts w:eastAsia="TimesNewRoman" w:cs="TimesNewRoman"/>
        </w:rPr>
        <w:t>survival, calculated from the initiation of last therapy to death or censoring in MSKCC patients was</w:t>
      </w:r>
      <w:r w:rsidRPr="0012578B">
        <w:rPr>
          <w:rFonts w:eastAsia="TimesNewRoman" w:cs="TimesNewRoman"/>
        </w:rPr>
        <w:t xml:space="preserve"> </w:t>
      </w:r>
      <w:r w:rsidRPr="00BA0042">
        <w:rPr>
          <w:rFonts w:eastAsia="TimesNewRoman" w:cs="TimesNewRoman"/>
        </w:rPr>
        <w:t xml:space="preserve">6.1 months </w:t>
      </w:r>
      <w:r>
        <w:rPr>
          <w:rFonts w:eastAsia="TimesNewRoman" w:cs="TimesNewRoman"/>
        </w:rPr>
        <w:t>(</w:t>
      </w:r>
      <w:r w:rsidRPr="00BA0042">
        <w:rPr>
          <w:rFonts w:eastAsia="TimesNewRoman" w:cs="TimesNewRoman"/>
        </w:rPr>
        <w:t>95% CI 4.0-11.0</w:t>
      </w:r>
      <w:r>
        <w:rPr>
          <w:rFonts w:eastAsia="TimesNewRoman" w:cs="TimesNewRoman"/>
        </w:rPr>
        <w:t xml:space="preserve">0 </w:t>
      </w:r>
      <w:r w:rsidRPr="0012578B">
        <w:rPr>
          <w:rFonts w:eastAsia="TimesNewRoman" w:cs="TimesNewRoman"/>
        </w:rPr>
        <w:t xml:space="preserve">compared to 14.5 months </w:t>
      </w:r>
      <w:r w:rsidRPr="00BA0042">
        <w:rPr>
          <w:rFonts w:eastAsia="TimesNewRoman" w:cs="TimesNewRoman"/>
        </w:rPr>
        <w:t>(95% CI, 10.6- 22.5)</w:t>
      </w:r>
      <w:r>
        <w:rPr>
          <w:rFonts w:eastAsia="TimesNewRoman" w:cs="TimesNewRoman"/>
        </w:rPr>
        <w:t>. T</w:t>
      </w:r>
      <w:r w:rsidRPr="00BA0042">
        <w:rPr>
          <w:rFonts w:eastAsia="TimesNewRoman" w:cs="TimesNewRoman"/>
        </w:rPr>
        <w:t>he hazard ratio was 0.715 (95% CI: 0.486-1.053)</w:t>
      </w:r>
      <w:r>
        <w:rPr>
          <w:rFonts w:eastAsia="TimesNewRoman" w:cs="TimesNewRoman"/>
        </w:rPr>
        <w:t>,</w:t>
      </w:r>
      <w:r w:rsidRPr="00BA0042">
        <w:rPr>
          <w:rFonts w:eastAsia="TimesNewRoman" w:cs="TimesNewRoman"/>
        </w:rPr>
        <w:t xml:space="preserve"> in favour of pralatrexate.</w:t>
      </w:r>
    </w:p>
    <w:tbl>
      <w:tblPr>
        <w:tblStyle w:val="TableGrid"/>
        <w:tblW w:w="0" w:type="auto"/>
        <w:tblLook w:val="04A0"/>
      </w:tblPr>
      <w:tblGrid>
        <w:gridCol w:w="9242"/>
      </w:tblGrid>
      <w:tr w:rsidR="004D5254" w:rsidTr="00C80331">
        <w:tc>
          <w:tcPr>
            <w:tcW w:w="9242" w:type="dxa"/>
            <w:shd w:val="clear" w:color="auto" w:fill="D9D9D9" w:themeFill="background1" w:themeFillShade="D9"/>
          </w:tcPr>
          <w:p w:rsidR="004D5254" w:rsidRPr="009E7657" w:rsidRDefault="004D5254" w:rsidP="00C80331">
            <w:pPr>
              <w:pStyle w:val="Bullet2"/>
              <w:keepNext/>
              <w:numPr>
                <w:ilvl w:val="0"/>
                <w:numId w:val="0"/>
              </w:numPr>
              <w:rPr>
                <w:rFonts w:eastAsia="TimesNewRoman" w:cs="TimesNewRoman"/>
                <w:kern w:val="0"/>
                <w:szCs w:val="22"/>
                <w:u w:val="single"/>
              </w:rPr>
            </w:pPr>
            <w:r w:rsidRPr="009E7657">
              <w:rPr>
                <w:rFonts w:eastAsia="TimesNewRoman" w:cs="TimesNewRoman"/>
                <w:kern w:val="0"/>
                <w:szCs w:val="22"/>
                <w:u w:val="single"/>
              </w:rPr>
              <w:lastRenderedPageBreak/>
              <w:t>Evaluator’s comment:</w:t>
            </w:r>
          </w:p>
          <w:p w:rsidR="004D5254" w:rsidRDefault="004D5254" w:rsidP="00C80331">
            <w:pPr>
              <w:keepNext/>
              <w:autoSpaceDE w:val="0"/>
              <w:autoSpaceDN w:val="0"/>
              <w:adjustRightInd w:val="0"/>
              <w:rPr>
                <w:rFonts w:eastAsia="TimesNewRoman" w:cs="TimesNewRoman"/>
                <w:szCs w:val="22"/>
              </w:rPr>
            </w:pPr>
            <w:r w:rsidRPr="009E7657">
              <w:rPr>
                <w:rFonts w:eastAsia="TimesNewRoman" w:cs="TimesNewRoman"/>
                <w:szCs w:val="22"/>
              </w:rPr>
              <w:t>The data available from the UNMC and MSKCC databases are the most relevant for use as historical controls because they allowed assessment of survival outcomes for patients with relapsed or refractory disease from the initiation of last therapy to death or censoring.</w:t>
            </w:r>
            <w:r>
              <w:rPr>
                <w:rFonts w:eastAsia="TimesNewRoman" w:cs="TimesNewRoman"/>
                <w:szCs w:val="22"/>
              </w:rPr>
              <w:t xml:space="preserve"> </w:t>
            </w:r>
            <w:r w:rsidRPr="009E7657">
              <w:rPr>
                <w:rFonts w:eastAsia="TimesNewRoman" w:cs="TimesNewRoman"/>
                <w:szCs w:val="22"/>
              </w:rPr>
              <w:t xml:space="preserve">This could be compared directly with the data from </w:t>
            </w:r>
            <w:r>
              <w:rPr>
                <w:rFonts w:eastAsia="TimesNewRoman" w:cs="TimesNewRoman"/>
                <w:szCs w:val="22"/>
              </w:rPr>
              <w:t>Study PDX-</w:t>
            </w:r>
            <w:r w:rsidRPr="009E7657">
              <w:rPr>
                <w:rFonts w:eastAsia="TimesNewRoman" w:cs="TimesNewRoman"/>
                <w:szCs w:val="22"/>
              </w:rPr>
              <w:t>008</w:t>
            </w:r>
            <w:r>
              <w:rPr>
                <w:rFonts w:eastAsia="TimesNewRoman" w:cs="TimesNewRoman"/>
                <w:szCs w:val="22"/>
              </w:rPr>
              <w:t>. A</w:t>
            </w:r>
            <w:r w:rsidRPr="009E7657">
              <w:rPr>
                <w:rFonts w:eastAsia="TimesNewRoman" w:cs="TimesNewRoman"/>
                <w:szCs w:val="22"/>
              </w:rPr>
              <w:t xml:space="preserve"> full comparison of demographic and clinical </w:t>
            </w:r>
            <w:r>
              <w:rPr>
                <w:rFonts w:eastAsia="TimesNewRoman" w:cs="TimesNewRoman"/>
                <w:szCs w:val="22"/>
              </w:rPr>
              <w:t>characteristics, including most recent treatment of the patients from</w:t>
            </w:r>
            <w:r w:rsidRPr="009E7657">
              <w:rPr>
                <w:rFonts w:eastAsia="TimesNewRoman" w:cs="TimesNewRoman"/>
                <w:szCs w:val="22"/>
              </w:rPr>
              <w:t xml:space="preserve"> these databases and </w:t>
            </w:r>
            <w:r>
              <w:rPr>
                <w:rFonts w:eastAsia="TimesNewRoman" w:cs="TimesNewRoman"/>
                <w:szCs w:val="22"/>
              </w:rPr>
              <w:t>Study PDX-</w:t>
            </w:r>
            <w:r w:rsidRPr="009E7657">
              <w:rPr>
                <w:rFonts w:eastAsia="TimesNewRoman" w:cs="TimesNewRoman"/>
                <w:szCs w:val="22"/>
              </w:rPr>
              <w:t xml:space="preserve">008 </w:t>
            </w:r>
            <w:r>
              <w:rPr>
                <w:rFonts w:eastAsia="TimesNewRoman" w:cs="TimesNewRoman"/>
                <w:szCs w:val="22"/>
              </w:rPr>
              <w:t>was provided</w:t>
            </w:r>
            <w:r w:rsidRPr="009E7657">
              <w:rPr>
                <w:rFonts w:eastAsia="TimesNewRoman" w:cs="TimesNewRoman"/>
                <w:szCs w:val="22"/>
              </w:rPr>
              <w:t xml:space="preserve"> in </w:t>
            </w:r>
            <w:r>
              <w:rPr>
                <w:rFonts w:eastAsia="TimesNewRoman" w:cs="TimesNewRoman"/>
                <w:szCs w:val="22"/>
              </w:rPr>
              <w:t>the submission</w:t>
            </w:r>
            <w:r w:rsidRPr="009E7657">
              <w:rPr>
                <w:rFonts w:eastAsia="TimesNewRoman" w:cs="TimesNewRoman"/>
                <w:szCs w:val="22"/>
              </w:rPr>
              <w:t>.</w:t>
            </w:r>
            <w:r>
              <w:rPr>
                <w:rFonts w:eastAsia="TimesNewRoman" w:cs="TimesNewRoman"/>
                <w:szCs w:val="22"/>
              </w:rPr>
              <w:t xml:space="preserve"> </w:t>
            </w:r>
            <w:r w:rsidRPr="009E7657">
              <w:rPr>
                <w:rFonts w:eastAsia="TimesNewRoman" w:cs="TimesNewRoman"/>
                <w:szCs w:val="22"/>
              </w:rPr>
              <w:t xml:space="preserve">However, whilst the collection of data for these databases overlapped the conduct of the </w:t>
            </w:r>
            <w:r>
              <w:rPr>
                <w:rFonts w:eastAsia="TimesNewRoman" w:cs="TimesNewRoman"/>
                <w:szCs w:val="22"/>
              </w:rPr>
              <w:t>Study PDX-008</w:t>
            </w:r>
            <w:r w:rsidRPr="009E7657">
              <w:rPr>
                <w:rFonts w:eastAsia="TimesNewRoman" w:cs="TimesNewRoman"/>
                <w:szCs w:val="22"/>
              </w:rPr>
              <w:t>, the timeframe for the historical controls was longer, particularly the UNMC database which included data from as early as 1984.</w:t>
            </w:r>
            <w:r>
              <w:rPr>
                <w:rFonts w:eastAsia="TimesNewRoman" w:cs="TimesNewRoman"/>
                <w:szCs w:val="22"/>
              </w:rPr>
              <w:t xml:space="preserve"> </w:t>
            </w:r>
            <w:r w:rsidRPr="009E7657">
              <w:rPr>
                <w:rFonts w:eastAsia="TimesNewRoman" w:cs="TimesNewRoman"/>
                <w:szCs w:val="22"/>
              </w:rPr>
              <w:t xml:space="preserve">Thus the controls are not entirely concurrent with that of </w:t>
            </w:r>
            <w:r>
              <w:rPr>
                <w:rFonts w:eastAsia="TimesNewRoman" w:cs="TimesNewRoman"/>
                <w:szCs w:val="22"/>
              </w:rPr>
              <w:t>Study PDX-</w:t>
            </w:r>
            <w:r w:rsidRPr="009E7657">
              <w:rPr>
                <w:rFonts w:eastAsia="TimesNewRoman" w:cs="TimesNewRoman"/>
                <w:szCs w:val="22"/>
              </w:rPr>
              <w:t>008 which is a limitation of these analyses.</w:t>
            </w:r>
            <w:r>
              <w:rPr>
                <w:rFonts w:eastAsia="TimesNewRoman" w:cs="TimesNewRoman"/>
                <w:szCs w:val="22"/>
              </w:rPr>
              <w:t xml:space="preserve"> </w:t>
            </w:r>
          </w:p>
          <w:p w:rsidR="004D5254" w:rsidRDefault="004D5254" w:rsidP="00C80331">
            <w:pPr>
              <w:autoSpaceDE w:val="0"/>
              <w:autoSpaceDN w:val="0"/>
              <w:adjustRightInd w:val="0"/>
              <w:rPr>
                <w:rFonts w:eastAsia="TimesNewRoman" w:cs="TimesNewRoman"/>
                <w:szCs w:val="22"/>
              </w:rPr>
            </w:pPr>
            <w:r w:rsidRPr="009E7657">
              <w:rPr>
                <w:rFonts w:eastAsia="TimesNewRoman" w:cs="TimesNewRoman"/>
                <w:szCs w:val="22"/>
              </w:rPr>
              <w:t>Also of note, patients were censored at 24.1 months, since that was the longest follow-up time of patients in the PDX-008 study.</w:t>
            </w:r>
            <w:r>
              <w:rPr>
                <w:rFonts w:eastAsia="TimesNewRoman" w:cs="TimesNewRoman"/>
                <w:szCs w:val="22"/>
              </w:rPr>
              <w:t xml:space="preserve"> </w:t>
            </w:r>
            <w:r w:rsidRPr="009E7657">
              <w:rPr>
                <w:rFonts w:eastAsia="TimesNewRoman" w:cs="TimesNewRoman"/>
                <w:szCs w:val="22"/>
              </w:rPr>
              <w:t>Interestingly, the Kaplan-Meier plots from these analyses</w:t>
            </w:r>
            <w:r w:rsidRPr="00953D3D">
              <w:rPr>
                <w:rFonts w:eastAsia="TimesNewRoman" w:cs="TimesNewRoman"/>
                <w:szCs w:val="22"/>
              </w:rPr>
              <w:t xml:space="preserve"> (Figure 8, </w:t>
            </w:r>
            <w:r w:rsidRPr="009E7657">
              <w:rPr>
                <w:rFonts w:eastAsia="TimesNewRoman" w:cs="TimesNewRoman"/>
                <w:szCs w:val="22"/>
              </w:rPr>
              <w:t>below) show that the survival curves cross in the UNMC analysis at approximately 15 months, whereby survival at 24 months is higher for the UNMC group</w:t>
            </w:r>
            <w:r>
              <w:rPr>
                <w:rFonts w:eastAsia="TimesNewRoman" w:cs="TimesNewRoman"/>
                <w:szCs w:val="22"/>
              </w:rPr>
              <w:t>; and that the curves</w:t>
            </w:r>
            <w:r w:rsidRPr="009E7657">
              <w:rPr>
                <w:rFonts w:eastAsia="TimesNewRoman" w:cs="TimesNewRoman"/>
                <w:szCs w:val="22"/>
              </w:rPr>
              <w:t xml:space="preserve"> converge in the MSKCC analysis at 24 months.</w:t>
            </w:r>
            <w:r>
              <w:rPr>
                <w:rFonts w:eastAsia="TimesNewRoman" w:cs="TimesNewRoman"/>
                <w:szCs w:val="22"/>
              </w:rPr>
              <w:t xml:space="preserve"> </w:t>
            </w:r>
            <w:r w:rsidRPr="009E7657">
              <w:rPr>
                <w:rFonts w:eastAsia="TimesNewRoman" w:cs="TimesNewRoman"/>
                <w:szCs w:val="22"/>
              </w:rPr>
              <w:t>It would be useful to have data beyond 24 months for both these groups to review against the data s</w:t>
            </w:r>
            <w:r w:rsidRPr="00B14E28">
              <w:rPr>
                <w:rFonts w:eastAsia="TimesNewRoman" w:cs="TimesNewRoman"/>
                <w:szCs w:val="22"/>
              </w:rPr>
              <w:t>hown in Table 9, which p</w:t>
            </w:r>
            <w:r w:rsidRPr="009E7657">
              <w:rPr>
                <w:rFonts w:eastAsia="TimesNewRoman" w:cs="TimesNewRoman"/>
                <w:szCs w:val="22"/>
              </w:rPr>
              <w:t xml:space="preserve">rovides survival rates </w:t>
            </w:r>
            <w:r>
              <w:rPr>
                <w:rFonts w:eastAsia="TimesNewRoman" w:cs="TimesNewRoman"/>
                <w:szCs w:val="22"/>
              </w:rPr>
              <w:t xml:space="preserve">(albeit with wide confidence intervals) </w:t>
            </w:r>
            <w:r w:rsidRPr="009E7657">
              <w:rPr>
                <w:rFonts w:eastAsia="TimesNewRoman" w:cs="TimesNewRoman"/>
                <w:szCs w:val="22"/>
              </w:rPr>
              <w:t>for PDX out to 4 years.</w:t>
            </w:r>
          </w:p>
          <w:p w:rsidR="004D5254" w:rsidRPr="00953D3D" w:rsidRDefault="004D5254" w:rsidP="00C80331">
            <w:pPr>
              <w:autoSpaceDE w:val="0"/>
              <w:autoSpaceDN w:val="0"/>
              <w:adjustRightInd w:val="0"/>
              <w:rPr>
                <w:rFonts w:eastAsia="TimesNewRoman" w:cs="TimesNewRoman"/>
                <w:szCs w:val="22"/>
              </w:rPr>
            </w:pPr>
            <w:r w:rsidRPr="00953D3D">
              <w:rPr>
                <w:rFonts w:eastAsia="TimesNewRoman" w:cs="TimesNewRoman"/>
                <w:szCs w:val="22"/>
              </w:rPr>
              <w:t>With respect to the survival curves shown above, it is evident there was a slowed decline with pralatrexate compared to other treatments but there is no real plateau, suggesting that the role of pralatrexate may be to provide a bridge to transplantation. However, it must be remembered this is a single agent being compared to what were essentially combinations of other agents, so the comparison provides proof of concept for the activity of pralatrexate in PTCL.</w:t>
            </w:r>
          </w:p>
          <w:p w:rsidR="004D5254" w:rsidRPr="00953D3D" w:rsidRDefault="004D5254" w:rsidP="00C80331">
            <w:pPr>
              <w:autoSpaceDE w:val="0"/>
              <w:autoSpaceDN w:val="0"/>
              <w:adjustRightInd w:val="0"/>
              <w:rPr>
                <w:rFonts w:eastAsia="TimesNewRoman" w:cs="TimesNewRoman"/>
                <w:szCs w:val="22"/>
              </w:rPr>
            </w:pPr>
            <w:r w:rsidRPr="00953D3D">
              <w:rPr>
                <w:rFonts w:eastAsia="TimesNewRoman" w:cs="TimesNewRoman"/>
                <w:szCs w:val="22"/>
              </w:rPr>
              <w:t>MSKCC was one of the highest enrolling investigational sites in the pivotal study. Seven controls from MSKCC received their last treatment during the period that Study PDX-008 was open at the centre, but were not included in the PDX-008 study. The sponsor noted this appeared to have been because the patients were considered to be candidates for aggressive multi-agent therapy, or because they were included in other clinical studies. The sponsor conducted a sensitivity analysis with these 7 patients excluded from the MSKCC cohort. This showed the survival for these 7 patients was similar to, or slightly better than, that of the other MSKCC patients, and thus would not have negatively impacted the analyses. It is also presumed that selection of patients for PDX-008 did not favour those likely to have better outcomes.</w:t>
            </w:r>
          </w:p>
          <w:p w:rsidR="004D5254" w:rsidRPr="009E7657" w:rsidRDefault="004D5254" w:rsidP="00C80331">
            <w:pPr>
              <w:autoSpaceDE w:val="0"/>
              <w:autoSpaceDN w:val="0"/>
              <w:adjustRightInd w:val="0"/>
              <w:rPr>
                <w:rFonts w:eastAsia="TimesNewRoman" w:cs="TimesNewRoman"/>
                <w:szCs w:val="22"/>
              </w:rPr>
            </w:pPr>
            <w:r w:rsidRPr="00953D3D">
              <w:rPr>
                <w:rFonts w:eastAsia="TimesNewRoman" w:cs="TimesNewRoman"/>
                <w:szCs w:val="22"/>
              </w:rPr>
              <w:t>Despite the limitations associated with retrospective analyses and the use of historical controls, the survival data suggest that pralatrexate may have the efficacy to provide similar or improved clinical outcomes compared to those seen with available treatment options.</w:t>
            </w:r>
          </w:p>
        </w:tc>
      </w:tr>
    </w:tbl>
    <w:p w:rsidR="004D5254" w:rsidRPr="00CE119B" w:rsidRDefault="004D5254" w:rsidP="004D5254">
      <w:pPr>
        <w:pStyle w:val="Bullet2"/>
        <w:numPr>
          <w:ilvl w:val="0"/>
          <w:numId w:val="0"/>
        </w:numPr>
        <w:spacing w:before="0"/>
      </w:pPr>
    </w:p>
    <w:tbl>
      <w:tblPr>
        <w:tblStyle w:val="TableGrid"/>
        <w:tblW w:w="9456" w:type="dxa"/>
        <w:tblInd w:w="-34" w:type="dxa"/>
        <w:tblLook w:val="04A0"/>
      </w:tblPr>
      <w:tblGrid>
        <w:gridCol w:w="9456"/>
      </w:tblGrid>
      <w:tr w:rsidR="004D5254" w:rsidTr="004D5254">
        <w:trPr>
          <w:trHeight w:val="10500"/>
        </w:trPr>
        <w:tc>
          <w:tcPr>
            <w:tcW w:w="9456" w:type="dxa"/>
            <w:shd w:val="clear" w:color="auto" w:fill="FFFFFF" w:themeFill="background1"/>
          </w:tcPr>
          <w:p w:rsidR="004D5254" w:rsidRPr="00043F33" w:rsidRDefault="004D5254" w:rsidP="00C80331">
            <w:pPr>
              <w:pStyle w:val="FigureTitle"/>
              <w:keepNext/>
              <w:rPr>
                <w:rFonts w:eastAsia="TimesNewRoman" w:cs="TimesNewRoman"/>
                <w:szCs w:val="22"/>
              </w:rPr>
            </w:pPr>
            <w:bookmarkStart w:id="196" w:name="_Toc320881595"/>
            <w:r>
              <w:lastRenderedPageBreak/>
              <w:t>Figure 8. Survival from time of most recent treatment in patients with relapsed/refractory PTCL – pralatrexate (Study PDX-008) versus historical controls from UNMC (A) and MSKCC (B)</w:t>
            </w:r>
            <w:bookmarkEnd w:id="196"/>
          </w:p>
          <w:p w:rsidR="004D5254" w:rsidRPr="0031014D" w:rsidRDefault="004D5254" w:rsidP="00C80331">
            <w:pPr>
              <w:pStyle w:val="Bullet2"/>
              <w:keepNext/>
              <w:numPr>
                <w:ilvl w:val="0"/>
                <w:numId w:val="0"/>
              </w:numPr>
              <w:spacing w:before="0"/>
              <w:rPr>
                <w:rFonts w:eastAsia="TimesNewRoman" w:cs="TimesNewRoman"/>
                <w:b/>
                <w:kern w:val="0"/>
                <w:szCs w:val="22"/>
              </w:rPr>
            </w:pPr>
            <w:r w:rsidRPr="0031014D">
              <w:rPr>
                <w:rFonts w:eastAsia="TimesNewRoman" w:cs="TimesNewRoman"/>
                <w:b/>
                <w:kern w:val="0"/>
                <w:szCs w:val="22"/>
              </w:rPr>
              <w:t>A</w:t>
            </w:r>
          </w:p>
          <w:p w:rsidR="004D5254" w:rsidRDefault="004D5254" w:rsidP="00C80331">
            <w:pPr>
              <w:pStyle w:val="Bullet2"/>
              <w:keepNext/>
              <w:numPr>
                <w:ilvl w:val="0"/>
                <w:numId w:val="0"/>
              </w:numPr>
              <w:rPr>
                <w:rFonts w:eastAsia="TimesNewRoman" w:cs="TimesNewRoman"/>
                <w:noProof/>
                <w:kern w:val="0"/>
                <w:szCs w:val="22"/>
              </w:rPr>
            </w:pPr>
            <w:r>
              <w:rPr>
                <w:rFonts w:eastAsia="TimesNewRoman" w:cs="TimesNewRoman"/>
                <w:noProof/>
                <w:kern w:val="0"/>
                <w:szCs w:val="22"/>
              </w:rPr>
              <w:drawing>
                <wp:inline distT="0" distB="0" distL="0" distR="0">
                  <wp:extent cx="4737652" cy="2724150"/>
                  <wp:effectExtent l="19050" t="0" r="5798" b="0"/>
                  <wp:docPr id="20" name="Picture 1" descr="Figure 8 a. Survival from time of most recent treatment in patients with relapsed/refractory PTCL – pralatrexate (Study PDX-008) versus historical controls from UNM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duotone>
                              <a:prstClr val="black"/>
                              <a:schemeClr val="bg1">
                                <a:tint val="45000"/>
                                <a:satMod val="400000"/>
                              </a:schemeClr>
                            </a:duotone>
                          </a:blip>
                          <a:srcRect/>
                          <a:stretch>
                            <a:fillRect/>
                          </a:stretch>
                        </pic:blipFill>
                        <pic:spPr bwMode="auto">
                          <a:xfrm>
                            <a:off x="0" y="0"/>
                            <a:ext cx="4737652" cy="2724150"/>
                          </a:xfrm>
                          <a:prstGeom prst="rect">
                            <a:avLst/>
                          </a:prstGeom>
                          <a:noFill/>
                          <a:ln w="9525">
                            <a:noFill/>
                            <a:miter lim="800000"/>
                            <a:headEnd/>
                            <a:tailEnd/>
                          </a:ln>
                        </pic:spPr>
                      </pic:pic>
                    </a:graphicData>
                  </a:graphic>
                </wp:inline>
              </w:drawing>
            </w:r>
          </w:p>
          <w:p w:rsidR="004D5254" w:rsidRPr="0031014D" w:rsidRDefault="004D5254" w:rsidP="00C80331">
            <w:pPr>
              <w:pStyle w:val="Bullet2"/>
              <w:keepNext/>
              <w:keepLines/>
              <w:numPr>
                <w:ilvl w:val="0"/>
                <w:numId w:val="0"/>
              </w:numPr>
              <w:spacing w:before="0"/>
              <w:rPr>
                <w:rFonts w:eastAsia="TimesNewRoman" w:cs="TimesNewRoman"/>
                <w:b/>
                <w:kern w:val="0"/>
                <w:szCs w:val="22"/>
              </w:rPr>
            </w:pPr>
            <w:r w:rsidRPr="0031014D">
              <w:rPr>
                <w:rFonts w:eastAsia="TimesNewRoman" w:cs="TimesNewRoman"/>
                <w:b/>
                <w:kern w:val="0"/>
                <w:szCs w:val="22"/>
              </w:rPr>
              <w:t>B</w:t>
            </w:r>
          </w:p>
          <w:p w:rsidR="004D5254" w:rsidRDefault="004D5254" w:rsidP="00C80331">
            <w:pPr>
              <w:pStyle w:val="Bullet2"/>
              <w:keepNext/>
              <w:keepLines/>
              <w:numPr>
                <w:ilvl w:val="0"/>
                <w:numId w:val="0"/>
              </w:numPr>
              <w:rPr>
                <w:rFonts w:eastAsia="TimesNewRoman" w:cs="TimesNewRoman"/>
                <w:kern w:val="0"/>
                <w:szCs w:val="22"/>
              </w:rPr>
            </w:pPr>
            <w:r>
              <w:rPr>
                <w:rFonts w:eastAsia="TimesNewRoman" w:cs="TimesNewRoman"/>
                <w:noProof/>
                <w:kern w:val="0"/>
                <w:szCs w:val="22"/>
              </w:rPr>
              <w:drawing>
                <wp:inline distT="0" distB="0" distL="0" distR="0">
                  <wp:extent cx="4848225" cy="2845918"/>
                  <wp:effectExtent l="19050" t="0" r="9525" b="0"/>
                  <wp:docPr id="21" name="Picture 21" descr="Figure 8b. Survival from time of most recent treatment in patients with relapsed/refractory PTCL – pralatrexate (Study PDX-008) versus historical controls MSK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duotone>
                              <a:prstClr val="black"/>
                              <a:schemeClr val="bg1">
                                <a:tint val="45000"/>
                                <a:satMod val="400000"/>
                              </a:schemeClr>
                            </a:duotone>
                          </a:blip>
                          <a:srcRect/>
                          <a:stretch>
                            <a:fillRect/>
                          </a:stretch>
                        </pic:blipFill>
                        <pic:spPr bwMode="auto">
                          <a:xfrm>
                            <a:off x="0" y="0"/>
                            <a:ext cx="4848225" cy="2845918"/>
                          </a:xfrm>
                          <a:prstGeom prst="rect">
                            <a:avLst/>
                          </a:prstGeom>
                          <a:noFill/>
                          <a:ln w="9525">
                            <a:noFill/>
                            <a:miter lim="800000"/>
                            <a:headEnd/>
                            <a:tailEnd/>
                          </a:ln>
                        </pic:spPr>
                      </pic:pic>
                    </a:graphicData>
                  </a:graphic>
                </wp:inline>
              </w:drawing>
            </w:r>
            <w:r>
              <w:rPr>
                <w:rFonts w:eastAsia="TimesNewRoman" w:cs="TimesNewRoman"/>
                <w:kern w:val="0"/>
                <w:szCs w:val="22"/>
              </w:rPr>
              <w:t xml:space="preserve"> </w:t>
            </w:r>
          </w:p>
        </w:tc>
      </w:tr>
    </w:tbl>
    <w:p w:rsidR="004D5254" w:rsidRDefault="004D5254" w:rsidP="004D5254">
      <w:pPr>
        <w:pStyle w:val="Heading4"/>
        <w:numPr>
          <w:ilvl w:val="2"/>
          <w:numId w:val="5"/>
        </w:numPr>
      </w:pPr>
      <w:bookmarkStart w:id="197" w:name="_Ref271037188"/>
      <w:bookmarkStart w:id="198" w:name="_Ref271037210"/>
      <w:bookmarkStart w:id="199" w:name="_Toc272414655"/>
      <w:bookmarkStart w:id="200" w:name="_Toc290846277"/>
      <w:bookmarkStart w:id="201" w:name="_Toc320881452"/>
      <w:bookmarkStart w:id="202" w:name="_Toc241374311"/>
      <w:bookmarkStart w:id="203" w:name="_Ref243294291"/>
      <w:r>
        <w:t>Other efficacy studies</w:t>
      </w:r>
      <w:bookmarkEnd w:id="197"/>
      <w:bookmarkEnd w:id="198"/>
      <w:bookmarkEnd w:id="199"/>
      <w:bookmarkEnd w:id="200"/>
      <w:bookmarkEnd w:id="201"/>
    </w:p>
    <w:p w:rsidR="004D5254" w:rsidRPr="009512F9" w:rsidRDefault="004D5254" w:rsidP="004D5254">
      <w:pPr>
        <w:pStyle w:val="Heading5"/>
        <w:numPr>
          <w:ilvl w:val="3"/>
          <w:numId w:val="5"/>
        </w:numPr>
      </w:pPr>
      <w:bookmarkStart w:id="204" w:name="_Toc290846278"/>
      <w:bookmarkStart w:id="205" w:name="_Toc320881453"/>
      <w:bookmarkEnd w:id="202"/>
      <w:bookmarkEnd w:id="203"/>
      <w:r w:rsidRPr="009512F9">
        <w:t xml:space="preserve">Study </w:t>
      </w:r>
      <w:bookmarkEnd w:id="204"/>
      <w:r w:rsidRPr="009512F9">
        <w:t>PDX-02-078</w:t>
      </w:r>
      <w:bookmarkEnd w:id="205"/>
    </w:p>
    <w:p w:rsidR="004D5254" w:rsidRDefault="004D5254" w:rsidP="004D5254">
      <w:pPr>
        <w:autoSpaceDE w:val="0"/>
        <w:autoSpaceDN w:val="0"/>
        <w:adjustRightInd w:val="0"/>
        <w:rPr>
          <w:rFonts w:eastAsia="TimesNewRoman" w:cs="TimesNewRoman"/>
          <w:color w:val="000000"/>
        </w:rPr>
      </w:pPr>
      <w:r>
        <w:t xml:space="preserve">This single arm, non-randomised, open-label </w:t>
      </w:r>
      <w:r w:rsidRPr="0014262A">
        <w:rPr>
          <w:rFonts w:eastAsia="TimesNewRoman" w:cs="TimesNewRoman"/>
          <w:color w:val="000000"/>
        </w:rPr>
        <w:t xml:space="preserve">study in patients </w:t>
      </w:r>
      <w:r>
        <w:rPr>
          <w:rFonts w:eastAsia="TimesNewRoman" w:cs="TimesNewRoman"/>
          <w:color w:val="000000"/>
        </w:rPr>
        <w:t xml:space="preserve">aged 18+ years </w:t>
      </w:r>
      <w:r w:rsidRPr="0014262A">
        <w:rPr>
          <w:rFonts w:eastAsia="TimesNewRoman" w:cs="TimesNewRoman"/>
          <w:color w:val="000000"/>
        </w:rPr>
        <w:t>with relapsed or refractory aggressive</w:t>
      </w:r>
      <w:r>
        <w:rPr>
          <w:rFonts w:eastAsia="TimesNewRoman" w:cs="TimesNewRoman"/>
          <w:color w:val="000000"/>
        </w:rPr>
        <w:t xml:space="preserve"> </w:t>
      </w:r>
      <w:r w:rsidRPr="0014262A">
        <w:rPr>
          <w:rFonts w:eastAsia="TimesNewRoman" w:cs="TimesNewRoman"/>
          <w:color w:val="000000"/>
        </w:rPr>
        <w:t>NHL or Hodgkin’s lymphoma (HL)</w:t>
      </w:r>
      <w:r>
        <w:rPr>
          <w:rFonts w:eastAsia="TimesNewRoman" w:cs="TimesNewRoman"/>
          <w:color w:val="000000"/>
        </w:rPr>
        <w:t xml:space="preserve"> was conducted at the MSKCC from September 2002 to May 2009 with t</w:t>
      </w:r>
      <w:r w:rsidRPr="0014262A">
        <w:rPr>
          <w:rFonts w:eastAsia="TimesNewRoman" w:cs="TimesNewRoman"/>
          <w:color w:val="000000"/>
        </w:rPr>
        <w:t xml:space="preserve">he primary objectives </w:t>
      </w:r>
      <w:r>
        <w:rPr>
          <w:rFonts w:eastAsia="TimesNewRoman" w:cs="TimesNewRoman"/>
          <w:color w:val="000000"/>
        </w:rPr>
        <w:t>of</w:t>
      </w:r>
      <w:r w:rsidRPr="0014262A">
        <w:rPr>
          <w:rFonts w:eastAsia="TimesNewRoman" w:cs="TimesNewRoman"/>
          <w:color w:val="000000"/>
        </w:rPr>
        <w:t xml:space="preserve"> determin</w:t>
      </w:r>
      <w:r>
        <w:rPr>
          <w:rFonts w:eastAsia="TimesNewRoman" w:cs="TimesNewRoman"/>
          <w:color w:val="000000"/>
        </w:rPr>
        <w:t>ing</w:t>
      </w:r>
      <w:r w:rsidRPr="0014262A">
        <w:rPr>
          <w:rFonts w:eastAsia="TimesNewRoman" w:cs="TimesNewRoman"/>
          <w:color w:val="000000"/>
        </w:rPr>
        <w:t xml:space="preserve"> the efficacy</w:t>
      </w:r>
      <w:r>
        <w:rPr>
          <w:rFonts w:eastAsia="TimesNewRoman" w:cs="TimesNewRoman"/>
          <w:color w:val="000000"/>
        </w:rPr>
        <w:t xml:space="preserve"> </w:t>
      </w:r>
      <w:r w:rsidRPr="0014262A">
        <w:rPr>
          <w:rFonts w:eastAsia="TimesNewRoman" w:cs="TimesNewRoman"/>
          <w:color w:val="000000"/>
        </w:rPr>
        <w:t>of pralatrexate, determin</w:t>
      </w:r>
      <w:r>
        <w:rPr>
          <w:rFonts w:eastAsia="TimesNewRoman" w:cs="TimesNewRoman"/>
          <w:color w:val="000000"/>
        </w:rPr>
        <w:t>ing the</w:t>
      </w:r>
      <w:r w:rsidRPr="0014262A">
        <w:rPr>
          <w:rFonts w:eastAsia="TimesNewRoman" w:cs="TimesNewRoman"/>
          <w:color w:val="000000"/>
        </w:rPr>
        <w:t xml:space="preserve"> impact of PK on AEs and drug elimination, and </w:t>
      </w:r>
      <w:r>
        <w:rPr>
          <w:rFonts w:eastAsia="TimesNewRoman" w:cs="TimesNewRoman"/>
          <w:color w:val="000000"/>
        </w:rPr>
        <w:t xml:space="preserve">to </w:t>
      </w:r>
      <w:r w:rsidRPr="0014262A">
        <w:rPr>
          <w:rFonts w:eastAsia="TimesNewRoman" w:cs="TimesNewRoman"/>
          <w:color w:val="000000"/>
        </w:rPr>
        <w:t>optimi</w:t>
      </w:r>
      <w:r>
        <w:rPr>
          <w:rFonts w:eastAsia="TimesNewRoman" w:cs="TimesNewRoman"/>
          <w:color w:val="000000"/>
        </w:rPr>
        <w:t>s</w:t>
      </w:r>
      <w:r w:rsidRPr="0014262A">
        <w:rPr>
          <w:rFonts w:eastAsia="TimesNewRoman" w:cs="TimesNewRoman"/>
          <w:color w:val="000000"/>
        </w:rPr>
        <w:t>e a weekly</w:t>
      </w:r>
      <w:r>
        <w:rPr>
          <w:rFonts w:eastAsia="TimesNewRoman" w:cs="TimesNewRoman"/>
          <w:color w:val="000000"/>
        </w:rPr>
        <w:t xml:space="preserve"> </w:t>
      </w:r>
      <w:r w:rsidRPr="0014262A">
        <w:rPr>
          <w:rFonts w:eastAsia="TimesNewRoman" w:cs="TimesNewRoman"/>
          <w:color w:val="000000"/>
        </w:rPr>
        <w:t>schedule of pralatrexate with vitamin B12 and folic acid supplementation.</w:t>
      </w:r>
      <w:r>
        <w:rPr>
          <w:rFonts w:eastAsia="TimesNewRoman" w:cs="TimesNewRoman"/>
          <w:color w:val="000000"/>
        </w:rPr>
        <w:t xml:space="preserve"> Secondary objectives included the characterisation of adverse events in this patient population and evaluating the potential correlates of stomatitis.</w:t>
      </w:r>
    </w:p>
    <w:p w:rsidR="004D5254" w:rsidRDefault="004D5254" w:rsidP="004D5254">
      <w:pPr>
        <w:autoSpaceDE w:val="0"/>
        <w:autoSpaceDN w:val="0"/>
        <w:adjustRightInd w:val="0"/>
        <w:rPr>
          <w:rFonts w:eastAsia="TimesNewRoman" w:cs="TimesNewRoman"/>
          <w:color w:val="000000"/>
        </w:rPr>
      </w:pPr>
      <w:r>
        <w:rPr>
          <w:rFonts w:eastAsia="TimesNewRoman" w:cs="TimesNewRoman"/>
          <w:color w:val="000000"/>
        </w:rPr>
        <w:t xml:space="preserve">Key entry criteria included: a requirement for patients to have measurable disease, defined as at least 1 lesion accurately measured in at least 1 dimension as ≥ 2cm on conventional techniques </w:t>
      </w:r>
      <w:r>
        <w:rPr>
          <w:rFonts w:eastAsia="TimesNewRoman" w:cs="TimesNewRoman"/>
          <w:color w:val="000000"/>
        </w:rPr>
        <w:lastRenderedPageBreak/>
        <w:t xml:space="preserve">or ≥ 1cm on spiral CT scan; Karnofsky performance status ≥ 60%; and adequate bone marrow and organ function, </w:t>
      </w:r>
      <w:r w:rsidRPr="00990CA1">
        <w:rPr>
          <w:rFonts w:eastAsia="TimesNewRoman" w:cs="TimesNewRoman"/>
          <w:color w:val="000000"/>
        </w:rPr>
        <w:t>that is,</w:t>
      </w:r>
      <w:r>
        <w:rPr>
          <w:rFonts w:eastAsia="TimesNewRoman" w:cs="TimesNewRoman"/>
          <w:color w:val="000000"/>
        </w:rPr>
        <w:t xml:space="preserve"> </w:t>
      </w:r>
      <w:r w:rsidRPr="009924B8">
        <w:t xml:space="preserve">ANC </w:t>
      </w:r>
      <w:r>
        <w:t xml:space="preserve">≥ </w:t>
      </w:r>
      <w:r w:rsidRPr="009924B8">
        <w:t>1.</w:t>
      </w:r>
      <w:r>
        <w:t>0</w:t>
      </w:r>
      <w:r w:rsidRPr="009924B8">
        <w:t xml:space="preserve"> x 10</w:t>
      </w:r>
      <w:r w:rsidRPr="009924B8">
        <w:rPr>
          <w:vertAlign w:val="superscript"/>
        </w:rPr>
        <w:t>9</w:t>
      </w:r>
      <w:r w:rsidRPr="009924B8">
        <w:t xml:space="preserve">/L; PLT </w:t>
      </w:r>
      <w:r>
        <w:t>≥</w:t>
      </w:r>
      <w:r w:rsidRPr="009924B8">
        <w:t xml:space="preserve"> </w:t>
      </w:r>
      <w:r>
        <w:t>5</w:t>
      </w:r>
      <w:r w:rsidRPr="009924B8">
        <w:t>0 x 10</w:t>
      </w:r>
      <w:r w:rsidRPr="009924B8">
        <w:rPr>
          <w:vertAlign w:val="superscript"/>
        </w:rPr>
        <w:t>9</w:t>
      </w:r>
      <w:r w:rsidRPr="009924B8">
        <w:t xml:space="preserve">/L; total serum bilirubin </w:t>
      </w:r>
      <w:r>
        <w:t>≤</w:t>
      </w:r>
      <w:r w:rsidRPr="009924B8">
        <w:t xml:space="preserve">1.5 x ULN; serum ALT/AST </w:t>
      </w:r>
      <w:r>
        <w:t>≤</w:t>
      </w:r>
      <w:r w:rsidRPr="009924B8">
        <w:t xml:space="preserve"> 2.5 x ULN</w:t>
      </w:r>
      <w:r>
        <w:t xml:space="preserve"> (4 x ULN if liver involvement)</w:t>
      </w:r>
      <w:r w:rsidRPr="009924B8">
        <w:t xml:space="preserve">; serum creatinine </w:t>
      </w:r>
      <w:r>
        <w:t>≤</w:t>
      </w:r>
      <w:r w:rsidRPr="009924B8">
        <w:t xml:space="preserve"> 1.5 mg/dL or creatinine clearance</w:t>
      </w:r>
      <w:r>
        <w:t>≥</w:t>
      </w:r>
      <w:r w:rsidRPr="009924B8">
        <w:t xml:space="preserve"> 50 mL/min</w:t>
      </w:r>
      <w:r>
        <w:t>. Patients were allowed to have had any number of prior therapies.</w:t>
      </w:r>
    </w:p>
    <w:p w:rsidR="004D5254" w:rsidRDefault="004D5254" w:rsidP="004D5254">
      <w:pPr>
        <w:autoSpaceDE w:val="0"/>
        <w:autoSpaceDN w:val="0"/>
        <w:adjustRightInd w:val="0"/>
      </w:pPr>
      <w:r>
        <w:rPr>
          <w:rFonts w:eastAsia="TimesNewRoman" w:cs="TimesNewRoman"/>
          <w:color w:val="000000"/>
        </w:rPr>
        <w:t xml:space="preserve"> The study was originally intended to be a Phase II study of efficacy and safety, where </w:t>
      </w:r>
      <w:r w:rsidRPr="0014262A">
        <w:rPr>
          <w:rFonts w:eastAsia="TimesNewRoman" w:cs="TimesNewRoman"/>
          <w:color w:val="000000"/>
        </w:rPr>
        <w:t>the starting dose of pralatrexate was 135 mg/m</w:t>
      </w:r>
      <w:r w:rsidRPr="00A42B7C">
        <w:rPr>
          <w:rFonts w:eastAsia="TimesNewRoman" w:cs="TimesNewRoman"/>
          <w:color w:val="000000"/>
          <w:vertAlign w:val="superscript"/>
        </w:rPr>
        <w:t>2</w:t>
      </w:r>
      <w:r>
        <w:rPr>
          <w:rFonts w:eastAsia="TimesNewRoman" w:cs="TimesNewRoman"/>
          <w:color w:val="000000"/>
        </w:rPr>
        <w:t xml:space="preserve"> </w:t>
      </w:r>
      <w:r w:rsidRPr="0014262A">
        <w:rPr>
          <w:rFonts w:eastAsia="TimesNewRoman" w:cs="TimesNewRoman"/>
          <w:color w:val="000000"/>
        </w:rPr>
        <w:t>administered every other week</w:t>
      </w:r>
      <w:r>
        <w:rPr>
          <w:rFonts w:eastAsia="TimesNewRoman" w:cs="TimesNewRoman"/>
          <w:color w:val="000000"/>
        </w:rPr>
        <w:t>,</w:t>
      </w:r>
      <w:r w:rsidRPr="0014262A">
        <w:rPr>
          <w:rFonts w:eastAsia="TimesNewRoman" w:cs="TimesNewRoman"/>
          <w:color w:val="000000"/>
        </w:rPr>
        <w:t xml:space="preserve"> with intra</w:t>
      </w:r>
      <w:r>
        <w:rPr>
          <w:rFonts w:eastAsia="TimesNewRoman" w:cs="TimesNewRoman"/>
          <w:color w:val="000000"/>
        </w:rPr>
        <w:t>-</w:t>
      </w:r>
      <w:r w:rsidRPr="0014262A">
        <w:rPr>
          <w:rFonts w:eastAsia="TimesNewRoman" w:cs="TimesNewRoman"/>
          <w:color w:val="000000"/>
        </w:rPr>
        <w:t>patient dose escalation.</w:t>
      </w:r>
      <w:r>
        <w:rPr>
          <w:rFonts w:eastAsia="TimesNewRoman" w:cs="TimesNewRoman"/>
          <w:color w:val="000000"/>
        </w:rPr>
        <w:t xml:space="preserve"> However, the protocol was amended in 2004 (by which time 16 patients had received treatment) to include Phase I activities in the form of inter-patient dose escalation to determine the optimal dose and schedule of pralatrexate, using </w:t>
      </w:r>
      <w:r w:rsidRPr="00A42B7C">
        <w:t>an initial dose of 30 mg/m</w:t>
      </w:r>
      <w:r w:rsidRPr="00A42B7C">
        <w:rPr>
          <w:vertAlign w:val="superscript"/>
        </w:rPr>
        <w:t xml:space="preserve">2 </w:t>
      </w:r>
      <w:r w:rsidRPr="00A42B7C">
        <w:t>weekly for 3 weeks of a 4</w:t>
      </w:r>
      <w:r>
        <w:t xml:space="preserve"> </w:t>
      </w:r>
      <w:r w:rsidRPr="00A42B7C">
        <w:t>week</w:t>
      </w:r>
      <w:r>
        <w:t xml:space="preserve"> </w:t>
      </w:r>
      <w:r w:rsidRPr="00A42B7C">
        <w:t>cycle</w:t>
      </w:r>
      <w:r>
        <w:t>,</w:t>
      </w:r>
      <w:r w:rsidRPr="00A42B7C">
        <w:t xml:space="preserve"> with subsequent increases in </w:t>
      </w:r>
      <w:r>
        <w:t xml:space="preserve">the </w:t>
      </w:r>
      <w:r w:rsidRPr="00A42B7C">
        <w:t>number of consecutive doses (from 3 to 6 doses) and dose</w:t>
      </w:r>
      <w:r>
        <w:t xml:space="preserve"> </w:t>
      </w:r>
      <w:r w:rsidRPr="00A42B7C">
        <w:t>amount (15 mg/m</w:t>
      </w:r>
      <w:r w:rsidRPr="00240111">
        <w:rPr>
          <w:vertAlign w:val="superscript"/>
        </w:rPr>
        <w:t>2</w:t>
      </w:r>
      <w:r w:rsidRPr="00A42B7C">
        <w:t xml:space="preserve"> increments).</w:t>
      </w:r>
      <w:r>
        <w:rPr>
          <w:rFonts w:eastAsia="TimesNewRoman" w:cs="TimesNewRoman"/>
          <w:color w:val="000000"/>
        </w:rPr>
        <w:t xml:space="preserve"> These changes were in response to a</w:t>
      </w:r>
      <w:r w:rsidRPr="0014262A">
        <w:rPr>
          <w:rFonts w:eastAsia="TimesNewRoman" w:cs="TimesNewRoman"/>
          <w:color w:val="000000"/>
        </w:rPr>
        <w:t xml:space="preserve"> higher than anticipated</w:t>
      </w:r>
      <w:r>
        <w:rPr>
          <w:rFonts w:eastAsia="TimesNewRoman" w:cs="TimesNewRoman"/>
          <w:color w:val="000000"/>
        </w:rPr>
        <w:t xml:space="preserve"> </w:t>
      </w:r>
      <w:r w:rsidRPr="0014262A">
        <w:rPr>
          <w:rFonts w:eastAsia="TimesNewRoman" w:cs="TimesNewRoman"/>
          <w:color w:val="000000"/>
        </w:rPr>
        <w:t xml:space="preserve">incidence of Grade 3 or 4 stomatitis in patients with Hcy and MMA concentrations </w:t>
      </w:r>
      <w:r>
        <w:rPr>
          <w:rFonts w:eastAsia="TimesNewRoman" w:cs="TimesNewRoman"/>
          <w:color w:val="000000"/>
        </w:rPr>
        <w:t>&gt;</w:t>
      </w:r>
      <w:r w:rsidRPr="0014262A">
        <w:rPr>
          <w:rFonts w:eastAsia="TimesNewRoman" w:cs="TimesNewRoman"/>
          <w:color w:val="000000"/>
        </w:rPr>
        <w:t xml:space="preserve"> 10</w:t>
      </w:r>
      <w:r>
        <w:rPr>
          <w:rFonts w:eastAsia="TimesNewRoman" w:cs="TimesNewRoman"/>
          <w:color w:val="000000"/>
        </w:rPr>
        <w:t xml:space="preserve"> µ</w:t>
      </w:r>
      <w:r w:rsidRPr="0014262A">
        <w:rPr>
          <w:rFonts w:eastAsia="TimesNewRoman" w:cs="TimesNewRoman"/>
          <w:color w:val="000000"/>
        </w:rPr>
        <w:t>mol/L and</w:t>
      </w:r>
      <w:r>
        <w:rPr>
          <w:rFonts w:eastAsia="TimesNewRoman" w:cs="TimesNewRoman"/>
          <w:color w:val="000000"/>
        </w:rPr>
        <w:t xml:space="preserve"> &gt; </w:t>
      </w:r>
      <w:r w:rsidRPr="00E2179C">
        <w:rPr>
          <w:rFonts w:eastAsia="TimesNewRoman" w:cs="TimesNewRoman"/>
        </w:rPr>
        <w:t>200</w:t>
      </w:r>
      <w:r>
        <w:rPr>
          <w:rFonts w:eastAsia="TimesNewRoman" w:cs="TimesNewRoman"/>
        </w:rPr>
        <w:t xml:space="preserve"> </w:t>
      </w:r>
      <w:r w:rsidRPr="00E2179C">
        <w:rPr>
          <w:rFonts w:eastAsia="TimesNewRoman" w:cs="TimesNewRoman"/>
        </w:rPr>
        <w:t>nmol/L, respectively</w:t>
      </w:r>
      <w:r>
        <w:rPr>
          <w:rFonts w:eastAsia="TimesNewRoman" w:cs="TimesNewRoman"/>
        </w:rPr>
        <w:t xml:space="preserve">, and because </w:t>
      </w:r>
      <w:r w:rsidRPr="00E2179C">
        <w:rPr>
          <w:rFonts w:eastAsia="TimesNewRoman" w:cs="TimesNewRoman"/>
        </w:rPr>
        <w:t xml:space="preserve">many patients with palpable disease </w:t>
      </w:r>
      <w:r>
        <w:rPr>
          <w:rFonts w:eastAsia="TimesNewRoman" w:cs="TimesNewRoman"/>
        </w:rPr>
        <w:t>had responses that were suggestive of cytokine failure (</w:t>
      </w:r>
      <w:r w:rsidRPr="00990CA1">
        <w:rPr>
          <w:rFonts w:eastAsia="TimesNewRoman" w:cs="TimesNewRoman"/>
        </w:rPr>
        <w:t>that is,</w:t>
      </w:r>
      <w:r>
        <w:rPr>
          <w:rFonts w:eastAsia="TimesNewRoman" w:cs="TimesNewRoman"/>
        </w:rPr>
        <w:t xml:space="preserve"> they </w:t>
      </w:r>
      <w:r w:rsidRPr="00E2179C">
        <w:rPr>
          <w:rFonts w:eastAsia="TimesNewRoman" w:cs="TimesNewRoman"/>
        </w:rPr>
        <w:t>experienced</w:t>
      </w:r>
      <w:r>
        <w:rPr>
          <w:rFonts w:eastAsia="TimesNewRoman" w:cs="TimesNewRoman"/>
        </w:rPr>
        <w:t xml:space="preserve"> </w:t>
      </w:r>
      <w:r w:rsidRPr="00E2179C">
        <w:rPr>
          <w:rFonts w:eastAsia="TimesNewRoman" w:cs="TimesNewRoman"/>
        </w:rPr>
        <w:t xml:space="preserve">marked </w:t>
      </w:r>
      <w:r>
        <w:rPr>
          <w:rFonts w:eastAsia="TimesNewRoman" w:cs="TimesNewRoman"/>
        </w:rPr>
        <w:t>reductions in their disease by D</w:t>
      </w:r>
      <w:r w:rsidRPr="00E2179C">
        <w:rPr>
          <w:rFonts w:eastAsia="TimesNewRoman" w:cs="TimesNewRoman"/>
        </w:rPr>
        <w:t>ay 7</w:t>
      </w:r>
      <w:r>
        <w:rPr>
          <w:rFonts w:eastAsia="TimesNewRoman" w:cs="TimesNewRoman"/>
        </w:rPr>
        <w:t xml:space="preserve"> but these</w:t>
      </w:r>
      <w:r w:rsidRPr="00E2179C">
        <w:rPr>
          <w:rFonts w:eastAsia="TimesNewRoman" w:cs="TimesNewRoman"/>
        </w:rPr>
        <w:t xml:space="preserve"> g</w:t>
      </w:r>
      <w:r>
        <w:rPr>
          <w:rFonts w:eastAsia="TimesNewRoman" w:cs="TimesNewRoman"/>
        </w:rPr>
        <w:t>rew back to baseline levels by D</w:t>
      </w:r>
      <w:r w:rsidRPr="00E2179C">
        <w:rPr>
          <w:rFonts w:eastAsia="TimesNewRoman" w:cs="TimesNewRoman"/>
        </w:rPr>
        <w:t>ay 15</w:t>
      </w:r>
      <w:r>
        <w:rPr>
          <w:rFonts w:eastAsia="TimesNewRoman" w:cs="TimesNewRoman"/>
        </w:rPr>
        <w:t xml:space="preserve">). Of note, the study was amended to include a requirement for normalised </w:t>
      </w:r>
      <w:r w:rsidRPr="0014262A">
        <w:rPr>
          <w:rFonts w:eastAsia="TimesNewRoman" w:cs="TimesNewRoman"/>
          <w:color w:val="000000"/>
        </w:rPr>
        <w:t>Hcy and MMA</w:t>
      </w:r>
      <w:r>
        <w:rPr>
          <w:rFonts w:eastAsia="TimesNewRoman" w:cs="TimesNewRoman"/>
          <w:color w:val="000000"/>
        </w:rPr>
        <w:t xml:space="preserve"> levels or a 10-day course of folic acid/vitamin B12 repletion prior to study entry.</w:t>
      </w:r>
    </w:p>
    <w:p w:rsidR="004D5254" w:rsidRPr="00B523B9" w:rsidRDefault="004D5254" w:rsidP="004D5254">
      <w:pPr>
        <w:autoSpaceDE w:val="0"/>
        <w:autoSpaceDN w:val="0"/>
        <w:adjustRightInd w:val="0"/>
        <w:rPr>
          <w:rFonts w:eastAsia="TimesNewRoman" w:cs="TimesNewRoman"/>
        </w:rPr>
      </w:pPr>
      <w:r w:rsidRPr="007A5F9F">
        <w:t>A total of 3-6 patients were to be enrol</w:t>
      </w:r>
      <w:r>
        <w:t>led at each dose level for the Phase I</w:t>
      </w:r>
      <w:r w:rsidRPr="007A5F9F">
        <w:t xml:space="preserve"> part of the study</w:t>
      </w:r>
      <w:r>
        <w:t xml:space="preserve"> </w:t>
      </w:r>
      <w:r w:rsidRPr="007A5F9F">
        <w:t xml:space="preserve">until the MTD was determined and a minimum of 17 patients and a maximum of 37 patients were to be enrolled for the </w:t>
      </w:r>
      <w:r>
        <w:t>Phase II</w:t>
      </w:r>
      <w:r w:rsidRPr="007A5F9F">
        <w:t xml:space="preserve"> component based on objective response.</w:t>
      </w:r>
      <w:r>
        <w:t xml:space="preserve"> </w:t>
      </w:r>
      <w:r w:rsidRPr="00A42B7C">
        <w:t>A 2-stage Simon des</w:t>
      </w:r>
      <w:r>
        <w:t>ign was to be employed for the Phase II</w:t>
      </w:r>
      <w:r w:rsidRPr="00A42B7C">
        <w:t xml:space="preserve"> </w:t>
      </w:r>
      <w:r>
        <w:t>whereby</w:t>
      </w:r>
      <w:r w:rsidRPr="00A42B7C">
        <w:t xml:space="preserve"> at least 4 out of 17 patients </w:t>
      </w:r>
      <w:r>
        <w:t>had to</w:t>
      </w:r>
      <w:r w:rsidRPr="00A42B7C">
        <w:t xml:space="preserve"> have experienced a</w:t>
      </w:r>
      <w:r>
        <w:t xml:space="preserve"> response in S</w:t>
      </w:r>
      <w:r w:rsidRPr="00A42B7C">
        <w:t>tage</w:t>
      </w:r>
      <w:r>
        <w:t xml:space="preserve"> 1 for the study to proceed to S</w:t>
      </w:r>
      <w:r w:rsidRPr="00A42B7C">
        <w:t>tage 2.</w:t>
      </w:r>
      <w:r>
        <w:t xml:space="preserve"> In S</w:t>
      </w:r>
      <w:r w:rsidRPr="00A42B7C">
        <w:t>tage 2, an additional</w:t>
      </w:r>
      <w:r>
        <w:t xml:space="preserve"> </w:t>
      </w:r>
      <w:r w:rsidRPr="00A42B7C">
        <w:t>20 evaluable patients were to be enrolled.</w:t>
      </w:r>
      <w:r>
        <w:t xml:space="preserve"> </w:t>
      </w:r>
      <w:r w:rsidRPr="00A42B7C">
        <w:t>A patient was considered evaluable for efficacy</w:t>
      </w:r>
      <w:r>
        <w:t xml:space="preserve"> </w:t>
      </w:r>
      <w:r w:rsidRPr="00A42B7C">
        <w:t>per the protocol if he/she completed 2 cycles of therapy.</w:t>
      </w:r>
      <w:r>
        <w:t xml:space="preserve"> </w:t>
      </w:r>
      <w:r w:rsidRPr="00B523B9">
        <w:t xml:space="preserve">Subsequently, the study was </w:t>
      </w:r>
      <w:r>
        <w:t xml:space="preserve">again </w:t>
      </w:r>
      <w:r w:rsidRPr="00B523B9">
        <w:t xml:space="preserve">amended </w:t>
      </w:r>
      <w:r>
        <w:t xml:space="preserve">in 2007 </w:t>
      </w:r>
      <w:r w:rsidRPr="00B523B9">
        <w:t xml:space="preserve">to have an emphasis on evaluating </w:t>
      </w:r>
      <w:r>
        <w:t>efficacy in</w:t>
      </w:r>
      <w:r w:rsidRPr="00B523B9">
        <w:t xml:space="preserve"> B-cell lymphoma for the</w:t>
      </w:r>
      <w:r>
        <w:t xml:space="preserve"> </w:t>
      </w:r>
      <w:r w:rsidRPr="00B523B9">
        <w:t xml:space="preserve">Phase </w:t>
      </w:r>
      <w:r>
        <w:t>II</w:t>
      </w:r>
      <w:r w:rsidRPr="00B523B9">
        <w:t xml:space="preserve"> portion of the study and a higher dose of 270 mg/m</w:t>
      </w:r>
      <w:r w:rsidRPr="00A72F01">
        <w:rPr>
          <w:vertAlign w:val="superscript"/>
        </w:rPr>
        <w:t>2</w:t>
      </w:r>
      <w:r w:rsidRPr="00B523B9">
        <w:t xml:space="preserve"> administered </w:t>
      </w:r>
      <w:r>
        <w:t>every</w:t>
      </w:r>
      <w:r w:rsidRPr="00B523B9">
        <w:t xml:space="preserve"> 2 weeks (rather</w:t>
      </w:r>
      <w:r>
        <w:t xml:space="preserve"> </w:t>
      </w:r>
      <w:r w:rsidRPr="00B523B9">
        <w:t>than every week) was used.</w:t>
      </w:r>
    </w:p>
    <w:p w:rsidR="004D5254" w:rsidRDefault="004D5254" w:rsidP="004D5254">
      <w:pPr>
        <w:autoSpaceDE w:val="0"/>
        <w:autoSpaceDN w:val="0"/>
        <w:adjustRightInd w:val="0"/>
        <w:rPr>
          <w:rFonts w:eastAsia="TimesNewRoman" w:cs="TimesNewRoman"/>
        </w:rPr>
      </w:pPr>
      <w:r>
        <w:rPr>
          <w:rFonts w:eastAsia="TimesNewRoman" w:cs="TimesNewRoman"/>
        </w:rPr>
        <w:t xml:space="preserve">A total of 72 patients (61% male, 39% female; mean age 54.1 yrs (range 20-80); 63% Caucasian) were enrolled in the study, of whom </w:t>
      </w:r>
      <w:r w:rsidRPr="00E82DB9">
        <w:rPr>
          <w:rFonts w:eastAsia="TimesNewRoman" w:cs="TimesNewRoman"/>
        </w:rPr>
        <w:t xml:space="preserve">39 </w:t>
      </w:r>
      <w:r>
        <w:rPr>
          <w:rFonts w:eastAsia="TimesNewRoman" w:cs="TimesNewRoman"/>
        </w:rPr>
        <w:t xml:space="preserve">were </w:t>
      </w:r>
      <w:r w:rsidRPr="00E82DB9">
        <w:rPr>
          <w:rFonts w:eastAsia="TimesNewRoman" w:cs="TimesNewRoman"/>
        </w:rPr>
        <w:t>evaluable</w:t>
      </w:r>
      <w:r>
        <w:rPr>
          <w:rFonts w:eastAsia="TimesNewRoman" w:cs="TimesNewRoman"/>
        </w:rPr>
        <w:t xml:space="preserve">. </w:t>
      </w:r>
      <w:r w:rsidRPr="00E82DB9">
        <w:t>Thirty-six (50%) patients had T/natural killer (NK)-cell lymphoma</w:t>
      </w:r>
      <w:r>
        <w:t>;</w:t>
      </w:r>
      <w:r w:rsidRPr="00E82DB9">
        <w:t xml:space="preserve"> 25 (35%)</w:t>
      </w:r>
      <w:r>
        <w:t xml:space="preserve"> </w:t>
      </w:r>
      <w:r w:rsidRPr="00E82DB9">
        <w:t>had B-cell lymphoma</w:t>
      </w:r>
      <w:r>
        <w:t>;</w:t>
      </w:r>
      <w:r w:rsidRPr="00E82DB9">
        <w:t xml:space="preserve"> 8 (11%) had Hodgkin’s lymphoma</w:t>
      </w:r>
      <w:r>
        <w:t>;</w:t>
      </w:r>
      <w:r w:rsidRPr="00E82DB9">
        <w:t xml:space="preserve"> 2 (3%) had composite T- and B</w:t>
      </w:r>
      <w:r>
        <w:t>-</w:t>
      </w:r>
      <w:r w:rsidRPr="00E82DB9">
        <w:t>cell</w:t>
      </w:r>
      <w:r>
        <w:t xml:space="preserve"> </w:t>
      </w:r>
      <w:r w:rsidRPr="00E82DB9">
        <w:t>lymphoma</w:t>
      </w:r>
      <w:r>
        <w:t xml:space="preserve">; </w:t>
      </w:r>
      <w:r w:rsidRPr="00E82DB9">
        <w:t>and 1 (1%) had Richter’s transformation.</w:t>
      </w:r>
      <w:r>
        <w:t xml:space="preserve"> </w:t>
      </w:r>
      <w:r>
        <w:rPr>
          <w:rFonts w:eastAsia="TimesNewRoman" w:cs="TimesNewRoman"/>
        </w:rPr>
        <w:t xml:space="preserve">Overall, </w:t>
      </w:r>
      <w:r w:rsidRPr="00E82DB9">
        <w:rPr>
          <w:rFonts w:eastAsia="TimesNewRoman" w:cs="TimesNewRoman"/>
        </w:rPr>
        <w:t xml:space="preserve">13 </w:t>
      </w:r>
      <w:r>
        <w:rPr>
          <w:rFonts w:eastAsia="TimesNewRoman" w:cs="TimesNewRoman"/>
        </w:rPr>
        <w:t xml:space="preserve">(33%) </w:t>
      </w:r>
      <w:r w:rsidRPr="00E82DB9">
        <w:rPr>
          <w:rFonts w:eastAsia="TimesNewRoman" w:cs="TimesNewRoman"/>
        </w:rPr>
        <w:t>patients had a response (6 CR</w:t>
      </w:r>
      <w:r>
        <w:rPr>
          <w:rFonts w:eastAsia="TimesNewRoman" w:cs="TimesNewRoman"/>
        </w:rPr>
        <w:t>;</w:t>
      </w:r>
      <w:r w:rsidRPr="00E82DB9">
        <w:rPr>
          <w:rFonts w:eastAsia="TimesNewRoman" w:cs="TimesNewRoman"/>
        </w:rPr>
        <w:t xml:space="preserve"> 1 CRu</w:t>
      </w:r>
      <w:r>
        <w:rPr>
          <w:rFonts w:eastAsia="TimesNewRoman" w:cs="TimesNewRoman"/>
        </w:rPr>
        <w:t>;</w:t>
      </w:r>
      <w:r w:rsidRPr="00E82DB9">
        <w:rPr>
          <w:rFonts w:eastAsia="TimesNewRoman" w:cs="TimesNewRoman"/>
        </w:rPr>
        <w:t xml:space="preserve"> and 6 PR) </w:t>
      </w:r>
      <w:r>
        <w:rPr>
          <w:rFonts w:eastAsia="TimesNewRoman" w:cs="TimesNewRoman"/>
        </w:rPr>
        <w:t>based on</w:t>
      </w:r>
      <w:r w:rsidRPr="00E82DB9">
        <w:rPr>
          <w:rFonts w:eastAsia="TimesNewRoman" w:cs="TimesNewRoman"/>
        </w:rPr>
        <w:t xml:space="preserve"> investigator assessment</w:t>
      </w:r>
      <w:r>
        <w:rPr>
          <w:rFonts w:eastAsia="TimesNewRoman" w:cs="TimesNewRoman"/>
        </w:rPr>
        <w:t xml:space="preserve"> according to guidelines for response criteria for lymphoma reported by Cheson </w:t>
      </w:r>
      <w:r w:rsidRPr="005F61C6">
        <w:rPr>
          <w:rFonts w:eastAsia="TimesNewRoman" w:cs="TimesNewRoman"/>
          <w:i/>
        </w:rPr>
        <w:t>et al</w:t>
      </w:r>
      <w:r>
        <w:rPr>
          <w:rFonts w:eastAsia="TimesNewRoman" w:cs="TimesNewRoman"/>
        </w:rPr>
        <w:t xml:space="preserve">., 1999, 2007. Twelve of the responses had occurred in patients with T-cell lymphoma and 1 in a patient with B-cell lymphoma. The treatment regimens received by patients with T-cell lymphoma are shown in </w:t>
      </w:r>
      <w:r w:rsidRPr="00953D3D">
        <w:rPr>
          <w:rFonts w:eastAsia="TimesNewRoman" w:cs="TimesNewRoman"/>
        </w:rPr>
        <w:t xml:space="preserve">Table 13, </w:t>
      </w:r>
      <w:r>
        <w:rPr>
          <w:rFonts w:eastAsia="TimesNewRoman" w:cs="TimesNewRoman"/>
        </w:rPr>
        <w:t>below. A total of 20 of 36 patients were evaluable per protocol and of these, 12 (60%) had a response (</w:t>
      </w:r>
      <w:r w:rsidRPr="00E82DB9">
        <w:rPr>
          <w:rFonts w:eastAsia="TimesNewRoman" w:cs="TimesNewRoman"/>
        </w:rPr>
        <w:t>6 CR</w:t>
      </w:r>
      <w:r>
        <w:rPr>
          <w:rFonts w:eastAsia="TimesNewRoman" w:cs="TimesNewRoman"/>
        </w:rPr>
        <w:t>;</w:t>
      </w:r>
      <w:r w:rsidRPr="00E82DB9">
        <w:rPr>
          <w:rFonts w:eastAsia="TimesNewRoman" w:cs="TimesNewRoman"/>
        </w:rPr>
        <w:t xml:space="preserve"> 1 CRu</w:t>
      </w:r>
      <w:r>
        <w:rPr>
          <w:rFonts w:eastAsia="TimesNewRoman" w:cs="TimesNewRoman"/>
        </w:rPr>
        <w:t>;</w:t>
      </w:r>
      <w:r w:rsidRPr="00E82DB9">
        <w:rPr>
          <w:rFonts w:eastAsia="TimesNewRoman" w:cs="TimesNewRoman"/>
        </w:rPr>
        <w:t xml:space="preserve"> and </w:t>
      </w:r>
      <w:r>
        <w:rPr>
          <w:rFonts w:eastAsia="TimesNewRoman" w:cs="TimesNewRoman"/>
        </w:rPr>
        <w:t>5</w:t>
      </w:r>
      <w:r w:rsidRPr="00E82DB9">
        <w:rPr>
          <w:rFonts w:eastAsia="TimesNewRoman" w:cs="TimesNewRoman"/>
        </w:rPr>
        <w:t xml:space="preserve"> PR</w:t>
      </w:r>
      <w:r>
        <w:rPr>
          <w:rFonts w:eastAsia="TimesNewRoman" w:cs="TimesNewRoman"/>
        </w:rPr>
        <w:t xml:space="preserve">). </w:t>
      </w:r>
    </w:p>
    <w:p w:rsidR="004D5254" w:rsidRDefault="004D5254" w:rsidP="004D5254">
      <w:pPr>
        <w:pStyle w:val="FigureTitle"/>
        <w:keepNext/>
      </w:pPr>
      <w:bookmarkStart w:id="206" w:name="_Toc320881536"/>
      <w:r>
        <w:lastRenderedPageBreak/>
        <w:t>Table 13. Study PDX-02-078. Response by dosage schedule in patients with T-cell lymphoma</w:t>
      </w:r>
      <w:bookmarkEnd w:id="206"/>
      <w:r>
        <w:t xml:space="preserve"> (wks=weeks)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418"/>
        <w:gridCol w:w="1276"/>
        <w:gridCol w:w="1134"/>
        <w:gridCol w:w="1275"/>
        <w:gridCol w:w="1276"/>
        <w:gridCol w:w="709"/>
      </w:tblGrid>
      <w:tr w:rsidR="004D5254" w:rsidRPr="00E055CE" w:rsidTr="005A260D">
        <w:trPr>
          <w:tblHeader/>
        </w:trPr>
        <w:tc>
          <w:tcPr>
            <w:tcW w:w="2376" w:type="dxa"/>
            <w:tcBorders>
              <w:top w:val="nil"/>
              <w:left w:val="nil"/>
              <w:bottom w:val="nil"/>
            </w:tcBorders>
          </w:tcPr>
          <w:p w:rsidR="004D5254" w:rsidRPr="00E055CE" w:rsidRDefault="004D5254" w:rsidP="00C80331">
            <w:pPr>
              <w:keepNext/>
              <w:autoSpaceDE w:val="0"/>
              <w:autoSpaceDN w:val="0"/>
              <w:adjustRightInd w:val="0"/>
              <w:spacing w:before="40" w:after="40"/>
              <w:rPr>
                <w:rFonts w:eastAsia="TimesNewRoman" w:cs="TimesNewRoman"/>
                <w:sz w:val="20"/>
                <w:szCs w:val="20"/>
              </w:rPr>
            </w:pPr>
          </w:p>
        </w:tc>
        <w:tc>
          <w:tcPr>
            <w:tcW w:w="6379" w:type="dxa"/>
            <w:gridSpan w:val="5"/>
            <w:shd w:val="clear" w:color="auto" w:fill="0070C0"/>
          </w:tcPr>
          <w:p w:rsidR="004D5254" w:rsidRPr="00953D3D" w:rsidRDefault="004D5254" w:rsidP="00C80331">
            <w:pPr>
              <w:keepNext/>
              <w:autoSpaceDE w:val="0"/>
              <w:autoSpaceDN w:val="0"/>
              <w:adjustRightInd w:val="0"/>
              <w:spacing w:before="40" w:after="40"/>
              <w:jc w:val="center"/>
              <w:rPr>
                <w:rFonts w:eastAsia="TimesNewRoman" w:cs="TimesNewRoman"/>
                <w:b/>
                <w:color w:val="FFFFFF" w:themeColor="background1"/>
                <w:sz w:val="20"/>
                <w:szCs w:val="20"/>
              </w:rPr>
            </w:pPr>
            <w:r w:rsidRPr="00953D3D">
              <w:rPr>
                <w:rFonts w:eastAsia="TimesNewRoman" w:cs="TimesNewRoman"/>
                <w:b/>
                <w:color w:val="FFFFFF" w:themeColor="background1"/>
                <w:sz w:val="20"/>
                <w:szCs w:val="20"/>
              </w:rPr>
              <w:t>Pralatrexate treatment group (dose/schedule)</w:t>
            </w:r>
          </w:p>
        </w:tc>
        <w:tc>
          <w:tcPr>
            <w:tcW w:w="709" w:type="dxa"/>
            <w:vMerge w:val="restart"/>
            <w:shd w:val="clear" w:color="auto" w:fill="0070C0"/>
          </w:tcPr>
          <w:p w:rsidR="004D5254" w:rsidRPr="00953D3D" w:rsidRDefault="004D5254" w:rsidP="00C80331">
            <w:pPr>
              <w:keepNext/>
              <w:autoSpaceDE w:val="0"/>
              <w:autoSpaceDN w:val="0"/>
              <w:adjustRightInd w:val="0"/>
              <w:spacing w:before="40" w:after="40"/>
              <w:rPr>
                <w:rFonts w:eastAsia="TimesNewRoman" w:cs="TimesNewRoman"/>
                <w:b/>
                <w:color w:val="FFFFFF" w:themeColor="background1"/>
                <w:sz w:val="20"/>
                <w:szCs w:val="20"/>
              </w:rPr>
            </w:pPr>
          </w:p>
          <w:p w:rsidR="004D5254" w:rsidRPr="00953D3D" w:rsidRDefault="004D5254" w:rsidP="00C80331">
            <w:pPr>
              <w:keepNext/>
              <w:autoSpaceDE w:val="0"/>
              <w:autoSpaceDN w:val="0"/>
              <w:adjustRightInd w:val="0"/>
              <w:spacing w:before="40" w:after="40"/>
              <w:jc w:val="center"/>
              <w:rPr>
                <w:rFonts w:eastAsia="TimesNewRoman" w:cs="TimesNewRoman"/>
                <w:b/>
                <w:color w:val="FFFFFF" w:themeColor="background1"/>
                <w:sz w:val="20"/>
                <w:szCs w:val="20"/>
              </w:rPr>
            </w:pPr>
            <w:r w:rsidRPr="00953D3D">
              <w:rPr>
                <w:rFonts w:eastAsia="TimesNewRoman" w:cs="TimesNewRoman"/>
                <w:b/>
                <w:color w:val="FFFFFF" w:themeColor="background1"/>
                <w:sz w:val="20"/>
                <w:szCs w:val="20"/>
              </w:rPr>
              <w:t>Total</w:t>
            </w:r>
          </w:p>
        </w:tc>
      </w:tr>
      <w:tr w:rsidR="004D5254" w:rsidRPr="00E055CE" w:rsidTr="005A260D">
        <w:trPr>
          <w:tblHeader/>
        </w:trPr>
        <w:tc>
          <w:tcPr>
            <w:tcW w:w="2376" w:type="dxa"/>
            <w:tcBorders>
              <w:top w:val="nil"/>
              <w:left w:val="nil"/>
            </w:tcBorders>
          </w:tcPr>
          <w:p w:rsidR="004D5254" w:rsidRPr="00E055CE" w:rsidRDefault="004D5254" w:rsidP="00C80331">
            <w:pPr>
              <w:keepNext/>
              <w:autoSpaceDE w:val="0"/>
              <w:autoSpaceDN w:val="0"/>
              <w:adjustRightInd w:val="0"/>
              <w:spacing w:before="40" w:after="40"/>
              <w:rPr>
                <w:rFonts w:eastAsia="TimesNewRoman" w:cs="TimesNewRoman"/>
                <w:sz w:val="20"/>
                <w:szCs w:val="20"/>
              </w:rPr>
            </w:pPr>
          </w:p>
        </w:tc>
        <w:tc>
          <w:tcPr>
            <w:tcW w:w="1418" w:type="dxa"/>
            <w:shd w:val="clear" w:color="auto" w:fill="0070C0"/>
          </w:tcPr>
          <w:p w:rsidR="004D5254" w:rsidRPr="00953D3D" w:rsidRDefault="004D5254" w:rsidP="00C80331">
            <w:pPr>
              <w:keepNext/>
              <w:autoSpaceDE w:val="0"/>
              <w:autoSpaceDN w:val="0"/>
              <w:adjustRightInd w:val="0"/>
              <w:spacing w:before="40" w:after="40"/>
              <w:jc w:val="center"/>
              <w:rPr>
                <w:rFonts w:eastAsia="TimesNewRoman" w:cs="TimesNewRoman"/>
                <w:b/>
                <w:color w:val="FFFFFF" w:themeColor="background1"/>
                <w:sz w:val="20"/>
                <w:szCs w:val="20"/>
              </w:rPr>
            </w:pPr>
            <w:r w:rsidRPr="00953D3D">
              <w:rPr>
                <w:rFonts w:eastAsia="TimesNewRoman" w:cs="TimesNewRoman"/>
                <w:b/>
                <w:color w:val="FFFFFF" w:themeColor="background1"/>
                <w:sz w:val="20"/>
                <w:szCs w:val="20"/>
              </w:rPr>
              <w:t>13</w:t>
            </w:r>
            <w:r>
              <w:rPr>
                <w:rFonts w:eastAsia="TimesNewRoman" w:cs="TimesNewRoman"/>
                <w:b/>
                <w:color w:val="FFFFFF" w:themeColor="background1"/>
                <w:sz w:val="20"/>
                <w:szCs w:val="20"/>
              </w:rPr>
              <w:t>5 mg</w:t>
            </w:r>
            <w:r w:rsidRPr="00953D3D">
              <w:rPr>
                <w:rFonts w:eastAsia="TimesNewRoman" w:cs="TimesNewRoman"/>
                <w:b/>
                <w:color w:val="FFFFFF" w:themeColor="background1"/>
                <w:sz w:val="20"/>
                <w:szCs w:val="20"/>
              </w:rPr>
              <w:t>/m</w:t>
            </w:r>
            <w:r w:rsidRPr="00953D3D">
              <w:rPr>
                <w:rFonts w:eastAsia="TimesNewRoman" w:cs="TimesNewRoman"/>
                <w:b/>
                <w:color w:val="FFFFFF" w:themeColor="background1"/>
                <w:sz w:val="20"/>
                <w:szCs w:val="20"/>
                <w:vertAlign w:val="superscript"/>
              </w:rPr>
              <w:t>2</w:t>
            </w:r>
          </w:p>
          <w:p w:rsidR="004D5254" w:rsidRPr="00953D3D" w:rsidRDefault="004D5254" w:rsidP="00C80331">
            <w:pPr>
              <w:keepNext/>
              <w:autoSpaceDE w:val="0"/>
              <w:autoSpaceDN w:val="0"/>
              <w:adjustRightInd w:val="0"/>
              <w:spacing w:before="40" w:after="40"/>
              <w:jc w:val="center"/>
              <w:rPr>
                <w:rFonts w:eastAsia="TimesNewRoman" w:cs="TimesNewRoman"/>
                <w:b/>
                <w:color w:val="FFFFFF" w:themeColor="background1"/>
                <w:sz w:val="20"/>
                <w:szCs w:val="20"/>
              </w:rPr>
            </w:pPr>
            <w:r w:rsidRPr="00953D3D">
              <w:rPr>
                <w:rFonts w:eastAsia="TimesNewRoman" w:cs="TimesNewRoman"/>
                <w:b/>
                <w:color w:val="FFFFFF" w:themeColor="background1"/>
                <w:sz w:val="20"/>
                <w:szCs w:val="20"/>
              </w:rPr>
              <w:t>(1/2 wks)</w:t>
            </w:r>
          </w:p>
        </w:tc>
        <w:tc>
          <w:tcPr>
            <w:tcW w:w="1276" w:type="dxa"/>
            <w:shd w:val="clear" w:color="auto" w:fill="0070C0"/>
          </w:tcPr>
          <w:p w:rsidR="004D5254" w:rsidRPr="00953D3D" w:rsidRDefault="004D5254" w:rsidP="00C80331">
            <w:pPr>
              <w:keepNext/>
              <w:autoSpaceDE w:val="0"/>
              <w:autoSpaceDN w:val="0"/>
              <w:adjustRightInd w:val="0"/>
              <w:spacing w:before="40" w:after="40"/>
              <w:jc w:val="center"/>
              <w:rPr>
                <w:rFonts w:eastAsia="TimesNewRoman" w:cs="TimesNewRoman"/>
                <w:b/>
                <w:color w:val="FFFFFF" w:themeColor="background1"/>
                <w:sz w:val="20"/>
                <w:szCs w:val="20"/>
              </w:rPr>
            </w:pPr>
            <w:r w:rsidRPr="00953D3D">
              <w:rPr>
                <w:rFonts w:eastAsia="TimesNewRoman" w:cs="TimesNewRoman"/>
                <w:b/>
                <w:color w:val="FFFFFF" w:themeColor="background1"/>
                <w:sz w:val="20"/>
                <w:szCs w:val="20"/>
              </w:rPr>
              <w:t>3</w:t>
            </w:r>
            <w:r>
              <w:rPr>
                <w:rFonts w:eastAsia="TimesNewRoman" w:cs="TimesNewRoman"/>
                <w:b/>
                <w:color w:val="FFFFFF" w:themeColor="background1"/>
                <w:sz w:val="20"/>
                <w:szCs w:val="20"/>
              </w:rPr>
              <w:t>0 mg</w:t>
            </w:r>
            <w:r w:rsidRPr="00953D3D">
              <w:rPr>
                <w:rFonts w:eastAsia="TimesNewRoman" w:cs="TimesNewRoman"/>
                <w:b/>
                <w:color w:val="FFFFFF" w:themeColor="background1"/>
                <w:sz w:val="20"/>
                <w:szCs w:val="20"/>
              </w:rPr>
              <w:t>/m</w:t>
            </w:r>
            <w:r w:rsidRPr="00953D3D">
              <w:rPr>
                <w:rFonts w:eastAsia="TimesNewRoman" w:cs="TimesNewRoman"/>
                <w:b/>
                <w:color w:val="FFFFFF" w:themeColor="background1"/>
                <w:sz w:val="20"/>
                <w:szCs w:val="20"/>
                <w:vertAlign w:val="superscript"/>
              </w:rPr>
              <w:t xml:space="preserve">2 </w:t>
            </w:r>
            <w:r w:rsidRPr="00953D3D">
              <w:rPr>
                <w:rFonts w:eastAsia="TimesNewRoman" w:cs="TimesNewRoman"/>
                <w:b/>
                <w:color w:val="FFFFFF" w:themeColor="background1"/>
                <w:sz w:val="20"/>
                <w:szCs w:val="20"/>
              </w:rPr>
              <w:t>(3/4 wks)</w:t>
            </w:r>
          </w:p>
        </w:tc>
        <w:tc>
          <w:tcPr>
            <w:tcW w:w="1134" w:type="dxa"/>
            <w:shd w:val="clear" w:color="auto" w:fill="0070C0"/>
          </w:tcPr>
          <w:p w:rsidR="004D5254" w:rsidRPr="00953D3D" w:rsidRDefault="004D5254" w:rsidP="00C80331">
            <w:pPr>
              <w:keepNext/>
              <w:autoSpaceDE w:val="0"/>
              <w:autoSpaceDN w:val="0"/>
              <w:adjustRightInd w:val="0"/>
              <w:spacing w:before="40" w:after="40"/>
              <w:jc w:val="center"/>
              <w:rPr>
                <w:rFonts w:eastAsia="TimesNewRoman" w:cs="TimesNewRoman"/>
                <w:b/>
                <w:color w:val="FFFFFF" w:themeColor="background1"/>
                <w:sz w:val="20"/>
                <w:szCs w:val="20"/>
              </w:rPr>
            </w:pPr>
            <w:r w:rsidRPr="00953D3D">
              <w:rPr>
                <w:rFonts w:eastAsia="TimesNewRoman" w:cs="TimesNewRoman"/>
                <w:b/>
                <w:color w:val="FFFFFF" w:themeColor="background1"/>
                <w:sz w:val="20"/>
                <w:szCs w:val="20"/>
              </w:rPr>
              <w:t>3</w:t>
            </w:r>
            <w:r>
              <w:rPr>
                <w:rFonts w:eastAsia="TimesNewRoman" w:cs="TimesNewRoman"/>
                <w:b/>
                <w:color w:val="FFFFFF" w:themeColor="background1"/>
                <w:sz w:val="20"/>
                <w:szCs w:val="20"/>
              </w:rPr>
              <w:t>0 mg</w:t>
            </w:r>
            <w:r w:rsidRPr="00953D3D">
              <w:rPr>
                <w:rFonts w:eastAsia="TimesNewRoman" w:cs="TimesNewRoman"/>
                <w:b/>
                <w:color w:val="FFFFFF" w:themeColor="background1"/>
                <w:sz w:val="20"/>
                <w:szCs w:val="20"/>
              </w:rPr>
              <w:t>/m</w:t>
            </w:r>
            <w:r w:rsidRPr="00953D3D">
              <w:rPr>
                <w:rFonts w:eastAsia="TimesNewRoman" w:cs="TimesNewRoman"/>
                <w:b/>
                <w:color w:val="FFFFFF" w:themeColor="background1"/>
                <w:sz w:val="20"/>
                <w:szCs w:val="20"/>
                <w:vertAlign w:val="superscript"/>
              </w:rPr>
              <w:t xml:space="preserve">2 </w:t>
            </w:r>
            <w:r w:rsidRPr="00953D3D">
              <w:rPr>
                <w:rFonts w:eastAsia="TimesNewRoman" w:cs="TimesNewRoman"/>
                <w:b/>
                <w:color w:val="FFFFFF" w:themeColor="background1"/>
                <w:sz w:val="20"/>
                <w:szCs w:val="20"/>
              </w:rPr>
              <w:t>(6/7 wks)</w:t>
            </w:r>
          </w:p>
        </w:tc>
        <w:tc>
          <w:tcPr>
            <w:tcW w:w="1275" w:type="dxa"/>
            <w:shd w:val="clear" w:color="auto" w:fill="0070C0"/>
          </w:tcPr>
          <w:p w:rsidR="004D5254" w:rsidRPr="00953D3D" w:rsidRDefault="004D5254" w:rsidP="00C80331">
            <w:pPr>
              <w:keepNext/>
              <w:autoSpaceDE w:val="0"/>
              <w:autoSpaceDN w:val="0"/>
              <w:adjustRightInd w:val="0"/>
              <w:spacing w:before="40" w:after="40"/>
              <w:jc w:val="center"/>
              <w:rPr>
                <w:rFonts w:eastAsia="TimesNewRoman" w:cs="TimesNewRoman"/>
                <w:b/>
                <w:color w:val="FFFFFF" w:themeColor="background1"/>
                <w:sz w:val="20"/>
                <w:szCs w:val="20"/>
              </w:rPr>
            </w:pPr>
            <w:r w:rsidRPr="00953D3D">
              <w:rPr>
                <w:rFonts w:eastAsia="TimesNewRoman" w:cs="TimesNewRoman"/>
                <w:b/>
                <w:color w:val="FFFFFF" w:themeColor="background1"/>
                <w:sz w:val="20"/>
                <w:szCs w:val="20"/>
              </w:rPr>
              <w:t>4</w:t>
            </w:r>
            <w:r>
              <w:rPr>
                <w:rFonts w:eastAsia="TimesNewRoman" w:cs="TimesNewRoman"/>
                <w:b/>
                <w:color w:val="FFFFFF" w:themeColor="background1"/>
                <w:sz w:val="20"/>
                <w:szCs w:val="20"/>
              </w:rPr>
              <w:t>5 mg</w:t>
            </w:r>
            <w:r w:rsidRPr="00953D3D">
              <w:rPr>
                <w:rFonts w:eastAsia="TimesNewRoman" w:cs="TimesNewRoman"/>
                <w:b/>
                <w:color w:val="FFFFFF" w:themeColor="background1"/>
                <w:sz w:val="20"/>
                <w:szCs w:val="20"/>
              </w:rPr>
              <w:t>/m</w:t>
            </w:r>
            <w:r w:rsidRPr="00953D3D">
              <w:rPr>
                <w:rFonts w:eastAsia="TimesNewRoman" w:cs="TimesNewRoman"/>
                <w:b/>
                <w:color w:val="FFFFFF" w:themeColor="background1"/>
                <w:sz w:val="20"/>
                <w:szCs w:val="20"/>
                <w:vertAlign w:val="superscript"/>
              </w:rPr>
              <w:t>2</w:t>
            </w:r>
            <w:r w:rsidRPr="00953D3D">
              <w:rPr>
                <w:rFonts w:eastAsia="TimesNewRoman" w:cs="TimesNewRoman"/>
                <w:b/>
                <w:color w:val="FFFFFF" w:themeColor="background1"/>
                <w:sz w:val="20"/>
                <w:szCs w:val="20"/>
              </w:rPr>
              <w:t xml:space="preserve"> (6/7 wks)</w:t>
            </w:r>
          </w:p>
        </w:tc>
        <w:tc>
          <w:tcPr>
            <w:tcW w:w="1276" w:type="dxa"/>
            <w:shd w:val="clear" w:color="auto" w:fill="0070C0"/>
          </w:tcPr>
          <w:p w:rsidR="004D5254" w:rsidRPr="00953D3D" w:rsidRDefault="004D5254" w:rsidP="00C80331">
            <w:pPr>
              <w:keepNext/>
              <w:autoSpaceDE w:val="0"/>
              <w:autoSpaceDN w:val="0"/>
              <w:adjustRightInd w:val="0"/>
              <w:spacing w:before="40" w:after="40"/>
              <w:jc w:val="center"/>
              <w:rPr>
                <w:rFonts w:eastAsia="TimesNewRoman" w:cs="TimesNewRoman"/>
                <w:b/>
                <w:color w:val="FFFFFF" w:themeColor="background1"/>
                <w:sz w:val="20"/>
                <w:szCs w:val="20"/>
              </w:rPr>
            </w:pPr>
            <w:r w:rsidRPr="00953D3D">
              <w:rPr>
                <w:rFonts w:eastAsia="TimesNewRoman" w:cs="TimesNewRoman"/>
                <w:b/>
                <w:color w:val="FFFFFF" w:themeColor="background1"/>
                <w:sz w:val="20"/>
                <w:szCs w:val="20"/>
              </w:rPr>
              <w:t>27</w:t>
            </w:r>
            <w:r>
              <w:rPr>
                <w:rFonts w:eastAsia="TimesNewRoman" w:cs="TimesNewRoman"/>
                <w:b/>
                <w:color w:val="FFFFFF" w:themeColor="background1"/>
                <w:sz w:val="20"/>
                <w:szCs w:val="20"/>
              </w:rPr>
              <w:t>0 mg</w:t>
            </w:r>
            <w:r w:rsidRPr="00953D3D">
              <w:rPr>
                <w:rFonts w:eastAsia="TimesNewRoman" w:cs="TimesNewRoman"/>
                <w:b/>
                <w:color w:val="FFFFFF" w:themeColor="background1"/>
                <w:sz w:val="20"/>
                <w:szCs w:val="20"/>
              </w:rPr>
              <w:t>/m</w:t>
            </w:r>
            <w:r w:rsidRPr="00953D3D">
              <w:rPr>
                <w:rFonts w:eastAsia="TimesNewRoman" w:cs="TimesNewRoman"/>
                <w:b/>
                <w:color w:val="FFFFFF" w:themeColor="background1"/>
                <w:sz w:val="20"/>
                <w:szCs w:val="20"/>
                <w:vertAlign w:val="superscript"/>
              </w:rPr>
              <w:t>2</w:t>
            </w:r>
            <w:r w:rsidRPr="00953D3D">
              <w:rPr>
                <w:rFonts w:eastAsia="TimesNewRoman" w:cs="TimesNewRoman"/>
                <w:b/>
                <w:color w:val="FFFFFF" w:themeColor="background1"/>
                <w:sz w:val="20"/>
                <w:szCs w:val="20"/>
              </w:rPr>
              <w:t xml:space="preserve"> (2/4 wks)</w:t>
            </w:r>
          </w:p>
        </w:tc>
        <w:tc>
          <w:tcPr>
            <w:tcW w:w="709" w:type="dxa"/>
            <w:vMerge/>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p>
        </w:tc>
      </w:tr>
      <w:tr w:rsidR="004D5254" w:rsidRPr="00E055CE" w:rsidTr="00C80331">
        <w:tc>
          <w:tcPr>
            <w:tcW w:w="2376" w:type="dxa"/>
          </w:tcPr>
          <w:p w:rsidR="004D5254" w:rsidRPr="00E055CE" w:rsidRDefault="004D5254" w:rsidP="00C80331">
            <w:pPr>
              <w:keepNext/>
              <w:autoSpaceDE w:val="0"/>
              <w:autoSpaceDN w:val="0"/>
              <w:adjustRightInd w:val="0"/>
              <w:spacing w:before="40" w:after="40"/>
              <w:rPr>
                <w:rFonts w:eastAsia="TimesNewRoman" w:cs="TimesNewRoman"/>
                <w:b/>
                <w:sz w:val="20"/>
                <w:szCs w:val="20"/>
              </w:rPr>
            </w:pPr>
            <w:r w:rsidRPr="00E055CE">
              <w:rPr>
                <w:rFonts w:eastAsia="TimesNewRoman" w:cs="TimesNewRoman"/>
                <w:b/>
                <w:sz w:val="20"/>
                <w:szCs w:val="20"/>
              </w:rPr>
              <w:t>All patients</w:t>
            </w:r>
          </w:p>
        </w:tc>
        <w:tc>
          <w:tcPr>
            <w:tcW w:w="1418" w:type="dxa"/>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16</w:t>
            </w:r>
          </w:p>
        </w:tc>
        <w:tc>
          <w:tcPr>
            <w:tcW w:w="1276" w:type="dxa"/>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3</w:t>
            </w:r>
          </w:p>
        </w:tc>
        <w:tc>
          <w:tcPr>
            <w:tcW w:w="1134" w:type="dxa"/>
            <w:shd w:val="clear" w:color="auto" w:fill="D9D9D9" w:themeFill="background1" w:themeFillShade="D9"/>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27</w:t>
            </w:r>
          </w:p>
        </w:tc>
        <w:tc>
          <w:tcPr>
            <w:tcW w:w="1275" w:type="dxa"/>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11</w:t>
            </w:r>
          </w:p>
        </w:tc>
        <w:tc>
          <w:tcPr>
            <w:tcW w:w="1276" w:type="dxa"/>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15</w:t>
            </w:r>
          </w:p>
        </w:tc>
        <w:tc>
          <w:tcPr>
            <w:tcW w:w="709" w:type="dxa"/>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72</w:t>
            </w:r>
          </w:p>
        </w:tc>
      </w:tr>
      <w:tr w:rsidR="004D5254" w:rsidRPr="00E055CE" w:rsidTr="00C80331">
        <w:tc>
          <w:tcPr>
            <w:tcW w:w="2376" w:type="dxa"/>
          </w:tcPr>
          <w:p w:rsidR="004D5254" w:rsidRPr="00E055CE" w:rsidRDefault="004D5254" w:rsidP="00C80331">
            <w:pPr>
              <w:keepNext/>
              <w:autoSpaceDE w:val="0"/>
              <w:autoSpaceDN w:val="0"/>
              <w:adjustRightInd w:val="0"/>
              <w:spacing w:before="40" w:after="40"/>
              <w:rPr>
                <w:rFonts w:eastAsia="TimesNewRoman" w:cs="TimesNewRoman"/>
                <w:b/>
                <w:sz w:val="20"/>
                <w:szCs w:val="20"/>
              </w:rPr>
            </w:pPr>
            <w:r w:rsidRPr="00E055CE">
              <w:rPr>
                <w:rFonts w:eastAsia="TimesNewRoman" w:cs="TimesNewRoman"/>
                <w:b/>
                <w:sz w:val="20"/>
                <w:szCs w:val="20"/>
              </w:rPr>
              <w:t xml:space="preserve">T-cell </w:t>
            </w:r>
            <w:r>
              <w:rPr>
                <w:rFonts w:eastAsia="TimesNewRoman" w:cs="TimesNewRoman"/>
                <w:b/>
                <w:sz w:val="20"/>
                <w:szCs w:val="20"/>
              </w:rPr>
              <w:t>NHL</w:t>
            </w:r>
          </w:p>
        </w:tc>
        <w:tc>
          <w:tcPr>
            <w:tcW w:w="1418" w:type="dxa"/>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1</w:t>
            </w:r>
          </w:p>
        </w:tc>
        <w:tc>
          <w:tcPr>
            <w:tcW w:w="1276" w:type="dxa"/>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3</w:t>
            </w:r>
          </w:p>
        </w:tc>
        <w:tc>
          <w:tcPr>
            <w:tcW w:w="1134" w:type="dxa"/>
            <w:shd w:val="clear" w:color="auto" w:fill="D9D9D9" w:themeFill="background1" w:themeFillShade="D9"/>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19</w:t>
            </w:r>
          </w:p>
        </w:tc>
        <w:tc>
          <w:tcPr>
            <w:tcW w:w="1275" w:type="dxa"/>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7</w:t>
            </w:r>
          </w:p>
        </w:tc>
        <w:tc>
          <w:tcPr>
            <w:tcW w:w="1276" w:type="dxa"/>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6</w:t>
            </w:r>
          </w:p>
        </w:tc>
        <w:tc>
          <w:tcPr>
            <w:tcW w:w="709" w:type="dxa"/>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36</w:t>
            </w:r>
          </w:p>
        </w:tc>
      </w:tr>
      <w:tr w:rsidR="004D5254" w:rsidRPr="00E055CE" w:rsidTr="00C80331">
        <w:tc>
          <w:tcPr>
            <w:tcW w:w="2376" w:type="dxa"/>
            <w:tcBorders>
              <w:bottom w:val="single" w:sz="4" w:space="0" w:color="auto"/>
            </w:tcBorders>
          </w:tcPr>
          <w:p w:rsidR="004D5254" w:rsidRPr="00E055CE" w:rsidRDefault="004D5254" w:rsidP="00C80331">
            <w:pPr>
              <w:keepNext/>
              <w:autoSpaceDE w:val="0"/>
              <w:autoSpaceDN w:val="0"/>
              <w:adjustRightInd w:val="0"/>
              <w:spacing w:before="40" w:after="40"/>
              <w:rPr>
                <w:rFonts w:eastAsia="TimesNewRoman" w:cs="TimesNewRoman"/>
                <w:sz w:val="20"/>
                <w:szCs w:val="20"/>
              </w:rPr>
            </w:pPr>
            <w:r w:rsidRPr="00E055CE">
              <w:rPr>
                <w:rFonts w:eastAsia="TimesNewRoman" w:cs="TimesNewRoman"/>
                <w:b/>
                <w:sz w:val="20"/>
                <w:szCs w:val="20"/>
              </w:rPr>
              <w:t xml:space="preserve">T-cell </w:t>
            </w:r>
            <w:r>
              <w:rPr>
                <w:rFonts w:eastAsia="TimesNewRoman" w:cs="TimesNewRoman"/>
                <w:b/>
                <w:sz w:val="20"/>
                <w:szCs w:val="20"/>
              </w:rPr>
              <w:t xml:space="preserve">NHL &amp; </w:t>
            </w:r>
            <w:r w:rsidRPr="00E055CE">
              <w:rPr>
                <w:rFonts w:eastAsia="TimesNewRoman" w:cs="TimesNewRoman"/>
                <w:b/>
                <w:sz w:val="20"/>
                <w:szCs w:val="20"/>
              </w:rPr>
              <w:t>evaluable</w:t>
            </w:r>
          </w:p>
        </w:tc>
        <w:tc>
          <w:tcPr>
            <w:tcW w:w="1418" w:type="dxa"/>
            <w:tcBorders>
              <w:bottom w:val="single" w:sz="4" w:space="0" w:color="auto"/>
            </w:tcBorders>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0</w:t>
            </w:r>
          </w:p>
        </w:tc>
        <w:tc>
          <w:tcPr>
            <w:tcW w:w="1276" w:type="dxa"/>
            <w:tcBorders>
              <w:bottom w:val="single" w:sz="4" w:space="0" w:color="auto"/>
            </w:tcBorders>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3</w:t>
            </w:r>
          </w:p>
        </w:tc>
        <w:tc>
          <w:tcPr>
            <w:tcW w:w="1134" w:type="dxa"/>
            <w:tcBorders>
              <w:bottom w:val="single" w:sz="4" w:space="0" w:color="auto"/>
            </w:tcBorders>
            <w:shd w:val="clear" w:color="auto" w:fill="D9D9D9" w:themeFill="background1" w:themeFillShade="D9"/>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13</w:t>
            </w:r>
          </w:p>
        </w:tc>
        <w:tc>
          <w:tcPr>
            <w:tcW w:w="1275" w:type="dxa"/>
            <w:tcBorders>
              <w:bottom w:val="single" w:sz="4" w:space="0" w:color="auto"/>
            </w:tcBorders>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Pr>
                <w:rFonts w:eastAsia="TimesNewRoman" w:cs="TimesNewRoman"/>
                <w:sz w:val="20"/>
                <w:szCs w:val="20"/>
              </w:rPr>
              <w:t>3</w:t>
            </w:r>
          </w:p>
        </w:tc>
        <w:tc>
          <w:tcPr>
            <w:tcW w:w="1276" w:type="dxa"/>
            <w:tcBorders>
              <w:bottom w:val="single" w:sz="4" w:space="0" w:color="auto"/>
            </w:tcBorders>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1</w:t>
            </w:r>
          </w:p>
        </w:tc>
        <w:tc>
          <w:tcPr>
            <w:tcW w:w="709" w:type="dxa"/>
            <w:tcBorders>
              <w:bottom w:val="single" w:sz="4" w:space="0" w:color="auto"/>
            </w:tcBorders>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20</w:t>
            </w:r>
          </w:p>
        </w:tc>
      </w:tr>
      <w:tr w:rsidR="004D5254" w:rsidRPr="00E055CE" w:rsidTr="00C80331">
        <w:tc>
          <w:tcPr>
            <w:tcW w:w="2376" w:type="dxa"/>
            <w:tcBorders>
              <w:bottom w:val="nil"/>
            </w:tcBorders>
          </w:tcPr>
          <w:p w:rsidR="004D5254" w:rsidRPr="00E055CE" w:rsidRDefault="004D5254" w:rsidP="00C80331">
            <w:pPr>
              <w:keepNext/>
              <w:autoSpaceDE w:val="0"/>
              <w:autoSpaceDN w:val="0"/>
              <w:adjustRightInd w:val="0"/>
              <w:spacing w:before="40"/>
              <w:rPr>
                <w:rFonts w:eastAsia="TimesNewRoman" w:cs="TimesNewRoman"/>
                <w:b/>
                <w:sz w:val="20"/>
                <w:szCs w:val="20"/>
              </w:rPr>
            </w:pPr>
            <w:r w:rsidRPr="00E055CE">
              <w:rPr>
                <w:rFonts w:eastAsia="TimesNewRoman" w:cs="TimesNewRoman"/>
                <w:b/>
                <w:sz w:val="20"/>
                <w:szCs w:val="20"/>
              </w:rPr>
              <w:t>Response</w:t>
            </w:r>
            <w:r>
              <w:rPr>
                <w:rFonts w:eastAsia="TimesNewRoman" w:cs="TimesNewRoman"/>
                <w:b/>
                <w:sz w:val="20"/>
                <w:szCs w:val="20"/>
              </w:rPr>
              <w:t xml:space="preserve"> in T-cell NHL</w:t>
            </w:r>
          </w:p>
        </w:tc>
        <w:tc>
          <w:tcPr>
            <w:tcW w:w="1418" w:type="dxa"/>
            <w:tcBorders>
              <w:bottom w:val="nil"/>
            </w:tcBorders>
          </w:tcPr>
          <w:p w:rsidR="004D5254" w:rsidRPr="00E055CE" w:rsidRDefault="004D5254" w:rsidP="00C80331">
            <w:pPr>
              <w:keepNext/>
              <w:autoSpaceDE w:val="0"/>
              <w:autoSpaceDN w:val="0"/>
              <w:adjustRightInd w:val="0"/>
              <w:spacing w:before="40"/>
              <w:jc w:val="center"/>
              <w:rPr>
                <w:rFonts w:eastAsia="TimesNewRoman" w:cs="TimesNewRoman"/>
                <w:sz w:val="20"/>
                <w:szCs w:val="20"/>
              </w:rPr>
            </w:pPr>
          </w:p>
        </w:tc>
        <w:tc>
          <w:tcPr>
            <w:tcW w:w="1276" w:type="dxa"/>
            <w:tcBorders>
              <w:bottom w:val="nil"/>
            </w:tcBorders>
          </w:tcPr>
          <w:p w:rsidR="004D5254" w:rsidRPr="00E055CE" w:rsidRDefault="004D5254" w:rsidP="00C80331">
            <w:pPr>
              <w:keepNext/>
              <w:autoSpaceDE w:val="0"/>
              <w:autoSpaceDN w:val="0"/>
              <w:adjustRightInd w:val="0"/>
              <w:spacing w:before="40"/>
              <w:jc w:val="center"/>
              <w:rPr>
                <w:rFonts w:eastAsia="TimesNewRoman" w:cs="TimesNewRoman"/>
                <w:sz w:val="20"/>
                <w:szCs w:val="20"/>
              </w:rPr>
            </w:pPr>
          </w:p>
        </w:tc>
        <w:tc>
          <w:tcPr>
            <w:tcW w:w="1134" w:type="dxa"/>
            <w:tcBorders>
              <w:bottom w:val="nil"/>
            </w:tcBorders>
            <w:shd w:val="clear" w:color="auto" w:fill="D9D9D9" w:themeFill="background1" w:themeFillShade="D9"/>
          </w:tcPr>
          <w:p w:rsidR="004D5254" w:rsidRPr="00E055CE" w:rsidRDefault="004D5254" w:rsidP="00C80331">
            <w:pPr>
              <w:keepNext/>
              <w:autoSpaceDE w:val="0"/>
              <w:autoSpaceDN w:val="0"/>
              <w:adjustRightInd w:val="0"/>
              <w:spacing w:before="40"/>
              <w:jc w:val="center"/>
              <w:rPr>
                <w:rFonts w:eastAsia="TimesNewRoman" w:cs="TimesNewRoman"/>
                <w:sz w:val="20"/>
                <w:szCs w:val="20"/>
              </w:rPr>
            </w:pPr>
          </w:p>
        </w:tc>
        <w:tc>
          <w:tcPr>
            <w:tcW w:w="1275" w:type="dxa"/>
            <w:tcBorders>
              <w:bottom w:val="nil"/>
            </w:tcBorders>
          </w:tcPr>
          <w:p w:rsidR="004D5254" w:rsidRPr="00E055CE" w:rsidRDefault="004D5254" w:rsidP="00C80331">
            <w:pPr>
              <w:keepNext/>
              <w:autoSpaceDE w:val="0"/>
              <w:autoSpaceDN w:val="0"/>
              <w:adjustRightInd w:val="0"/>
              <w:spacing w:before="40"/>
              <w:jc w:val="center"/>
              <w:rPr>
                <w:rFonts w:eastAsia="TimesNewRoman" w:cs="TimesNewRoman"/>
                <w:sz w:val="20"/>
                <w:szCs w:val="20"/>
              </w:rPr>
            </w:pPr>
          </w:p>
        </w:tc>
        <w:tc>
          <w:tcPr>
            <w:tcW w:w="1276" w:type="dxa"/>
            <w:tcBorders>
              <w:bottom w:val="nil"/>
            </w:tcBorders>
          </w:tcPr>
          <w:p w:rsidR="004D5254" w:rsidRPr="00E055CE" w:rsidRDefault="004D5254" w:rsidP="00C80331">
            <w:pPr>
              <w:keepNext/>
              <w:autoSpaceDE w:val="0"/>
              <w:autoSpaceDN w:val="0"/>
              <w:adjustRightInd w:val="0"/>
              <w:spacing w:before="40"/>
              <w:jc w:val="center"/>
              <w:rPr>
                <w:rFonts w:eastAsia="TimesNewRoman" w:cs="TimesNewRoman"/>
                <w:sz w:val="20"/>
                <w:szCs w:val="20"/>
              </w:rPr>
            </w:pPr>
          </w:p>
        </w:tc>
        <w:tc>
          <w:tcPr>
            <w:tcW w:w="709" w:type="dxa"/>
            <w:tcBorders>
              <w:bottom w:val="nil"/>
            </w:tcBorders>
          </w:tcPr>
          <w:p w:rsidR="004D5254" w:rsidRPr="00E055CE" w:rsidRDefault="004D5254" w:rsidP="00C80331">
            <w:pPr>
              <w:keepNext/>
              <w:autoSpaceDE w:val="0"/>
              <w:autoSpaceDN w:val="0"/>
              <w:adjustRightInd w:val="0"/>
              <w:spacing w:before="40"/>
              <w:jc w:val="center"/>
              <w:rPr>
                <w:rFonts w:eastAsia="TimesNewRoman" w:cs="TimesNewRoman"/>
                <w:sz w:val="20"/>
                <w:szCs w:val="20"/>
              </w:rPr>
            </w:pPr>
          </w:p>
        </w:tc>
      </w:tr>
      <w:tr w:rsidR="004D5254" w:rsidRPr="00E055CE" w:rsidTr="00C80331">
        <w:tc>
          <w:tcPr>
            <w:tcW w:w="2376" w:type="dxa"/>
            <w:tcBorders>
              <w:top w:val="nil"/>
              <w:bottom w:val="nil"/>
            </w:tcBorders>
          </w:tcPr>
          <w:p w:rsidR="004D5254" w:rsidRPr="00E055CE" w:rsidRDefault="004D5254" w:rsidP="00C80331">
            <w:pPr>
              <w:keepNext/>
              <w:autoSpaceDE w:val="0"/>
              <w:autoSpaceDN w:val="0"/>
              <w:adjustRightInd w:val="0"/>
              <w:rPr>
                <w:rFonts w:eastAsia="TimesNewRoman" w:cs="TimesNewRoman"/>
                <w:sz w:val="20"/>
                <w:szCs w:val="20"/>
              </w:rPr>
            </w:pPr>
            <w:r>
              <w:rPr>
                <w:rFonts w:eastAsia="TimesNewRoman" w:cs="TimesNewRoman"/>
                <w:sz w:val="20"/>
                <w:szCs w:val="20"/>
              </w:rPr>
              <w:t xml:space="preserve"> </w:t>
            </w:r>
            <w:r w:rsidRPr="00E055CE">
              <w:rPr>
                <w:rFonts w:eastAsia="TimesNewRoman" w:cs="TimesNewRoman"/>
                <w:sz w:val="20"/>
                <w:szCs w:val="20"/>
              </w:rPr>
              <w:t>CR</w:t>
            </w:r>
          </w:p>
        </w:tc>
        <w:tc>
          <w:tcPr>
            <w:tcW w:w="1418"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p>
        </w:tc>
        <w:tc>
          <w:tcPr>
            <w:tcW w:w="1276"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r w:rsidRPr="00E055CE">
              <w:rPr>
                <w:rFonts w:eastAsia="TimesNewRoman" w:cs="TimesNewRoman"/>
                <w:sz w:val="20"/>
                <w:szCs w:val="20"/>
              </w:rPr>
              <w:t>1</w:t>
            </w:r>
          </w:p>
        </w:tc>
        <w:tc>
          <w:tcPr>
            <w:tcW w:w="1134" w:type="dxa"/>
            <w:tcBorders>
              <w:top w:val="nil"/>
              <w:bottom w:val="nil"/>
            </w:tcBorders>
            <w:shd w:val="clear" w:color="auto" w:fill="D9D9D9" w:themeFill="background1" w:themeFillShade="D9"/>
          </w:tcPr>
          <w:p w:rsidR="004D5254" w:rsidRPr="00E055CE" w:rsidRDefault="004D5254" w:rsidP="00C80331">
            <w:pPr>
              <w:keepNext/>
              <w:autoSpaceDE w:val="0"/>
              <w:autoSpaceDN w:val="0"/>
              <w:adjustRightInd w:val="0"/>
              <w:jc w:val="center"/>
              <w:rPr>
                <w:rFonts w:eastAsia="TimesNewRoman" w:cs="TimesNewRoman"/>
                <w:sz w:val="20"/>
                <w:szCs w:val="20"/>
              </w:rPr>
            </w:pPr>
            <w:r w:rsidRPr="00E055CE">
              <w:rPr>
                <w:rFonts w:eastAsia="TimesNewRoman" w:cs="TimesNewRoman"/>
                <w:sz w:val="20"/>
                <w:szCs w:val="20"/>
              </w:rPr>
              <w:t>3</w:t>
            </w:r>
          </w:p>
        </w:tc>
        <w:tc>
          <w:tcPr>
            <w:tcW w:w="1275"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r w:rsidRPr="00E055CE">
              <w:rPr>
                <w:rFonts w:eastAsia="TimesNewRoman" w:cs="TimesNewRoman"/>
                <w:sz w:val="20"/>
                <w:szCs w:val="20"/>
              </w:rPr>
              <w:t>2</w:t>
            </w:r>
          </w:p>
        </w:tc>
        <w:tc>
          <w:tcPr>
            <w:tcW w:w="1276"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p>
        </w:tc>
        <w:tc>
          <w:tcPr>
            <w:tcW w:w="709"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r w:rsidRPr="00E055CE">
              <w:rPr>
                <w:rFonts w:eastAsia="TimesNewRoman" w:cs="TimesNewRoman"/>
                <w:sz w:val="20"/>
                <w:szCs w:val="20"/>
              </w:rPr>
              <w:t>6</w:t>
            </w:r>
          </w:p>
        </w:tc>
      </w:tr>
      <w:tr w:rsidR="004D5254" w:rsidRPr="00E055CE" w:rsidTr="00C80331">
        <w:tc>
          <w:tcPr>
            <w:tcW w:w="2376" w:type="dxa"/>
            <w:tcBorders>
              <w:top w:val="nil"/>
              <w:bottom w:val="nil"/>
            </w:tcBorders>
          </w:tcPr>
          <w:p w:rsidR="004D5254" w:rsidRPr="00E055CE" w:rsidRDefault="004D5254" w:rsidP="00C80331">
            <w:pPr>
              <w:keepNext/>
              <w:autoSpaceDE w:val="0"/>
              <w:autoSpaceDN w:val="0"/>
              <w:adjustRightInd w:val="0"/>
              <w:rPr>
                <w:rFonts w:eastAsia="TimesNewRoman" w:cs="TimesNewRoman"/>
                <w:sz w:val="20"/>
                <w:szCs w:val="20"/>
              </w:rPr>
            </w:pPr>
            <w:r>
              <w:rPr>
                <w:rFonts w:eastAsia="TimesNewRoman" w:cs="TimesNewRoman"/>
                <w:sz w:val="20"/>
                <w:szCs w:val="20"/>
              </w:rPr>
              <w:t xml:space="preserve"> </w:t>
            </w:r>
            <w:r w:rsidRPr="00E055CE">
              <w:rPr>
                <w:rFonts w:eastAsia="TimesNewRoman" w:cs="TimesNewRoman"/>
                <w:sz w:val="20"/>
                <w:szCs w:val="20"/>
              </w:rPr>
              <w:t>CRu</w:t>
            </w:r>
          </w:p>
        </w:tc>
        <w:tc>
          <w:tcPr>
            <w:tcW w:w="1418"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p>
        </w:tc>
        <w:tc>
          <w:tcPr>
            <w:tcW w:w="1276"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r w:rsidRPr="00E055CE">
              <w:rPr>
                <w:rFonts w:eastAsia="TimesNewRoman" w:cs="TimesNewRoman"/>
                <w:sz w:val="20"/>
                <w:szCs w:val="20"/>
              </w:rPr>
              <w:t>1</w:t>
            </w:r>
          </w:p>
        </w:tc>
        <w:tc>
          <w:tcPr>
            <w:tcW w:w="1134" w:type="dxa"/>
            <w:tcBorders>
              <w:top w:val="nil"/>
              <w:bottom w:val="nil"/>
            </w:tcBorders>
            <w:shd w:val="clear" w:color="auto" w:fill="D9D9D9" w:themeFill="background1" w:themeFillShade="D9"/>
          </w:tcPr>
          <w:p w:rsidR="004D5254" w:rsidRPr="00E055CE" w:rsidRDefault="004D5254" w:rsidP="00C80331">
            <w:pPr>
              <w:keepNext/>
              <w:autoSpaceDE w:val="0"/>
              <w:autoSpaceDN w:val="0"/>
              <w:adjustRightInd w:val="0"/>
              <w:jc w:val="center"/>
              <w:rPr>
                <w:rFonts w:eastAsia="TimesNewRoman" w:cs="TimesNewRoman"/>
                <w:sz w:val="20"/>
                <w:szCs w:val="20"/>
              </w:rPr>
            </w:pPr>
          </w:p>
        </w:tc>
        <w:tc>
          <w:tcPr>
            <w:tcW w:w="1275"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p>
        </w:tc>
        <w:tc>
          <w:tcPr>
            <w:tcW w:w="1276"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p>
        </w:tc>
        <w:tc>
          <w:tcPr>
            <w:tcW w:w="709"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r w:rsidRPr="00E055CE">
              <w:rPr>
                <w:rFonts w:eastAsia="TimesNewRoman" w:cs="TimesNewRoman"/>
                <w:sz w:val="20"/>
                <w:szCs w:val="20"/>
              </w:rPr>
              <w:t>1</w:t>
            </w:r>
          </w:p>
        </w:tc>
      </w:tr>
      <w:tr w:rsidR="004D5254" w:rsidRPr="00E055CE" w:rsidTr="00C80331">
        <w:tc>
          <w:tcPr>
            <w:tcW w:w="2376" w:type="dxa"/>
            <w:tcBorders>
              <w:top w:val="nil"/>
              <w:bottom w:val="nil"/>
            </w:tcBorders>
          </w:tcPr>
          <w:p w:rsidR="004D5254" w:rsidRPr="00E055CE" w:rsidRDefault="004D5254" w:rsidP="00C80331">
            <w:pPr>
              <w:keepNext/>
              <w:autoSpaceDE w:val="0"/>
              <w:autoSpaceDN w:val="0"/>
              <w:adjustRightInd w:val="0"/>
              <w:rPr>
                <w:rFonts w:eastAsia="TimesNewRoman" w:cs="TimesNewRoman"/>
                <w:sz w:val="20"/>
                <w:szCs w:val="20"/>
              </w:rPr>
            </w:pPr>
            <w:r>
              <w:rPr>
                <w:rFonts w:eastAsia="TimesNewRoman" w:cs="TimesNewRoman"/>
                <w:sz w:val="20"/>
                <w:szCs w:val="20"/>
              </w:rPr>
              <w:t xml:space="preserve"> </w:t>
            </w:r>
            <w:r w:rsidRPr="00E055CE">
              <w:rPr>
                <w:rFonts w:eastAsia="TimesNewRoman" w:cs="TimesNewRoman"/>
                <w:sz w:val="20"/>
                <w:szCs w:val="20"/>
              </w:rPr>
              <w:t>PR</w:t>
            </w:r>
          </w:p>
        </w:tc>
        <w:tc>
          <w:tcPr>
            <w:tcW w:w="1418"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p>
        </w:tc>
        <w:tc>
          <w:tcPr>
            <w:tcW w:w="1276"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p>
        </w:tc>
        <w:tc>
          <w:tcPr>
            <w:tcW w:w="1134" w:type="dxa"/>
            <w:tcBorders>
              <w:top w:val="nil"/>
              <w:bottom w:val="nil"/>
            </w:tcBorders>
            <w:shd w:val="clear" w:color="auto" w:fill="D9D9D9" w:themeFill="background1" w:themeFillShade="D9"/>
          </w:tcPr>
          <w:p w:rsidR="004D5254" w:rsidRPr="00E055CE" w:rsidRDefault="004D5254" w:rsidP="00C80331">
            <w:pPr>
              <w:keepNext/>
              <w:autoSpaceDE w:val="0"/>
              <w:autoSpaceDN w:val="0"/>
              <w:adjustRightInd w:val="0"/>
              <w:jc w:val="center"/>
              <w:rPr>
                <w:rFonts w:eastAsia="TimesNewRoman" w:cs="TimesNewRoman"/>
                <w:sz w:val="20"/>
                <w:szCs w:val="20"/>
              </w:rPr>
            </w:pPr>
            <w:r w:rsidRPr="00E055CE">
              <w:rPr>
                <w:rFonts w:eastAsia="TimesNewRoman" w:cs="TimesNewRoman"/>
                <w:sz w:val="20"/>
                <w:szCs w:val="20"/>
              </w:rPr>
              <w:t>5</w:t>
            </w:r>
          </w:p>
        </w:tc>
        <w:tc>
          <w:tcPr>
            <w:tcW w:w="1275"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p>
        </w:tc>
        <w:tc>
          <w:tcPr>
            <w:tcW w:w="1276"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p>
        </w:tc>
        <w:tc>
          <w:tcPr>
            <w:tcW w:w="709" w:type="dxa"/>
            <w:tcBorders>
              <w:top w:val="nil"/>
              <w:bottom w:val="nil"/>
            </w:tcBorders>
          </w:tcPr>
          <w:p w:rsidR="004D5254" w:rsidRPr="00E055CE" w:rsidRDefault="004D5254" w:rsidP="00C80331">
            <w:pPr>
              <w:keepNext/>
              <w:autoSpaceDE w:val="0"/>
              <w:autoSpaceDN w:val="0"/>
              <w:adjustRightInd w:val="0"/>
              <w:jc w:val="center"/>
              <w:rPr>
                <w:rFonts w:eastAsia="TimesNewRoman" w:cs="TimesNewRoman"/>
                <w:sz w:val="20"/>
                <w:szCs w:val="20"/>
              </w:rPr>
            </w:pPr>
            <w:r w:rsidRPr="00E055CE">
              <w:rPr>
                <w:rFonts w:eastAsia="TimesNewRoman" w:cs="TimesNewRoman"/>
                <w:sz w:val="20"/>
                <w:szCs w:val="20"/>
              </w:rPr>
              <w:t>5</w:t>
            </w:r>
          </w:p>
        </w:tc>
      </w:tr>
      <w:tr w:rsidR="004D5254" w:rsidRPr="00E055CE" w:rsidTr="00C80331">
        <w:tc>
          <w:tcPr>
            <w:tcW w:w="2376" w:type="dxa"/>
            <w:tcBorders>
              <w:top w:val="nil"/>
            </w:tcBorders>
          </w:tcPr>
          <w:p w:rsidR="004D5254" w:rsidRPr="00E055CE" w:rsidRDefault="004D5254" w:rsidP="00C80331">
            <w:pPr>
              <w:keepNext/>
              <w:autoSpaceDE w:val="0"/>
              <w:autoSpaceDN w:val="0"/>
              <w:adjustRightInd w:val="0"/>
              <w:spacing w:after="40"/>
              <w:rPr>
                <w:rFonts w:eastAsia="TimesNewRoman" w:cs="TimesNewRoman"/>
                <w:sz w:val="20"/>
                <w:szCs w:val="20"/>
              </w:rPr>
            </w:pPr>
            <w:r>
              <w:rPr>
                <w:rFonts w:eastAsia="TimesNewRoman" w:cs="TimesNewRoman"/>
                <w:sz w:val="20"/>
                <w:szCs w:val="20"/>
              </w:rPr>
              <w:t xml:space="preserve"> CR + CRu + PR</w:t>
            </w:r>
          </w:p>
        </w:tc>
        <w:tc>
          <w:tcPr>
            <w:tcW w:w="1418" w:type="dxa"/>
            <w:tcBorders>
              <w:top w:val="nil"/>
            </w:tcBorders>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0</w:t>
            </w:r>
          </w:p>
        </w:tc>
        <w:tc>
          <w:tcPr>
            <w:tcW w:w="1276" w:type="dxa"/>
            <w:tcBorders>
              <w:top w:val="nil"/>
            </w:tcBorders>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2</w:t>
            </w:r>
          </w:p>
        </w:tc>
        <w:tc>
          <w:tcPr>
            <w:tcW w:w="1134" w:type="dxa"/>
            <w:tcBorders>
              <w:top w:val="nil"/>
            </w:tcBorders>
            <w:shd w:val="clear" w:color="auto" w:fill="D9D9D9" w:themeFill="background1" w:themeFillShade="D9"/>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8</w:t>
            </w:r>
          </w:p>
        </w:tc>
        <w:tc>
          <w:tcPr>
            <w:tcW w:w="1275" w:type="dxa"/>
            <w:tcBorders>
              <w:top w:val="nil"/>
            </w:tcBorders>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2</w:t>
            </w:r>
          </w:p>
        </w:tc>
        <w:tc>
          <w:tcPr>
            <w:tcW w:w="1276" w:type="dxa"/>
            <w:tcBorders>
              <w:top w:val="nil"/>
            </w:tcBorders>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0</w:t>
            </w:r>
          </w:p>
        </w:tc>
        <w:tc>
          <w:tcPr>
            <w:tcW w:w="709" w:type="dxa"/>
            <w:tcBorders>
              <w:top w:val="nil"/>
            </w:tcBorders>
          </w:tcPr>
          <w:p w:rsidR="004D5254" w:rsidRPr="00E055CE" w:rsidRDefault="004D5254" w:rsidP="00C80331">
            <w:pPr>
              <w:keepNext/>
              <w:autoSpaceDE w:val="0"/>
              <w:autoSpaceDN w:val="0"/>
              <w:adjustRightInd w:val="0"/>
              <w:spacing w:before="40" w:after="40"/>
              <w:jc w:val="center"/>
              <w:rPr>
                <w:rFonts w:eastAsia="TimesNewRoman" w:cs="TimesNewRoman"/>
                <w:sz w:val="20"/>
                <w:szCs w:val="20"/>
              </w:rPr>
            </w:pPr>
            <w:r w:rsidRPr="00E055CE">
              <w:rPr>
                <w:rFonts w:eastAsia="TimesNewRoman" w:cs="TimesNewRoman"/>
                <w:sz w:val="20"/>
                <w:szCs w:val="20"/>
              </w:rPr>
              <w:t>12</w:t>
            </w:r>
          </w:p>
        </w:tc>
      </w:tr>
    </w:tbl>
    <w:p w:rsidR="004D5254" w:rsidRDefault="004D5254" w:rsidP="004D5254">
      <w:pPr>
        <w:autoSpaceDE w:val="0"/>
        <w:autoSpaceDN w:val="0"/>
        <w:adjustRightInd w:val="0"/>
        <w:rPr>
          <w:rFonts w:eastAsia="TimesNewRoman" w:cs="TimesNewRoman"/>
        </w:rPr>
      </w:pPr>
      <w:r>
        <w:rPr>
          <w:rFonts w:eastAsia="TimesNewRoman" w:cs="TimesNewRoman"/>
        </w:rPr>
        <w:t>The results for T-cell lymphoma patients who received the same dosage regimen as proposed in this application are highlighted in Table 13 by shading (Note: in this study dose reductions from 30 mg/m</w:t>
      </w:r>
      <w:r w:rsidRPr="008F02CF">
        <w:rPr>
          <w:rFonts w:eastAsia="TimesNewRoman" w:cs="TimesNewRoman"/>
          <w:vertAlign w:val="superscript"/>
        </w:rPr>
        <w:t>2</w:t>
      </w:r>
      <w:r>
        <w:rPr>
          <w:rFonts w:eastAsia="TimesNewRoman" w:cs="TimesNewRoman"/>
        </w:rPr>
        <w:t xml:space="preserve"> to 15 mg/m</w:t>
      </w:r>
      <w:r w:rsidRPr="008F02CF">
        <w:rPr>
          <w:rFonts w:eastAsia="TimesNewRoman" w:cs="TimesNewRoman"/>
          <w:vertAlign w:val="superscript"/>
        </w:rPr>
        <w:t>2</w:t>
      </w:r>
      <w:r>
        <w:rPr>
          <w:rFonts w:eastAsia="TimesNewRoman" w:cs="TimesNewRoman"/>
        </w:rPr>
        <w:t xml:space="preserve"> were made in this cohort in response to toxicities rather than 20 mg/m</w:t>
      </w:r>
      <w:r w:rsidRPr="008F02CF">
        <w:rPr>
          <w:rFonts w:eastAsia="TimesNewRoman" w:cs="TimesNewRoman"/>
          <w:vertAlign w:val="superscript"/>
        </w:rPr>
        <w:t>2</w:t>
      </w:r>
      <w:r>
        <w:rPr>
          <w:rFonts w:eastAsia="TimesNewRoman" w:cs="TimesNewRoman"/>
        </w:rPr>
        <w:t xml:space="preserve"> as proposed). The duration of response in these patients ranged from &lt;1 month (in a patient who had a PR but was discontinued the same day due to “investigator’s decision”) through to 8 months, with median of 4 months. The time to first response ranged from 44 to 308 days (median 90.5 days).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4D5254" w:rsidTr="00C80331">
        <w:tc>
          <w:tcPr>
            <w:tcW w:w="9242" w:type="dxa"/>
            <w:shd w:val="clear" w:color="auto" w:fill="D9D9D9" w:themeFill="background1" w:themeFillShade="D9"/>
          </w:tcPr>
          <w:p w:rsidR="004D5254" w:rsidRPr="00A34B0B" w:rsidRDefault="004D5254" w:rsidP="00C80331">
            <w:pPr>
              <w:autoSpaceDE w:val="0"/>
              <w:autoSpaceDN w:val="0"/>
              <w:adjustRightInd w:val="0"/>
              <w:rPr>
                <w:rFonts w:eastAsia="TimesNewRoman" w:cs="TimesNewRoman"/>
              </w:rPr>
            </w:pPr>
            <w:r w:rsidRPr="00A34B0B">
              <w:rPr>
                <w:rFonts w:eastAsia="TimesNewRoman" w:cs="TimesNewRoman"/>
                <w:u w:val="single"/>
              </w:rPr>
              <w:t>Evaluator’s comment</w:t>
            </w:r>
            <w:r w:rsidRPr="00A34B0B">
              <w:rPr>
                <w:rFonts w:eastAsia="TimesNewRoman" w:cs="TimesNewRoman"/>
              </w:rPr>
              <w:t>:</w:t>
            </w:r>
          </w:p>
          <w:p w:rsidR="004D5254" w:rsidRPr="00A34B0B" w:rsidRDefault="004D5254" w:rsidP="00C80331">
            <w:pPr>
              <w:autoSpaceDE w:val="0"/>
              <w:autoSpaceDN w:val="0"/>
              <w:adjustRightInd w:val="0"/>
              <w:rPr>
                <w:rFonts w:eastAsia="TimesNewRoman" w:cs="TimesNewRoman"/>
              </w:rPr>
            </w:pPr>
            <w:r w:rsidRPr="00A34B0B">
              <w:rPr>
                <w:rFonts w:eastAsia="TimesNewRoman" w:cs="TimesNewRoman"/>
              </w:rPr>
              <w:t xml:space="preserve">The responders in Study PDX-02-078 included one patient with mycosis fungoides (patients with this condition, apart from </w:t>
            </w:r>
            <w:r w:rsidRPr="00A34B0B">
              <w:t>transformed mycosis fungoides were excluded from the pivotal study because of their indolent behaviour).</w:t>
            </w:r>
            <w:r>
              <w:t xml:space="preserve"> </w:t>
            </w:r>
            <w:r w:rsidRPr="00A34B0B">
              <w:t>Also, 2</w:t>
            </w:r>
            <w:r w:rsidRPr="00A34B0B">
              <w:rPr>
                <w:rFonts w:eastAsia="TimesNewRoman" w:cs="TimesNewRoman"/>
              </w:rPr>
              <w:t xml:space="preserve"> patients had had no prior therapy for their disease which contravened the requirement for patients to have relapsed or refractory disease.</w:t>
            </w:r>
            <w:r>
              <w:rPr>
                <w:rFonts w:eastAsia="TimesNewRoman" w:cs="TimesNewRoman"/>
              </w:rPr>
              <w:t xml:space="preserve"> The first patient achieved a PR at D</w:t>
            </w:r>
            <w:r w:rsidRPr="00A34B0B">
              <w:rPr>
                <w:rFonts w:eastAsia="TimesNewRoman" w:cs="TimesNewRoman"/>
              </w:rPr>
              <w:t xml:space="preserve">ay 93, with the duration of response of 5 months and </w:t>
            </w:r>
            <w:r>
              <w:rPr>
                <w:rFonts w:eastAsia="TimesNewRoman" w:cs="TimesNewRoman"/>
              </w:rPr>
              <w:t>the second patient</w:t>
            </w:r>
            <w:r w:rsidRPr="00A34B0B">
              <w:rPr>
                <w:rFonts w:eastAsia="TimesNewRoman" w:cs="TimesNewRoman"/>
              </w:rPr>
              <w:t xml:space="preserve"> achieved a CR at day 90, with the duration of response of 3 months.</w:t>
            </w:r>
          </w:p>
        </w:tc>
      </w:tr>
    </w:tbl>
    <w:p w:rsidR="004D5254" w:rsidRDefault="004D5254" w:rsidP="004D5254">
      <w:pPr>
        <w:autoSpaceDE w:val="0"/>
        <w:autoSpaceDN w:val="0"/>
        <w:adjustRightInd w:val="0"/>
        <w:rPr>
          <w:rFonts w:eastAsia="TimesNewRoman" w:cs="TimesNewRoman"/>
        </w:rPr>
      </w:pPr>
      <w:r w:rsidRPr="00772C4E">
        <w:t>In the</w:t>
      </w:r>
      <w:r>
        <w:t xml:space="preserve"> Phase I </w:t>
      </w:r>
      <w:r w:rsidRPr="00772C4E">
        <w:t>p</w:t>
      </w:r>
      <w:r>
        <w:t>a</w:t>
      </w:r>
      <w:r w:rsidRPr="00772C4E">
        <w:t xml:space="preserve">rt </w:t>
      </w:r>
      <w:r>
        <w:t xml:space="preserve">of the </w:t>
      </w:r>
      <w:r w:rsidRPr="00772C4E">
        <w:t xml:space="preserve">study, 5 </w:t>
      </w:r>
      <w:r>
        <w:t xml:space="preserve">dose-limiting toxicities </w:t>
      </w:r>
      <w:r w:rsidRPr="00772C4E">
        <w:t>and 2 patient deaths were experienced in</w:t>
      </w:r>
      <w:r>
        <w:t xml:space="preserve"> </w:t>
      </w:r>
      <w:r w:rsidRPr="00772C4E">
        <w:t>the 45 mg/m</w:t>
      </w:r>
      <w:r w:rsidRPr="00772C4E">
        <w:rPr>
          <w:vertAlign w:val="superscript"/>
        </w:rPr>
        <w:t>2</w:t>
      </w:r>
      <w:r w:rsidRPr="00772C4E">
        <w:t xml:space="preserve"> weekly</w:t>
      </w:r>
      <w:r>
        <w:t xml:space="preserve"> for</w:t>
      </w:r>
      <w:r w:rsidRPr="00772C4E">
        <w:t xml:space="preserve"> 6</w:t>
      </w:r>
      <w:r>
        <w:t xml:space="preserve"> doses</w:t>
      </w:r>
      <w:r w:rsidRPr="00772C4E">
        <w:t>/7</w:t>
      </w:r>
      <w:r>
        <w:t>-</w:t>
      </w:r>
      <w:r w:rsidRPr="00772C4E">
        <w:t xml:space="preserve">week </w:t>
      </w:r>
      <w:r>
        <w:t>cycle t</w:t>
      </w:r>
      <w:r w:rsidRPr="00772C4E">
        <w:t>reatment group (n = 11 treated patients)</w:t>
      </w:r>
      <w:r>
        <w:t xml:space="preserve">. The maximum tolerated dose </w:t>
      </w:r>
      <w:r w:rsidRPr="00772C4E">
        <w:t>was declared as</w:t>
      </w:r>
      <w:r>
        <w:t xml:space="preserve"> the </w:t>
      </w:r>
      <w:r w:rsidRPr="00772C4E">
        <w:t xml:space="preserve">dose level below </w:t>
      </w:r>
      <w:r>
        <w:t xml:space="preserve">this, </w:t>
      </w:r>
      <w:r w:rsidRPr="00990CA1">
        <w:t>that is,</w:t>
      </w:r>
      <w:r>
        <w:t xml:space="preserve"> </w:t>
      </w:r>
      <w:r w:rsidRPr="00772C4E">
        <w:t>30 mg/m</w:t>
      </w:r>
      <w:r w:rsidRPr="00540981">
        <w:rPr>
          <w:vertAlign w:val="superscript"/>
        </w:rPr>
        <w:t>2</w:t>
      </w:r>
      <w:r w:rsidRPr="00772C4E">
        <w:t xml:space="preserve"> weekly</w:t>
      </w:r>
      <w:r>
        <w:t xml:space="preserve"> for</w:t>
      </w:r>
      <w:r w:rsidRPr="00772C4E">
        <w:t xml:space="preserve"> 6</w:t>
      </w:r>
      <w:r>
        <w:t xml:space="preserve"> doses</w:t>
      </w:r>
      <w:r w:rsidRPr="00772C4E">
        <w:t>/7</w:t>
      </w:r>
      <w:r>
        <w:t>-</w:t>
      </w:r>
      <w:r w:rsidRPr="00772C4E">
        <w:t>week</w:t>
      </w:r>
      <w:r>
        <w:t xml:space="preserve"> cycle, which was used in the Phase II part of the study and also used subsequently </w:t>
      </w:r>
      <w:r w:rsidRPr="00772C4E">
        <w:t xml:space="preserve">in </w:t>
      </w:r>
      <w:r>
        <w:t>Study PDX-</w:t>
      </w:r>
      <w:r w:rsidRPr="00772C4E">
        <w:t>008</w:t>
      </w:r>
      <w:r>
        <w:t>.</w:t>
      </w:r>
    </w:p>
    <w:p w:rsidR="004D5254" w:rsidRDefault="004D5254" w:rsidP="004D5254">
      <w:pPr>
        <w:pStyle w:val="Heading4"/>
        <w:numPr>
          <w:ilvl w:val="2"/>
          <w:numId w:val="5"/>
        </w:numPr>
      </w:pPr>
      <w:bookmarkStart w:id="207" w:name="_Toc241374312"/>
      <w:bookmarkStart w:id="208" w:name="_Toc272414656"/>
      <w:bookmarkStart w:id="209" w:name="_Toc290846281"/>
      <w:bookmarkStart w:id="210" w:name="_Toc320881454"/>
      <w:r>
        <w:t>Analyses performed across trials (pooled analyses and meta-analyses)</w:t>
      </w:r>
      <w:bookmarkEnd w:id="207"/>
      <w:bookmarkEnd w:id="208"/>
      <w:bookmarkEnd w:id="209"/>
      <w:bookmarkEnd w:id="210"/>
    </w:p>
    <w:p w:rsidR="004D5254" w:rsidRDefault="004D5254" w:rsidP="004D5254">
      <w:r>
        <w:t>Not applicable.</w:t>
      </w:r>
    </w:p>
    <w:p w:rsidR="004D5254" w:rsidRPr="003C0A48" w:rsidRDefault="004D5254" w:rsidP="004D5254">
      <w:pPr>
        <w:pStyle w:val="Heading3"/>
        <w:numPr>
          <w:ilvl w:val="1"/>
          <w:numId w:val="5"/>
        </w:numPr>
      </w:pPr>
      <w:bookmarkStart w:id="211" w:name="_Ref271126605"/>
      <w:bookmarkStart w:id="212" w:name="_Toc272414657"/>
      <w:bookmarkStart w:id="213" w:name="_Toc290846282"/>
      <w:bookmarkStart w:id="214" w:name="_Toc320881455"/>
      <w:bookmarkStart w:id="215" w:name="_Toc359930730"/>
      <w:bookmarkStart w:id="216" w:name="_Toc364764904"/>
      <w:r w:rsidRPr="003C0A48">
        <w:t>Evaluator’s conclusions on clinical efficacy for</w:t>
      </w:r>
      <w:r>
        <w:t xml:space="preserve"> </w:t>
      </w:r>
      <w:bookmarkEnd w:id="211"/>
      <w:bookmarkEnd w:id="212"/>
      <w:bookmarkEnd w:id="213"/>
      <w:r>
        <w:t>PTCL</w:t>
      </w:r>
      <w:bookmarkEnd w:id="214"/>
      <w:bookmarkEnd w:id="215"/>
      <w:bookmarkEnd w:id="216"/>
    </w:p>
    <w:p w:rsidR="004D5254" w:rsidRDefault="004D5254" w:rsidP="004D5254">
      <w:r>
        <w:t xml:space="preserve">The TGA-adopted EU </w:t>
      </w:r>
      <w:r w:rsidRPr="009972BE">
        <w:rPr>
          <w:rStyle w:val="eutitle"/>
          <w:i/>
        </w:rPr>
        <w:t>Guideline on the Evaluation of Anticancer Medicinal Products in Man</w:t>
      </w:r>
      <w:r>
        <w:rPr>
          <w:rStyle w:val="eutitle"/>
        </w:rPr>
        <w:t xml:space="preserve"> </w:t>
      </w:r>
      <w:r>
        <w:t xml:space="preserve">requires that the benefit-risk profile of new chemotherapeutic agents be established with data from well conducted Phase III randomised controlled trials (RCT). However, the guideline also recognises that for rare tumours or very narrow indications it may not be possible to recruit a sufficiently large number of patients to conduct an appropriately powered RCT, in which case the best options available are to either conduct a small randomised reference controlled study </w:t>
      </w:r>
      <w:r>
        <w:lastRenderedPageBreak/>
        <w:t>and/or conduct a within-patient time-to-progression analysis in which the time-to-progression on last prior therapy is compared to time-to-progression on the new agent.</w:t>
      </w:r>
    </w:p>
    <w:p w:rsidR="004D5254" w:rsidRPr="00E924FA" w:rsidRDefault="004D5254" w:rsidP="004D5254">
      <w:pPr>
        <w:autoSpaceDE w:val="0"/>
        <w:autoSpaceDN w:val="0"/>
        <w:adjustRightInd w:val="0"/>
      </w:pPr>
      <w:r>
        <w:t xml:space="preserve">In </w:t>
      </w:r>
      <w:r w:rsidRPr="00E924FA">
        <w:t>this submission, the efficacy of pralatrexate was evaluated in a single non-randomised, open-label Phase II study comprising 109 evaluable patients with relapsed or refractory PTCL. The primary endpoint was based on objective response rate (an accepted marker of activity for cytotoxic agents) determined by independent, adjudicated central review using IWC criteria. The study used standardised treatment conditions and data collection; the study was compliant with GCP requirements; and data were collected prospectively. Key results from the study were:</w:t>
      </w:r>
    </w:p>
    <w:p w:rsidR="004D5254" w:rsidRDefault="004D5254" w:rsidP="004D5254">
      <w:pPr>
        <w:pStyle w:val="ListBullet"/>
        <w:numPr>
          <w:ilvl w:val="0"/>
          <w:numId w:val="1"/>
        </w:numPr>
      </w:pPr>
      <w:r>
        <w:t>an overall response rate (CR+CRu+PR) of 29% (95% CI: 21 – 39%) by central review;</w:t>
      </w:r>
    </w:p>
    <w:p w:rsidR="004D5254" w:rsidRPr="005740C9" w:rsidRDefault="004D5254" w:rsidP="004D5254">
      <w:pPr>
        <w:pStyle w:val="ListBullet"/>
        <w:numPr>
          <w:ilvl w:val="0"/>
          <w:numId w:val="1"/>
        </w:numPr>
        <w:rPr>
          <w:rFonts w:eastAsia="TimesNewRoman" w:cs="TimesNewRoman"/>
        </w:rPr>
      </w:pPr>
      <w:r w:rsidRPr="005740C9">
        <w:rPr>
          <w:rFonts w:eastAsia="TimesNewRoman" w:cs="TimesNewRoman"/>
        </w:rPr>
        <w:t>25% of pralatrexate responders had no evidence of response to their most recent prior</w:t>
      </w:r>
      <w:r>
        <w:rPr>
          <w:rFonts w:eastAsia="TimesNewRoman" w:cs="TimesNewRoman"/>
        </w:rPr>
        <w:t xml:space="preserve"> </w:t>
      </w:r>
      <w:r w:rsidRPr="005740C9">
        <w:rPr>
          <w:rFonts w:eastAsia="TimesNewRoman" w:cs="TimesNewRoman"/>
        </w:rPr>
        <w:t>therapy</w:t>
      </w:r>
      <w:r>
        <w:rPr>
          <w:rFonts w:eastAsia="TimesNewRoman" w:cs="TimesNewRoman"/>
        </w:rPr>
        <w:t>;</w:t>
      </w:r>
    </w:p>
    <w:p w:rsidR="004D5254" w:rsidRDefault="004D5254" w:rsidP="004D5254">
      <w:pPr>
        <w:pStyle w:val="ListBullet"/>
        <w:numPr>
          <w:ilvl w:val="0"/>
          <w:numId w:val="1"/>
        </w:numPr>
      </w:pPr>
      <w:r w:rsidRPr="005740C9">
        <w:rPr>
          <w:rFonts w:eastAsia="TimesNewRoman" w:cs="TimesNewRoman"/>
        </w:rPr>
        <w:t>19% of pralatrexate responders had no evidence of response to any prior therapy</w:t>
      </w:r>
      <w:r>
        <w:rPr>
          <w:rFonts w:eastAsia="TimesNewRoman" w:cs="TimesNewRoman"/>
        </w:rPr>
        <w:t>;</w:t>
      </w:r>
    </w:p>
    <w:p w:rsidR="004D5254" w:rsidRPr="005740C9" w:rsidRDefault="004D5254" w:rsidP="004D5254">
      <w:pPr>
        <w:pStyle w:val="ListBullet"/>
        <w:numPr>
          <w:ilvl w:val="0"/>
          <w:numId w:val="1"/>
        </w:numPr>
        <w:rPr>
          <w:rFonts w:eastAsia="TimesNewRoman" w:cs="TimesNewRoman"/>
        </w:rPr>
      </w:pPr>
      <w:r>
        <w:rPr>
          <w:rFonts w:eastAsia="TimesNewRoman" w:cs="TimesNewRoman"/>
        </w:rPr>
        <w:t>a m</w:t>
      </w:r>
      <w:r w:rsidRPr="005740C9">
        <w:rPr>
          <w:rFonts w:eastAsia="TimesNewRoman" w:cs="TimesNewRoman"/>
        </w:rPr>
        <w:t xml:space="preserve">edian duration of response </w:t>
      </w:r>
      <w:r>
        <w:rPr>
          <w:rFonts w:eastAsia="TimesNewRoman" w:cs="TimesNewRoman"/>
        </w:rPr>
        <w:t>of</w:t>
      </w:r>
      <w:r w:rsidRPr="005740C9">
        <w:rPr>
          <w:rFonts w:eastAsia="TimesNewRoman" w:cs="TimesNewRoman"/>
        </w:rPr>
        <w:t xml:space="preserve"> </w:t>
      </w:r>
      <w:r>
        <w:rPr>
          <w:rFonts w:eastAsia="TimesNewRoman" w:cs="TimesNewRoman"/>
        </w:rPr>
        <w:t xml:space="preserve">306 days (95% CI: 3.4 – NE) or </w:t>
      </w:r>
      <w:r w:rsidRPr="005740C9">
        <w:rPr>
          <w:rFonts w:eastAsia="TimesNewRoman" w:cs="TimesNewRoman"/>
        </w:rPr>
        <w:t>10.1 months</w:t>
      </w:r>
      <w:r>
        <w:rPr>
          <w:rFonts w:eastAsia="TimesNewRoman" w:cs="TimesNewRoman"/>
        </w:rPr>
        <w:t xml:space="preserve"> </w:t>
      </w:r>
      <w:r w:rsidRPr="005740C9">
        <w:rPr>
          <w:rFonts w:eastAsia="TimesNewRoman" w:cs="TimesNewRoman"/>
        </w:rPr>
        <w:t>by central review</w:t>
      </w:r>
      <w:r>
        <w:rPr>
          <w:rFonts w:eastAsia="TimesNewRoman" w:cs="TimesNewRoman"/>
        </w:rPr>
        <w:t>;</w:t>
      </w:r>
    </w:p>
    <w:p w:rsidR="004D5254" w:rsidRPr="005740C9" w:rsidRDefault="004D5254" w:rsidP="004D5254">
      <w:pPr>
        <w:pStyle w:val="ListBullet"/>
        <w:numPr>
          <w:ilvl w:val="0"/>
          <w:numId w:val="1"/>
        </w:numPr>
        <w:rPr>
          <w:rFonts w:eastAsia="TimesNewRoman" w:cs="TimesNewRoman"/>
        </w:rPr>
      </w:pPr>
      <w:r>
        <w:rPr>
          <w:rFonts w:eastAsia="TimesNewRoman" w:cs="TimesNewRoman"/>
        </w:rPr>
        <w:t>a m</w:t>
      </w:r>
      <w:r w:rsidRPr="005740C9">
        <w:rPr>
          <w:rFonts w:eastAsia="TimesNewRoman" w:cs="TimesNewRoman"/>
        </w:rPr>
        <w:t xml:space="preserve">edian progression-free survival </w:t>
      </w:r>
      <w:r>
        <w:rPr>
          <w:rFonts w:eastAsia="TimesNewRoman" w:cs="TimesNewRoman"/>
        </w:rPr>
        <w:t>of</w:t>
      </w:r>
      <w:r w:rsidRPr="005740C9">
        <w:rPr>
          <w:rFonts w:eastAsia="TimesNewRoman" w:cs="TimesNewRoman"/>
        </w:rPr>
        <w:t xml:space="preserve"> </w:t>
      </w:r>
      <w:r>
        <w:rPr>
          <w:rFonts w:eastAsia="TimesNewRoman" w:cs="TimesNewRoman"/>
        </w:rPr>
        <w:t>106</w:t>
      </w:r>
      <w:r w:rsidRPr="005740C9">
        <w:rPr>
          <w:rFonts w:eastAsia="TimesNewRoman" w:cs="TimesNewRoman"/>
        </w:rPr>
        <w:t xml:space="preserve"> </w:t>
      </w:r>
      <w:r>
        <w:rPr>
          <w:rFonts w:eastAsia="TimesNewRoman" w:cs="TimesNewRoman"/>
        </w:rPr>
        <w:t>days (95% CI: 51 – 146)</w:t>
      </w:r>
      <w:r w:rsidRPr="005740C9">
        <w:rPr>
          <w:rFonts w:eastAsia="TimesNewRoman" w:cs="TimesNewRoman"/>
        </w:rPr>
        <w:t xml:space="preserve"> </w:t>
      </w:r>
      <w:r>
        <w:rPr>
          <w:rFonts w:eastAsia="TimesNewRoman" w:cs="TimesNewRoman"/>
        </w:rPr>
        <w:t xml:space="preserve">or 3.5 months </w:t>
      </w:r>
      <w:r w:rsidRPr="005740C9">
        <w:rPr>
          <w:rFonts w:eastAsia="TimesNewRoman" w:cs="TimesNewRoman"/>
        </w:rPr>
        <w:t>by central review</w:t>
      </w:r>
      <w:r>
        <w:rPr>
          <w:rFonts w:eastAsia="TimesNewRoman" w:cs="TimesNewRoman"/>
        </w:rPr>
        <w:t>; and</w:t>
      </w:r>
    </w:p>
    <w:p w:rsidR="004D5254" w:rsidRPr="005740C9" w:rsidRDefault="004D5254" w:rsidP="004D5254">
      <w:pPr>
        <w:pStyle w:val="ListBullet"/>
        <w:numPr>
          <w:ilvl w:val="0"/>
          <w:numId w:val="1"/>
        </w:numPr>
        <w:rPr>
          <w:rFonts w:eastAsia="TimesNewRoman" w:cs="TimesNewRoman"/>
        </w:rPr>
      </w:pPr>
      <w:r>
        <w:rPr>
          <w:rFonts w:eastAsia="TimesNewRoman" w:cs="TimesNewRoman"/>
        </w:rPr>
        <w:t>a m</w:t>
      </w:r>
      <w:r w:rsidRPr="005740C9">
        <w:rPr>
          <w:rFonts w:eastAsia="TimesNewRoman" w:cs="TimesNewRoman"/>
        </w:rPr>
        <w:t xml:space="preserve">edian overall survival </w:t>
      </w:r>
      <w:r>
        <w:rPr>
          <w:rFonts w:eastAsia="TimesNewRoman" w:cs="TimesNewRoman"/>
        </w:rPr>
        <w:t>of</w:t>
      </w:r>
      <w:r w:rsidRPr="005740C9">
        <w:rPr>
          <w:rFonts w:eastAsia="TimesNewRoman" w:cs="TimesNewRoman"/>
        </w:rPr>
        <w:t xml:space="preserve"> 14.5 months</w:t>
      </w:r>
      <w:r>
        <w:rPr>
          <w:rFonts w:eastAsia="TimesNewRoman" w:cs="TimesNewRoman"/>
        </w:rPr>
        <w:t xml:space="preserve"> (95% CI: 10.6 – 22.5 months) by central review. The most recently available data indicates a survival rate of 56% (95% CI 46 – 65%) at 1 year; 35% (95% CI 26 – 44%) at 2 years; 29% (95% CI 19 – 39%) at 3 years; and 25% (95% CI 15 – 37%) at 4 years.</w:t>
      </w:r>
    </w:p>
    <w:p w:rsidR="004D5254" w:rsidRDefault="004D5254" w:rsidP="004D5254">
      <w:pPr>
        <w:autoSpaceDE w:val="0"/>
        <w:autoSpaceDN w:val="0"/>
        <w:adjustRightInd w:val="0"/>
      </w:pPr>
      <w:r>
        <w:t xml:space="preserve">Whilst the absence of a randomised controlled design is understandable in the context of PTCL being </w:t>
      </w:r>
      <w:r w:rsidRPr="00F83ADB">
        <w:t xml:space="preserve">a rare disease </w:t>
      </w:r>
      <w:r>
        <w:t>for which there are no standard treatment protocols, there are consequential limitations of the data:</w:t>
      </w:r>
    </w:p>
    <w:p w:rsidR="004D5254" w:rsidRDefault="004D5254" w:rsidP="004D5254">
      <w:pPr>
        <w:pStyle w:val="ListBullet"/>
        <w:numPr>
          <w:ilvl w:val="0"/>
          <w:numId w:val="1"/>
        </w:numPr>
      </w:pPr>
      <w:r>
        <w:t xml:space="preserve">The absence of blinding </w:t>
      </w:r>
    </w:p>
    <w:p w:rsidR="004D5254" w:rsidRDefault="004D5254" w:rsidP="004D5254">
      <w:pPr>
        <w:pStyle w:val="ListBullet"/>
        <w:numPr>
          <w:ilvl w:val="0"/>
          <w:numId w:val="0"/>
        </w:numPr>
        <w:ind w:left="360"/>
      </w:pPr>
      <w:r>
        <w:t>This introduces the potential for investigator bias and reader bias in radiographic evaluation which impacts on the reliability and reproducibility of results. Furthermore, diagnosis of PTCL and subtype can be difficult and not always readily reproducible. However, this bias was mitigated as far as possible by requiring that tumour diagnosis, eligibility for study entry and tumour responses</w:t>
      </w:r>
      <w:r w:rsidRPr="00AE6CB2">
        <w:t xml:space="preserve"> </w:t>
      </w:r>
      <w:r>
        <w:t xml:space="preserve">be </w:t>
      </w:r>
      <w:r w:rsidRPr="00AE6CB2">
        <w:t xml:space="preserve">assessed and adjudicated </w:t>
      </w:r>
      <w:r>
        <w:t xml:space="preserve">centrally and </w:t>
      </w:r>
      <w:r w:rsidRPr="00AE6CB2">
        <w:t>independent</w:t>
      </w:r>
      <w:r>
        <w:t>ly</w:t>
      </w:r>
      <w:r w:rsidRPr="00AE6CB2">
        <w:t xml:space="preserve"> using International Workshop Criteria (IWC)</w:t>
      </w:r>
      <w:r>
        <w:t>, with blinding to the investigator’s assessment.</w:t>
      </w:r>
    </w:p>
    <w:p w:rsidR="004D5254" w:rsidRDefault="004D5254" w:rsidP="004D5254">
      <w:pPr>
        <w:pStyle w:val="ListBullet"/>
        <w:numPr>
          <w:ilvl w:val="0"/>
          <w:numId w:val="1"/>
        </w:numPr>
      </w:pPr>
      <w:r>
        <w:t>The absence of a comparator</w:t>
      </w:r>
    </w:p>
    <w:p w:rsidR="004D5254" w:rsidRDefault="004D5254" w:rsidP="004D5254">
      <w:pPr>
        <w:pStyle w:val="ListBullet"/>
        <w:numPr>
          <w:ilvl w:val="0"/>
          <w:numId w:val="0"/>
        </w:numPr>
        <w:ind w:left="360"/>
      </w:pPr>
      <w:r>
        <w:t xml:space="preserve">The most obvious consequence of the lack of a comparator is that it is difficult to determine whether the magnitude and duration of responses observed in this study will confer a meaningful clinical benefit in the target population. This compromises the reliability of the study and is particularly important given that the response rate was driven largely by partial responses (20/32; 62.5% of responders) and the fact that 9/20 (45%) of partial responders subsequently experienced either disease progression and/or death within 100 days of achieving the response. The revised IWC response criteria for malignant lymphoma recognises that response rates do not necessarily influence other outcomes (especially survival) in lymphoma, but the presence of durable complete responses may be important (Cheson </w:t>
      </w:r>
      <w:r w:rsidRPr="005F61C6">
        <w:rPr>
          <w:i/>
        </w:rPr>
        <w:t>et al</w:t>
      </w:r>
      <w:r>
        <w:t xml:space="preserve"> 2007). In this regard, it is evident from the data that enduring complete responses were seen amongst a subset of patients who achieved a response, including patients with extranodal disease at the time of enrolment in the study. In addition, treatment with pralatrexate allowed bridging to transplant and subsequent ongoing prolonged response in a number of patients.</w:t>
      </w:r>
    </w:p>
    <w:p w:rsidR="004D5254" w:rsidRPr="00E924FA" w:rsidRDefault="004D5254" w:rsidP="004D5254">
      <w:pPr>
        <w:autoSpaceDE w:val="0"/>
        <w:autoSpaceDN w:val="0"/>
        <w:adjustRightInd w:val="0"/>
      </w:pPr>
      <w:r>
        <w:t>Ot</w:t>
      </w:r>
      <w:r w:rsidRPr="00E924FA">
        <w:t>her issues of note in the pivotal study were:</w:t>
      </w:r>
    </w:p>
    <w:p w:rsidR="004D5254" w:rsidRDefault="004D5254" w:rsidP="004D5254">
      <w:pPr>
        <w:pStyle w:val="ListBullet"/>
        <w:numPr>
          <w:ilvl w:val="0"/>
          <w:numId w:val="1"/>
        </w:numPr>
      </w:pPr>
      <w:r>
        <w:lastRenderedPageBreak/>
        <w:t>Heterogeneity of the study population</w:t>
      </w:r>
    </w:p>
    <w:p w:rsidR="004D5254" w:rsidRDefault="004D5254" w:rsidP="004D5254">
      <w:pPr>
        <w:pStyle w:val="ListBullet"/>
        <w:numPr>
          <w:ilvl w:val="0"/>
          <w:numId w:val="0"/>
        </w:numPr>
        <w:ind w:left="360"/>
      </w:pPr>
      <w:r w:rsidRPr="005613A8">
        <w:t>There were more than 8 tumour subtypes among patients enrolled in the study.</w:t>
      </w:r>
      <w:r>
        <w:t xml:space="preserve"> </w:t>
      </w:r>
      <w:r w:rsidRPr="005613A8">
        <w:t>At face value this limits to some extent the internal validity of the study, for different subtypes may have different prognoses and different natural histories following diagnosis.</w:t>
      </w:r>
      <w:r>
        <w:t xml:space="preserve"> </w:t>
      </w:r>
      <w:r w:rsidRPr="005613A8">
        <w:t>However, it must be remembered that this was a heavily pre-treated, relapsed and refractory population (with a median number of systemic treatments of 3; range 1 to 12).</w:t>
      </w:r>
      <w:r>
        <w:t xml:space="preserve"> </w:t>
      </w:r>
      <w:r w:rsidRPr="005613A8">
        <w:t>The fact that these patients had experienced disease progression following use of other available treatments would have largely offset the heterogeneity in tumour subtype.</w:t>
      </w:r>
      <w:r>
        <w:t xml:space="preserve"> </w:t>
      </w:r>
      <w:r w:rsidRPr="005613A8">
        <w:t>For example, it is known that anaplastic large cell lymphoma (ALCL) has a higher chance of cure with initial therapy than other subtypes, especially if it is ALK +ve.</w:t>
      </w:r>
      <w:r>
        <w:t xml:space="preserve"> </w:t>
      </w:r>
      <w:r w:rsidRPr="005613A8">
        <w:t>However, once this tumour subtype relapses it behaves like the other aggressive PTCL subtypes, with a poor prognosis.</w:t>
      </w:r>
      <w:r>
        <w:t xml:space="preserve"> </w:t>
      </w:r>
      <w:r w:rsidRPr="005613A8">
        <w:t>Also, where heterogeneity in a study population exists, it is desirable to see similar benefits in all subgroups – in this regard the response amongst patients with angioimmunoblastic subtype was notably lower than with other subtypes.</w:t>
      </w:r>
      <w:r>
        <w:t xml:space="preserve"> </w:t>
      </w:r>
      <w:r w:rsidRPr="005613A8">
        <w:t>However, the study was not designed to study specific subgroups and the number of patients with angioimmunoblastic PTCL was quite small, so caution is needed in interpreting this result.</w:t>
      </w:r>
      <w:r>
        <w:t xml:space="preserve"> </w:t>
      </w:r>
      <w:r w:rsidRPr="005613A8">
        <w:t>With regard to the external validity of the study, the proportions of the different subtypes and the demographics of the patients were generally representative of the target population.</w:t>
      </w:r>
      <w:r>
        <w:t xml:space="preserve"> </w:t>
      </w:r>
      <w:r w:rsidRPr="005613A8">
        <w:t xml:space="preserve">The prevalence of the various histopathological subtypes reflects that previously reported for patients with PTCL, (Evens </w:t>
      </w:r>
      <w:r>
        <w:t>and</w:t>
      </w:r>
      <w:r w:rsidRPr="005613A8">
        <w:t xml:space="preserve"> Gartenhaus, 2004; Rodriguez-Abreu </w:t>
      </w:r>
      <w:r w:rsidRPr="005F61C6">
        <w:rPr>
          <w:i/>
          <w:iCs/>
        </w:rPr>
        <w:t>et al</w:t>
      </w:r>
      <w:r w:rsidRPr="005613A8">
        <w:rPr>
          <w:iCs/>
        </w:rPr>
        <w:t>.</w:t>
      </w:r>
      <w:r w:rsidRPr="005613A8">
        <w:t>, 2008) with the majority in the safety analysis set (n = 59, 53%) having PTCL-unspecified according to central review assessment.</w:t>
      </w:r>
      <w:r>
        <w:t xml:space="preserve"> </w:t>
      </w:r>
      <w:r w:rsidRPr="005613A8">
        <w:t>Furthermore, there were no centre effects evident, so the results can be readily extrapolated to the target population.</w:t>
      </w:r>
      <w:r>
        <w:t xml:space="preserve"> </w:t>
      </w:r>
      <w:r w:rsidRPr="005613A8">
        <w:t>It is also of some note that the sample size of 100+ patients represents a substantial study in this indication.</w:t>
      </w:r>
      <w:r>
        <w:t xml:space="preserve"> </w:t>
      </w:r>
    </w:p>
    <w:p w:rsidR="004D5254" w:rsidRDefault="004D5254" w:rsidP="004D5254">
      <w:pPr>
        <w:pStyle w:val="ListBullet"/>
        <w:numPr>
          <w:ilvl w:val="0"/>
          <w:numId w:val="1"/>
        </w:numPr>
      </w:pPr>
      <w:r>
        <w:t>Use of PET</w:t>
      </w:r>
    </w:p>
    <w:p w:rsidR="004D5254" w:rsidRPr="005613A8" w:rsidRDefault="004D5254" w:rsidP="004D5254">
      <w:pPr>
        <w:pStyle w:val="ListBullet"/>
        <w:numPr>
          <w:ilvl w:val="0"/>
          <w:numId w:val="0"/>
        </w:numPr>
        <w:ind w:left="360"/>
      </w:pPr>
      <w:r>
        <w:t xml:space="preserve">The incorporation of PET in the central assessment of response decreased overall response rate (from 29 to 26%) but increased the complete response rate (from 10% to 14%). At the time the study was initiated PET assessment was included as an exploratory analysis. Issues with the use of PET include variability amongst readers and equipment; the potential for false-positive findings due to rebound thymic hyperplasia, infection, inflammation; the potential for false negative findings as a consequence of variable FDG avidity among tumour subtypes and/or variable resolution of PET equipment; and confounding by concomitant administration of haemopoietic growth factors that can cause diffusely increased bone marrow uptake (Cheson </w:t>
      </w:r>
      <w:r w:rsidRPr="005F61C6">
        <w:rPr>
          <w:i/>
        </w:rPr>
        <w:t>et al</w:t>
      </w:r>
      <w:r>
        <w:t xml:space="preserve"> 2007). Thus, the PET based response data should be treated with some caution.</w:t>
      </w:r>
    </w:p>
    <w:p w:rsidR="004D5254" w:rsidRDefault="004D5254" w:rsidP="004D5254">
      <w:r>
        <w:t>The analysis of efficacy was supplemented by the sponsor with a series of retrospective analyses of data from the pivotal study that employed patients as their own controls, as well as historical controls. Notwithstanding the well-known limitations of retrospective analyses and use of historical controls, the results suggest (but are not conclusive) that pralatrexate may:</w:t>
      </w:r>
    </w:p>
    <w:p w:rsidR="004D5254" w:rsidRPr="009E3531" w:rsidRDefault="004D5254" w:rsidP="004D5254">
      <w:pPr>
        <w:pStyle w:val="ListBullet"/>
        <w:numPr>
          <w:ilvl w:val="0"/>
          <w:numId w:val="1"/>
        </w:numPr>
      </w:pPr>
      <w:r w:rsidRPr="009E3531">
        <w:t>stabilise or reverse an observed trend toward poorer outcomes with</w:t>
      </w:r>
      <w:r>
        <w:t xml:space="preserve"> </w:t>
      </w:r>
      <w:r w:rsidRPr="009E3531">
        <w:t>progres</w:t>
      </w:r>
      <w:r>
        <w:t>sive lines of treatment in PTCL;</w:t>
      </w:r>
    </w:p>
    <w:p w:rsidR="004D5254" w:rsidRPr="00637255" w:rsidRDefault="004D5254" w:rsidP="004D5254">
      <w:pPr>
        <w:pStyle w:val="ListBullet"/>
        <w:numPr>
          <w:ilvl w:val="0"/>
          <w:numId w:val="1"/>
        </w:numPr>
      </w:pPr>
      <w:r w:rsidRPr="00637255">
        <w:t>yield response rates and PFS as good as or better than the immediate prior therapy</w:t>
      </w:r>
      <w:r>
        <w:t>; and</w:t>
      </w:r>
    </w:p>
    <w:p w:rsidR="004D5254" w:rsidRPr="00637255" w:rsidRDefault="004D5254" w:rsidP="004D5254">
      <w:pPr>
        <w:pStyle w:val="ListBullet"/>
        <w:numPr>
          <w:ilvl w:val="0"/>
          <w:numId w:val="1"/>
        </w:numPr>
      </w:pPr>
      <w:r w:rsidRPr="00637255">
        <w:t>alter the natural course of the disease and provide improved survival compared with the currently available treatment options for patients with relapsed/refractory PTCL.</w:t>
      </w:r>
    </w:p>
    <w:p w:rsidR="004D5254" w:rsidRDefault="004D5254" w:rsidP="004D5254">
      <w:pPr>
        <w:autoSpaceDE w:val="0"/>
        <w:autoSpaceDN w:val="0"/>
        <w:adjustRightInd w:val="0"/>
      </w:pPr>
      <w:r>
        <w:t>Overall, although the data are less than ideal (which was openly acknowledged by the sponsor), this evaluator is satisfied that the data from the study and its associated retrospective analyses show that pralatrexate has activity against PTCL and that the results are sufficiently compelling to conclude that an acceptable level of efficacy has been demonstrated.</w:t>
      </w:r>
    </w:p>
    <w:p w:rsidR="004D5254" w:rsidRDefault="004D5254" w:rsidP="005A260D">
      <w:pPr>
        <w:pStyle w:val="Heading2"/>
      </w:pPr>
      <w:bookmarkStart w:id="217" w:name="_Toc359930731"/>
      <w:bookmarkStart w:id="218" w:name="_Toc364764905"/>
      <w:r>
        <w:lastRenderedPageBreak/>
        <w:t>Clinical safety</w:t>
      </w:r>
      <w:bookmarkEnd w:id="217"/>
      <w:bookmarkEnd w:id="218"/>
    </w:p>
    <w:p w:rsidR="004D5254" w:rsidRPr="004B259C" w:rsidRDefault="004D5254" w:rsidP="004D5254">
      <w:pPr>
        <w:pStyle w:val="Heading3"/>
        <w:numPr>
          <w:ilvl w:val="1"/>
          <w:numId w:val="5"/>
        </w:numPr>
      </w:pPr>
      <w:bookmarkStart w:id="219" w:name="_Toc272414659"/>
      <w:bookmarkStart w:id="220" w:name="_Toc290846284"/>
      <w:bookmarkStart w:id="221" w:name="_Toc320881457"/>
      <w:bookmarkStart w:id="222" w:name="_Toc359930732"/>
      <w:bookmarkStart w:id="223" w:name="_Toc364764906"/>
      <w:r>
        <w:t>Studies providing evaluable safety data</w:t>
      </w:r>
      <w:bookmarkEnd w:id="219"/>
      <w:bookmarkEnd w:id="220"/>
      <w:bookmarkEnd w:id="221"/>
      <w:bookmarkEnd w:id="222"/>
      <w:bookmarkEnd w:id="223"/>
    </w:p>
    <w:p w:rsidR="004D5254" w:rsidRDefault="004D5254" w:rsidP="004D5254">
      <w:bookmarkStart w:id="224" w:name="_Ref268776745"/>
      <w:r>
        <w:t>The following studies provided evaluable safety data:</w:t>
      </w:r>
    </w:p>
    <w:p w:rsidR="004D5254" w:rsidRPr="00027276" w:rsidRDefault="004D5254" w:rsidP="004D5254">
      <w:pPr>
        <w:pStyle w:val="Heading4"/>
        <w:numPr>
          <w:ilvl w:val="2"/>
          <w:numId w:val="5"/>
        </w:numPr>
      </w:pPr>
      <w:r w:rsidRPr="00027276">
        <w:t xml:space="preserve">Pivotal efficacy </w:t>
      </w:r>
      <w:r>
        <w:t>stud</w:t>
      </w:r>
      <w:bookmarkEnd w:id="224"/>
      <w:r>
        <w:t>y in PTCL – PDX-008</w:t>
      </w:r>
    </w:p>
    <w:p w:rsidR="004D5254" w:rsidRPr="008114D2" w:rsidRDefault="004D5254" w:rsidP="004D5254">
      <w:r w:rsidRPr="008114D2">
        <w:t>In the pivotal efficacy stud</w:t>
      </w:r>
      <w:r>
        <w:t>y of pralatrexate in PTCL (PDX-008)</w:t>
      </w:r>
      <w:r w:rsidRPr="008114D2">
        <w:t>, the following safety data were collected:</w:t>
      </w:r>
    </w:p>
    <w:p w:rsidR="004D5254" w:rsidRPr="008114D2" w:rsidRDefault="004D5254" w:rsidP="004D5254">
      <w:pPr>
        <w:pStyle w:val="ListBullet"/>
        <w:numPr>
          <w:ilvl w:val="0"/>
          <w:numId w:val="1"/>
        </w:numPr>
      </w:pPr>
      <w:r w:rsidRPr="008114D2">
        <w:t>General adverse events (AEs) were assessed by asking patients to report all problems, complaints, or symptoms at each study visit during treatment with pralatrexate, as well as at the early termination visit (if applicable), the safety follow-up visit 35 (</w:t>
      </w:r>
      <w:r>
        <w:t>±</w:t>
      </w:r>
      <w:r w:rsidRPr="008114D2">
        <w:t xml:space="preserve"> 5) days after the last dose of pralatrexate, and each routine follow up visit (every 3 months </w:t>
      </w:r>
      <w:r>
        <w:t>±</w:t>
      </w:r>
      <w:r w:rsidRPr="008114D2">
        <w:t xml:space="preserve"> 2 weeks) thereafter.</w:t>
      </w:r>
      <w:r>
        <w:t xml:space="preserve"> </w:t>
      </w:r>
      <w:r w:rsidRPr="008114D2">
        <w:t>AEs regardless of causality were recorded for all patients on-study and events considered possibly, probably, or definitely related to pralatrexate therapy were recorded during the post-treatment period.</w:t>
      </w:r>
      <w:r>
        <w:t xml:space="preserve"> </w:t>
      </w:r>
      <w:r w:rsidRPr="008114D2">
        <w:t>AEs were graded using the NCI Common Terminology Criteria for Adverse Events (CTCAE), Version 3.0.</w:t>
      </w:r>
    </w:p>
    <w:p w:rsidR="004D5254" w:rsidRDefault="004D5254" w:rsidP="004D5254">
      <w:pPr>
        <w:pStyle w:val="ListBullet"/>
        <w:numPr>
          <w:ilvl w:val="0"/>
          <w:numId w:val="1"/>
        </w:numPr>
      </w:pPr>
      <w:r w:rsidRPr="008114D2">
        <w:t>Selected AEs of interest included mucosal inflammation, neutropaenia, leucopaenia, thrombocytopenia, anaemia, abnormalities of liver function (increases in AST and ALT), oedema, dry mouth, dyspepsia, odynophagia, pruritus, anorexia and hypokalaemia.</w:t>
      </w:r>
      <w:r>
        <w:t xml:space="preserve"> </w:t>
      </w:r>
      <w:r w:rsidRPr="008114D2">
        <w:t xml:space="preserve">These events were summarised and presented separately using the single lowest-level preferred term in order to present each event </w:t>
      </w:r>
      <w:r>
        <w:t>u</w:t>
      </w:r>
      <w:r w:rsidRPr="008114D2">
        <w:t>niform</w:t>
      </w:r>
      <w:r>
        <w:t>ly</w:t>
      </w:r>
      <w:r w:rsidRPr="008114D2">
        <w:t>.</w:t>
      </w:r>
      <w:r>
        <w:t xml:space="preserve"> Haematological and mucosal toxicities were closely monitored and formed the basis for pralatrexate dosage reductions.</w:t>
      </w:r>
    </w:p>
    <w:p w:rsidR="004D5254" w:rsidRDefault="004D5254" w:rsidP="004D5254">
      <w:pPr>
        <w:pStyle w:val="ListBullet"/>
        <w:numPr>
          <w:ilvl w:val="0"/>
          <w:numId w:val="1"/>
        </w:numPr>
      </w:pPr>
      <w:r w:rsidRPr="008114D2">
        <w:t>Laboratory assessments were performed at screening, during the treatment phase of the study</w:t>
      </w:r>
      <w:r>
        <w:t xml:space="preserve"> (Weeks 2-6 of each cycle)</w:t>
      </w:r>
      <w:r w:rsidRPr="008114D2">
        <w:t>, at the early termination visit (if applicable), and at the post-treatment safety follow-up visit.</w:t>
      </w:r>
      <w:r>
        <w:t xml:space="preserve"> </w:t>
      </w:r>
      <w:r w:rsidRPr="008114D2">
        <w:t>All results were converted to standard international (SI) units and flagged as low or high compared to reference normal ranges, markedly low or high (</w:t>
      </w:r>
      <w:r>
        <w:rPr>
          <w:rFonts w:eastAsia="TimesNewRoman" w:cs="TimesNewRoman"/>
        </w:rPr>
        <w:t>≥</w:t>
      </w:r>
      <w:r w:rsidRPr="008114D2">
        <w:rPr>
          <w:rFonts w:eastAsia="TimesNewRoman" w:cs="TimesNewRoman"/>
        </w:rPr>
        <w:t xml:space="preserve"> </w:t>
      </w:r>
      <w:r w:rsidRPr="008114D2">
        <w:t>Grade 2 per NCI CTCAE Version 3.0), or clinically significant (</w:t>
      </w:r>
      <w:r>
        <w:rPr>
          <w:rFonts w:eastAsia="TimesNewRoman" w:cs="TimesNewRoman"/>
        </w:rPr>
        <w:t>≥</w:t>
      </w:r>
      <w:r w:rsidRPr="008114D2">
        <w:rPr>
          <w:rFonts w:eastAsia="TimesNewRoman" w:cs="TimesNewRoman"/>
        </w:rPr>
        <w:t xml:space="preserve"> </w:t>
      </w:r>
      <w:r w:rsidRPr="008114D2">
        <w:t xml:space="preserve">Grade 2 per NCI CTCAE Version 3.0, and a shift of </w:t>
      </w:r>
      <w:r>
        <w:rPr>
          <w:rFonts w:eastAsia="TimesNewRoman" w:cs="TimesNewRoman"/>
        </w:rPr>
        <w:t>≥</w:t>
      </w:r>
      <w:r w:rsidRPr="008114D2">
        <w:rPr>
          <w:rFonts w:eastAsia="TimesNewRoman" w:cs="TimesNewRoman"/>
        </w:rPr>
        <w:t xml:space="preserve"> </w:t>
      </w:r>
      <w:r w:rsidRPr="008114D2">
        <w:t>1 grade from the baseline value).</w:t>
      </w:r>
      <w:r>
        <w:t xml:space="preserve"> </w:t>
      </w:r>
      <w:r w:rsidRPr="008114D2">
        <w:t xml:space="preserve">Haematology parameters </w:t>
      </w:r>
      <w:r>
        <w:t>comprised</w:t>
      </w:r>
      <w:r w:rsidRPr="008114D2">
        <w:t xml:space="preserve"> haemoglobin, haematocrit, white blood cells (WBCs), neutrophils, and platelets</w:t>
      </w:r>
      <w:r>
        <w:t>. Clinical chemistry assessments comprised</w:t>
      </w:r>
      <w:r w:rsidRPr="008114D2">
        <w:t xml:space="preserve"> </w:t>
      </w:r>
      <w:r>
        <w:t>t</w:t>
      </w:r>
      <w:r w:rsidRPr="008114D2">
        <w:t>otal bilirubin, creatinine, ALT, AST, and LDH</w:t>
      </w:r>
      <w:r>
        <w:t xml:space="preserve"> levels. Of note, alkaline phosphatase and electrolyte levels were </w:t>
      </w:r>
      <w:r w:rsidRPr="00AC3C6A">
        <w:rPr>
          <w:u w:val="single"/>
        </w:rPr>
        <w:t>not</w:t>
      </w:r>
      <w:r>
        <w:t xml:space="preserve"> routinely measured.</w:t>
      </w:r>
    </w:p>
    <w:p w:rsidR="004D5254" w:rsidRPr="001137C9" w:rsidRDefault="004D5254" w:rsidP="004D5254">
      <w:pPr>
        <w:pStyle w:val="ListBullet"/>
        <w:numPr>
          <w:ilvl w:val="0"/>
          <w:numId w:val="1"/>
        </w:numPr>
      </w:pPr>
      <w:r w:rsidRPr="001137C9">
        <w:t xml:space="preserve">Physical examinations were performed at baseline and changes recorded on </w:t>
      </w:r>
      <w:r>
        <w:t>W</w:t>
      </w:r>
      <w:r w:rsidRPr="001137C9">
        <w:t>eek 3 of cycle 1, within 7 days of the first dose of each subsequent cycle, at the early termination visit (if applicable), and at the post-treatment safety follow-up visit.</w:t>
      </w:r>
      <w:r>
        <w:t xml:space="preserve"> </w:t>
      </w:r>
      <w:r w:rsidRPr="001137C9">
        <w:t>An ECG was performed within 21 days prior to the projected start of pralatrexate administration</w:t>
      </w:r>
      <w:r>
        <w:t xml:space="preserve"> and thereafter if</w:t>
      </w:r>
      <w:r w:rsidRPr="001137C9">
        <w:t xml:space="preserve"> clinically indicated at anytime during the study</w:t>
      </w:r>
      <w:r>
        <w:t>.</w:t>
      </w:r>
    </w:p>
    <w:p w:rsidR="004D5254" w:rsidRPr="00840122" w:rsidRDefault="004D5254" w:rsidP="004D5254">
      <w:pPr>
        <w:pStyle w:val="Heading4"/>
        <w:numPr>
          <w:ilvl w:val="2"/>
          <w:numId w:val="5"/>
        </w:numPr>
      </w:pPr>
      <w:r w:rsidRPr="00027276">
        <w:t xml:space="preserve">Pivotal studies that assessed </w:t>
      </w:r>
      <w:r>
        <w:t>safety as a primary outcome</w:t>
      </w:r>
    </w:p>
    <w:p w:rsidR="004D5254" w:rsidRDefault="004D5254" w:rsidP="004D5254">
      <w:r w:rsidRPr="00420965">
        <w:t>Not applicabl</w:t>
      </w:r>
      <w:r>
        <w:t>e.</w:t>
      </w:r>
    </w:p>
    <w:p w:rsidR="004D5254" w:rsidRDefault="004D5254" w:rsidP="004D5254">
      <w:pPr>
        <w:pStyle w:val="Heading4"/>
        <w:numPr>
          <w:ilvl w:val="2"/>
          <w:numId w:val="5"/>
        </w:numPr>
      </w:pPr>
      <w:r>
        <w:t>Supporting efficacy study for PTCL – PDX-02-078</w:t>
      </w:r>
    </w:p>
    <w:p w:rsidR="004D5254" w:rsidRPr="00420965" w:rsidRDefault="004D5254" w:rsidP="004D5254">
      <w:pPr>
        <w:autoSpaceDE w:val="0"/>
        <w:autoSpaceDN w:val="0"/>
        <w:adjustRightInd w:val="0"/>
      </w:pPr>
      <w:r w:rsidRPr="00AB5746">
        <w:t>I</w:t>
      </w:r>
      <w:r w:rsidRPr="00420965">
        <w:t>n the supporting study of single agent pralatrexate in haematological malignancies, including patients with PTCL (PDX-02-078), the following safety data were collected:</w:t>
      </w:r>
    </w:p>
    <w:p w:rsidR="004D5254" w:rsidRPr="00AB5746" w:rsidRDefault="004D5254" w:rsidP="004D5254">
      <w:pPr>
        <w:pStyle w:val="ListBullet"/>
        <w:numPr>
          <w:ilvl w:val="0"/>
          <w:numId w:val="1"/>
        </w:numPr>
      </w:pPr>
      <w:r>
        <w:t>G</w:t>
      </w:r>
      <w:r w:rsidRPr="00AB5746">
        <w:t xml:space="preserve">eneral adverse event data were obtained </w:t>
      </w:r>
      <w:r>
        <w:t>at every study visit in Cycle 1, during W</w:t>
      </w:r>
      <w:r w:rsidRPr="00AB5746">
        <w:t>eek 1 of subsequent cycles, and when the patient went off treatment with pralatrexate.</w:t>
      </w:r>
      <w:r>
        <w:t xml:space="preserve"> </w:t>
      </w:r>
      <w:r w:rsidRPr="00AB5746">
        <w:t>The data were elicited, recorded and assessed in the same manner as used in the pivotal study.</w:t>
      </w:r>
      <w:r>
        <w:t xml:space="preserve"> Haematological and mucosal toxicities were closely monitored and formed the basis for pralatrexate dosage reductions.</w:t>
      </w:r>
    </w:p>
    <w:p w:rsidR="004D5254" w:rsidRPr="00AB5746" w:rsidRDefault="004D5254" w:rsidP="004D5254">
      <w:pPr>
        <w:pStyle w:val="ListBullet"/>
        <w:numPr>
          <w:ilvl w:val="0"/>
          <w:numId w:val="1"/>
        </w:numPr>
      </w:pPr>
      <w:r>
        <w:lastRenderedPageBreak/>
        <w:t>L</w:t>
      </w:r>
      <w:r w:rsidRPr="00AB5746">
        <w:t>aboratory assessments were performed at screening, during the treatment phase of the study, and once the patient went off study treatment.</w:t>
      </w:r>
      <w:r>
        <w:t xml:space="preserve"> </w:t>
      </w:r>
      <w:r w:rsidRPr="00AB5746">
        <w:t xml:space="preserve">Standard haematology parameters were collected at the screening visit; </w:t>
      </w:r>
      <w:r>
        <w:t>C</w:t>
      </w:r>
      <w:r w:rsidRPr="00AB5746">
        <w:t xml:space="preserve">ycle 1, </w:t>
      </w:r>
      <w:r>
        <w:t>D</w:t>
      </w:r>
      <w:r w:rsidRPr="00AB5746">
        <w:t xml:space="preserve">ose 1, </w:t>
      </w:r>
      <w:r>
        <w:t>C</w:t>
      </w:r>
      <w:r w:rsidRPr="00AB5746">
        <w:t xml:space="preserve">ycle 1, </w:t>
      </w:r>
      <w:r>
        <w:t>D</w:t>
      </w:r>
      <w:r w:rsidRPr="00AB5746">
        <w:t>ose 2 (</w:t>
      </w:r>
      <w:r>
        <w:t>W</w:t>
      </w:r>
      <w:r w:rsidRPr="00AB5746">
        <w:t xml:space="preserve">eek 3); subsequent cycles (both </w:t>
      </w:r>
      <w:r>
        <w:t>W</w:t>
      </w:r>
      <w:r w:rsidRPr="00AB5746">
        <w:t>eeks 1 and 3); and once the patient went off study treatment.</w:t>
      </w:r>
      <w:r>
        <w:t xml:space="preserve"> </w:t>
      </w:r>
      <w:r w:rsidRPr="00AB5746">
        <w:t>A broad</w:t>
      </w:r>
      <w:r>
        <w:t>er</w:t>
      </w:r>
      <w:r w:rsidRPr="00AB5746">
        <w:t xml:space="preserve"> range of clinical chemistry</w:t>
      </w:r>
      <w:r>
        <w:t xml:space="preserve"> was assessed in this study compared to the pivotal efficacy study. A</w:t>
      </w:r>
      <w:r w:rsidRPr="00AB5746">
        <w:t>lbumin, alkaline phosphatase, total bilirubin, bicarbonate, blood urea nitrogen (BUN), calcium, creatinine, glucose, LDH, potassium, total protein, AST/SGOT, ALT/SGPT, and sodium</w:t>
      </w:r>
      <w:r>
        <w:t xml:space="preserve"> levels were assessed</w:t>
      </w:r>
      <w:r w:rsidRPr="00AB5746">
        <w:t xml:space="preserve"> at the screening visit and once the patient went off study treatment.</w:t>
      </w:r>
      <w:r>
        <w:t xml:space="preserve"> </w:t>
      </w:r>
      <w:r w:rsidRPr="00AB5746">
        <w:t>A</w:t>
      </w:r>
      <w:r>
        <w:t>lso, a</w:t>
      </w:r>
      <w:r w:rsidRPr="00AB5746">
        <w:t xml:space="preserve"> </w:t>
      </w:r>
      <w:r>
        <w:t>“</w:t>
      </w:r>
      <w:r w:rsidRPr="00AB5746">
        <w:t>basal</w:t>
      </w:r>
      <w:r>
        <w:t>”</w:t>
      </w:r>
      <w:r w:rsidRPr="00AB5746">
        <w:t xml:space="preserve"> metabolic panel and hepatic function panel, including tests for sodium, potassium,</w:t>
      </w:r>
      <w:r>
        <w:t xml:space="preserve"> </w:t>
      </w:r>
      <w:r w:rsidRPr="00AB5746">
        <w:t xml:space="preserve">chloride, bicarbonate, BUN, </w:t>
      </w:r>
      <w:r>
        <w:t>c</w:t>
      </w:r>
      <w:r w:rsidRPr="00AB5746">
        <w:t>reatinine, glucose, AST/ALT, and total bilirubin, were</w:t>
      </w:r>
      <w:r>
        <w:t xml:space="preserve"> </w:t>
      </w:r>
      <w:r w:rsidRPr="00AB5746">
        <w:t>collected at the screening visit; Cycle 1, Dose 1 and Dose 2; subsequent cycles Dose 1 only;</w:t>
      </w:r>
      <w:r>
        <w:t xml:space="preserve"> </w:t>
      </w:r>
      <w:r w:rsidRPr="00AB5746">
        <w:t>and once the patient went off study treatment.</w:t>
      </w:r>
      <w:r>
        <w:t xml:space="preserve"> The laboratory results were</w:t>
      </w:r>
      <w:r w:rsidRPr="00D75B96">
        <w:t xml:space="preserve"> analysed </w:t>
      </w:r>
      <w:r>
        <w:t xml:space="preserve">and presented </w:t>
      </w:r>
      <w:r w:rsidRPr="00D75B96">
        <w:t>in the same manner as used in the pivotal study</w:t>
      </w:r>
      <w:r>
        <w:t>.</w:t>
      </w:r>
    </w:p>
    <w:p w:rsidR="004D5254" w:rsidRPr="00AB5746" w:rsidRDefault="004D5254" w:rsidP="004D5254">
      <w:pPr>
        <w:pStyle w:val="ListBullet"/>
        <w:numPr>
          <w:ilvl w:val="0"/>
          <w:numId w:val="1"/>
        </w:numPr>
      </w:pPr>
      <w:r>
        <w:t xml:space="preserve">A physical examination was performed at the same time as for general adverse events. </w:t>
      </w:r>
    </w:p>
    <w:p w:rsidR="004D5254" w:rsidRPr="009E736D" w:rsidRDefault="004D5254" w:rsidP="004D5254">
      <w:pPr>
        <w:autoSpaceDE w:val="0"/>
        <w:autoSpaceDN w:val="0"/>
        <w:adjustRightInd w:val="0"/>
      </w:pPr>
      <w:r w:rsidRPr="009E736D">
        <w:t>This study was initiated in 2002 at MSKCC under an investigator-sponsored IND application.</w:t>
      </w:r>
      <w:r>
        <w:t xml:space="preserve"> </w:t>
      </w:r>
      <w:r w:rsidRPr="009E736D">
        <w:t>The IND for pralatrexate was transferred to Allos Therapeutics, Inc. from MSKCC in early Feb</w:t>
      </w:r>
      <w:r>
        <w:t>ruary</w:t>
      </w:r>
      <w:r w:rsidRPr="009E736D">
        <w:t xml:space="preserve"> 2003. Prior to the transfer of the IND to Allos, MSKCC established a process of entering the patient data </w:t>
      </w:r>
      <w:r>
        <w:t>f</w:t>
      </w:r>
      <w:r w:rsidRPr="009E736D">
        <w:t xml:space="preserve">or PDX 02-078 directly into the MSKCC’s research database without the use of CRFs. </w:t>
      </w:r>
      <w:r w:rsidRPr="009E736D">
        <w:rPr>
          <w:color w:val="000000"/>
        </w:rPr>
        <w:t xml:space="preserve">After the IND transfer, prospective monitoring of the study was undertaken in accordance with ICH GCP </w:t>
      </w:r>
      <w:r>
        <w:rPr>
          <w:color w:val="000000"/>
        </w:rPr>
        <w:t>r</w:t>
      </w:r>
      <w:r w:rsidRPr="009E736D">
        <w:rPr>
          <w:color w:val="000000"/>
        </w:rPr>
        <w:t>equirements by a contract research organisation on behalf of Allos.</w:t>
      </w:r>
      <w:r>
        <w:rPr>
          <w:color w:val="000000"/>
        </w:rPr>
        <w:t xml:space="preserve"> </w:t>
      </w:r>
      <w:r w:rsidRPr="009E736D">
        <w:rPr>
          <w:color w:val="000000"/>
        </w:rPr>
        <w:t>A</w:t>
      </w:r>
      <w:r w:rsidRPr="009E736D">
        <w:t xml:space="preserve">n intensive monitoring activity was undertaken in 2008 </w:t>
      </w:r>
      <w:r>
        <w:t>whereby</w:t>
      </w:r>
      <w:r w:rsidRPr="009E736D">
        <w:t xml:space="preserve"> baseline and safety data </w:t>
      </w:r>
      <w:r>
        <w:t>collected by the</w:t>
      </w:r>
      <w:r w:rsidRPr="009E736D">
        <w:t xml:space="preserve"> MSKCC </w:t>
      </w:r>
      <w:r>
        <w:t>were</w:t>
      </w:r>
      <w:r w:rsidRPr="009E736D">
        <w:t xml:space="preserve"> </w:t>
      </w:r>
      <w:r>
        <w:t>entered</w:t>
      </w:r>
      <w:r w:rsidRPr="009E736D">
        <w:t xml:space="preserve"> on CRFs, reviewed, and entered into </w:t>
      </w:r>
      <w:r>
        <w:t>the Allos</w:t>
      </w:r>
      <w:r w:rsidRPr="009E736D">
        <w:t xml:space="preserve"> database.</w:t>
      </w:r>
      <w:r>
        <w:t xml:space="preserve"> </w:t>
      </w:r>
      <w:r w:rsidRPr="009E736D">
        <w:t>These data</w:t>
      </w:r>
      <w:r w:rsidRPr="009E736D">
        <w:rPr>
          <w:color w:val="000000"/>
        </w:rPr>
        <w:t xml:space="preserve"> included (but were not limited to) </w:t>
      </w:r>
      <w:r w:rsidRPr="009E736D">
        <w:t>pralatrexate administration/adjustments, AEs</w:t>
      </w:r>
      <w:r>
        <w:t xml:space="preserve"> </w:t>
      </w:r>
      <w:r w:rsidRPr="009E736D">
        <w:t>and laboratory results.</w:t>
      </w:r>
      <w:r>
        <w:t xml:space="preserve"> </w:t>
      </w:r>
      <w:r w:rsidRPr="009E736D">
        <w:t xml:space="preserve">Laboratory values were not recollected and monitored as part of this process because laboratory data collection in the MSKCC’s research </w:t>
      </w:r>
      <w:r>
        <w:t>d</w:t>
      </w:r>
      <w:r w:rsidRPr="009E736D">
        <w:t>atabase was automated.</w:t>
      </w:r>
      <w:r>
        <w:t xml:space="preserve"> </w:t>
      </w:r>
      <w:r w:rsidRPr="009E736D">
        <w:t>Overall, it can be accepted that the baseline and the safety information presented in th</w:t>
      </w:r>
      <w:r>
        <w:t>e</w:t>
      </w:r>
      <w:r w:rsidRPr="009E736D">
        <w:t xml:space="preserve"> study report </w:t>
      </w:r>
      <w:r>
        <w:t>we</w:t>
      </w:r>
      <w:r w:rsidRPr="009E736D">
        <w:t>re based on rigorously collected and audited data, with the exception of laboratory values.</w:t>
      </w:r>
    </w:p>
    <w:p w:rsidR="004D5254" w:rsidRDefault="004D5254" w:rsidP="004D5254">
      <w:pPr>
        <w:pStyle w:val="Heading4"/>
        <w:numPr>
          <w:ilvl w:val="2"/>
          <w:numId w:val="5"/>
        </w:numPr>
      </w:pPr>
      <w:r>
        <w:t>Other studies evaluated for safety but not efficacy</w:t>
      </w:r>
    </w:p>
    <w:p w:rsidR="004D5254" w:rsidRDefault="004D5254" w:rsidP="004D5254">
      <w:r>
        <w:t>The studies undertaken in malignancies other than PTCL were of two general types:</w:t>
      </w:r>
    </w:p>
    <w:p w:rsidR="004D5254" w:rsidRDefault="004D5254" w:rsidP="004D5254">
      <w:pPr>
        <w:pStyle w:val="ListBullet"/>
        <w:numPr>
          <w:ilvl w:val="0"/>
          <w:numId w:val="1"/>
        </w:numPr>
      </w:pPr>
      <w:r>
        <w:t xml:space="preserve">8 studies (PDX-007, PDX-009, PDX-010, PDX-011, PDX-012, PDX-014, PDX-015 and PDX-016) were initiated by the sponsor and conducted in accordance with GCP requirements. These studies can be considered to provide high quality supportive safety information. </w:t>
      </w:r>
    </w:p>
    <w:p w:rsidR="004D5254" w:rsidRDefault="004D5254" w:rsidP="004D5254">
      <w:pPr>
        <w:pStyle w:val="ListBullet"/>
        <w:numPr>
          <w:ilvl w:val="0"/>
          <w:numId w:val="0"/>
        </w:numPr>
        <w:ind w:left="360"/>
      </w:pPr>
      <w:r>
        <w:t>The various elements of monitoring of safety (</w:t>
      </w:r>
      <w:r w:rsidRPr="00990CA1">
        <w:t>that is,</w:t>
      </w:r>
      <w:r>
        <w:t xml:space="preserve"> AEs, laboratory parameters and physical examination) appeared to be standardised across all the Allos-initiated studies, although the timing was tailored to suit the treatment regimen of each particular study. Therefore, the broad information outlined for the pivotal study (PDX-008) also applies to this group of studies. In Study PDX-007 a subset of patients underwent more intensive ECG monitoring as part of the sub-study that examined the effect of pralatrexate on QT interval.</w:t>
      </w:r>
    </w:p>
    <w:p w:rsidR="004D5254" w:rsidRPr="00420965" w:rsidRDefault="004D5254" w:rsidP="004D5254">
      <w:pPr>
        <w:pStyle w:val="ListBullet"/>
        <w:numPr>
          <w:ilvl w:val="0"/>
          <w:numId w:val="1"/>
        </w:numPr>
      </w:pPr>
      <w:r w:rsidRPr="00420965">
        <w:t>5 studies were initiated by the MSKCC prior to in-licensing of pralatrexate by Allos (PDX-97-006, PDX-99-053, PDX-99-083, PDX-01-014 and PDX-01-076). The data from these studies have not been subjective to rigorous, extensive auditing by the sponsor. Consequently, the quality of the data could not be assured, but the sponsor considered they still provided relevant “contributive” information. This has been accepted by this evaluator.</w:t>
      </w:r>
    </w:p>
    <w:p w:rsidR="004D5254" w:rsidRDefault="004D5254" w:rsidP="004D5254">
      <w:pPr>
        <w:pStyle w:val="ListBullet"/>
        <w:numPr>
          <w:ilvl w:val="0"/>
          <w:numId w:val="0"/>
        </w:numPr>
        <w:ind w:left="360"/>
      </w:pPr>
      <w:r w:rsidRPr="00420965">
        <w:t>Somewhat scant descriptions of the monitoring of safety (that is, AEs, laboratory parameters and physical examination) were provided in the abbreviated clinical study reports and protocols submitted for this group of studies. The timing of assessments was tailored to the treatment regimen of the study. Haematology and clinical chemistry testing, physical examination and AE assessments were monitored closely in patients (usually on a weekly basis) following the initiation of treatment, with the frequency reduced during</w:t>
      </w:r>
      <w:r>
        <w:t xml:space="preserve"> latter </w:t>
      </w:r>
      <w:r>
        <w:lastRenderedPageBreak/>
        <w:t xml:space="preserve">doses and cycles. AEs were </w:t>
      </w:r>
      <w:r w:rsidRPr="008114D2">
        <w:t xml:space="preserve">graded using the NCI </w:t>
      </w:r>
      <w:r>
        <w:t>Common Toxicity criteria (CTC)</w:t>
      </w:r>
      <w:r w:rsidRPr="008114D2">
        <w:t>, Version</w:t>
      </w:r>
      <w:r>
        <w:t xml:space="preserve"> </w:t>
      </w:r>
      <w:r w:rsidRPr="00A00AD9">
        <w:t>2.0</w:t>
      </w:r>
      <w:r>
        <w:t>. However it was not clear from the information provided as to how the AEs were elicited (</w:t>
      </w:r>
      <w:r w:rsidRPr="00990CA1">
        <w:t>that is,</w:t>
      </w:r>
      <w:r>
        <w:t xml:space="preserve"> whether by direct questioning of patients or reported spontaneously by patients). Also, the laboratory parameters measured across these studies were not standardised. For example, haemoglobin levels were measured across all 5 studies, but leucocyte counts were measured in only 3 studies and platelet counts in 2 studies. </w:t>
      </w:r>
    </w:p>
    <w:p w:rsidR="004D5254" w:rsidRDefault="004D5254" w:rsidP="004D5254">
      <w:pPr>
        <w:pStyle w:val="Heading6"/>
        <w:numPr>
          <w:ilvl w:val="0"/>
          <w:numId w:val="0"/>
        </w:numPr>
      </w:pPr>
      <w:bookmarkStart w:id="225" w:name="_Ref269204367"/>
      <w:r>
        <w:t>Patient safety populations</w:t>
      </w:r>
    </w:p>
    <w:p w:rsidR="004D5254" w:rsidRDefault="004D5254" w:rsidP="004D5254">
      <w:r>
        <w:t xml:space="preserve">The sponsor provided a comprehensive analysis of the safety data for pralatrexate in its </w:t>
      </w:r>
      <w:r w:rsidRPr="003A0426">
        <w:rPr>
          <w:i/>
        </w:rPr>
        <w:t>Summary of Clinical Safety</w:t>
      </w:r>
      <w:r>
        <w:t xml:space="preserve"> and presented the results for 6 separate patient population categories according to the treatment indication, whether pralatrexate was administered as a single agent or in combination and whether the study provided pivotal, supportive or contributive safety data. These populations are defined below.</w:t>
      </w:r>
    </w:p>
    <w:p w:rsidR="004D5254" w:rsidRPr="00D546ED" w:rsidRDefault="004D5254" w:rsidP="004D5254">
      <w:pPr>
        <w:autoSpaceDE w:val="0"/>
        <w:autoSpaceDN w:val="0"/>
        <w:adjustRightInd w:val="0"/>
        <w:ind w:left="1843" w:hanging="1418"/>
        <w:rPr>
          <w:rFonts w:eastAsia="TimesNewRoman" w:cs="TimesNewRoman"/>
        </w:rPr>
      </w:pPr>
      <w:r w:rsidRPr="000D6C24">
        <w:rPr>
          <w:rFonts w:eastAsia="TimesNewRoman,Bold" w:cs="TimesNewRoman,Bold"/>
          <w:bCs/>
          <w:i/>
        </w:rPr>
        <w:t>Population 1</w:t>
      </w:r>
      <w:r w:rsidRPr="00D546ED">
        <w:rPr>
          <w:rFonts w:eastAsia="TimesNewRoman,Bold" w:cs="TimesNewRoman,Bold"/>
          <w:bCs/>
        </w:rPr>
        <w:t xml:space="preserve"> </w:t>
      </w:r>
      <w:r>
        <w:rPr>
          <w:rFonts w:eastAsia="TimesNewRoman,Bold" w:cs="TimesNewRoman,Bold"/>
          <w:bCs/>
        </w:rPr>
        <w:tab/>
      </w:r>
      <w:r w:rsidRPr="00D546ED">
        <w:rPr>
          <w:rFonts w:eastAsia="TimesNewRoman" w:cs="TimesNewRoman"/>
        </w:rPr>
        <w:t>pivotal study</w:t>
      </w:r>
      <w:r>
        <w:rPr>
          <w:rFonts w:eastAsia="TimesNewRoman" w:cs="TimesNewRoman"/>
        </w:rPr>
        <w:t xml:space="preserve"> (</w:t>
      </w:r>
      <w:r w:rsidRPr="00D546ED">
        <w:rPr>
          <w:rFonts w:eastAsia="TimesNewRoman" w:cs="TimesNewRoman"/>
        </w:rPr>
        <w:t>PDX-008</w:t>
      </w:r>
      <w:r>
        <w:rPr>
          <w:rFonts w:eastAsia="TimesNewRoman" w:cs="TimesNewRoman"/>
        </w:rPr>
        <w:t>) in patients with PTCL; pralatrexate administered at a dose of 30 mg/m</w:t>
      </w:r>
      <w:r w:rsidRPr="005012AF">
        <w:rPr>
          <w:rFonts w:eastAsia="TimesNewRoman" w:cs="TimesNewRoman"/>
          <w:vertAlign w:val="superscript"/>
        </w:rPr>
        <w:t>2</w:t>
      </w:r>
      <w:r>
        <w:rPr>
          <w:rFonts w:eastAsia="TimesNewRoman" w:cs="TimesNewRoman"/>
        </w:rPr>
        <w:t xml:space="preserve"> weekly for the first 6 weeks of a 7 week cycle (</w:t>
      </w:r>
      <w:r w:rsidRPr="00990CA1">
        <w:rPr>
          <w:rFonts w:eastAsia="TimesNewRoman" w:cs="TimesNewRoman"/>
        </w:rPr>
        <w:t>that is,</w:t>
      </w:r>
      <w:r>
        <w:rPr>
          <w:rFonts w:eastAsia="TimesNewRoman" w:cs="TimesNewRoman"/>
        </w:rPr>
        <w:t xml:space="preserve"> identical to the proposed dosage regimen)</w:t>
      </w:r>
      <w:r w:rsidRPr="00D546ED">
        <w:rPr>
          <w:rFonts w:eastAsia="TimesNewRoman" w:cs="TimesNewRoman"/>
        </w:rPr>
        <w:t>.</w:t>
      </w:r>
    </w:p>
    <w:p w:rsidR="004D5254" w:rsidRPr="00D546ED" w:rsidRDefault="004D5254" w:rsidP="004D5254">
      <w:pPr>
        <w:autoSpaceDE w:val="0"/>
        <w:autoSpaceDN w:val="0"/>
        <w:adjustRightInd w:val="0"/>
        <w:ind w:left="1843" w:hanging="1418"/>
        <w:rPr>
          <w:rFonts w:eastAsia="TimesNewRoman" w:cs="TimesNewRoman"/>
        </w:rPr>
      </w:pPr>
      <w:r w:rsidRPr="000D6C24">
        <w:rPr>
          <w:rFonts w:eastAsia="TimesNewRoman,Bold" w:cs="TimesNewRoman,Bold"/>
          <w:bCs/>
          <w:i/>
        </w:rPr>
        <w:t>Population 2</w:t>
      </w:r>
      <w:r w:rsidRPr="00D546ED">
        <w:rPr>
          <w:rFonts w:eastAsia="TimesNewRoman,Bold" w:cs="TimesNewRoman,Bold"/>
          <w:bCs/>
        </w:rPr>
        <w:t xml:space="preserve"> </w:t>
      </w:r>
      <w:r>
        <w:rPr>
          <w:rFonts w:eastAsia="TimesNewRoman,Bold" w:cs="TimesNewRoman,Bold"/>
          <w:bCs/>
        </w:rPr>
        <w:tab/>
      </w:r>
      <w:r w:rsidRPr="00D546ED">
        <w:rPr>
          <w:rFonts w:eastAsia="TimesNewRoman" w:cs="TimesNewRoman"/>
        </w:rPr>
        <w:t xml:space="preserve">supportive studies </w:t>
      </w:r>
      <w:r>
        <w:rPr>
          <w:rFonts w:eastAsia="TimesNewRoman" w:cs="TimesNewRoman"/>
        </w:rPr>
        <w:t>in patients with</w:t>
      </w:r>
      <w:r w:rsidRPr="00D546ED">
        <w:rPr>
          <w:rFonts w:eastAsia="TimesNewRoman" w:cs="TimesNewRoman"/>
        </w:rPr>
        <w:t xml:space="preserve"> lymphoproliferative malignancies</w:t>
      </w:r>
      <w:r>
        <w:rPr>
          <w:rFonts w:eastAsia="TimesNewRoman" w:cs="TimesNewRoman"/>
        </w:rPr>
        <w:t>;</w:t>
      </w:r>
      <w:r w:rsidRPr="00D546ED">
        <w:rPr>
          <w:rFonts w:eastAsia="TimesNewRoman" w:cs="TimesNewRoman"/>
        </w:rPr>
        <w:t xml:space="preserve"> pralatrexate administered as a single agent (PDX-02-078, PDX-010 and PDX-015).</w:t>
      </w:r>
      <w:r>
        <w:rPr>
          <w:rFonts w:eastAsia="TimesNewRoman" w:cs="TimesNewRoman"/>
        </w:rPr>
        <w:t xml:space="preserve"> Twenty seven (38%) patients in this population received the same dose and schedule for pralatrexate as the pivotal study, including 19 patients with PTCL (Note: a total of 36 patients from Study PDX-02-078 had PTCL). The remaining patients from these studies received doses of pralatrexate ranging from 15 to 270 mg/m</w:t>
      </w:r>
      <w:r w:rsidRPr="00747F98">
        <w:rPr>
          <w:rFonts w:eastAsia="TimesNewRoman" w:cs="TimesNewRoman"/>
          <w:vertAlign w:val="superscript"/>
        </w:rPr>
        <w:t>2</w:t>
      </w:r>
      <w:r>
        <w:rPr>
          <w:rFonts w:eastAsia="TimesNewRoman" w:cs="TimesNewRoman"/>
        </w:rPr>
        <w:t>, with the schedule of doses ranging from once every 2 weeks to weekly doses for the first 6 weeks of a 7 week cycle.</w:t>
      </w:r>
    </w:p>
    <w:p w:rsidR="004D5254" w:rsidRPr="00D546ED" w:rsidRDefault="004D5254" w:rsidP="004D5254">
      <w:pPr>
        <w:autoSpaceDE w:val="0"/>
        <w:autoSpaceDN w:val="0"/>
        <w:adjustRightInd w:val="0"/>
        <w:ind w:left="1843" w:hanging="1418"/>
        <w:rPr>
          <w:rFonts w:eastAsia="TimesNewRoman" w:cs="TimesNewRoman"/>
        </w:rPr>
      </w:pPr>
      <w:r w:rsidRPr="000D6C24">
        <w:rPr>
          <w:rFonts w:eastAsia="TimesNewRoman,Bold" w:cs="TimesNewRoman,Bold"/>
          <w:bCs/>
          <w:i/>
        </w:rPr>
        <w:t>Population 3</w:t>
      </w:r>
      <w:r>
        <w:rPr>
          <w:rFonts w:eastAsia="TimesNewRoman,Bold" w:cs="TimesNewRoman,Bold"/>
          <w:bCs/>
        </w:rPr>
        <w:t xml:space="preserve"> </w:t>
      </w:r>
      <w:r>
        <w:rPr>
          <w:rFonts w:eastAsia="TimesNewRoman,Bold" w:cs="TimesNewRoman,Bold"/>
          <w:bCs/>
        </w:rPr>
        <w:tab/>
      </w:r>
      <w:r w:rsidRPr="00D546ED">
        <w:rPr>
          <w:rFonts w:eastAsia="TimesNewRoman" w:cs="TimesNewRoman"/>
        </w:rPr>
        <w:t xml:space="preserve">supportive studies in </w:t>
      </w:r>
      <w:r>
        <w:rPr>
          <w:rFonts w:eastAsia="TimesNewRoman" w:cs="TimesNewRoman"/>
        </w:rPr>
        <w:t xml:space="preserve">patients with </w:t>
      </w:r>
      <w:r w:rsidRPr="00D546ED">
        <w:rPr>
          <w:rFonts w:eastAsia="TimesNewRoman" w:cs="TimesNewRoman"/>
        </w:rPr>
        <w:t>solid tumours</w:t>
      </w:r>
      <w:r>
        <w:rPr>
          <w:rFonts w:eastAsia="TimesNewRoman" w:cs="TimesNewRoman"/>
        </w:rPr>
        <w:t xml:space="preserve">; </w:t>
      </w:r>
      <w:r w:rsidRPr="00D546ED">
        <w:rPr>
          <w:rFonts w:eastAsia="TimesNewRoman" w:cs="TimesNewRoman"/>
        </w:rPr>
        <w:t xml:space="preserve">pralatrexate administered as a single agent </w:t>
      </w:r>
      <w:r>
        <w:rPr>
          <w:rFonts w:eastAsia="TimesNewRoman" w:cs="TimesNewRoman"/>
        </w:rPr>
        <w:t>at doses ranging from 150-325 mg/m</w:t>
      </w:r>
      <w:r w:rsidRPr="005012AF">
        <w:rPr>
          <w:rFonts w:eastAsia="TimesNewRoman" w:cs="TimesNewRoman"/>
          <w:vertAlign w:val="superscript"/>
        </w:rPr>
        <w:t>2</w:t>
      </w:r>
      <w:r>
        <w:rPr>
          <w:rFonts w:eastAsia="TimesNewRoman" w:cs="TimesNewRoman"/>
        </w:rPr>
        <w:t xml:space="preserve"> on a second weekly basis </w:t>
      </w:r>
      <w:r w:rsidRPr="00D546ED">
        <w:rPr>
          <w:rFonts w:eastAsia="TimesNewRoman" w:cs="TimesNewRoman"/>
        </w:rPr>
        <w:t>(PDX-007, PDX-011, PDX-012 and PDX-014).</w:t>
      </w:r>
    </w:p>
    <w:p w:rsidR="004D5254" w:rsidRPr="00D546ED" w:rsidRDefault="004D5254" w:rsidP="004D5254">
      <w:pPr>
        <w:autoSpaceDE w:val="0"/>
        <w:autoSpaceDN w:val="0"/>
        <w:adjustRightInd w:val="0"/>
        <w:ind w:left="1843" w:hanging="1418"/>
        <w:rPr>
          <w:rFonts w:eastAsia="TimesNewRoman" w:cs="TimesNewRoman"/>
        </w:rPr>
      </w:pPr>
      <w:r w:rsidRPr="000D6C24">
        <w:rPr>
          <w:rFonts w:eastAsia="TimesNewRoman,Bold" w:cs="TimesNewRoman,Bold"/>
          <w:bCs/>
          <w:i/>
        </w:rPr>
        <w:t>Population 4</w:t>
      </w:r>
      <w:r w:rsidRPr="00D546ED">
        <w:rPr>
          <w:rFonts w:eastAsia="TimesNewRoman,Bold" w:cs="TimesNewRoman,Bold"/>
          <w:bCs/>
        </w:rPr>
        <w:t xml:space="preserve"> </w:t>
      </w:r>
      <w:r>
        <w:rPr>
          <w:rFonts w:eastAsia="TimesNewRoman,Bold" w:cs="TimesNewRoman,Bold"/>
          <w:bCs/>
        </w:rPr>
        <w:tab/>
      </w:r>
      <w:r w:rsidRPr="00D546ED">
        <w:rPr>
          <w:rFonts w:eastAsia="TimesNewRoman" w:cs="TimesNewRoman"/>
        </w:rPr>
        <w:t>supportive</w:t>
      </w:r>
      <w:r>
        <w:rPr>
          <w:rFonts w:eastAsia="TimesNewRoman" w:cs="TimesNewRoman"/>
        </w:rPr>
        <w:t xml:space="preserve">, dose-finding </w:t>
      </w:r>
      <w:r w:rsidRPr="00D546ED">
        <w:rPr>
          <w:rFonts w:eastAsia="TimesNewRoman" w:cs="TimesNewRoman"/>
        </w:rPr>
        <w:t>study (PDX-009)</w:t>
      </w:r>
      <w:r>
        <w:rPr>
          <w:rFonts w:eastAsia="TimesNewRoman" w:cs="TimesNewRoman"/>
        </w:rPr>
        <w:t xml:space="preserve"> </w:t>
      </w:r>
      <w:r w:rsidRPr="00D546ED">
        <w:rPr>
          <w:rFonts w:eastAsia="TimesNewRoman" w:cs="TimesNewRoman"/>
        </w:rPr>
        <w:t xml:space="preserve">in </w:t>
      </w:r>
      <w:r>
        <w:rPr>
          <w:rFonts w:eastAsia="TimesNewRoman" w:cs="TimesNewRoman"/>
        </w:rPr>
        <w:t xml:space="preserve">patients with </w:t>
      </w:r>
      <w:r w:rsidRPr="00D546ED">
        <w:rPr>
          <w:rFonts w:eastAsia="TimesNewRoman" w:cs="TimesNewRoman"/>
        </w:rPr>
        <w:t>lymphoproliferative malignancies</w:t>
      </w:r>
      <w:r>
        <w:rPr>
          <w:rFonts w:eastAsia="TimesNewRoman" w:cs="TimesNewRoman"/>
        </w:rPr>
        <w:t xml:space="preserve">; </w:t>
      </w:r>
      <w:r w:rsidRPr="00D546ED">
        <w:rPr>
          <w:rFonts w:eastAsia="TimesNewRoman" w:cs="TimesNewRoman"/>
        </w:rPr>
        <w:t>pralatrexate administered in combination with gemcitabine.</w:t>
      </w:r>
      <w:r>
        <w:rPr>
          <w:rFonts w:eastAsia="TimesNewRoman" w:cs="TimesNewRoman"/>
        </w:rPr>
        <w:t xml:space="preserve"> This population included 24 patients with PTCL. Pralatrexate doses ranged from 10 to 30 mg/m</w:t>
      </w:r>
      <w:r w:rsidRPr="00747F98">
        <w:rPr>
          <w:rFonts w:eastAsia="TimesNewRoman" w:cs="TimesNewRoman"/>
          <w:vertAlign w:val="superscript"/>
        </w:rPr>
        <w:t>2</w:t>
      </w:r>
      <w:r>
        <w:rPr>
          <w:rFonts w:eastAsia="TimesNewRoman" w:cs="TimesNewRoman"/>
        </w:rPr>
        <w:t xml:space="preserve"> with either sequential or same day dosing with gemcitabine.</w:t>
      </w:r>
    </w:p>
    <w:p w:rsidR="004D5254" w:rsidRPr="00D546ED" w:rsidRDefault="004D5254" w:rsidP="004D5254">
      <w:pPr>
        <w:autoSpaceDE w:val="0"/>
        <w:autoSpaceDN w:val="0"/>
        <w:adjustRightInd w:val="0"/>
        <w:ind w:left="1843" w:hanging="1418"/>
        <w:rPr>
          <w:rFonts w:eastAsia="TimesNewRoman" w:cs="TimesNewRoman"/>
        </w:rPr>
      </w:pPr>
      <w:r w:rsidRPr="000D6C24">
        <w:rPr>
          <w:rFonts w:eastAsia="TimesNewRoman,Bold" w:cs="TimesNewRoman,Bold"/>
          <w:bCs/>
          <w:i/>
        </w:rPr>
        <w:t>Population 5</w:t>
      </w:r>
      <w:r w:rsidRPr="00D546ED">
        <w:rPr>
          <w:rFonts w:eastAsia="TimesNewRoman,Bold" w:cs="TimesNewRoman,Bold"/>
          <w:bCs/>
        </w:rPr>
        <w:t xml:space="preserve"> </w:t>
      </w:r>
      <w:r>
        <w:rPr>
          <w:rFonts w:eastAsia="TimesNewRoman,Bold" w:cs="TimesNewRoman,Bold"/>
          <w:bCs/>
        </w:rPr>
        <w:tab/>
      </w:r>
      <w:r w:rsidRPr="00D546ED">
        <w:rPr>
          <w:rFonts w:eastAsia="TimesNewRoman" w:cs="TimesNewRoman"/>
        </w:rPr>
        <w:t xml:space="preserve">contributive studies </w:t>
      </w:r>
      <w:r>
        <w:rPr>
          <w:rFonts w:eastAsia="TimesNewRoman" w:cs="TimesNewRoman"/>
        </w:rPr>
        <w:t>in patients with</w:t>
      </w:r>
      <w:r w:rsidRPr="00D546ED">
        <w:rPr>
          <w:rFonts w:eastAsia="TimesNewRoman" w:cs="TimesNewRoman"/>
        </w:rPr>
        <w:t xml:space="preserve"> various solid tumo</w:t>
      </w:r>
      <w:r>
        <w:rPr>
          <w:rFonts w:eastAsia="TimesNewRoman" w:cs="TimesNewRoman"/>
        </w:rPr>
        <w:t>u</w:t>
      </w:r>
      <w:r w:rsidRPr="00D546ED">
        <w:rPr>
          <w:rFonts w:eastAsia="TimesNewRoman" w:cs="TimesNewRoman"/>
        </w:rPr>
        <w:t>rs</w:t>
      </w:r>
      <w:r>
        <w:rPr>
          <w:rFonts w:eastAsia="TimesNewRoman" w:cs="TimesNewRoman"/>
        </w:rPr>
        <w:t>; pralatrexate 15 to 170 mg/m</w:t>
      </w:r>
      <w:r w:rsidRPr="00747F98">
        <w:rPr>
          <w:rFonts w:eastAsia="TimesNewRoman" w:cs="TimesNewRoman"/>
          <w:vertAlign w:val="superscript"/>
        </w:rPr>
        <w:t>2</w:t>
      </w:r>
      <w:r>
        <w:rPr>
          <w:rFonts w:eastAsia="TimesNewRoman" w:cs="TimesNewRoman"/>
        </w:rPr>
        <w:t xml:space="preserve"> administered in various</w:t>
      </w:r>
      <w:r w:rsidRPr="00D546ED">
        <w:rPr>
          <w:rFonts w:eastAsia="TimesNewRoman" w:cs="TimesNewRoman"/>
        </w:rPr>
        <w:t xml:space="preserve"> dos</w:t>
      </w:r>
      <w:r>
        <w:rPr>
          <w:rFonts w:eastAsia="TimesNewRoman" w:cs="TimesNewRoman"/>
        </w:rPr>
        <w:t>ag</w:t>
      </w:r>
      <w:r w:rsidRPr="00D546ED">
        <w:rPr>
          <w:rFonts w:eastAsia="TimesNewRoman" w:cs="TimesNewRoman"/>
        </w:rPr>
        <w:t>e regimens (PDX-97-006, PDX-99-053,</w:t>
      </w:r>
      <w:r>
        <w:rPr>
          <w:rFonts w:eastAsia="TimesNewRoman" w:cs="TimesNewRoman"/>
        </w:rPr>
        <w:t xml:space="preserve"> </w:t>
      </w:r>
      <w:r w:rsidRPr="00D546ED">
        <w:rPr>
          <w:rFonts w:eastAsia="TimesNewRoman" w:cs="TimesNewRoman"/>
        </w:rPr>
        <w:t>PDX-99-083, PDX-01-014, and PDX-01-076).</w:t>
      </w:r>
    </w:p>
    <w:p w:rsidR="004D5254" w:rsidRPr="00D546ED" w:rsidRDefault="004D5254" w:rsidP="004D5254">
      <w:pPr>
        <w:autoSpaceDE w:val="0"/>
        <w:autoSpaceDN w:val="0"/>
        <w:adjustRightInd w:val="0"/>
        <w:ind w:left="1843" w:hanging="1418"/>
      </w:pPr>
      <w:r w:rsidRPr="000D6C24">
        <w:rPr>
          <w:rFonts w:eastAsia="TimesNewRoman,Bold" w:cs="TimesNewRoman,Bold"/>
          <w:bCs/>
          <w:i/>
        </w:rPr>
        <w:t>Population 6</w:t>
      </w:r>
      <w:r w:rsidRPr="00D546ED">
        <w:rPr>
          <w:rFonts w:eastAsia="TimesNewRoman,Bold" w:cs="TimesNewRoman,Bold"/>
          <w:bCs/>
        </w:rPr>
        <w:t xml:space="preserve"> </w:t>
      </w:r>
      <w:r>
        <w:rPr>
          <w:rFonts w:eastAsia="TimesNewRoman,Bold" w:cs="TimesNewRoman,Bold"/>
          <w:bCs/>
        </w:rPr>
        <w:t>-</w:t>
      </w:r>
      <w:r>
        <w:rPr>
          <w:rFonts w:eastAsia="TimesNewRoman,Bold" w:cs="TimesNewRoman,Bold"/>
          <w:bCs/>
        </w:rPr>
        <w:tab/>
      </w:r>
      <w:r w:rsidRPr="00D546ED">
        <w:rPr>
          <w:rFonts w:eastAsia="TimesNewRoman" w:cs="TimesNewRoman"/>
        </w:rPr>
        <w:t>mass balance study (PDX-016)</w:t>
      </w:r>
      <w:r>
        <w:rPr>
          <w:rFonts w:eastAsia="TimesNewRoman" w:cs="TimesNewRoman"/>
        </w:rPr>
        <w:t>; 2 patients with solid tumours who received 150 mg/m</w:t>
      </w:r>
      <w:r w:rsidRPr="00E5706D">
        <w:rPr>
          <w:rFonts w:eastAsia="TimesNewRoman" w:cs="TimesNewRoman"/>
          <w:vertAlign w:val="superscript"/>
        </w:rPr>
        <w:t>2</w:t>
      </w:r>
      <w:r>
        <w:rPr>
          <w:rFonts w:eastAsia="TimesNewRoman" w:cs="TimesNewRoman"/>
        </w:rPr>
        <w:t xml:space="preserve"> pralatrexate for the mass balance assessment, escalated to 190 mg/m</w:t>
      </w:r>
      <w:r w:rsidRPr="00E5706D">
        <w:rPr>
          <w:rFonts w:eastAsia="TimesNewRoman" w:cs="TimesNewRoman"/>
          <w:vertAlign w:val="superscript"/>
        </w:rPr>
        <w:t>2</w:t>
      </w:r>
      <w:r>
        <w:rPr>
          <w:rFonts w:eastAsia="TimesNewRoman" w:cs="TimesNewRoman"/>
        </w:rPr>
        <w:t xml:space="preserve"> for 5 and 3 subsequent cycles, respectively (2 weekly doses/cycle)</w:t>
      </w:r>
      <w:r w:rsidRPr="00D546ED">
        <w:rPr>
          <w:rFonts w:eastAsia="TimesNewRoman" w:cs="TimesNewRoman"/>
        </w:rPr>
        <w:t>.</w:t>
      </w:r>
    </w:p>
    <w:tbl>
      <w:tblPr>
        <w:tblStyle w:val="TableGrid"/>
        <w:tblW w:w="0" w:type="auto"/>
        <w:tblLook w:val="04A0"/>
      </w:tblPr>
      <w:tblGrid>
        <w:gridCol w:w="9242"/>
      </w:tblGrid>
      <w:tr w:rsidR="004D5254" w:rsidTr="00C80331">
        <w:tc>
          <w:tcPr>
            <w:tcW w:w="9242" w:type="dxa"/>
            <w:shd w:val="clear" w:color="auto" w:fill="D9D9D9" w:themeFill="background1" w:themeFillShade="D9"/>
          </w:tcPr>
          <w:p w:rsidR="004D5254" w:rsidRDefault="004D5254" w:rsidP="00C80331">
            <w:r w:rsidRPr="00031D34">
              <w:rPr>
                <w:u w:val="single"/>
              </w:rPr>
              <w:t>Evaluator’s note</w:t>
            </w:r>
            <w:r>
              <w:t>:</w:t>
            </w:r>
          </w:p>
          <w:p w:rsidR="004D5254" w:rsidRPr="00031D34" w:rsidRDefault="004D5254" w:rsidP="00C80331">
            <w:pPr>
              <w:rPr>
                <w:rFonts w:eastAsia="TimesNewRoman" w:cs="TimesNewRoman"/>
                <w:szCs w:val="22"/>
              </w:rPr>
            </w:pPr>
            <w:r>
              <w:t xml:space="preserve">The sponsor’s </w:t>
            </w:r>
            <w:r w:rsidRPr="00031D34">
              <w:rPr>
                <w:i/>
              </w:rPr>
              <w:t>Summary of Clinical Safety</w:t>
            </w:r>
            <w:r>
              <w:t xml:space="preserve"> was based on an analysis of data available from 574 patients as at 17 February 2010. The sponsor did not include Studies PDX-014 and PDX-015 in their analysis because each of these studies had recruited only 1 patient at the time of data cut-off. Also, t</w:t>
            </w:r>
            <w:r w:rsidRPr="00031D34">
              <w:rPr>
                <w:rFonts w:eastAsia="TimesNewRoman" w:cs="TimesNewRoman"/>
                <w:szCs w:val="22"/>
              </w:rPr>
              <w:t xml:space="preserve">abulations in the sponsor’s </w:t>
            </w:r>
            <w:r w:rsidRPr="00031D34">
              <w:rPr>
                <w:rFonts w:eastAsia="TimesNewRoman" w:cs="TimesNewRoman"/>
                <w:i/>
                <w:szCs w:val="22"/>
              </w:rPr>
              <w:t>Summary of Clinical Safety</w:t>
            </w:r>
            <w:r w:rsidRPr="00031D34">
              <w:rPr>
                <w:rFonts w:eastAsia="TimesNewRoman" w:cs="TimesNewRoman"/>
                <w:szCs w:val="22"/>
              </w:rPr>
              <w:t xml:space="preserve"> only included results for </w:t>
            </w:r>
            <w:r>
              <w:rPr>
                <w:rFonts w:eastAsia="TimesNewRoman" w:cs="TimesNewRoman"/>
                <w:szCs w:val="22"/>
              </w:rPr>
              <w:t>P</w:t>
            </w:r>
            <w:r w:rsidRPr="00031D34">
              <w:rPr>
                <w:rFonts w:eastAsia="TimesNewRoman" w:cs="TimesNewRoman"/>
                <w:szCs w:val="22"/>
              </w:rPr>
              <w:t>opulations 1 to 5.</w:t>
            </w:r>
            <w:r>
              <w:rPr>
                <w:rFonts w:eastAsia="TimesNewRoman" w:cs="TimesNewRoman"/>
                <w:szCs w:val="22"/>
              </w:rPr>
              <w:t xml:space="preserve"> </w:t>
            </w:r>
            <w:r w:rsidRPr="00031D34">
              <w:rPr>
                <w:rFonts w:eastAsia="TimesNewRoman" w:cs="TimesNewRoman"/>
                <w:szCs w:val="22"/>
              </w:rPr>
              <w:t xml:space="preserve">Population 6 was not included in the tabulations because it comprised only 2 patients. </w:t>
            </w:r>
          </w:p>
          <w:p w:rsidR="004D5254" w:rsidRPr="00C37C3E" w:rsidRDefault="004D5254" w:rsidP="00C80331">
            <w:pPr>
              <w:autoSpaceDE w:val="0"/>
              <w:autoSpaceDN w:val="0"/>
              <w:adjustRightInd w:val="0"/>
              <w:rPr>
                <w:color w:val="000000"/>
                <w:szCs w:val="22"/>
              </w:rPr>
            </w:pPr>
            <w:r w:rsidRPr="00031D34">
              <w:rPr>
                <w:rFonts w:eastAsia="TimesNewRoman" w:cs="TimesNewRoman"/>
                <w:szCs w:val="22"/>
              </w:rPr>
              <w:t xml:space="preserve">The sponsor also submitted a document titled </w:t>
            </w:r>
            <w:r w:rsidRPr="00031D34">
              <w:rPr>
                <w:i/>
              </w:rPr>
              <w:t xml:space="preserve">Updated Safety Tables, Listings and Narratives </w:t>
            </w:r>
            <w:r>
              <w:t xml:space="preserve">that </w:t>
            </w:r>
            <w:r w:rsidRPr="00031D34">
              <w:rPr>
                <w:szCs w:val="22"/>
              </w:rPr>
              <w:t xml:space="preserve">presented </w:t>
            </w:r>
            <w:r>
              <w:rPr>
                <w:szCs w:val="22"/>
              </w:rPr>
              <w:t>updated and s</w:t>
            </w:r>
            <w:r w:rsidRPr="00031D34">
              <w:rPr>
                <w:szCs w:val="22"/>
              </w:rPr>
              <w:t xml:space="preserve">upplemental tables and listings </w:t>
            </w:r>
            <w:r>
              <w:rPr>
                <w:szCs w:val="22"/>
              </w:rPr>
              <w:t xml:space="preserve">of adverse event data, </w:t>
            </w:r>
            <w:r w:rsidRPr="00031D34">
              <w:rPr>
                <w:szCs w:val="22"/>
              </w:rPr>
              <w:t>generated in response to the European Day 120 List of Questions.</w:t>
            </w:r>
            <w:r>
              <w:rPr>
                <w:szCs w:val="22"/>
              </w:rPr>
              <w:t xml:space="preserve"> </w:t>
            </w:r>
            <w:r w:rsidRPr="00031D34">
              <w:rPr>
                <w:szCs w:val="22"/>
              </w:rPr>
              <w:t>These tables</w:t>
            </w:r>
            <w:r w:rsidRPr="00031D34">
              <w:rPr>
                <w:rFonts w:eastAsia="TimesNewRoman" w:cs="TimesNewRoman"/>
                <w:szCs w:val="22"/>
              </w:rPr>
              <w:t xml:space="preserve"> </w:t>
            </w:r>
            <w:r w:rsidRPr="00031D34">
              <w:rPr>
                <w:szCs w:val="22"/>
              </w:rPr>
              <w:t xml:space="preserve">presented safety data from 689 patients </w:t>
            </w:r>
            <w:r w:rsidRPr="00FB3D91">
              <w:rPr>
                <w:szCs w:val="22"/>
              </w:rPr>
              <w:t xml:space="preserve">across all clinical studies </w:t>
            </w:r>
            <w:r w:rsidRPr="00031D34">
              <w:rPr>
                <w:szCs w:val="22"/>
              </w:rPr>
              <w:t>as of a cut-off date of 31 January 2011.</w:t>
            </w:r>
            <w:r>
              <w:rPr>
                <w:szCs w:val="22"/>
              </w:rPr>
              <w:t xml:space="preserve"> The updated tables </w:t>
            </w:r>
            <w:r w:rsidRPr="00FB3D91">
              <w:rPr>
                <w:szCs w:val="22"/>
              </w:rPr>
              <w:lastRenderedPageBreak/>
              <w:t>includ</w:t>
            </w:r>
            <w:r>
              <w:rPr>
                <w:szCs w:val="22"/>
              </w:rPr>
              <w:t>ed data from</w:t>
            </w:r>
            <w:r w:rsidRPr="00FB3D91">
              <w:rPr>
                <w:szCs w:val="22"/>
              </w:rPr>
              <w:t xml:space="preserve"> an additional 115 patients enrolled in ongoing studies since the original data cut-off</w:t>
            </w:r>
            <w:r>
              <w:rPr>
                <w:szCs w:val="22"/>
              </w:rPr>
              <w:t xml:space="preserve"> as follows: in Population 2, </w:t>
            </w:r>
            <w:r w:rsidRPr="00C37C3E">
              <w:rPr>
                <w:color w:val="000000"/>
                <w:szCs w:val="22"/>
              </w:rPr>
              <w:t xml:space="preserve">an additional 16 patients with lymphoproliferative disorders who received pralatrexate as a single agent </w:t>
            </w:r>
            <w:r>
              <w:rPr>
                <w:color w:val="000000"/>
                <w:szCs w:val="22"/>
              </w:rPr>
              <w:t>(</w:t>
            </w:r>
            <w:r w:rsidRPr="00C37C3E">
              <w:rPr>
                <w:color w:val="000000"/>
                <w:szCs w:val="22"/>
              </w:rPr>
              <w:t xml:space="preserve">PDX-010: 6 patients; PDX-015: 10 patients); </w:t>
            </w:r>
            <w:r>
              <w:rPr>
                <w:color w:val="000000"/>
                <w:szCs w:val="22"/>
              </w:rPr>
              <w:t xml:space="preserve">in </w:t>
            </w:r>
            <w:r w:rsidRPr="00C37C3E">
              <w:rPr>
                <w:color w:val="000000"/>
                <w:szCs w:val="22"/>
              </w:rPr>
              <w:t>P</w:t>
            </w:r>
            <w:r>
              <w:rPr>
                <w:color w:val="000000"/>
                <w:szCs w:val="22"/>
              </w:rPr>
              <w:t xml:space="preserve">opulation 3, </w:t>
            </w:r>
            <w:r w:rsidRPr="00C37C3E">
              <w:rPr>
                <w:color w:val="000000"/>
                <w:szCs w:val="22"/>
              </w:rPr>
              <w:t xml:space="preserve">an additional 52 patients with solid tumours who received pralatrexate as a single agent </w:t>
            </w:r>
            <w:r>
              <w:rPr>
                <w:color w:val="000000"/>
                <w:szCs w:val="22"/>
              </w:rPr>
              <w:t>(</w:t>
            </w:r>
            <w:r w:rsidRPr="00C37C3E">
              <w:rPr>
                <w:color w:val="000000"/>
                <w:szCs w:val="22"/>
              </w:rPr>
              <w:t xml:space="preserve">PDX-011: 13 patients; PDX-012: 24 patients; PDX-014: 15 patients); and </w:t>
            </w:r>
            <w:r>
              <w:rPr>
                <w:color w:val="000000"/>
                <w:szCs w:val="22"/>
              </w:rPr>
              <w:t xml:space="preserve">in </w:t>
            </w:r>
            <w:r w:rsidRPr="00C37C3E">
              <w:rPr>
                <w:color w:val="000000"/>
                <w:szCs w:val="22"/>
              </w:rPr>
              <w:t>Population 4</w:t>
            </w:r>
            <w:r>
              <w:rPr>
                <w:color w:val="000000"/>
                <w:szCs w:val="22"/>
              </w:rPr>
              <w:t>,</w:t>
            </w:r>
            <w:r w:rsidRPr="00C37C3E">
              <w:rPr>
                <w:color w:val="000000"/>
                <w:szCs w:val="22"/>
              </w:rPr>
              <w:t xml:space="preserve"> an additional 45 patients with haematologic malignancies who received pralatrexate in combination with gemcitabine</w:t>
            </w:r>
            <w:r>
              <w:rPr>
                <w:color w:val="000000"/>
                <w:szCs w:val="22"/>
              </w:rPr>
              <w:t xml:space="preserve"> </w:t>
            </w:r>
            <w:r w:rsidRPr="00C37C3E">
              <w:rPr>
                <w:color w:val="000000"/>
                <w:szCs w:val="22"/>
              </w:rPr>
              <w:t xml:space="preserve">in </w:t>
            </w:r>
            <w:r>
              <w:rPr>
                <w:color w:val="000000"/>
                <w:szCs w:val="22"/>
              </w:rPr>
              <w:t>Study PDX-</w:t>
            </w:r>
            <w:r w:rsidRPr="00C37C3E">
              <w:rPr>
                <w:color w:val="000000"/>
                <w:szCs w:val="22"/>
              </w:rPr>
              <w:t>009.</w:t>
            </w:r>
            <w:r>
              <w:rPr>
                <w:color w:val="000000"/>
                <w:szCs w:val="22"/>
              </w:rPr>
              <w:t xml:space="preserve"> Of note, data from the pivotal study were unchanged.</w:t>
            </w:r>
          </w:p>
          <w:p w:rsidR="004D5254" w:rsidRDefault="004D5254" w:rsidP="00C80331">
            <w:r w:rsidRPr="00031D34">
              <w:rPr>
                <w:szCs w:val="22"/>
              </w:rPr>
              <w:t xml:space="preserve">However, the discussion within the </w:t>
            </w:r>
            <w:r w:rsidRPr="00031D34">
              <w:rPr>
                <w:i/>
                <w:szCs w:val="22"/>
              </w:rPr>
              <w:t>Summary of Clinical Safety</w:t>
            </w:r>
            <w:r w:rsidRPr="00031D34">
              <w:rPr>
                <w:szCs w:val="22"/>
              </w:rPr>
              <w:t xml:space="preserve"> was not updated to reflect the</w:t>
            </w:r>
            <w:r>
              <w:rPr>
                <w:szCs w:val="22"/>
              </w:rPr>
              <w:t>se</w:t>
            </w:r>
            <w:r w:rsidRPr="00031D34">
              <w:rPr>
                <w:szCs w:val="22"/>
              </w:rPr>
              <w:t xml:space="preserve"> </w:t>
            </w:r>
            <w:r>
              <w:rPr>
                <w:szCs w:val="22"/>
              </w:rPr>
              <w:t xml:space="preserve">additional </w:t>
            </w:r>
            <w:r w:rsidRPr="00031D34">
              <w:rPr>
                <w:szCs w:val="22"/>
              </w:rPr>
              <w:t>data.</w:t>
            </w:r>
            <w:r>
              <w:rPr>
                <w:szCs w:val="22"/>
              </w:rPr>
              <w:t xml:space="preserve"> </w:t>
            </w:r>
            <w:r w:rsidRPr="00031D34">
              <w:rPr>
                <w:szCs w:val="22"/>
              </w:rPr>
              <w:t xml:space="preserve">Similarly, a number of seminal tables within the </w:t>
            </w:r>
            <w:r w:rsidRPr="00031D34">
              <w:rPr>
                <w:i/>
              </w:rPr>
              <w:t>Summary of Clinical Safety</w:t>
            </w:r>
            <w:r>
              <w:t xml:space="preserve"> were not updated. </w:t>
            </w:r>
            <w:r w:rsidRPr="00031D34">
              <w:rPr>
                <w:szCs w:val="22"/>
              </w:rPr>
              <w:t xml:space="preserve">Consequently, the main analysis and discussion of safety in this CER is based on the seminal tables provided within the </w:t>
            </w:r>
            <w:r w:rsidRPr="00031D34">
              <w:rPr>
                <w:i/>
              </w:rPr>
              <w:t>Summary of Clinical Safety</w:t>
            </w:r>
            <w:r>
              <w:t xml:space="preserve">. Where relevant, additional comment has been provided by this evaluator to indicate whether the updated information available as of 31 January 2011 has fundamentally changed the nature of the data presented or the conclusions that can be drawn from the data. </w:t>
            </w:r>
          </w:p>
        </w:tc>
      </w:tr>
    </w:tbl>
    <w:p w:rsidR="004D5254" w:rsidRDefault="004D5254" w:rsidP="004D5254">
      <w:pPr>
        <w:autoSpaceDE w:val="0"/>
        <w:autoSpaceDN w:val="0"/>
        <w:adjustRightInd w:val="0"/>
        <w:rPr>
          <w:rFonts w:eastAsia="TimesNewRoman" w:cs="TimesNewRoman"/>
        </w:rPr>
      </w:pPr>
      <w:r>
        <w:rPr>
          <w:rFonts w:eastAsia="TimesNewRoman" w:cs="TimesNewRoman"/>
        </w:rPr>
        <w:lastRenderedPageBreak/>
        <w:t>Patient demographics for each of the safety populations and the safety population overall are shown in</w:t>
      </w:r>
      <w:r w:rsidRPr="00420965">
        <w:rPr>
          <w:rFonts w:eastAsia="TimesNewRoman" w:cs="TimesNewRoman"/>
        </w:rPr>
        <w:t xml:space="preserve"> Table 14, bel</w:t>
      </w:r>
      <w:r>
        <w:rPr>
          <w:rFonts w:eastAsia="TimesNewRoman" w:cs="TimesNewRoman"/>
        </w:rPr>
        <w:t xml:space="preserve">ow. From this table it can be appreciated that there was a predominance of males in Population 1 (in accord with a higher incidence of the disease in males) and across the development program as a whole; and the majority of patients were Caucasian and over the age of 65 years. </w:t>
      </w:r>
    </w:p>
    <w:p w:rsidR="004D5254" w:rsidRDefault="004D5254" w:rsidP="004D5254">
      <w:pPr>
        <w:pStyle w:val="FigureTitle"/>
      </w:pPr>
      <w:bookmarkStart w:id="226" w:name="_Toc320881537"/>
      <w:r>
        <w:t>Table 14. Patient demographics - all safety populations</w:t>
      </w:r>
      <w:bookmarkEnd w:id="226"/>
    </w:p>
    <w:p w:rsidR="004D5254" w:rsidRDefault="004D5254" w:rsidP="004D5254">
      <w:r>
        <w:rPr>
          <w:noProof/>
          <w:lang w:eastAsia="en-AU"/>
        </w:rPr>
        <w:drawing>
          <wp:inline distT="0" distB="0" distL="0" distR="0">
            <wp:extent cx="6204033" cy="3067050"/>
            <wp:effectExtent l="19050" t="0" r="6267" b="0"/>
            <wp:docPr id="30" name="Picture 30" descr="Table 14. Patient demographics - all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duotone>
                        <a:prstClr val="black"/>
                        <a:schemeClr val="bg1">
                          <a:tint val="45000"/>
                          <a:satMod val="400000"/>
                        </a:schemeClr>
                      </a:duotone>
                    </a:blip>
                    <a:srcRect/>
                    <a:stretch>
                      <a:fillRect/>
                    </a:stretch>
                  </pic:blipFill>
                  <pic:spPr bwMode="auto">
                    <a:xfrm>
                      <a:off x="0" y="0"/>
                      <a:ext cx="6204033" cy="3067050"/>
                    </a:xfrm>
                    <a:prstGeom prst="rect">
                      <a:avLst/>
                    </a:prstGeom>
                    <a:noFill/>
                    <a:ln w="9525">
                      <a:noFill/>
                      <a:miter lim="800000"/>
                      <a:headEnd/>
                      <a:tailEnd/>
                    </a:ln>
                  </pic:spPr>
                </pic:pic>
              </a:graphicData>
            </a:graphic>
          </wp:inline>
        </w:drawing>
      </w:r>
    </w:p>
    <w:p w:rsidR="004D5254" w:rsidRPr="00C761F4" w:rsidRDefault="004D5254" w:rsidP="004D5254">
      <w:pPr>
        <w:ind w:left="851" w:hanging="567"/>
        <w:rPr>
          <w:sz w:val="18"/>
          <w:szCs w:val="18"/>
        </w:rPr>
      </w:pPr>
      <w:r w:rsidRPr="00C761F4">
        <w:rPr>
          <w:sz w:val="18"/>
          <w:szCs w:val="18"/>
        </w:rPr>
        <w:t>Note:</w:t>
      </w:r>
      <w:r>
        <w:rPr>
          <w:sz w:val="18"/>
          <w:szCs w:val="18"/>
        </w:rPr>
        <w:tab/>
      </w:r>
      <w:r w:rsidRPr="00C761F4">
        <w:rPr>
          <w:sz w:val="18"/>
          <w:szCs w:val="18"/>
        </w:rPr>
        <w:t xml:space="preserve">Patient from </w:t>
      </w:r>
      <w:r>
        <w:rPr>
          <w:sz w:val="18"/>
          <w:szCs w:val="18"/>
        </w:rPr>
        <w:t>Study PDX-</w:t>
      </w:r>
      <w:r w:rsidRPr="00C761F4">
        <w:rPr>
          <w:sz w:val="18"/>
          <w:szCs w:val="18"/>
        </w:rPr>
        <w:t xml:space="preserve">015 (n=1) is not included in population 2; patient from </w:t>
      </w:r>
      <w:r>
        <w:rPr>
          <w:sz w:val="18"/>
          <w:szCs w:val="18"/>
        </w:rPr>
        <w:t>Study PDX-</w:t>
      </w:r>
      <w:r w:rsidRPr="00C761F4">
        <w:rPr>
          <w:sz w:val="18"/>
          <w:szCs w:val="18"/>
        </w:rPr>
        <w:t xml:space="preserve">014 (n=1) is not included in population 3; and population 6 (2 patients from </w:t>
      </w:r>
      <w:r>
        <w:rPr>
          <w:sz w:val="18"/>
          <w:szCs w:val="18"/>
        </w:rPr>
        <w:t>Study PDX-</w:t>
      </w:r>
      <w:r w:rsidRPr="00C761F4">
        <w:rPr>
          <w:sz w:val="18"/>
          <w:szCs w:val="18"/>
        </w:rPr>
        <w:t>016) is not shown.</w:t>
      </w:r>
    </w:p>
    <w:p w:rsidR="004D5254" w:rsidRDefault="004D5254" w:rsidP="004D5254">
      <w:r>
        <w:t>Data available as at 31 January 2011 showed similar demographic profile.</w:t>
      </w:r>
    </w:p>
    <w:p w:rsidR="004D5254" w:rsidRDefault="004D5254" w:rsidP="004D5254">
      <w:pPr>
        <w:pStyle w:val="Heading3"/>
        <w:numPr>
          <w:ilvl w:val="1"/>
          <w:numId w:val="5"/>
        </w:numPr>
      </w:pPr>
      <w:bookmarkStart w:id="227" w:name="_Ref271195835"/>
      <w:bookmarkStart w:id="228" w:name="_Ref271195841"/>
      <w:bookmarkStart w:id="229" w:name="_Toc272414660"/>
      <w:bookmarkStart w:id="230" w:name="_Toc290846285"/>
      <w:bookmarkStart w:id="231" w:name="_Toc320881458"/>
      <w:bookmarkStart w:id="232" w:name="_Toc359930733"/>
      <w:bookmarkStart w:id="233" w:name="_Toc364764907"/>
      <w:r>
        <w:t xml:space="preserve">Pivotal studies </w:t>
      </w:r>
      <w:r w:rsidRPr="00027276">
        <w:t xml:space="preserve">that assessed </w:t>
      </w:r>
      <w:r>
        <w:t>safety as a primary outcome</w:t>
      </w:r>
      <w:bookmarkEnd w:id="225"/>
      <w:bookmarkEnd w:id="227"/>
      <w:bookmarkEnd w:id="228"/>
      <w:bookmarkEnd w:id="229"/>
      <w:bookmarkEnd w:id="230"/>
      <w:bookmarkEnd w:id="231"/>
      <w:bookmarkEnd w:id="232"/>
      <w:bookmarkEnd w:id="233"/>
    </w:p>
    <w:p w:rsidR="004D5254" w:rsidRDefault="004D5254" w:rsidP="004D5254">
      <w:r>
        <w:t>Not applicable.</w:t>
      </w:r>
    </w:p>
    <w:p w:rsidR="004D5254" w:rsidRDefault="004D5254" w:rsidP="004D5254">
      <w:pPr>
        <w:pStyle w:val="Heading3"/>
        <w:numPr>
          <w:ilvl w:val="1"/>
          <w:numId w:val="5"/>
        </w:numPr>
      </w:pPr>
      <w:bookmarkStart w:id="234" w:name="_Toc241374318"/>
      <w:bookmarkStart w:id="235" w:name="_Ref271196630"/>
      <w:bookmarkStart w:id="236" w:name="_Toc272414662"/>
      <w:bookmarkStart w:id="237" w:name="_Toc290846300"/>
      <w:bookmarkStart w:id="238" w:name="_Toc320881459"/>
      <w:bookmarkStart w:id="239" w:name="_Toc359930734"/>
      <w:bookmarkStart w:id="240" w:name="_Toc364764908"/>
      <w:r>
        <w:lastRenderedPageBreak/>
        <w:t>Patient exposure</w:t>
      </w:r>
      <w:bookmarkEnd w:id="234"/>
      <w:bookmarkEnd w:id="235"/>
      <w:bookmarkEnd w:id="236"/>
      <w:bookmarkEnd w:id="237"/>
      <w:bookmarkEnd w:id="238"/>
      <w:bookmarkEnd w:id="239"/>
      <w:bookmarkEnd w:id="240"/>
    </w:p>
    <w:p w:rsidR="004D5254" w:rsidRDefault="004D5254" w:rsidP="003A2EF5">
      <w:pPr>
        <w:keepLines/>
        <w:autoSpaceDE w:val="0"/>
        <w:autoSpaceDN w:val="0"/>
        <w:adjustRightInd w:val="0"/>
        <w:rPr>
          <w:rFonts w:eastAsia="TimesNewRoman" w:cs="TimesNewRoman"/>
        </w:rPr>
      </w:pPr>
      <w:r>
        <w:rPr>
          <w:rFonts w:eastAsia="TimesNewRoman" w:cs="TimesNewRoman"/>
        </w:rPr>
        <w:t xml:space="preserve">This evaluator has summarised the study types, indications and treatment combinations under which patients received pralatrexate </w:t>
      </w:r>
      <w:r w:rsidRPr="006A7079">
        <w:rPr>
          <w:rFonts w:eastAsia="TimesNewRoman" w:cs="TimesNewRoman"/>
        </w:rPr>
        <w:t>in Table 15, be</w:t>
      </w:r>
      <w:r>
        <w:rPr>
          <w:rFonts w:eastAsia="TimesNewRoman" w:cs="TimesNewRoman"/>
        </w:rPr>
        <w:t>low. The data are presented by each safety population (1 to 6) and include studies PDX-014 and PDX-015 as at 17 February 2010. As noted above, patients with PTCL were in 3 the populations and these are highlighted by shading. It can be appreciated that:</w:t>
      </w:r>
    </w:p>
    <w:p w:rsidR="004D5254" w:rsidRDefault="004D5254" w:rsidP="004D5254">
      <w:pPr>
        <w:pStyle w:val="ListBullet"/>
        <w:numPr>
          <w:ilvl w:val="0"/>
          <w:numId w:val="1"/>
        </w:numPr>
      </w:pPr>
      <w:r>
        <w:t>As at 17 February 2010, 578</w:t>
      </w:r>
      <w:r w:rsidRPr="00084872">
        <w:t xml:space="preserve"> cancer patients </w:t>
      </w:r>
      <w:r>
        <w:t>had received treatment with pralatrexate;</w:t>
      </w:r>
    </w:p>
    <w:p w:rsidR="004D5254" w:rsidRDefault="004D5254" w:rsidP="004D5254">
      <w:pPr>
        <w:pStyle w:val="ListBullet"/>
        <w:numPr>
          <w:ilvl w:val="0"/>
          <w:numId w:val="1"/>
        </w:numPr>
      </w:pPr>
      <w:r>
        <w:t>451 patients received pralatrexate as a single agent and 127 patients received pralatrexate in combination with other chemotherapeutic agents that included taxanes (</w:t>
      </w:r>
      <w:r w:rsidRPr="00243864">
        <w:t>docetaxel</w:t>
      </w:r>
      <w:r>
        <w:t xml:space="preserve"> and </w:t>
      </w:r>
      <w:r w:rsidRPr="00243864">
        <w:t>paclitaxel</w:t>
      </w:r>
      <w:r>
        <w:t xml:space="preserve">), </w:t>
      </w:r>
      <w:r w:rsidRPr="00243864">
        <w:t>gemcitabine</w:t>
      </w:r>
      <w:r>
        <w:t xml:space="preserve"> and </w:t>
      </w:r>
      <w:r w:rsidRPr="00243864">
        <w:t>probenecid</w:t>
      </w:r>
      <w:r>
        <w:t xml:space="preserve">. </w:t>
      </w:r>
    </w:p>
    <w:p w:rsidR="004D5254" w:rsidRDefault="004D5254" w:rsidP="004D5254">
      <w:pPr>
        <w:pStyle w:val="ListBullet"/>
        <w:numPr>
          <w:ilvl w:val="0"/>
          <w:numId w:val="1"/>
        </w:numPr>
      </w:pPr>
      <w:r>
        <w:t>294 patients had a lymphoproliferative malignancy and, of these, 232 received pralatrexate as a single agent and 62 had received pralatrexate in combination with gemcitabine.</w:t>
      </w:r>
    </w:p>
    <w:p w:rsidR="004D5254" w:rsidRDefault="004D5254" w:rsidP="004D5254">
      <w:pPr>
        <w:pStyle w:val="ListBullet"/>
        <w:numPr>
          <w:ilvl w:val="0"/>
          <w:numId w:val="1"/>
        </w:numPr>
      </w:pPr>
      <w:r>
        <w:t>Specifically with regard to patients with PTCL, 171 patients had been treated and of these 147 received pralatrexate as a single agent (111 patients in Study PDX-008 and 36 in Study PDX-02-078) and 24 received pralatrexate in combination with gemcitabine as part of a study involving patients with relapsed or refractory lymphoproliferative malignancies (PDX-009).</w:t>
      </w:r>
    </w:p>
    <w:p w:rsidR="004D5254" w:rsidRDefault="004D5254" w:rsidP="004D5254">
      <w:pPr>
        <w:pStyle w:val="FigureTitle"/>
        <w:keepNext/>
      </w:pPr>
      <w:bookmarkStart w:id="241" w:name="_Toc320881538"/>
      <w:r>
        <w:lastRenderedPageBreak/>
        <w:t>Table15. Exposure to pralatrexate (PDX) in clinical studies as at 17 February 2010.</w:t>
      </w:r>
      <w:bookmarkEnd w:id="241"/>
      <w:r>
        <w:t xml:space="preserve"> Table continued across two pages..</w:t>
      </w:r>
    </w:p>
    <w:tbl>
      <w:tblPr>
        <w:tblStyle w:val="TableGrid"/>
        <w:tblW w:w="9548" w:type="dxa"/>
        <w:tblLayout w:type="fixed"/>
        <w:tblLook w:val="04A0"/>
      </w:tblPr>
      <w:tblGrid>
        <w:gridCol w:w="1526"/>
        <w:gridCol w:w="1559"/>
        <w:gridCol w:w="1418"/>
        <w:gridCol w:w="708"/>
        <w:gridCol w:w="709"/>
        <w:gridCol w:w="709"/>
        <w:gridCol w:w="709"/>
        <w:gridCol w:w="708"/>
        <w:gridCol w:w="709"/>
        <w:gridCol w:w="793"/>
      </w:tblGrid>
      <w:tr w:rsidR="004D5254" w:rsidTr="00C80331">
        <w:trPr>
          <w:tblHeader/>
        </w:trPr>
        <w:tc>
          <w:tcPr>
            <w:tcW w:w="3085" w:type="dxa"/>
            <w:gridSpan w:val="2"/>
            <w:vMerge w:val="restart"/>
            <w:shd w:val="clear" w:color="auto" w:fill="0070C0"/>
          </w:tcPr>
          <w:p w:rsidR="004D5254" w:rsidRPr="00B14E28" w:rsidRDefault="004D5254" w:rsidP="00C80331">
            <w:pPr>
              <w:keepNext/>
              <w:autoSpaceDE w:val="0"/>
              <w:autoSpaceDN w:val="0"/>
              <w:adjustRightInd w:val="0"/>
              <w:spacing w:before="40" w:after="40"/>
              <w:rPr>
                <w:b/>
                <w:color w:val="FFFFFF" w:themeColor="background1"/>
                <w:sz w:val="18"/>
                <w:szCs w:val="18"/>
              </w:rPr>
            </w:pPr>
            <w:r w:rsidRPr="00B14E28">
              <w:rPr>
                <w:b/>
                <w:color w:val="FFFFFF" w:themeColor="background1"/>
                <w:sz w:val="18"/>
                <w:szCs w:val="18"/>
              </w:rPr>
              <w:t>Safety population/study/</w:t>
            </w:r>
          </w:p>
          <w:p w:rsidR="004D5254" w:rsidRPr="00B14E28" w:rsidRDefault="004D5254" w:rsidP="00C80331">
            <w:pPr>
              <w:keepNext/>
              <w:autoSpaceDE w:val="0"/>
              <w:autoSpaceDN w:val="0"/>
              <w:adjustRightInd w:val="0"/>
              <w:spacing w:before="40" w:after="40"/>
              <w:rPr>
                <w:b/>
                <w:color w:val="FFFFFF" w:themeColor="background1"/>
                <w:sz w:val="18"/>
                <w:szCs w:val="18"/>
              </w:rPr>
            </w:pPr>
            <w:r w:rsidRPr="00B14E28">
              <w:rPr>
                <w:b/>
                <w:color w:val="FFFFFF" w:themeColor="background1"/>
                <w:sz w:val="18"/>
                <w:szCs w:val="18"/>
              </w:rPr>
              <w:t>indication</w:t>
            </w:r>
          </w:p>
        </w:tc>
        <w:tc>
          <w:tcPr>
            <w:tcW w:w="1418" w:type="dxa"/>
            <w:tcBorders>
              <w:bottom w:val="nil"/>
            </w:tcBorders>
            <w:shd w:val="clear" w:color="auto" w:fill="0070C0"/>
          </w:tcPr>
          <w:p w:rsidR="004D5254" w:rsidRPr="00B14E28" w:rsidRDefault="004D5254" w:rsidP="00C80331">
            <w:pPr>
              <w:keepNext/>
              <w:autoSpaceDE w:val="0"/>
              <w:autoSpaceDN w:val="0"/>
              <w:adjustRightInd w:val="0"/>
              <w:spacing w:before="40" w:after="40"/>
              <w:jc w:val="center"/>
              <w:rPr>
                <w:b/>
                <w:color w:val="FFFFFF" w:themeColor="background1"/>
                <w:sz w:val="18"/>
                <w:szCs w:val="18"/>
              </w:rPr>
            </w:pPr>
            <w:r w:rsidRPr="00B14E28">
              <w:rPr>
                <w:b/>
                <w:color w:val="FFFFFF" w:themeColor="background1"/>
                <w:sz w:val="18"/>
                <w:szCs w:val="18"/>
              </w:rPr>
              <w:t>Controlled</w:t>
            </w:r>
          </w:p>
        </w:tc>
        <w:tc>
          <w:tcPr>
            <w:tcW w:w="4252" w:type="dxa"/>
            <w:gridSpan w:val="6"/>
            <w:tcBorders>
              <w:bottom w:val="nil"/>
            </w:tcBorders>
            <w:shd w:val="clear" w:color="auto" w:fill="0070C0"/>
          </w:tcPr>
          <w:p w:rsidR="004D5254" w:rsidRPr="00B14E28" w:rsidRDefault="004D5254" w:rsidP="00C80331">
            <w:pPr>
              <w:keepNext/>
              <w:autoSpaceDE w:val="0"/>
              <w:autoSpaceDN w:val="0"/>
              <w:adjustRightInd w:val="0"/>
              <w:spacing w:before="40" w:after="40"/>
              <w:jc w:val="center"/>
              <w:rPr>
                <w:b/>
                <w:color w:val="FFFFFF" w:themeColor="background1"/>
                <w:sz w:val="18"/>
                <w:szCs w:val="18"/>
              </w:rPr>
            </w:pPr>
            <w:r w:rsidRPr="00B14E28">
              <w:rPr>
                <w:b/>
                <w:color w:val="FFFFFF" w:themeColor="background1"/>
                <w:sz w:val="18"/>
                <w:szCs w:val="18"/>
              </w:rPr>
              <w:t>Uncontrolled</w:t>
            </w:r>
          </w:p>
        </w:tc>
        <w:tc>
          <w:tcPr>
            <w:tcW w:w="793" w:type="dxa"/>
            <w:vMerge w:val="restart"/>
          </w:tcPr>
          <w:p w:rsidR="004D5254" w:rsidRPr="00B14E28" w:rsidRDefault="004D5254" w:rsidP="00C80331">
            <w:pPr>
              <w:keepNext/>
              <w:autoSpaceDE w:val="0"/>
              <w:autoSpaceDN w:val="0"/>
              <w:adjustRightInd w:val="0"/>
              <w:spacing w:before="40" w:after="40"/>
              <w:jc w:val="center"/>
              <w:rPr>
                <w:b/>
                <w:sz w:val="18"/>
                <w:szCs w:val="18"/>
              </w:rPr>
            </w:pPr>
          </w:p>
          <w:p w:rsidR="004D5254" w:rsidRPr="00B14E28" w:rsidRDefault="004D5254" w:rsidP="00C80331">
            <w:pPr>
              <w:keepNext/>
              <w:shd w:val="clear" w:color="auto" w:fill="0070C0"/>
              <w:autoSpaceDE w:val="0"/>
              <w:autoSpaceDN w:val="0"/>
              <w:adjustRightInd w:val="0"/>
              <w:spacing w:before="40" w:after="40"/>
              <w:jc w:val="center"/>
              <w:rPr>
                <w:b/>
                <w:color w:val="FFFFFF" w:themeColor="background1"/>
                <w:sz w:val="18"/>
                <w:szCs w:val="18"/>
              </w:rPr>
            </w:pPr>
          </w:p>
          <w:p w:rsidR="004D5254" w:rsidRPr="00B14E28" w:rsidRDefault="004D5254" w:rsidP="00C80331">
            <w:pPr>
              <w:keepNext/>
              <w:shd w:val="clear" w:color="auto" w:fill="0070C0"/>
              <w:autoSpaceDE w:val="0"/>
              <w:autoSpaceDN w:val="0"/>
              <w:adjustRightInd w:val="0"/>
              <w:spacing w:before="40" w:after="40"/>
              <w:jc w:val="center"/>
              <w:rPr>
                <w:b/>
                <w:sz w:val="18"/>
                <w:szCs w:val="18"/>
              </w:rPr>
            </w:pPr>
            <w:r w:rsidRPr="00B14E28">
              <w:rPr>
                <w:b/>
                <w:color w:val="FFFFFF" w:themeColor="background1"/>
                <w:sz w:val="18"/>
                <w:szCs w:val="18"/>
              </w:rPr>
              <w:t>Total PDX</w:t>
            </w:r>
          </w:p>
        </w:tc>
      </w:tr>
      <w:tr w:rsidR="004D5254" w:rsidTr="00C80331">
        <w:trPr>
          <w:tblHeader/>
        </w:trPr>
        <w:tc>
          <w:tcPr>
            <w:tcW w:w="3085" w:type="dxa"/>
            <w:gridSpan w:val="2"/>
            <w:vMerge/>
            <w:shd w:val="clear" w:color="auto" w:fill="0070C0"/>
          </w:tcPr>
          <w:p w:rsidR="004D5254" w:rsidRPr="00B14E28" w:rsidRDefault="004D5254" w:rsidP="00C80331">
            <w:pPr>
              <w:keepNext/>
              <w:autoSpaceDE w:val="0"/>
              <w:autoSpaceDN w:val="0"/>
              <w:adjustRightInd w:val="0"/>
              <w:spacing w:before="40" w:after="40"/>
              <w:rPr>
                <w:b/>
                <w:color w:val="FFFFFF" w:themeColor="background1"/>
                <w:sz w:val="18"/>
                <w:szCs w:val="18"/>
              </w:rPr>
            </w:pPr>
          </w:p>
        </w:tc>
        <w:tc>
          <w:tcPr>
            <w:tcW w:w="1418" w:type="dxa"/>
            <w:vMerge w:val="restart"/>
            <w:shd w:val="clear" w:color="auto" w:fill="0070C0"/>
          </w:tcPr>
          <w:p w:rsidR="004D5254" w:rsidRPr="00B14E28" w:rsidRDefault="004D5254" w:rsidP="00C80331">
            <w:pPr>
              <w:keepNext/>
              <w:autoSpaceDE w:val="0"/>
              <w:autoSpaceDN w:val="0"/>
              <w:adjustRightInd w:val="0"/>
              <w:spacing w:before="40" w:after="40"/>
              <w:jc w:val="center"/>
              <w:rPr>
                <w:b/>
                <w:color w:val="FFFFFF" w:themeColor="background1"/>
                <w:sz w:val="18"/>
                <w:szCs w:val="18"/>
              </w:rPr>
            </w:pPr>
          </w:p>
          <w:p w:rsidR="004D5254" w:rsidRPr="00B14E28" w:rsidRDefault="004D5254" w:rsidP="00C80331">
            <w:pPr>
              <w:keepNext/>
              <w:autoSpaceDE w:val="0"/>
              <w:autoSpaceDN w:val="0"/>
              <w:adjustRightInd w:val="0"/>
              <w:spacing w:before="40" w:after="40"/>
              <w:jc w:val="center"/>
              <w:rPr>
                <w:b/>
                <w:color w:val="FFFFFF" w:themeColor="background1"/>
                <w:sz w:val="18"/>
                <w:szCs w:val="18"/>
              </w:rPr>
            </w:pPr>
            <w:r w:rsidRPr="00B14E28">
              <w:rPr>
                <w:b/>
                <w:color w:val="FFFFFF" w:themeColor="background1"/>
                <w:sz w:val="18"/>
                <w:szCs w:val="18"/>
              </w:rPr>
              <w:t>PDX only</w:t>
            </w:r>
          </w:p>
        </w:tc>
        <w:tc>
          <w:tcPr>
            <w:tcW w:w="708" w:type="dxa"/>
            <w:vMerge w:val="restart"/>
            <w:shd w:val="clear" w:color="auto" w:fill="0070C0"/>
          </w:tcPr>
          <w:p w:rsidR="004D5254" w:rsidRPr="00B14E28" w:rsidRDefault="004D5254" w:rsidP="00C80331">
            <w:pPr>
              <w:keepNext/>
              <w:autoSpaceDE w:val="0"/>
              <w:autoSpaceDN w:val="0"/>
              <w:adjustRightInd w:val="0"/>
              <w:spacing w:before="40" w:after="40"/>
              <w:jc w:val="center"/>
              <w:rPr>
                <w:b/>
                <w:color w:val="FFFFFF" w:themeColor="background1"/>
                <w:sz w:val="18"/>
                <w:szCs w:val="18"/>
              </w:rPr>
            </w:pPr>
          </w:p>
          <w:p w:rsidR="004D5254" w:rsidRPr="00B14E28" w:rsidRDefault="004D5254" w:rsidP="00C80331">
            <w:pPr>
              <w:keepNext/>
              <w:autoSpaceDE w:val="0"/>
              <w:autoSpaceDN w:val="0"/>
              <w:adjustRightInd w:val="0"/>
              <w:spacing w:before="40" w:after="40"/>
              <w:jc w:val="center"/>
              <w:rPr>
                <w:color w:val="FFFFFF" w:themeColor="background1"/>
                <w:sz w:val="18"/>
                <w:szCs w:val="18"/>
              </w:rPr>
            </w:pPr>
            <w:r w:rsidRPr="00B14E28">
              <w:rPr>
                <w:b/>
                <w:color w:val="FFFFFF" w:themeColor="background1"/>
                <w:sz w:val="18"/>
                <w:szCs w:val="18"/>
              </w:rPr>
              <w:t>PDX only</w:t>
            </w:r>
          </w:p>
        </w:tc>
        <w:tc>
          <w:tcPr>
            <w:tcW w:w="3544" w:type="dxa"/>
            <w:gridSpan w:val="5"/>
            <w:tcBorders>
              <w:bottom w:val="nil"/>
            </w:tcBorders>
            <w:shd w:val="clear" w:color="auto" w:fill="0070C0"/>
          </w:tcPr>
          <w:p w:rsidR="004D5254" w:rsidRPr="00B14E28" w:rsidRDefault="004D5254" w:rsidP="00C80331">
            <w:pPr>
              <w:keepNext/>
              <w:autoSpaceDE w:val="0"/>
              <w:autoSpaceDN w:val="0"/>
              <w:adjustRightInd w:val="0"/>
              <w:spacing w:before="40" w:after="40"/>
              <w:jc w:val="center"/>
              <w:rPr>
                <w:b/>
                <w:color w:val="FFFFFF" w:themeColor="background1"/>
                <w:sz w:val="18"/>
                <w:szCs w:val="18"/>
              </w:rPr>
            </w:pPr>
            <w:r w:rsidRPr="00B14E28">
              <w:rPr>
                <w:b/>
                <w:color w:val="FFFFFF" w:themeColor="background1"/>
                <w:sz w:val="18"/>
                <w:szCs w:val="18"/>
              </w:rPr>
              <w:t>PDX in combination</w:t>
            </w:r>
          </w:p>
        </w:tc>
        <w:tc>
          <w:tcPr>
            <w:tcW w:w="793" w:type="dxa"/>
            <w:vMerge/>
          </w:tcPr>
          <w:p w:rsidR="004D5254" w:rsidRPr="00B14E28" w:rsidRDefault="004D5254" w:rsidP="00C80331">
            <w:pPr>
              <w:keepNext/>
              <w:autoSpaceDE w:val="0"/>
              <w:autoSpaceDN w:val="0"/>
              <w:adjustRightInd w:val="0"/>
              <w:spacing w:before="40" w:after="40"/>
              <w:jc w:val="center"/>
              <w:rPr>
                <w:sz w:val="18"/>
                <w:szCs w:val="18"/>
              </w:rPr>
            </w:pPr>
          </w:p>
        </w:tc>
      </w:tr>
      <w:tr w:rsidR="004D5254" w:rsidTr="00C80331">
        <w:trPr>
          <w:tblHeader/>
        </w:trPr>
        <w:tc>
          <w:tcPr>
            <w:tcW w:w="3085" w:type="dxa"/>
            <w:gridSpan w:val="2"/>
            <w:vMerge/>
            <w:tcBorders>
              <w:bottom w:val="nil"/>
            </w:tcBorders>
            <w:shd w:val="clear" w:color="auto" w:fill="0070C0"/>
          </w:tcPr>
          <w:p w:rsidR="004D5254" w:rsidRPr="00B14E28" w:rsidRDefault="004D5254" w:rsidP="00C80331">
            <w:pPr>
              <w:keepNext/>
              <w:autoSpaceDE w:val="0"/>
              <w:autoSpaceDN w:val="0"/>
              <w:adjustRightInd w:val="0"/>
              <w:spacing w:before="40" w:after="40"/>
              <w:rPr>
                <w:b/>
                <w:color w:val="FFFFFF" w:themeColor="background1"/>
                <w:sz w:val="18"/>
                <w:szCs w:val="18"/>
              </w:rPr>
            </w:pPr>
          </w:p>
        </w:tc>
        <w:tc>
          <w:tcPr>
            <w:tcW w:w="1418" w:type="dxa"/>
            <w:vMerge/>
            <w:tcBorders>
              <w:bottom w:val="nil"/>
            </w:tcBorders>
            <w:shd w:val="clear" w:color="auto" w:fill="0070C0"/>
          </w:tcPr>
          <w:p w:rsidR="004D5254" w:rsidRPr="00B14E28" w:rsidRDefault="004D5254" w:rsidP="00C80331">
            <w:pPr>
              <w:keepNext/>
              <w:autoSpaceDE w:val="0"/>
              <w:autoSpaceDN w:val="0"/>
              <w:adjustRightInd w:val="0"/>
              <w:spacing w:before="40" w:after="40"/>
              <w:jc w:val="center"/>
              <w:rPr>
                <w:b/>
                <w:color w:val="FFFFFF" w:themeColor="background1"/>
                <w:sz w:val="18"/>
                <w:szCs w:val="18"/>
              </w:rPr>
            </w:pPr>
          </w:p>
        </w:tc>
        <w:tc>
          <w:tcPr>
            <w:tcW w:w="708" w:type="dxa"/>
            <w:vMerge/>
            <w:tcBorders>
              <w:bottom w:val="nil"/>
            </w:tcBorders>
            <w:shd w:val="clear" w:color="auto" w:fill="0070C0"/>
          </w:tcPr>
          <w:p w:rsidR="004D5254" w:rsidRPr="00B14E28" w:rsidRDefault="004D5254" w:rsidP="00C80331">
            <w:pPr>
              <w:keepNext/>
              <w:autoSpaceDE w:val="0"/>
              <w:autoSpaceDN w:val="0"/>
              <w:adjustRightInd w:val="0"/>
              <w:spacing w:before="40" w:after="40"/>
              <w:jc w:val="center"/>
              <w:rPr>
                <w:color w:val="FFFFFF" w:themeColor="background1"/>
                <w:sz w:val="18"/>
                <w:szCs w:val="18"/>
              </w:rPr>
            </w:pPr>
          </w:p>
        </w:tc>
        <w:tc>
          <w:tcPr>
            <w:tcW w:w="709" w:type="dxa"/>
            <w:tcBorders>
              <w:bottom w:val="nil"/>
            </w:tcBorders>
            <w:shd w:val="clear" w:color="auto" w:fill="0070C0"/>
          </w:tcPr>
          <w:p w:rsidR="004D5254" w:rsidRPr="00B14E28" w:rsidRDefault="004D5254" w:rsidP="00C80331">
            <w:pPr>
              <w:keepNext/>
              <w:autoSpaceDE w:val="0"/>
              <w:autoSpaceDN w:val="0"/>
              <w:adjustRightInd w:val="0"/>
              <w:jc w:val="center"/>
              <w:rPr>
                <w:b/>
                <w:color w:val="FFFFFF" w:themeColor="background1"/>
                <w:sz w:val="18"/>
                <w:szCs w:val="18"/>
              </w:rPr>
            </w:pPr>
            <w:r w:rsidRPr="00B14E28">
              <w:rPr>
                <w:b/>
                <w:color w:val="FFFFFF" w:themeColor="background1"/>
                <w:sz w:val="18"/>
                <w:szCs w:val="18"/>
              </w:rPr>
              <w:t>PDX + DOC</w:t>
            </w:r>
          </w:p>
        </w:tc>
        <w:tc>
          <w:tcPr>
            <w:tcW w:w="709" w:type="dxa"/>
            <w:tcBorders>
              <w:bottom w:val="nil"/>
            </w:tcBorders>
            <w:shd w:val="clear" w:color="auto" w:fill="0070C0"/>
          </w:tcPr>
          <w:p w:rsidR="004D5254" w:rsidRPr="00B14E28" w:rsidRDefault="004D5254" w:rsidP="00C80331">
            <w:pPr>
              <w:keepNext/>
              <w:autoSpaceDE w:val="0"/>
              <w:autoSpaceDN w:val="0"/>
              <w:adjustRightInd w:val="0"/>
              <w:jc w:val="center"/>
              <w:rPr>
                <w:b/>
                <w:color w:val="FFFFFF" w:themeColor="background1"/>
                <w:sz w:val="18"/>
                <w:szCs w:val="18"/>
              </w:rPr>
            </w:pPr>
            <w:r w:rsidRPr="00B14E28">
              <w:rPr>
                <w:b/>
                <w:color w:val="FFFFFF" w:themeColor="background1"/>
                <w:sz w:val="18"/>
                <w:szCs w:val="18"/>
              </w:rPr>
              <w:t>PDX + PAC</w:t>
            </w:r>
          </w:p>
        </w:tc>
        <w:tc>
          <w:tcPr>
            <w:tcW w:w="709" w:type="dxa"/>
            <w:tcBorders>
              <w:bottom w:val="nil"/>
            </w:tcBorders>
            <w:shd w:val="clear" w:color="auto" w:fill="0070C0"/>
          </w:tcPr>
          <w:p w:rsidR="004D5254" w:rsidRPr="00B14E28" w:rsidRDefault="004D5254" w:rsidP="00C80331">
            <w:pPr>
              <w:keepNext/>
              <w:autoSpaceDE w:val="0"/>
              <w:autoSpaceDN w:val="0"/>
              <w:adjustRightInd w:val="0"/>
              <w:jc w:val="center"/>
              <w:rPr>
                <w:b/>
                <w:color w:val="FFFFFF" w:themeColor="background1"/>
                <w:sz w:val="18"/>
                <w:szCs w:val="18"/>
              </w:rPr>
            </w:pPr>
            <w:r w:rsidRPr="00B14E28">
              <w:rPr>
                <w:b/>
                <w:color w:val="FFFFFF" w:themeColor="background1"/>
                <w:sz w:val="18"/>
                <w:szCs w:val="18"/>
              </w:rPr>
              <w:t>PDX + GEM</w:t>
            </w:r>
          </w:p>
        </w:tc>
        <w:tc>
          <w:tcPr>
            <w:tcW w:w="708" w:type="dxa"/>
            <w:tcBorders>
              <w:bottom w:val="nil"/>
            </w:tcBorders>
            <w:shd w:val="clear" w:color="auto" w:fill="0070C0"/>
          </w:tcPr>
          <w:p w:rsidR="004D5254" w:rsidRPr="00B14E28" w:rsidRDefault="004D5254" w:rsidP="00C80331">
            <w:pPr>
              <w:keepNext/>
              <w:autoSpaceDE w:val="0"/>
              <w:autoSpaceDN w:val="0"/>
              <w:adjustRightInd w:val="0"/>
              <w:jc w:val="center"/>
              <w:rPr>
                <w:b/>
                <w:color w:val="FFFFFF" w:themeColor="background1"/>
                <w:sz w:val="18"/>
                <w:szCs w:val="18"/>
              </w:rPr>
            </w:pPr>
            <w:r w:rsidRPr="00B14E28">
              <w:rPr>
                <w:b/>
                <w:color w:val="FFFFFF" w:themeColor="background1"/>
                <w:sz w:val="18"/>
                <w:szCs w:val="18"/>
              </w:rPr>
              <w:t>PDX + PRO</w:t>
            </w:r>
          </w:p>
        </w:tc>
        <w:tc>
          <w:tcPr>
            <w:tcW w:w="709" w:type="dxa"/>
            <w:tcBorders>
              <w:bottom w:val="nil"/>
            </w:tcBorders>
            <w:shd w:val="clear" w:color="auto" w:fill="0070C0"/>
          </w:tcPr>
          <w:p w:rsidR="004D5254" w:rsidRPr="00B14E28" w:rsidRDefault="004D5254" w:rsidP="00C80331">
            <w:pPr>
              <w:keepNext/>
              <w:autoSpaceDE w:val="0"/>
              <w:autoSpaceDN w:val="0"/>
              <w:adjustRightInd w:val="0"/>
              <w:jc w:val="center"/>
              <w:rPr>
                <w:b/>
                <w:color w:val="FFFFFF" w:themeColor="background1"/>
                <w:sz w:val="18"/>
                <w:szCs w:val="18"/>
              </w:rPr>
            </w:pPr>
          </w:p>
          <w:p w:rsidR="004D5254" w:rsidRPr="00B14E28" w:rsidRDefault="004D5254" w:rsidP="00C80331">
            <w:pPr>
              <w:keepNext/>
              <w:autoSpaceDE w:val="0"/>
              <w:autoSpaceDN w:val="0"/>
              <w:adjustRightInd w:val="0"/>
              <w:jc w:val="center"/>
              <w:rPr>
                <w:color w:val="FFFFFF" w:themeColor="background1"/>
                <w:sz w:val="18"/>
                <w:szCs w:val="18"/>
              </w:rPr>
            </w:pPr>
            <w:r w:rsidRPr="00B14E28">
              <w:rPr>
                <w:b/>
                <w:color w:val="FFFFFF" w:themeColor="background1"/>
                <w:sz w:val="18"/>
                <w:szCs w:val="18"/>
              </w:rPr>
              <w:t>Total</w:t>
            </w:r>
          </w:p>
        </w:tc>
        <w:tc>
          <w:tcPr>
            <w:tcW w:w="793" w:type="dxa"/>
            <w:vMerge/>
            <w:tcBorders>
              <w:bottom w:val="nil"/>
            </w:tcBorders>
          </w:tcPr>
          <w:p w:rsidR="004D5254" w:rsidRPr="00B14E28" w:rsidRDefault="004D5254" w:rsidP="00C80331">
            <w:pPr>
              <w:keepNext/>
              <w:autoSpaceDE w:val="0"/>
              <w:autoSpaceDN w:val="0"/>
              <w:adjustRightInd w:val="0"/>
              <w:spacing w:before="40" w:after="40"/>
              <w:jc w:val="center"/>
              <w:rPr>
                <w:sz w:val="18"/>
                <w:szCs w:val="18"/>
              </w:rPr>
            </w:pPr>
          </w:p>
        </w:tc>
      </w:tr>
      <w:tr w:rsidR="004D5254" w:rsidTr="00C80331">
        <w:tc>
          <w:tcPr>
            <w:tcW w:w="1526" w:type="dxa"/>
            <w:tcBorders>
              <w:bottom w:val="nil"/>
              <w:right w:val="nil"/>
            </w:tcBorders>
          </w:tcPr>
          <w:p w:rsidR="004D5254" w:rsidRPr="00B14E28" w:rsidRDefault="004D5254" w:rsidP="00C80331">
            <w:pPr>
              <w:keepNext/>
              <w:autoSpaceDE w:val="0"/>
              <w:autoSpaceDN w:val="0"/>
              <w:adjustRightInd w:val="0"/>
              <w:spacing w:before="40" w:after="40"/>
              <w:rPr>
                <w:b/>
                <w:sz w:val="18"/>
                <w:szCs w:val="18"/>
              </w:rPr>
            </w:pPr>
            <w:r w:rsidRPr="00B14E28">
              <w:rPr>
                <w:b/>
                <w:sz w:val="18"/>
                <w:szCs w:val="18"/>
              </w:rPr>
              <w:t>Population 1</w:t>
            </w:r>
          </w:p>
        </w:tc>
        <w:tc>
          <w:tcPr>
            <w:tcW w:w="1559" w:type="dxa"/>
            <w:tcBorders>
              <w:left w:val="nil"/>
              <w:bottom w:val="nil"/>
            </w:tcBorders>
          </w:tcPr>
          <w:p w:rsidR="004D5254" w:rsidRPr="00B14E28" w:rsidRDefault="004D5254" w:rsidP="00C80331">
            <w:pPr>
              <w:keepNext/>
              <w:autoSpaceDE w:val="0"/>
              <w:autoSpaceDN w:val="0"/>
              <w:adjustRightInd w:val="0"/>
              <w:spacing w:before="40" w:after="40"/>
              <w:rPr>
                <w:b/>
                <w:i/>
                <w:sz w:val="18"/>
                <w:szCs w:val="18"/>
              </w:rPr>
            </w:pPr>
          </w:p>
        </w:tc>
        <w:tc>
          <w:tcPr>
            <w:tcW w:w="1418" w:type="dxa"/>
            <w:tcBorders>
              <w:bottom w:val="nil"/>
            </w:tcBorders>
          </w:tcPr>
          <w:p w:rsidR="004D5254" w:rsidRPr="00B14E28" w:rsidRDefault="004D5254" w:rsidP="00C80331">
            <w:pPr>
              <w:keepNext/>
              <w:autoSpaceDE w:val="0"/>
              <w:autoSpaceDN w:val="0"/>
              <w:adjustRightInd w:val="0"/>
              <w:spacing w:before="40" w:after="40"/>
              <w:jc w:val="center"/>
              <w:rPr>
                <w:b/>
                <w:sz w:val="18"/>
                <w:szCs w:val="18"/>
              </w:rPr>
            </w:pPr>
          </w:p>
        </w:tc>
        <w:tc>
          <w:tcPr>
            <w:tcW w:w="708" w:type="dxa"/>
            <w:tcBorders>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bottom w:val="nil"/>
            </w:tcBorders>
          </w:tcPr>
          <w:p w:rsidR="004D5254" w:rsidRPr="00B14E28" w:rsidRDefault="004D5254" w:rsidP="00C80331">
            <w:pPr>
              <w:keepNext/>
              <w:autoSpaceDE w:val="0"/>
              <w:autoSpaceDN w:val="0"/>
              <w:adjustRightInd w:val="0"/>
              <w:spacing w:before="40" w:after="40"/>
              <w:jc w:val="center"/>
              <w:rPr>
                <w:sz w:val="18"/>
                <w:szCs w:val="18"/>
              </w:rPr>
            </w:pPr>
          </w:p>
        </w:tc>
      </w:tr>
      <w:tr w:rsidR="004D5254" w:rsidTr="00C80331">
        <w:tc>
          <w:tcPr>
            <w:tcW w:w="1526" w:type="dxa"/>
            <w:tcBorders>
              <w:top w:val="nil"/>
              <w:bottom w:val="nil"/>
              <w:right w:val="nil"/>
            </w:tcBorders>
            <w:shd w:val="clear" w:color="auto" w:fill="D9D9D9" w:themeFill="background1" w:themeFillShade="D9"/>
          </w:tcPr>
          <w:p w:rsidR="004D5254" w:rsidRPr="00B14E28" w:rsidRDefault="004D5254" w:rsidP="00C80331">
            <w:pPr>
              <w:pStyle w:val="TableBullet"/>
              <w:keepNext/>
              <w:numPr>
                <w:ilvl w:val="0"/>
                <w:numId w:val="0"/>
              </w:numPr>
              <w:spacing w:before="40" w:after="40"/>
              <w:ind w:left="113" w:hanging="113"/>
              <w:rPr>
                <w:sz w:val="18"/>
                <w:szCs w:val="18"/>
              </w:rPr>
            </w:pPr>
            <w:r w:rsidRPr="00B14E28">
              <w:rPr>
                <w:sz w:val="18"/>
                <w:szCs w:val="18"/>
              </w:rPr>
              <w:t xml:space="preserve"> PDX-008 </w:t>
            </w:r>
          </w:p>
        </w:tc>
        <w:tc>
          <w:tcPr>
            <w:tcW w:w="1559" w:type="dxa"/>
            <w:tcBorders>
              <w:top w:val="nil"/>
              <w:left w:val="nil"/>
              <w:bottom w:val="nil"/>
            </w:tcBorders>
            <w:shd w:val="clear" w:color="auto" w:fill="D9D9D9" w:themeFill="background1" w:themeFillShade="D9"/>
          </w:tcPr>
          <w:p w:rsidR="004D5254" w:rsidRPr="00B14E28" w:rsidRDefault="004D5254" w:rsidP="00C80331">
            <w:pPr>
              <w:pStyle w:val="TableBullet"/>
              <w:keepNext/>
              <w:numPr>
                <w:ilvl w:val="0"/>
                <w:numId w:val="0"/>
              </w:numPr>
              <w:spacing w:before="40" w:after="40"/>
              <w:ind w:left="113" w:hanging="113"/>
              <w:rPr>
                <w:i/>
                <w:sz w:val="18"/>
                <w:szCs w:val="18"/>
              </w:rPr>
            </w:pPr>
            <w:r w:rsidRPr="00B14E28">
              <w:rPr>
                <w:i/>
                <w:sz w:val="18"/>
                <w:szCs w:val="18"/>
              </w:rPr>
              <w:t>PTCL</w:t>
            </w:r>
          </w:p>
        </w:tc>
        <w:tc>
          <w:tcPr>
            <w:tcW w:w="1418" w:type="dxa"/>
            <w:tcBorders>
              <w:top w:val="nil"/>
              <w:bottom w:val="nil"/>
            </w:tcBorders>
            <w:shd w:val="clear" w:color="auto" w:fill="D9D9D9" w:themeFill="background1" w:themeFillShade="D9"/>
          </w:tcPr>
          <w:p w:rsidR="004D5254" w:rsidRPr="00B14E28" w:rsidRDefault="004D5254" w:rsidP="00C80331">
            <w:pPr>
              <w:pStyle w:val="TableBullet"/>
              <w:keepNext/>
              <w:numPr>
                <w:ilvl w:val="0"/>
                <w:numId w:val="0"/>
              </w:numPr>
              <w:spacing w:before="40" w:after="40"/>
              <w:ind w:left="113" w:hanging="113"/>
              <w:jc w:val="center"/>
              <w:rPr>
                <w:sz w:val="18"/>
                <w:szCs w:val="18"/>
              </w:rPr>
            </w:pPr>
          </w:p>
        </w:tc>
        <w:tc>
          <w:tcPr>
            <w:tcW w:w="708"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111</w:t>
            </w: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111</w:t>
            </w:r>
          </w:p>
        </w:tc>
      </w:tr>
      <w:tr w:rsidR="004D5254" w:rsidTr="00C80331">
        <w:tc>
          <w:tcPr>
            <w:tcW w:w="1526" w:type="dxa"/>
            <w:tcBorders>
              <w:top w:val="nil"/>
              <w:bottom w:val="single" w:sz="4" w:space="0" w:color="auto"/>
              <w:right w:val="nil"/>
            </w:tcBorders>
            <w:shd w:val="clear" w:color="auto" w:fill="D9D9D9" w:themeFill="background1" w:themeFillShade="D9"/>
          </w:tcPr>
          <w:p w:rsidR="004D5254" w:rsidRPr="00B14E28" w:rsidRDefault="004D5254" w:rsidP="00C80331">
            <w:pPr>
              <w:pStyle w:val="TableBullet"/>
              <w:keepNext/>
              <w:numPr>
                <w:ilvl w:val="0"/>
                <w:numId w:val="0"/>
              </w:numPr>
              <w:spacing w:before="40" w:after="40"/>
              <w:rPr>
                <w:b/>
                <w:i/>
                <w:sz w:val="18"/>
                <w:szCs w:val="18"/>
              </w:rPr>
            </w:pPr>
            <w:r w:rsidRPr="00B14E28">
              <w:rPr>
                <w:b/>
                <w:i/>
                <w:sz w:val="18"/>
                <w:szCs w:val="18"/>
              </w:rPr>
              <w:t xml:space="preserve"> Subtotal</w:t>
            </w:r>
          </w:p>
        </w:tc>
        <w:tc>
          <w:tcPr>
            <w:tcW w:w="1559" w:type="dxa"/>
            <w:tcBorders>
              <w:top w:val="nil"/>
              <w:left w:val="nil"/>
              <w:bottom w:val="single" w:sz="4" w:space="0" w:color="auto"/>
            </w:tcBorders>
            <w:shd w:val="clear" w:color="auto" w:fill="D9D9D9" w:themeFill="background1" w:themeFillShade="D9"/>
          </w:tcPr>
          <w:p w:rsidR="004D5254" w:rsidRPr="00B14E28" w:rsidRDefault="004D5254" w:rsidP="00C80331">
            <w:pPr>
              <w:pStyle w:val="TableBullet"/>
              <w:keepNext/>
              <w:numPr>
                <w:ilvl w:val="0"/>
                <w:numId w:val="0"/>
              </w:numPr>
              <w:spacing w:before="40" w:after="40"/>
              <w:rPr>
                <w:b/>
                <w:i/>
                <w:sz w:val="18"/>
                <w:szCs w:val="18"/>
              </w:rPr>
            </w:pPr>
          </w:p>
        </w:tc>
        <w:tc>
          <w:tcPr>
            <w:tcW w:w="1418" w:type="dxa"/>
            <w:tcBorders>
              <w:top w:val="nil"/>
              <w:bottom w:val="single" w:sz="4" w:space="0" w:color="auto"/>
            </w:tcBorders>
            <w:shd w:val="clear" w:color="auto" w:fill="D9D9D9" w:themeFill="background1" w:themeFillShade="D9"/>
          </w:tcPr>
          <w:p w:rsidR="004D5254" w:rsidRPr="00B14E28" w:rsidRDefault="004D5254" w:rsidP="00C80331">
            <w:pPr>
              <w:pStyle w:val="TableBullet"/>
              <w:keepNext/>
              <w:numPr>
                <w:ilvl w:val="0"/>
                <w:numId w:val="0"/>
              </w:numPr>
              <w:spacing w:before="40" w:after="40"/>
              <w:jc w:val="center"/>
              <w:rPr>
                <w:b/>
                <w:i/>
                <w:sz w:val="18"/>
                <w:szCs w:val="18"/>
              </w:rPr>
            </w:pPr>
          </w:p>
        </w:tc>
        <w:tc>
          <w:tcPr>
            <w:tcW w:w="708" w:type="dxa"/>
            <w:tcBorders>
              <w:top w:val="nil"/>
              <w:bottom w:val="single" w:sz="4" w:space="0" w:color="auto"/>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111</w:t>
            </w:r>
          </w:p>
        </w:tc>
        <w:tc>
          <w:tcPr>
            <w:tcW w:w="709" w:type="dxa"/>
            <w:tcBorders>
              <w:top w:val="nil"/>
              <w:bottom w:val="single" w:sz="4" w:space="0" w:color="auto"/>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b/>
                <w:i/>
                <w:sz w:val="18"/>
                <w:szCs w:val="18"/>
              </w:rPr>
            </w:pPr>
          </w:p>
        </w:tc>
        <w:tc>
          <w:tcPr>
            <w:tcW w:w="708" w:type="dxa"/>
            <w:tcBorders>
              <w:top w:val="nil"/>
              <w:bottom w:val="single" w:sz="4" w:space="0" w:color="auto"/>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b/>
                <w:i/>
                <w:sz w:val="18"/>
                <w:szCs w:val="18"/>
              </w:rPr>
            </w:pPr>
          </w:p>
        </w:tc>
        <w:tc>
          <w:tcPr>
            <w:tcW w:w="793" w:type="dxa"/>
            <w:tcBorders>
              <w:top w:val="nil"/>
              <w:bottom w:val="single" w:sz="4" w:space="0" w:color="auto"/>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111</w:t>
            </w:r>
          </w:p>
        </w:tc>
      </w:tr>
      <w:tr w:rsidR="004D5254" w:rsidTr="00C80331">
        <w:tc>
          <w:tcPr>
            <w:tcW w:w="1526" w:type="dxa"/>
            <w:tcBorders>
              <w:top w:val="single" w:sz="4" w:space="0" w:color="auto"/>
              <w:bottom w:val="nil"/>
              <w:right w:val="nil"/>
            </w:tcBorders>
          </w:tcPr>
          <w:p w:rsidR="004D5254" w:rsidRPr="00B14E28" w:rsidRDefault="004D5254" w:rsidP="00C80331">
            <w:pPr>
              <w:pStyle w:val="TableBullet"/>
              <w:keepNext/>
              <w:numPr>
                <w:ilvl w:val="0"/>
                <w:numId w:val="0"/>
              </w:numPr>
              <w:spacing w:before="40" w:after="40"/>
              <w:ind w:left="113" w:hanging="113"/>
              <w:rPr>
                <w:b/>
                <w:sz w:val="18"/>
                <w:szCs w:val="18"/>
              </w:rPr>
            </w:pPr>
            <w:r w:rsidRPr="00B14E28">
              <w:rPr>
                <w:b/>
                <w:sz w:val="18"/>
                <w:szCs w:val="18"/>
              </w:rPr>
              <w:t>Population 2</w:t>
            </w:r>
          </w:p>
        </w:tc>
        <w:tc>
          <w:tcPr>
            <w:tcW w:w="1559" w:type="dxa"/>
            <w:tcBorders>
              <w:top w:val="single" w:sz="4" w:space="0" w:color="auto"/>
              <w:left w:val="nil"/>
              <w:bottom w:val="nil"/>
            </w:tcBorders>
          </w:tcPr>
          <w:p w:rsidR="004D5254" w:rsidRPr="00B14E28" w:rsidRDefault="004D5254" w:rsidP="00C80331">
            <w:pPr>
              <w:pStyle w:val="TableBullet"/>
              <w:keepNext/>
              <w:numPr>
                <w:ilvl w:val="0"/>
                <w:numId w:val="0"/>
              </w:numPr>
              <w:spacing w:before="40" w:after="40"/>
              <w:ind w:left="113" w:hanging="113"/>
              <w:rPr>
                <w:b/>
                <w:i/>
                <w:sz w:val="18"/>
                <w:szCs w:val="18"/>
              </w:rPr>
            </w:pPr>
          </w:p>
        </w:tc>
        <w:tc>
          <w:tcPr>
            <w:tcW w:w="1418" w:type="dxa"/>
            <w:tcBorders>
              <w:top w:val="single" w:sz="4" w:space="0" w:color="auto"/>
              <w:bottom w:val="nil"/>
            </w:tcBorders>
          </w:tcPr>
          <w:p w:rsidR="004D5254" w:rsidRPr="00B14E28" w:rsidRDefault="004D5254" w:rsidP="00C80331">
            <w:pPr>
              <w:pStyle w:val="TableBullet"/>
              <w:keepNext/>
              <w:numPr>
                <w:ilvl w:val="0"/>
                <w:numId w:val="0"/>
              </w:numPr>
              <w:spacing w:before="40" w:after="40"/>
              <w:ind w:left="113" w:hanging="113"/>
              <w:jc w:val="center"/>
              <w:rPr>
                <w:i/>
                <w:sz w:val="18"/>
                <w:szCs w:val="18"/>
              </w:rPr>
            </w:pPr>
          </w:p>
        </w:tc>
        <w:tc>
          <w:tcPr>
            <w:tcW w:w="708" w:type="dxa"/>
            <w:tcBorders>
              <w:top w:val="single" w:sz="4" w:space="0" w:color="auto"/>
              <w:bottom w:val="nil"/>
            </w:tcBorders>
          </w:tcPr>
          <w:p w:rsidR="004D5254" w:rsidRPr="00B14E28" w:rsidRDefault="004D5254" w:rsidP="00C80331">
            <w:pPr>
              <w:pStyle w:val="TableBullet"/>
              <w:keepNext/>
              <w:numPr>
                <w:ilvl w:val="0"/>
                <w:numId w:val="0"/>
              </w:numPr>
              <w:spacing w:before="40" w:after="40"/>
              <w:ind w:left="113" w:hanging="113"/>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r>
      <w:tr w:rsidR="004D5254" w:rsidTr="00C80331">
        <w:tc>
          <w:tcPr>
            <w:tcW w:w="1526" w:type="dxa"/>
            <w:tcBorders>
              <w:top w:val="nil"/>
              <w:bottom w:val="nil"/>
              <w:right w:val="nil"/>
            </w:tcBorders>
            <w:shd w:val="clear" w:color="auto" w:fill="D9D9D9" w:themeFill="background1" w:themeFillShade="D9"/>
          </w:tcPr>
          <w:p w:rsidR="004D5254" w:rsidRPr="00B14E28" w:rsidRDefault="004D5254" w:rsidP="00C80331">
            <w:pPr>
              <w:pStyle w:val="TableBullet"/>
              <w:keepNext/>
              <w:numPr>
                <w:ilvl w:val="0"/>
                <w:numId w:val="0"/>
              </w:numPr>
              <w:ind w:left="113" w:hanging="113"/>
              <w:rPr>
                <w:sz w:val="18"/>
                <w:szCs w:val="18"/>
              </w:rPr>
            </w:pPr>
            <w:r w:rsidRPr="00B14E28">
              <w:rPr>
                <w:sz w:val="18"/>
                <w:szCs w:val="18"/>
              </w:rPr>
              <w:t xml:space="preserve"> PDX-02-078</w:t>
            </w:r>
          </w:p>
        </w:tc>
        <w:tc>
          <w:tcPr>
            <w:tcW w:w="1559" w:type="dxa"/>
            <w:tcBorders>
              <w:top w:val="nil"/>
              <w:left w:val="nil"/>
              <w:bottom w:val="nil"/>
            </w:tcBorders>
            <w:shd w:val="clear" w:color="auto" w:fill="D9D9D9" w:themeFill="background1" w:themeFillShade="D9"/>
          </w:tcPr>
          <w:p w:rsidR="004D5254" w:rsidRPr="00B14E28" w:rsidRDefault="004D5254" w:rsidP="00C80331">
            <w:pPr>
              <w:pStyle w:val="TableBullet"/>
              <w:keepNext/>
              <w:numPr>
                <w:ilvl w:val="0"/>
                <w:numId w:val="0"/>
              </w:numPr>
              <w:ind w:left="113" w:hanging="113"/>
              <w:rPr>
                <w:i/>
                <w:sz w:val="18"/>
                <w:szCs w:val="18"/>
              </w:rPr>
            </w:pPr>
            <w:r w:rsidRPr="00B14E28">
              <w:rPr>
                <w:i/>
                <w:sz w:val="18"/>
                <w:szCs w:val="18"/>
              </w:rPr>
              <w:t>PTCL</w:t>
            </w:r>
          </w:p>
        </w:tc>
        <w:tc>
          <w:tcPr>
            <w:tcW w:w="1418" w:type="dxa"/>
            <w:tcBorders>
              <w:top w:val="nil"/>
              <w:bottom w:val="nil"/>
            </w:tcBorders>
            <w:shd w:val="clear" w:color="auto" w:fill="D9D9D9" w:themeFill="background1" w:themeFillShade="D9"/>
          </w:tcPr>
          <w:p w:rsidR="004D5254" w:rsidRPr="00B14E28" w:rsidRDefault="004D5254" w:rsidP="00C80331">
            <w:pPr>
              <w:pStyle w:val="TableBullet"/>
              <w:keepNext/>
              <w:numPr>
                <w:ilvl w:val="0"/>
                <w:numId w:val="0"/>
              </w:numPr>
              <w:ind w:left="113" w:hanging="113"/>
              <w:jc w:val="center"/>
              <w:rPr>
                <w:sz w:val="18"/>
                <w:szCs w:val="18"/>
              </w:rPr>
            </w:pPr>
          </w:p>
        </w:tc>
        <w:tc>
          <w:tcPr>
            <w:tcW w:w="708"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jc w:val="center"/>
              <w:rPr>
                <w:sz w:val="18"/>
                <w:szCs w:val="18"/>
              </w:rPr>
            </w:pPr>
            <w:r w:rsidRPr="00B14E28">
              <w:rPr>
                <w:sz w:val="18"/>
                <w:szCs w:val="18"/>
              </w:rPr>
              <w:t>32</w:t>
            </w:r>
          </w:p>
          <w:p w:rsidR="004D5254" w:rsidRPr="00B14E28" w:rsidRDefault="004D5254" w:rsidP="00C80331">
            <w:pPr>
              <w:keepNext/>
              <w:autoSpaceDE w:val="0"/>
              <w:autoSpaceDN w:val="0"/>
              <w:adjustRightInd w:val="0"/>
              <w:jc w:val="center"/>
              <w:rPr>
                <w:sz w:val="18"/>
                <w:szCs w:val="18"/>
              </w:rPr>
            </w:pPr>
            <w:r w:rsidRPr="00B14E28">
              <w:rPr>
                <w:sz w:val="18"/>
                <w:szCs w:val="18"/>
              </w:rPr>
              <w:t>4*</w:t>
            </w: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jc w:val="center"/>
              <w:rPr>
                <w:sz w:val="18"/>
                <w:szCs w:val="18"/>
              </w:rPr>
            </w:pP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jc w:val="center"/>
              <w:rPr>
                <w:sz w:val="18"/>
                <w:szCs w:val="18"/>
              </w:rPr>
            </w:pP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jc w:val="center"/>
              <w:rPr>
                <w:sz w:val="18"/>
                <w:szCs w:val="18"/>
              </w:rPr>
            </w:pPr>
          </w:p>
        </w:tc>
        <w:tc>
          <w:tcPr>
            <w:tcW w:w="708"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jc w:val="center"/>
              <w:rPr>
                <w:sz w:val="18"/>
                <w:szCs w:val="18"/>
              </w:rPr>
            </w:pP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jc w:val="center"/>
              <w:rPr>
                <w:sz w:val="18"/>
                <w:szCs w:val="18"/>
              </w:rPr>
            </w:pPr>
          </w:p>
        </w:tc>
        <w:tc>
          <w:tcPr>
            <w:tcW w:w="793"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jc w:val="center"/>
              <w:rPr>
                <w:sz w:val="18"/>
                <w:szCs w:val="18"/>
              </w:rPr>
            </w:pPr>
            <w:r w:rsidRPr="00B14E28">
              <w:rPr>
                <w:sz w:val="18"/>
                <w:szCs w:val="18"/>
              </w:rPr>
              <w:t>32</w:t>
            </w:r>
          </w:p>
          <w:p w:rsidR="004D5254" w:rsidRPr="00B14E28" w:rsidRDefault="004D5254" w:rsidP="00C80331">
            <w:pPr>
              <w:keepNext/>
              <w:autoSpaceDE w:val="0"/>
              <w:autoSpaceDN w:val="0"/>
              <w:adjustRightInd w:val="0"/>
              <w:jc w:val="center"/>
              <w:rPr>
                <w:sz w:val="18"/>
                <w:szCs w:val="18"/>
              </w:rPr>
            </w:pPr>
            <w:r w:rsidRPr="00B14E28">
              <w:rPr>
                <w:sz w:val="18"/>
                <w:szCs w:val="18"/>
              </w:rPr>
              <w:t>4*</w:t>
            </w: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HL, BCNHL</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29</w:t>
            </w:r>
          </w:p>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7*</w:t>
            </w: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29</w:t>
            </w:r>
          </w:p>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7*</w:t>
            </w: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PDX-010</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CTCL</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48</w:t>
            </w: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48</w:t>
            </w: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PDX-015</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BCNHL</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w:t>
            </w: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w:t>
            </w:r>
          </w:p>
        </w:tc>
      </w:tr>
      <w:tr w:rsidR="004D5254" w:rsidTr="00C80331">
        <w:tc>
          <w:tcPr>
            <w:tcW w:w="1526" w:type="dxa"/>
            <w:tcBorders>
              <w:top w:val="nil"/>
              <w:bottom w:val="single" w:sz="4" w:space="0" w:color="auto"/>
              <w:right w:val="nil"/>
            </w:tcBorders>
          </w:tcPr>
          <w:p w:rsidR="004D5254" w:rsidRPr="00B14E28" w:rsidRDefault="004D5254" w:rsidP="00C80331">
            <w:pPr>
              <w:pStyle w:val="TableBullet"/>
              <w:keepNext/>
              <w:numPr>
                <w:ilvl w:val="0"/>
                <w:numId w:val="0"/>
              </w:numPr>
              <w:spacing w:before="40" w:after="40"/>
              <w:rPr>
                <w:b/>
                <w:i/>
                <w:sz w:val="18"/>
                <w:szCs w:val="18"/>
              </w:rPr>
            </w:pPr>
            <w:r w:rsidRPr="00B14E28">
              <w:rPr>
                <w:b/>
                <w:i/>
                <w:sz w:val="18"/>
                <w:szCs w:val="18"/>
              </w:rPr>
              <w:t xml:space="preserve"> Subtotal</w:t>
            </w:r>
          </w:p>
        </w:tc>
        <w:tc>
          <w:tcPr>
            <w:tcW w:w="1559" w:type="dxa"/>
            <w:tcBorders>
              <w:top w:val="nil"/>
              <w:left w:val="nil"/>
              <w:bottom w:val="single" w:sz="4" w:space="0" w:color="auto"/>
            </w:tcBorders>
          </w:tcPr>
          <w:p w:rsidR="004D5254" w:rsidRPr="00B14E28" w:rsidRDefault="004D5254" w:rsidP="00C80331">
            <w:pPr>
              <w:pStyle w:val="TableBullet"/>
              <w:keepNext/>
              <w:numPr>
                <w:ilvl w:val="0"/>
                <w:numId w:val="0"/>
              </w:numPr>
              <w:spacing w:before="40" w:after="40"/>
              <w:rPr>
                <w:b/>
                <w:i/>
                <w:sz w:val="18"/>
                <w:szCs w:val="18"/>
              </w:rPr>
            </w:pPr>
          </w:p>
        </w:tc>
        <w:tc>
          <w:tcPr>
            <w:tcW w:w="1418" w:type="dxa"/>
            <w:tcBorders>
              <w:top w:val="nil"/>
              <w:bottom w:val="single" w:sz="4" w:space="0" w:color="auto"/>
            </w:tcBorders>
          </w:tcPr>
          <w:p w:rsidR="004D5254" w:rsidRPr="00B14E28" w:rsidRDefault="004D5254" w:rsidP="00C80331">
            <w:pPr>
              <w:pStyle w:val="TableBullet"/>
              <w:keepNext/>
              <w:numPr>
                <w:ilvl w:val="0"/>
                <w:numId w:val="0"/>
              </w:numPr>
              <w:spacing w:before="40" w:after="40"/>
              <w:jc w:val="center"/>
              <w:rPr>
                <w:b/>
                <w:i/>
                <w:sz w:val="18"/>
                <w:szCs w:val="18"/>
              </w:rPr>
            </w:pPr>
          </w:p>
        </w:tc>
        <w:tc>
          <w:tcPr>
            <w:tcW w:w="708"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121</w:t>
            </w: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8"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93"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121</w:t>
            </w: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b/>
                <w:sz w:val="18"/>
                <w:szCs w:val="18"/>
              </w:rPr>
            </w:pPr>
            <w:r w:rsidRPr="00B14E28">
              <w:rPr>
                <w:b/>
                <w:sz w:val="18"/>
                <w:szCs w:val="18"/>
              </w:rPr>
              <w:t>Population 3</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PDX-007 </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NSCLC</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39</w:t>
            </w: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39</w:t>
            </w: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PDX-011 </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TCC</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16</w:t>
            </w: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16</w:t>
            </w: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PDX-012 </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NSCLC</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73</w:t>
            </w:r>
            <w:r w:rsidRPr="00B14E28">
              <w:rPr>
                <w:sz w:val="18"/>
                <w:szCs w:val="18"/>
                <w:vertAlign w:val="superscript"/>
              </w:rPr>
              <w:t>^</w:t>
            </w: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73</w:t>
            </w: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PDX-014 </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Breast cancer</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w:t>
            </w: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w:t>
            </w:r>
          </w:p>
        </w:tc>
      </w:tr>
      <w:tr w:rsidR="004D5254" w:rsidTr="00C80331">
        <w:tc>
          <w:tcPr>
            <w:tcW w:w="1526" w:type="dxa"/>
            <w:tcBorders>
              <w:top w:val="nil"/>
              <w:bottom w:val="single" w:sz="4" w:space="0" w:color="auto"/>
              <w:right w:val="nil"/>
            </w:tcBorders>
          </w:tcPr>
          <w:p w:rsidR="004D5254" w:rsidRPr="00B14E28" w:rsidRDefault="004D5254" w:rsidP="00C80331">
            <w:pPr>
              <w:pStyle w:val="TableBullet"/>
              <w:keepNext/>
              <w:numPr>
                <w:ilvl w:val="0"/>
                <w:numId w:val="0"/>
              </w:numPr>
              <w:spacing w:before="40" w:after="40"/>
              <w:rPr>
                <w:b/>
                <w:i/>
                <w:sz w:val="18"/>
                <w:szCs w:val="18"/>
              </w:rPr>
            </w:pPr>
            <w:r w:rsidRPr="00B14E28">
              <w:rPr>
                <w:b/>
                <w:i/>
                <w:sz w:val="18"/>
                <w:szCs w:val="18"/>
              </w:rPr>
              <w:t xml:space="preserve"> Subtotal</w:t>
            </w:r>
          </w:p>
        </w:tc>
        <w:tc>
          <w:tcPr>
            <w:tcW w:w="1559" w:type="dxa"/>
            <w:tcBorders>
              <w:top w:val="nil"/>
              <w:left w:val="nil"/>
              <w:bottom w:val="single" w:sz="4" w:space="0" w:color="auto"/>
            </w:tcBorders>
          </w:tcPr>
          <w:p w:rsidR="004D5254" w:rsidRPr="00B14E28" w:rsidRDefault="004D5254" w:rsidP="00C80331">
            <w:pPr>
              <w:pStyle w:val="TableBullet"/>
              <w:keepNext/>
              <w:numPr>
                <w:ilvl w:val="0"/>
                <w:numId w:val="0"/>
              </w:numPr>
              <w:spacing w:before="40" w:after="40"/>
              <w:rPr>
                <w:b/>
                <w:i/>
                <w:sz w:val="18"/>
                <w:szCs w:val="18"/>
              </w:rPr>
            </w:pPr>
          </w:p>
        </w:tc>
        <w:tc>
          <w:tcPr>
            <w:tcW w:w="1418" w:type="dxa"/>
            <w:tcBorders>
              <w:top w:val="nil"/>
              <w:bottom w:val="single" w:sz="4" w:space="0" w:color="auto"/>
            </w:tcBorders>
          </w:tcPr>
          <w:p w:rsidR="004D5254" w:rsidRPr="00B14E28" w:rsidRDefault="004D5254" w:rsidP="00C80331">
            <w:pPr>
              <w:pStyle w:val="TableBullet"/>
              <w:keepNext/>
              <w:numPr>
                <w:ilvl w:val="0"/>
                <w:numId w:val="0"/>
              </w:numPr>
              <w:spacing w:before="40" w:after="40"/>
              <w:jc w:val="center"/>
              <w:rPr>
                <w:b/>
                <w:i/>
                <w:sz w:val="18"/>
                <w:szCs w:val="18"/>
              </w:rPr>
            </w:pPr>
            <w:r w:rsidRPr="00B14E28">
              <w:rPr>
                <w:b/>
                <w:i/>
                <w:sz w:val="18"/>
                <w:szCs w:val="18"/>
              </w:rPr>
              <w:t>73</w:t>
            </w:r>
          </w:p>
        </w:tc>
        <w:tc>
          <w:tcPr>
            <w:tcW w:w="708"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56</w:t>
            </w: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8"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93"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129</w:t>
            </w:r>
          </w:p>
        </w:tc>
      </w:tr>
      <w:tr w:rsidR="004D5254" w:rsidTr="00C80331">
        <w:tc>
          <w:tcPr>
            <w:tcW w:w="1526" w:type="dxa"/>
            <w:tcBorders>
              <w:top w:val="single" w:sz="4" w:space="0" w:color="auto"/>
              <w:bottom w:val="nil"/>
              <w:right w:val="nil"/>
            </w:tcBorders>
          </w:tcPr>
          <w:p w:rsidR="004D5254" w:rsidRPr="00B14E28" w:rsidRDefault="004D5254" w:rsidP="00C80331">
            <w:pPr>
              <w:keepNext/>
              <w:autoSpaceDE w:val="0"/>
              <w:autoSpaceDN w:val="0"/>
              <w:adjustRightInd w:val="0"/>
              <w:spacing w:before="40" w:after="40"/>
              <w:rPr>
                <w:b/>
                <w:sz w:val="18"/>
                <w:szCs w:val="18"/>
              </w:rPr>
            </w:pPr>
            <w:r w:rsidRPr="00B14E28">
              <w:rPr>
                <w:b/>
                <w:sz w:val="18"/>
                <w:szCs w:val="18"/>
              </w:rPr>
              <w:t>Population 4</w:t>
            </w:r>
          </w:p>
        </w:tc>
        <w:tc>
          <w:tcPr>
            <w:tcW w:w="1559" w:type="dxa"/>
            <w:tcBorders>
              <w:top w:val="single" w:sz="4" w:space="0" w:color="auto"/>
              <w:left w:val="nil"/>
              <w:bottom w:val="nil"/>
            </w:tcBorders>
          </w:tcPr>
          <w:p w:rsidR="004D5254" w:rsidRPr="00B14E28" w:rsidRDefault="004D5254" w:rsidP="00C80331">
            <w:pPr>
              <w:keepNext/>
              <w:autoSpaceDE w:val="0"/>
              <w:autoSpaceDN w:val="0"/>
              <w:adjustRightInd w:val="0"/>
              <w:spacing w:before="40" w:after="40"/>
              <w:rPr>
                <w:b/>
                <w:i/>
                <w:sz w:val="18"/>
                <w:szCs w:val="18"/>
              </w:rPr>
            </w:pPr>
          </w:p>
        </w:tc>
        <w:tc>
          <w:tcPr>
            <w:tcW w:w="1418"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b/>
                <w:sz w:val="18"/>
                <w:szCs w:val="18"/>
              </w:rPr>
            </w:pPr>
          </w:p>
        </w:tc>
        <w:tc>
          <w:tcPr>
            <w:tcW w:w="708"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b/>
                <w:i/>
                <w:sz w:val="18"/>
                <w:szCs w:val="18"/>
              </w:rPr>
            </w:pPr>
          </w:p>
        </w:tc>
        <w:tc>
          <w:tcPr>
            <w:tcW w:w="793"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r>
      <w:tr w:rsidR="004D5254" w:rsidTr="00C80331">
        <w:tc>
          <w:tcPr>
            <w:tcW w:w="1526" w:type="dxa"/>
            <w:tcBorders>
              <w:top w:val="nil"/>
              <w:bottom w:val="nil"/>
              <w:right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PDX-009</w:t>
            </w:r>
          </w:p>
        </w:tc>
        <w:tc>
          <w:tcPr>
            <w:tcW w:w="1559" w:type="dxa"/>
            <w:tcBorders>
              <w:top w:val="nil"/>
              <w:left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PTCL</w:t>
            </w:r>
          </w:p>
        </w:tc>
        <w:tc>
          <w:tcPr>
            <w:tcW w:w="1418" w:type="dxa"/>
            <w:tcBorders>
              <w:top w:val="nil"/>
              <w:bottom w:val="nil"/>
            </w:tcBorders>
            <w:shd w:val="clear" w:color="auto" w:fill="D9D9D9" w:themeFill="background1" w:themeFillShade="D9"/>
          </w:tcPr>
          <w:p w:rsidR="004D5254" w:rsidRPr="00B14E28" w:rsidRDefault="004D5254" w:rsidP="00C80331">
            <w:pPr>
              <w:pStyle w:val="TableBullet"/>
              <w:keepNext/>
              <w:numPr>
                <w:ilvl w:val="0"/>
                <w:numId w:val="0"/>
              </w:numPr>
              <w:spacing w:before="40" w:after="40"/>
              <w:ind w:left="113" w:hanging="113"/>
              <w:jc w:val="center"/>
              <w:rPr>
                <w:sz w:val="18"/>
                <w:szCs w:val="18"/>
              </w:rPr>
            </w:pPr>
          </w:p>
        </w:tc>
        <w:tc>
          <w:tcPr>
            <w:tcW w:w="708" w:type="dxa"/>
            <w:tcBorders>
              <w:top w:val="nil"/>
              <w:bottom w:val="nil"/>
            </w:tcBorders>
            <w:shd w:val="clear" w:color="auto" w:fill="D9D9D9" w:themeFill="background1" w:themeFillShade="D9"/>
          </w:tcPr>
          <w:p w:rsidR="004D5254" w:rsidRPr="00B14E28" w:rsidRDefault="004D5254" w:rsidP="00C80331">
            <w:pPr>
              <w:pStyle w:val="TableBullet"/>
              <w:keepNext/>
              <w:numPr>
                <w:ilvl w:val="0"/>
                <w:numId w:val="0"/>
              </w:numPr>
              <w:spacing w:before="40" w:after="40"/>
              <w:jc w:val="center"/>
              <w:rPr>
                <w:sz w:val="18"/>
                <w:szCs w:val="18"/>
              </w:rPr>
            </w:pP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24</w:t>
            </w:r>
          </w:p>
        </w:tc>
        <w:tc>
          <w:tcPr>
            <w:tcW w:w="708"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24</w:t>
            </w:r>
          </w:p>
        </w:tc>
        <w:tc>
          <w:tcPr>
            <w:tcW w:w="793" w:type="dxa"/>
            <w:tcBorders>
              <w:top w:val="nil"/>
              <w:bottom w:val="nil"/>
            </w:tcBorders>
            <w:shd w:val="clear" w:color="auto" w:fill="D9D9D9" w:themeFill="background1" w:themeFillShade="D9"/>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24</w:t>
            </w:r>
          </w:p>
        </w:tc>
      </w:tr>
      <w:tr w:rsidR="004D5254" w:rsidTr="00C80331">
        <w:tc>
          <w:tcPr>
            <w:tcW w:w="1526" w:type="dxa"/>
            <w:tcBorders>
              <w:top w:val="nil"/>
              <w:bottom w:val="nil"/>
              <w:right w:val="nil"/>
            </w:tcBorders>
          </w:tcPr>
          <w:p w:rsidR="004D5254" w:rsidRPr="00B14E28" w:rsidRDefault="004D5254" w:rsidP="00C80331">
            <w:pPr>
              <w:pStyle w:val="TableBullet"/>
              <w:keepNext/>
              <w:numPr>
                <w:ilvl w:val="0"/>
                <w:numId w:val="0"/>
              </w:numPr>
              <w:spacing w:before="40" w:after="40"/>
              <w:ind w:left="113" w:hanging="113"/>
              <w:rPr>
                <w:sz w:val="18"/>
                <w:szCs w:val="18"/>
              </w:rPr>
            </w:pPr>
            <w:r w:rsidRPr="00B14E28">
              <w:rPr>
                <w:sz w:val="18"/>
                <w:szCs w:val="18"/>
              </w:rPr>
              <w:t xml:space="preserve">    </w:t>
            </w:r>
          </w:p>
        </w:tc>
        <w:tc>
          <w:tcPr>
            <w:tcW w:w="1559" w:type="dxa"/>
            <w:tcBorders>
              <w:top w:val="nil"/>
              <w:left w:val="nil"/>
              <w:bottom w:val="nil"/>
            </w:tcBorders>
          </w:tcPr>
          <w:p w:rsidR="004D5254" w:rsidRPr="00B14E28" w:rsidRDefault="004D5254" w:rsidP="00C80331">
            <w:pPr>
              <w:pStyle w:val="TableBullet"/>
              <w:keepNext/>
              <w:numPr>
                <w:ilvl w:val="0"/>
                <w:numId w:val="0"/>
              </w:numPr>
              <w:spacing w:before="40" w:after="40"/>
              <w:ind w:left="113" w:hanging="113"/>
              <w:rPr>
                <w:i/>
                <w:sz w:val="18"/>
                <w:szCs w:val="18"/>
              </w:rPr>
            </w:pPr>
            <w:r w:rsidRPr="00B14E28">
              <w:rPr>
                <w:i/>
                <w:sz w:val="18"/>
                <w:szCs w:val="18"/>
              </w:rPr>
              <w:t>HL, BCNHL</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38</w:t>
            </w: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38</w:t>
            </w: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38</w:t>
            </w:r>
          </w:p>
        </w:tc>
      </w:tr>
      <w:tr w:rsidR="004D5254" w:rsidTr="00C80331">
        <w:tc>
          <w:tcPr>
            <w:tcW w:w="1526" w:type="dxa"/>
            <w:tcBorders>
              <w:top w:val="nil"/>
              <w:bottom w:val="single" w:sz="4" w:space="0" w:color="auto"/>
              <w:right w:val="nil"/>
            </w:tcBorders>
          </w:tcPr>
          <w:p w:rsidR="004D5254" w:rsidRPr="00B14E28" w:rsidRDefault="004D5254" w:rsidP="00C80331">
            <w:pPr>
              <w:pStyle w:val="TableBullet"/>
              <w:keepNext/>
              <w:numPr>
                <w:ilvl w:val="0"/>
                <w:numId w:val="0"/>
              </w:numPr>
              <w:spacing w:before="40" w:after="40"/>
              <w:rPr>
                <w:b/>
                <w:i/>
                <w:sz w:val="18"/>
                <w:szCs w:val="18"/>
              </w:rPr>
            </w:pPr>
            <w:r w:rsidRPr="00B14E28">
              <w:rPr>
                <w:b/>
                <w:i/>
                <w:sz w:val="18"/>
                <w:szCs w:val="18"/>
              </w:rPr>
              <w:t xml:space="preserve"> Subtotal</w:t>
            </w:r>
          </w:p>
        </w:tc>
        <w:tc>
          <w:tcPr>
            <w:tcW w:w="1559" w:type="dxa"/>
            <w:tcBorders>
              <w:top w:val="nil"/>
              <w:left w:val="nil"/>
              <w:bottom w:val="single" w:sz="4" w:space="0" w:color="auto"/>
            </w:tcBorders>
          </w:tcPr>
          <w:p w:rsidR="004D5254" w:rsidRPr="00B14E28" w:rsidRDefault="004D5254" w:rsidP="00C80331">
            <w:pPr>
              <w:pStyle w:val="TableBullet"/>
              <w:keepNext/>
              <w:numPr>
                <w:ilvl w:val="0"/>
                <w:numId w:val="0"/>
              </w:numPr>
              <w:spacing w:before="40" w:after="40"/>
              <w:rPr>
                <w:b/>
                <w:i/>
                <w:sz w:val="18"/>
                <w:szCs w:val="18"/>
              </w:rPr>
            </w:pPr>
          </w:p>
        </w:tc>
        <w:tc>
          <w:tcPr>
            <w:tcW w:w="1418" w:type="dxa"/>
            <w:tcBorders>
              <w:top w:val="nil"/>
              <w:bottom w:val="single" w:sz="4" w:space="0" w:color="auto"/>
            </w:tcBorders>
          </w:tcPr>
          <w:p w:rsidR="004D5254" w:rsidRPr="00B14E28" w:rsidRDefault="004D5254" w:rsidP="00C80331">
            <w:pPr>
              <w:pStyle w:val="TableBullet"/>
              <w:keepNext/>
              <w:numPr>
                <w:ilvl w:val="0"/>
                <w:numId w:val="0"/>
              </w:numPr>
              <w:spacing w:before="40" w:after="40"/>
              <w:jc w:val="center"/>
              <w:rPr>
                <w:b/>
                <w:i/>
                <w:sz w:val="18"/>
                <w:szCs w:val="18"/>
              </w:rPr>
            </w:pPr>
          </w:p>
        </w:tc>
        <w:tc>
          <w:tcPr>
            <w:tcW w:w="708"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62</w:t>
            </w:r>
          </w:p>
        </w:tc>
        <w:tc>
          <w:tcPr>
            <w:tcW w:w="708"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62</w:t>
            </w:r>
          </w:p>
        </w:tc>
        <w:tc>
          <w:tcPr>
            <w:tcW w:w="793"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62</w:t>
            </w:r>
          </w:p>
        </w:tc>
      </w:tr>
      <w:tr w:rsidR="004D5254" w:rsidTr="00C80331">
        <w:tc>
          <w:tcPr>
            <w:tcW w:w="1526" w:type="dxa"/>
            <w:tcBorders>
              <w:top w:val="single" w:sz="4" w:space="0" w:color="auto"/>
              <w:bottom w:val="nil"/>
              <w:right w:val="nil"/>
            </w:tcBorders>
          </w:tcPr>
          <w:p w:rsidR="004D5254" w:rsidRPr="00B14E28" w:rsidRDefault="004D5254" w:rsidP="00C80331">
            <w:pPr>
              <w:keepNext/>
              <w:autoSpaceDE w:val="0"/>
              <w:autoSpaceDN w:val="0"/>
              <w:adjustRightInd w:val="0"/>
              <w:spacing w:before="40" w:after="40"/>
              <w:rPr>
                <w:b/>
                <w:sz w:val="18"/>
                <w:szCs w:val="18"/>
              </w:rPr>
            </w:pPr>
            <w:r w:rsidRPr="00B14E28">
              <w:rPr>
                <w:b/>
                <w:sz w:val="18"/>
                <w:szCs w:val="18"/>
              </w:rPr>
              <w:t>Population 5</w:t>
            </w:r>
          </w:p>
        </w:tc>
        <w:tc>
          <w:tcPr>
            <w:tcW w:w="1559" w:type="dxa"/>
            <w:tcBorders>
              <w:top w:val="single" w:sz="4" w:space="0" w:color="auto"/>
              <w:left w:val="nil"/>
              <w:bottom w:val="nil"/>
            </w:tcBorders>
          </w:tcPr>
          <w:p w:rsidR="004D5254" w:rsidRPr="00B14E28" w:rsidRDefault="004D5254" w:rsidP="00C80331">
            <w:pPr>
              <w:keepNext/>
              <w:autoSpaceDE w:val="0"/>
              <w:autoSpaceDN w:val="0"/>
              <w:adjustRightInd w:val="0"/>
              <w:spacing w:before="40" w:after="40"/>
              <w:rPr>
                <w:b/>
                <w:i/>
                <w:sz w:val="18"/>
                <w:szCs w:val="18"/>
              </w:rPr>
            </w:pPr>
          </w:p>
        </w:tc>
        <w:tc>
          <w:tcPr>
            <w:tcW w:w="1418"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i/>
                <w:sz w:val="18"/>
                <w:szCs w:val="18"/>
              </w:rPr>
            </w:pPr>
          </w:p>
        </w:tc>
        <w:tc>
          <w:tcPr>
            <w:tcW w:w="708"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PDX-97-006 </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NSCLC</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33*</w:t>
            </w: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33*</w:t>
            </w: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PDX-99-053 </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NSCLC</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39</w:t>
            </w:r>
            <w:r w:rsidRPr="00B14E28">
              <w:rPr>
                <w:sz w:val="18"/>
                <w:szCs w:val="18"/>
                <w:vertAlign w:val="superscript"/>
              </w:rPr>
              <w:t>#</w:t>
            </w: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39</w:t>
            </w:r>
            <w:r w:rsidRPr="00B14E28">
              <w:rPr>
                <w:sz w:val="18"/>
                <w:szCs w:val="18"/>
                <w:vertAlign w:val="superscript"/>
              </w:rPr>
              <w:t>#</w:t>
            </w: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rPr>
                <w:sz w:val="18"/>
                <w:szCs w:val="18"/>
              </w:rPr>
            </w:pPr>
            <w:r w:rsidRPr="00B14E28">
              <w:rPr>
                <w:sz w:val="18"/>
                <w:szCs w:val="18"/>
              </w:rPr>
              <w:t xml:space="preserve"> PDX-99-083 </w:t>
            </w:r>
          </w:p>
        </w:tc>
        <w:tc>
          <w:tcPr>
            <w:tcW w:w="1559" w:type="dxa"/>
            <w:tcBorders>
              <w:top w:val="nil"/>
              <w:left w:val="nil"/>
              <w:bottom w:val="nil"/>
            </w:tcBorders>
          </w:tcPr>
          <w:p w:rsidR="004D5254" w:rsidRPr="00B14E28" w:rsidRDefault="004D5254" w:rsidP="00C80331">
            <w:pPr>
              <w:keepNext/>
              <w:autoSpaceDE w:val="0"/>
              <w:autoSpaceDN w:val="0"/>
              <w:adjustRightInd w:val="0"/>
              <w:rPr>
                <w:i/>
                <w:sz w:val="18"/>
                <w:szCs w:val="18"/>
              </w:rPr>
            </w:pPr>
            <w:r w:rsidRPr="00B14E28">
              <w:rPr>
                <w:i/>
                <w:sz w:val="18"/>
                <w:szCs w:val="18"/>
              </w:rPr>
              <w:t>Mostly lung cancer</w:t>
            </w:r>
          </w:p>
        </w:tc>
        <w:tc>
          <w:tcPr>
            <w:tcW w:w="1418" w:type="dxa"/>
            <w:tcBorders>
              <w:top w:val="nil"/>
              <w:bottom w:val="nil"/>
            </w:tcBorders>
          </w:tcPr>
          <w:p w:rsidR="004D5254" w:rsidRPr="00B14E28" w:rsidRDefault="004D5254" w:rsidP="00C80331">
            <w:pPr>
              <w:keepNext/>
              <w:autoSpaceDE w:val="0"/>
              <w:autoSpaceDN w:val="0"/>
              <w:adjustRightInd w:val="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jc w:val="center"/>
              <w:rPr>
                <w:sz w:val="18"/>
                <w:szCs w:val="18"/>
              </w:rPr>
            </w:pPr>
            <w:r w:rsidRPr="00B14E28">
              <w:rPr>
                <w:sz w:val="18"/>
                <w:szCs w:val="18"/>
              </w:rPr>
              <w:t>34</w:t>
            </w:r>
          </w:p>
          <w:p w:rsidR="004D5254" w:rsidRPr="00B14E28" w:rsidRDefault="004D5254" w:rsidP="00C80331">
            <w:pPr>
              <w:keepNext/>
              <w:autoSpaceDE w:val="0"/>
              <w:autoSpaceDN w:val="0"/>
              <w:adjustRightInd w:val="0"/>
              <w:jc w:val="center"/>
              <w:rPr>
                <w:sz w:val="18"/>
                <w:szCs w:val="18"/>
              </w:rPr>
            </w:pPr>
            <w:r w:rsidRPr="00B14E28">
              <w:rPr>
                <w:sz w:val="18"/>
                <w:szCs w:val="18"/>
              </w:rPr>
              <w:t>8*</w:t>
            </w:r>
            <w:r w:rsidRPr="00B14E28">
              <w:rPr>
                <w:sz w:val="18"/>
                <w:szCs w:val="18"/>
                <w:vertAlign w:val="superscript"/>
              </w:rPr>
              <w:t>,$</w:t>
            </w:r>
          </w:p>
        </w:tc>
        <w:tc>
          <w:tcPr>
            <w:tcW w:w="709" w:type="dxa"/>
            <w:tcBorders>
              <w:top w:val="nil"/>
              <w:bottom w:val="nil"/>
            </w:tcBorders>
          </w:tcPr>
          <w:p w:rsidR="004D5254" w:rsidRPr="00B14E28" w:rsidRDefault="004D5254" w:rsidP="00C80331">
            <w:pPr>
              <w:keepNext/>
              <w:autoSpaceDE w:val="0"/>
              <w:autoSpaceDN w:val="0"/>
              <w:adjustRightInd w:val="0"/>
              <w:jc w:val="center"/>
              <w:rPr>
                <w:sz w:val="18"/>
                <w:szCs w:val="18"/>
              </w:rPr>
            </w:pPr>
          </w:p>
          <w:p w:rsidR="004D5254" w:rsidRPr="00B14E28" w:rsidRDefault="004D5254" w:rsidP="00C80331">
            <w:pPr>
              <w:keepNext/>
              <w:autoSpaceDE w:val="0"/>
              <w:autoSpaceDN w:val="0"/>
              <w:adjustRightInd w:val="0"/>
              <w:jc w:val="center"/>
              <w:rPr>
                <w:sz w:val="18"/>
                <w:szCs w:val="18"/>
              </w:rPr>
            </w:pPr>
            <w:r w:rsidRPr="00B14E28">
              <w:rPr>
                <w:sz w:val="18"/>
                <w:szCs w:val="18"/>
              </w:rPr>
              <w:t>6*</w:t>
            </w:r>
            <w:r w:rsidRPr="00B14E28">
              <w:rPr>
                <w:sz w:val="18"/>
                <w:szCs w:val="18"/>
                <w:vertAlign w:val="superscript"/>
              </w:rPr>
              <w:t>,$</w:t>
            </w:r>
          </w:p>
        </w:tc>
        <w:tc>
          <w:tcPr>
            <w:tcW w:w="709" w:type="dxa"/>
            <w:tcBorders>
              <w:top w:val="nil"/>
              <w:bottom w:val="nil"/>
            </w:tcBorders>
          </w:tcPr>
          <w:p w:rsidR="004D5254" w:rsidRPr="00B14E28" w:rsidRDefault="004D5254" w:rsidP="00C80331">
            <w:pPr>
              <w:keepNext/>
              <w:autoSpaceDE w:val="0"/>
              <w:autoSpaceDN w:val="0"/>
              <w:adjustRightInd w:val="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jc w:val="center"/>
              <w:rPr>
                <w:sz w:val="18"/>
                <w:szCs w:val="18"/>
              </w:rPr>
            </w:pPr>
            <w:r w:rsidRPr="00B14E28">
              <w:rPr>
                <w:sz w:val="18"/>
                <w:szCs w:val="18"/>
              </w:rPr>
              <w:t>34</w:t>
            </w:r>
          </w:p>
          <w:p w:rsidR="004D5254" w:rsidRPr="00B14E28" w:rsidRDefault="004D5254" w:rsidP="00C80331">
            <w:pPr>
              <w:keepNext/>
              <w:autoSpaceDE w:val="0"/>
              <w:autoSpaceDN w:val="0"/>
              <w:adjustRightInd w:val="0"/>
              <w:jc w:val="center"/>
              <w:rPr>
                <w:sz w:val="18"/>
                <w:szCs w:val="18"/>
              </w:rPr>
            </w:pPr>
            <w:r w:rsidRPr="00B14E28">
              <w:rPr>
                <w:sz w:val="18"/>
                <w:szCs w:val="18"/>
              </w:rPr>
              <w:t>14*</w:t>
            </w:r>
            <w:r w:rsidRPr="00B14E28">
              <w:rPr>
                <w:sz w:val="18"/>
                <w:szCs w:val="18"/>
                <w:vertAlign w:val="superscript"/>
              </w:rPr>
              <w:t>,$</w:t>
            </w:r>
          </w:p>
        </w:tc>
        <w:tc>
          <w:tcPr>
            <w:tcW w:w="793" w:type="dxa"/>
            <w:tcBorders>
              <w:top w:val="nil"/>
              <w:bottom w:val="nil"/>
            </w:tcBorders>
          </w:tcPr>
          <w:p w:rsidR="004D5254" w:rsidRPr="00B14E28" w:rsidRDefault="004D5254" w:rsidP="00C80331">
            <w:pPr>
              <w:keepNext/>
              <w:autoSpaceDE w:val="0"/>
              <w:autoSpaceDN w:val="0"/>
              <w:adjustRightInd w:val="0"/>
              <w:jc w:val="center"/>
              <w:rPr>
                <w:sz w:val="18"/>
                <w:szCs w:val="18"/>
              </w:rPr>
            </w:pPr>
            <w:r w:rsidRPr="00B14E28">
              <w:rPr>
                <w:sz w:val="18"/>
                <w:szCs w:val="18"/>
              </w:rPr>
              <w:t>34</w:t>
            </w:r>
          </w:p>
          <w:p w:rsidR="004D5254" w:rsidRPr="00B14E28" w:rsidRDefault="004D5254" w:rsidP="00C80331">
            <w:pPr>
              <w:keepNext/>
              <w:autoSpaceDE w:val="0"/>
              <w:autoSpaceDN w:val="0"/>
              <w:adjustRightInd w:val="0"/>
              <w:jc w:val="center"/>
              <w:rPr>
                <w:sz w:val="18"/>
                <w:szCs w:val="18"/>
              </w:rPr>
            </w:pPr>
            <w:r w:rsidRPr="00B14E28">
              <w:rPr>
                <w:sz w:val="18"/>
                <w:szCs w:val="18"/>
              </w:rPr>
              <w:t>14*</w:t>
            </w:r>
            <w:r w:rsidRPr="00B14E28">
              <w:rPr>
                <w:sz w:val="18"/>
                <w:szCs w:val="18"/>
                <w:vertAlign w:val="superscript"/>
              </w:rPr>
              <w:t>,$</w:t>
            </w: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PDX-01-014 </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Mostly lung and colon cancer</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17*</w:t>
            </w: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17*</w:t>
            </w: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17*</w:t>
            </w: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PDX-01-076 </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Malignant pleural mesothelioma</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16</w:t>
            </w: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16</w:t>
            </w:r>
          </w:p>
        </w:tc>
      </w:tr>
      <w:tr w:rsidR="004D5254" w:rsidTr="00C80331">
        <w:tc>
          <w:tcPr>
            <w:tcW w:w="1526" w:type="dxa"/>
            <w:tcBorders>
              <w:top w:val="nil"/>
              <w:bottom w:val="single" w:sz="4" w:space="0" w:color="auto"/>
              <w:right w:val="nil"/>
            </w:tcBorders>
          </w:tcPr>
          <w:p w:rsidR="004D5254" w:rsidRPr="00B14E28" w:rsidRDefault="004D5254" w:rsidP="00C80331">
            <w:pPr>
              <w:keepNext/>
              <w:autoSpaceDE w:val="0"/>
              <w:autoSpaceDN w:val="0"/>
              <w:adjustRightInd w:val="0"/>
              <w:spacing w:before="40" w:after="40"/>
              <w:rPr>
                <w:b/>
                <w:i/>
                <w:sz w:val="18"/>
                <w:szCs w:val="18"/>
              </w:rPr>
            </w:pPr>
            <w:r w:rsidRPr="00B14E28">
              <w:rPr>
                <w:b/>
                <w:i/>
                <w:sz w:val="18"/>
                <w:szCs w:val="18"/>
              </w:rPr>
              <w:t xml:space="preserve"> Subtotal</w:t>
            </w:r>
          </w:p>
        </w:tc>
        <w:tc>
          <w:tcPr>
            <w:tcW w:w="1559" w:type="dxa"/>
            <w:tcBorders>
              <w:top w:val="nil"/>
              <w:left w:val="nil"/>
              <w:bottom w:val="single" w:sz="4" w:space="0" w:color="auto"/>
            </w:tcBorders>
          </w:tcPr>
          <w:p w:rsidR="004D5254" w:rsidRPr="00B14E28" w:rsidRDefault="004D5254" w:rsidP="00C80331">
            <w:pPr>
              <w:keepNext/>
              <w:autoSpaceDE w:val="0"/>
              <w:autoSpaceDN w:val="0"/>
              <w:adjustRightInd w:val="0"/>
              <w:spacing w:before="40" w:after="40"/>
              <w:rPr>
                <w:b/>
                <w:i/>
                <w:sz w:val="18"/>
                <w:szCs w:val="18"/>
              </w:rPr>
            </w:pPr>
          </w:p>
        </w:tc>
        <w:tc>
          <w:tcPr>
            <w:tcW w:w="1418"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8"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88</w:t>
            </w: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42</w:t>
            </w: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6</w:t>
            </w: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p>
        </w:tc>
        <w:tc>
          <w:tcPr>
            <w:tcW w:w="708"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17</w:t>
            </w:r>
          </w:p>
        </w:tc>
        <w:tc>
          <w:tcPr>
            <w:tcW w:w="709"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17</w:t>
            </w:r>
          </w:p>
        </w:tc>
        <w:tc>
          <w:tcPr>
            <w:tcW w:w="793" w:type="dxa"/>
            <w:tcBorders>
              <w:top w:val="nil"/>
              <w:bottom w:val="single" w:sz="4" w:space="0" w:color="auto"/>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153</w:t>
            </w:r>
          </w:p>
        </w:tc>
      </w:tr>
      <w:tr w:rsidR="004D5254" w:rsidTr="00C80331">
        <w:tc>
          <w:tcPr>
            <w:tcW w:w="1526" w:type="dxa"/>
            <w:tcBorders>
              <w:top w:val="single" w:sz="4" w:space="0" w:color="auto"/>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b/>
                <w:sz w:val="18"/>
                <w:szCs w:val="18"/>
              </w:rPr>
              <w:t>Population 6</w:t>
            </w:r>
          </w:p>
        </w:tc>
        <w:tc>
          <w:tcPr>
            <w:tcW w:w="1559" w:type="dxa"/>
            <w:tcBorders>
              <w:top w:val="single" w:sz="4" w:space="0" w:color="auto"/>
              <w:left w:val="nil"/>
              <w:bottom w:val="nil"/>
            </w:tcBorders>
          </w:tcPr>
          <w:p w:rsidR="004D5254" w:rsidRPr="00B14E28" w:rsidRDefault="004D5254" w:rsidP="00C80331">
            <w:pPr>
              <w:keepNext/>
              <w:autoSpaceDE w:val="0"/>
              <w:autoSpaceDN w:val="0"/>
              <w:adjustRightInd w:val="0"/>
              <w:spacing w:before="40" w:after="40"/>
              <w:rPr>
                <w:i/>
                <w:sz w:val="18"/>
                <w:szCs w:val="18"/>
              </w:rPr>
            </w:pPr>
          </w:p>
        </w:tc>
        <w:tc>
          <w:tcPr>
            <w:tcW w:w="1418"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single" w:sz="4" w:space="0" w:color="auto"/>
              <w:bottom w:val="nil"/>
            </w:tcBorders>
          </w:tcPr>
          <w:p w:rsidR="004D5254" w:rsidRPr="00B14E28" w:rsidRDefault="004D5254" w:rsidP="00C80331">
            <w:pPr>
              <w:keepNext/>
              <w:autoSpaceDE w:val="0"/>
              <w:autoSpaceDN w:val="0"/>
              <w:adjustRightInd w:val="0"/>
              <w:spacing w:before="40" w:after="40"/>
              <w:jc w:val="center"/>
              <w:rPr>
                <w:sz w:val="18"/>
                <w:szCs w:val="18"/>
              </w:rPr>
            </w:pPr>
          </w:p>
        </w:tc>
      </w:tr>
      <w:tr w:rsidR="004D5254" w:rsidTr="00C80331">
        <w:tc>
          <w:tcPr>
            <w:tcW w:w="1526" w:type="dxa"/>
            <w:tcBorders>
              <w:top w:val="nil"/>
              <w:bottom w:val="nil"/>
              <w:right w:val="nil"/>
            </w:tcBorders>
          </w:tcPr>
          <w:p w:rsidR="004D5254" w:rsidRPr="00B14E28" w:rsidRDefault="004D5254" w:rsidP="00C80331">
            <w:pPr>
              <w:keepNext/>
              <w:autoSpaceDE w:val="0"/>
              <w:autoSpaceDN w:val="0"/>
              <w:adjustRightInd w:val="0"/>
              <w:spacing w:before="40" w:after="40"/>
              <w:rPr>
                <w:sz w:val="18"/>
                <w:szCs w:val="18"/>
              </w:rPr>
            </w:pPr>
            <w:r w:rsidRPr="00B14E28">
              <w:rPr>
                <w:sz w:val="18"/>
                <w:szCs w:val="18"/>
              </w:rPr>
              <w:t xml:space="preserve"> PDX-01</w:t>
            </w:r>
          </w:p>
        </w:tc>
        <w:tc>
          <w:tcPr>
            <w:tcW w:w="1559" w:type="dxa"/>
            <w:tcBorders>
              <w:top w:val="nil"/>
              <w:left w:val="nil"/>
              <w:bottom w:val="nil"/>
            </w:tcBorders>
          </w:tcPr>
          <w:p w:rsidR="004D5254" w:rsidRPr="00B14E28" w:rsidRDefault="004D5254" w:rsidP="00C80331">
            <w:pPr>
              <w:keepNext/>
              <w:autoSpaceDE w:val="0"/>
              <w:autoSpaceDN w:val="0"/>
              <w:adjustRightInd w:val="0"/>
              <w:spacing w:before="40" w:after="40"/>
              <w:rPr>
                <w:i/>
                <w:sz w:val="18"/>
                <w:szCs w:val="18"/>
              </w:rPr>
            </w:pPr>
            <w:r w:rsidRPr="00B14E28">
              <w:rPr>
                <w:i/>
                <w:sz w:val="18"/>
                <w:szCs w:val="18"/>
              </w:rPr>
              <w:t>Mass balance</w:t>
            </w:r>
            <w:r w:rsidRPr="00B14E28">
              <w:rPr>
                <w:i/>
                <w:sz w:val="18"/>
                <w:szCs w:val="18"/>
                <w:vertAlign w:val="superscript"/>
              </w:rPr>
              <w:t>@</w:t>
            </w:r>
          </w:p>
        </w:tc>
        <w:tc>
          <w:tcPr>
            <w:tcW w:w="141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2</w:t>
            </w: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8"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09"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p>
        </w:tc>
        <w:tc>
          <w:tcPr>
            <w:tcW w:w="793" w:type="dxa"/>
            <w:tcBorders>
              <w:top w:val="nil"/>
              <w:bottom w:val="nil"/>
            </w:tcBorders>
          </w:tcPr>
          <w:p w:rsidR="004D5254" w:rsidRPr="00B14E28" w:rsidRDefault="004D5254" w:rsidP="00C80331">
            <w:pPr>
              <w:keepNext/>
              <w:autoSpaceDE w:val="0"/>
              <w:autoSpaceDN w:val="0"/>
              <w:adjustRightInd w:val="0"/>
              <w:spacing w:before="40" w:after="40"/>
              <w:jc w:val="center"/>
              <w:rPr>
                <w:sz w:val="18"/>
                <w:szCs w:val="18"/>
              </w:rPr>
            </w:pPr>
            <w:r w:rsidRPr="00B14E28">
              <w:rPr>
                <w:sz w:val="18"/>
                <w:szCs w:val="18"/>
              </w:rPr>
              <w:t>2</w:t>
            </w:r>
          </w:p>
        </w:tc>
      </w:tr>
      <w:tr w:rsidR="004D5254" w:rsidTr="00C80331">
        <w:tc>
          <w:tcPr>
            <w:tcW w:w="1526" w:type="dxa"/>
            <w:tcBorders>
              <w:top w:val="nil"/>
              <w:right w:val="nil"/>
            </w:tcBorders>
          </w:tcPr>
          <w:p w:rsidR="004D5254" w:rsidRPr="00B14E28" w:rsidRDefault="004D5254" w:rsidP="00C80331">
            <w:pPr>
              <w:keepNext/>
              <w:autoSpaceDE w:val="0"/>
              <w:autoSpaceDN w:val="0"/>
              <w:adjustRightInd w:val="0"/>
              <w:spacing w:before="40" w:after="40"/>
              <w:rPr>
                <w:b/>
                <w:i/>
                <w:sz w:val="18"/>
                <w:szCs w:val="18"/>
              </w:rPr>
            </w:pPr>
            <w:r w:rsidRPr="00B14E28">
              <w:rPr>
                <w:b/>
                <w:i/>
                <w:sz w:val="18"/>
                <w:szCs w:val="18"/>
              </w:rPr>
              <w:t xml:space="preserve"> Subtotal</w:t>
            </w:r>
          </w:p>
        </w:tc>
        <w:tc>
          <w:tcPr>
            <w:tcW w:w="1559" w:type="dxa"/>
            <w:tcBorders>
              <w:top w:val="nil"/>
              <w:left w:val="nil"/>
            </w:tcBorders>
          </w:tcPr>
          <w:p w:rsidR="004D5254" w:rsidRPr="00B14E28" w:rsidRDefault="004D5254" w:rsidP="00C80331">
            <w:pPr>
              <w:keepNext/>
              <w:autoSpaceDE w:val="0"/>
              <w:autoSpaceDN w:val="0"/>
              <w:adjustRightInd w:val="0"/>
              <w:spacing w:before="40" w:after="40"/>
              <w:rPr>
                <w:b/>
                <w:i/>
                <w:sz w:val="18"/>
                <w:szCs w:val="18"/>
              </w:rPr>
            </w:pPr>
          </w:p>
        </w:tc>
        <w:tc>
          <w:tcPr>
            <w:tcW w:w="1418" w:type="dxa"/>
            <w:tcBorders>
              <w:top w:val="nil"/>
            </w:tcBorders>
          </w:tcPr>
          <w:p w:rsidR="004D5254" w:rsidRPr="00B14E28" w:rsidRDefault="004D5254" w:rsidP="00C80331">
            <w:pPr>
              <w:keepNext/>
              <w:autoSpaceDE w:val="0"/>
              <w:autoSpaceDN w:val="0"/>
              <w:adjustRightInd w:val="0"/>
              <w:spacing w:before="40" w:after="40"/>
              <w:jc w:val="center"/>
              <w:rPr>
                <w:b/>
                <w:i/>
                <w:sz w:val="18"/>
                <w:szCs w:val="18"/>
              </w:rPr>
            </w:pPr>
          </w:p>
        </w:tc>
        <w:tc>
          <w:tcPr>
            <w:tcW w:w="708" w:type="dxa"/>
            <w:tcBorders>
              <w:top w:val="nil"/>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2</w:t>
            </w:r>
          </w:p>
        </w:tc>
        <w:tc>
          <w:tcPr>
            <w:tcW w:w="709" w:type="dxa"/>
            <w:tcBorders>
              <w:top w:val="nil"/>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tcBorders>
          </w:tcPr>
          <w:p w:rsidR="004D5254" w:rsidRPr="00B14E28" w:rsidRDefault="004D5254" w:rsidP="00C80331">
            <w:pPr>
              <w:keepNext/>
              <w:autoSpaceDE w:val="0"/>
              <w:autoSpaceDN w:val="0"/>
              <w:adjustRightInd w:val="0"/>
              <w:spacing w:before="40" w:after="40"/>
              <w:jc w:val="center"/>
              <w:rPr>
                <w:b/>
                <w:i/>
                <w:sz w:val="18"/>
                <w:szCs w:val="18"/>
              </w:rPr>
            </w:pPr>
          </w:p>
        </w:tc>
        <w:tc>
          <w:tcPr>
            <w:tcW w:w="708" w:type="dxa"/>
            <w:tcBorders>
              <w:top w:val="nil"/>
            </w:tcBorders>
          </w:tcPr>
          <w:p w:rsidR="004D5254" w:rsidRPr="00B14E28" w:rsidRDefault="004D5254" w:rsidP="00C80331">
            <w:pPr>
              <w:keepNext/>
              <w:autoSpaceDE w:val="0"/>
              <w:autoSpaceDN w:val="0"/>
              <w:adjustRightInd w:val="0"/>
              <w:spacing w:before="40" w:after="40"/>
              <w:jc w:val="center"/>
              <w:rPr>
                <w:b/>
                <w:i/>
                <w:sz w:val="18"/>
                <w:szCs w:val="18"/>
              </w:rPr>
            </w:pPr>
          </w:p>
        </w:tc>
        <w:tc>
          <w:tcPr>
            <w:tcW w:w="709" w:type="dxa"/>
            <w:tcBorders>
              <w:top w:val="nil"/>
            </w:tcBorders>
          </w:tcPr>
          <w:p w:rsidR="004D5254" w:rsidRPr="00B14E28" w:rsidRDefault="004D5254" w:rsidP="00C80331">
            <w:pPr>
              <w:keepNext/>
              <w:autoSpaceDE w:val="0"/>
              <w:autoSpaceDN w:val="0"/>
              <w:adjustRightInd w:val="0"/>
              <w:spacing w:before="40" w:after="40"/>
              <w:jc w:val="center"/>
              <w:rPr>
                <w:b/>
                <w:i/>
                <w:sz w:val="18"/>
                <w:szCs w:val="18"/>
              </w:rPr>
            </w:pPr>
          </w:p>
        </w:tc>
        <w:tc>
          <w:tcPr>
            <w:tcW w:w="793" w:type="dxa"/>
            <w:tcBorders>
              <w:top w:val="nil"/>
            </w:tcBorders>
          </w:tcPr>
          <w:p w:rsidR="004D5254" w:rsidRPr="00B14E28" w:rsidRDefault="004D5254" w:rsidP="00C80331">
            <w:pPr>
              <w:keepNext/>
              <w:autoSpaceDE w:val="0"/>
              <w:autoSpaceDN w:val="0"/>
              <w:adjustRightInd w:val="0"/>
              <w:spacing w:before="40" w:after="40"/>
              <w:jc w:val="center"/>
              <w:rPr>
                <w:b/>
                <w:i/>
                <w:sz w:val="18"/>
                <w:szCs w:val="18"/>
              </w:rPr>
            </w:pPr>
            <w:r w:rsidRPr="00B14E28">
              <w:rPr>
                <w:b/>
                <w:i/>
                <w:sz w:val="18"/>
                <w:szCs w:val="18"/>
              </w:rPr>
              <w:t>2</w:t>
            </w:r>
          </w:p>
        </w:tc>
      </w:tr>
      <w:tr w:rsidR="004D5254" w:rsidRPr="005A374E" w:rsidTr="00C80331">
        <w:tc>
          <w:tcPr>
            <w:tcW w:w="3085" w:type="dxa"/>
            <w:gridSpan w:val="2"/>
          </w:tcPr>
          <w:p w:rsidR="004D5254" w:rsidRPr="00B14E28" w:rsidRDefault="004D5254" w:rsidP="00C80331">
            <w:pPr>
              <w:keepNext/>
              <w:autoSpaceDE w:val="0"/>
              <w:autoSpaceDN w:val="0"/>
              <w:adjustRightInd w:val="0"/>
              <w:spacing w:before="40" w:after="40"/>
              <w:rPr>
                <w:b/>
                <w:sz w:val="18"/>
                <w:szCs w:val="18"/>
              </w:rPr>
            </w:pPr>
            <w:r w:rsidRPr="00B14E28">
              <w:rPr>
                <w:b/>
                <w:sz w:val="18"/>
                <w:szCs w:val="18"/>
              </w:rPr>
              <w:lastRenderedPageBreak/>
              <w:t>TOTAL</w:t>
            </w:r>
          </w:p>
        </w:tc>
        <w:tc>
          <w:tcPr>
            <w:tcW w:w="1418" w:type="dxa"/>
          </w:tcPr>
          <w:p w:rsidR="004D5254" w:rsidRPr="00B14E28" w:rsidRDefault="004D5254" w:rsidP="00C80331">
            <w:pPr>
              <w:keepNext/>
              <w:autoSpaceDE w:val="0"/>
              <w:autoSpaceDN w:val="0"/>
              <w:adjustRightInd w:val="0"/>
              <w:spacing w:before="40" w:after="40"/>
              <w:jc w:val="center"/>
              <w:rPr>
                <w:b/>
                <w:sz w:val="18"/>
                <w:szCs w:val="18"/>
              </w:rPr>
            </w:pPr>
            <w:r w:rsidRPr="00B14E28">
              <w:rPr>
                <w:b/>
                <w:sz w:val="18"/>
                <w:szCs w:val="18"/>
              </w:rPr>
              <w:t>73</w:t>
            </w:r>
          </w:p>
        </w:tc>
        <w:tc>
          <w:tcPr>
            <w:tcW w:w="708" w:type="dxa"/>
          </w:tcPr>
          <w:p w:rsidR="004D5254" w:rsidRPr="00B14E28" w:rsidRDefault="004D5254" w:rsidP="00C80331">
            <w:pPr>
              <w:keepNext/>
              <w:autoSpaceDE w:val="0"/>
              <w:autoSpaceDN w:val="0"/>
              <w:adjustRightInd w:val="0"/>
              <w:spacing w:before="40" w:after="40"/>
              <w:jc w:val="center"/>
              <w:rPr>
                <w:b/>
                <w:sz w:val="18"/>
                <w:szCs w:val="18"/>
              </w:rPr>
            </w:pPr>
            <w:r w:rsidRPr="00B14E28">
              <w:rPr>
                <w:b/>
                <w:sz w:val="18"/>
                <w:szCs w:val="18"/>
              </w:rPr>
              <w:t>378</w:t>
            </w:r>
          </w:p>
        </w:tc>
        <w:tc>
          <w:tcPr>
            <w:tcW w:w="709" w:type="dxa"/>
          </w:tcPr>
          <w:p w:rsidR="004D5254" w:rsidRPr="00B14E28" w:rsidRDefault="004D5254" w:rsidP="00C80331">
            <w:pPr>
              <w:keepNext/>
              <w:autoSpaceDE w:val="0"/>
              <w:autoSpaceDN w:val="0"/>
              <w:adjustRightInd w:val="0"/>
              <w:spacing w:before="40" w:after="40"/>
              <w:jc w:val="center"/>
              <w:rPr>
                <w:b/>
                <w:sz w:val="18"/>
                <w:szCs w:val="18"/>
              </w:rPr>
            </w:pPr>
            <w:r w:rsidRPr="00B14E28">
              <w:rPr>
                <w:b/>
                <w:sz w:val="18"/>
                <w:szCs w:val="18"/>
              </w:rPr>
              <w:t>42</w:t>
            </w:r>
          </w:p>
        </w:tc>
        <w:tc>
          <w:tcPr>
            <w:tcW w:w="709" w:type="dxa"/>
          </w:tcPr>
          <w:p w:rsidR="004D5254" w:rsidRPr="00B14E28" w:rsidRDefault="004D5254" w:rsidP="00C80331">
            <w:pPr>
              <w:keepNext/>
              <w:autoSpaceDE w:val="0"/>
              <w:autoSpaceDN w:val="0"/>
              <w:adjustRightInd w:val="0"/>
              <w:spacing w:before="40" w:after="40"/>
              <w:jc w:val="center"/>
              <w:rPr>
                <w:b/>
                <w:sz w:val="18"/>
                <w:szCs w:val="18"/>
              </w:rPr>
            </w:pPr>
            <w:r w:rsidRPr="00B14E28">
              <w:rPr>
                <w:b/>
                <w:sz w:val="18"/>
                <w:szCs w:val="18"/>
              </w:rPr>
              <w:t>6</w:t>
            </w:r>
          </w:p>
        </w:tc>
        <w:tc>
          <w:tcPr>
            <w:tcW w:w="709" w:type="dxa"/>
          </w:tcPr>
          <w:p w:rsidR="004D5254" w:rsidRPr="00B14E28" w:rsidRDefault="004D5254" w:rsidP="00C80331">
            <w:pPr>
              <w:keepNext/>
              <w:autoSpaceDE w:val="0"/>
              <w:autoSpaceDN w:val="0"/>
              <w:adjustRightInd w:val="0"/>
              <w:spacing w:before="40" w:after="40"/>
              <w:jc w:val="center"/>
              <w:rPr>
                <w:b/>
                <w:sz w:val="18"/>
                <w:szCs w:val="18"/>
              </w:rPr>
            </w:pPr>
            <w:r w:rsidRPr="00B14E28">
              <w:rPr>
                <w:b/>
                <w:sz w:val="18"/>
                <w:szCs w:val="18"/>
              </w:rPr>
              <w:t>62</w:t>
            </w:r>
          </w:p>
        </w:tc>
        <w:tc>
          <w:tcPr>
            <w:tcW w:w="708" w:type="dxa"/>
          </w:tcPr>
          <w:p w:rsidR="004D5254" w:rsidRPr="00B14E28" w:rsidRDefault="004D5254" w:rsidP="00C80331">
            <w:pPr>
              <w:keepNext/>
              <w:autoSpaceDE w:val="0"/>
              <w:autoSpaceDN w:val="0"/>
              <w:adjustRightInd w:val="0"/>
              <w:spacing w:before="40" w:after="40"/>
              <w:jc w:val="center"/>
              <w:rPr>
                <w:b/>
                <w:sz w:val="18"/>
                <w:szCs w:val="18"/>
              </w:rPr>
            </w:pPr>
            <w:r w:rsidRPr="00B14E28">
              <w:rPr>
                <w:b/>
                <w:sz w:val="18"/>
                <w:szCs w:val="18"/>
              </w:rPr>
              <w:t>17</w:t>
            </w:r>
          </w:p>
        </w:tc>
        <w:tc>
          <w:tcPr>
            <w:tcW w:w="709" w:type="dxa"/>
          </w:tcPr>
          <w:p w:rsidR="004D5254" w:rsidRPr="00B14E28" w:rsidRDefault="004D5254" w:rsidP="00C80331">
            <w:pPr>
              <w:keepNext/>
              <w:autoSpaceDE w:val="0"/>
              <w:autoSpaceDN w:val="0"/>
              <w:adjustRightInd w:val="0"/>
              <w:spacing w:before="40" w:after="40"/>
              <w:jc w:val="center"/>
              <w:rPr>
                <w:b/>
                <w:sz w:val="18"/>
                <w:szCs w:val="18"/>
              </w:rPr>
            </w:pPr>
            <w:r w:rsidRPr="00B14E28">
              <w:rPr>
                <w:b/>
                <w:sz w:val="18"/>
                <w:szCs w:val="18"/>
              </w:rPr>
              <w:t>127</w:t>
            </w:r>
          </w:p>
        </w:tc>
        <w:tc>
          <w:tcPr>
            <w:tcW w:w="793" w:type="dxa"/>
          </w:tcPr>
          <w:p w:rsidR="004D5254" w:rsidRPr="00B14E28" w:rsidRDefault="004D5254" w:rsidP="00C80331">
            <w:pPr>
              <w:keepNext/>
              <w:autoSpaceDE w:val="0"/>
              <w:autoSpaceDN w:val="0"/>
              <w:adjustRightInd w:val="0"/>
              <w:spacing w:before="40" w:after="40"/>
              <w:jc w:val="center"/>
              <w:rPr>
                <w:b/>
                <w:sz w:val="18"/>
                <w:szCs w:val="18"/>
              </w:rPr>
            </w:pPr>
            <w:r w:rsidRPr="00B14E28">
              <w:rPr>
                <w:b/>
                <w:sz w:val="18"/>
                <w:szCs w:val="18"/>
              </w:rPr>
              <w:t>578</w:t>
            </w:r>
          </w:p>
        </w:tc>
      </w:tr>
    </w:tbl>
    <w:p w:rsidR="004D5254" w:rsidRDefault="004D5254" w:rsidP="004D5254">
      <w:pPr>
        <w:keepNext/>
        <w:autoSpaceDE w:val="0"/>
        <w:autoSpaceDN w:val="0"/>
        <w:adjustRightInd w:val="0"/>
        <w:rPr>
          <w:rFonts w:eastAsia="TimesNewRoman" w:cs="TimesNewRoman"/>
          <w:sz w:val="18"/>
          <w:szCs w:val="18"/>
        </w:rPr>
      </w:pPr>
      <w:r w:rsidRPr="00303C7E">
        <w:rPr>
          <w:sz w:val="18"/>
          <w:szCs w:val="18"/>
          <w:vertAlign w:val="superscript"/>
        </w:rPr>
        <w:t>*</w:t>
      </w:r>
      <w:r w:rsidRPr="00303C7E">
        <w:rPr>
          <w:sz w:val="18"/>
          <w:szCs w:val="18"/>
        </w:rPr>
        <w:t xml:space="preserve"> denotes patients who did not receive vitamin B12/folate supplementation</w:t>
      </w:r>
      <w:r>
        <w:rPr>
          <w:sz w:val="18"/>
          <w:szCs w:val="18"/>
        </w:rPr>
        <w:t xml:space="preserve">; </w:t>
      </w:r>
      <w:r w:rsidRPr="00303C7E">
        <w:rPr>
          <w:sz w:val="18"/>
          <w:szCs w:val="18"/>
          <w:vertAlign w:val="superscript"/>
        </w:rPr>
        <w:t>#</w:t>
      </w:r>
      <w:r w:rsidRPr="00303C7E">
        <w:rPr>
          <w:sz w:val="18"/>
          <w:szCs w:val="18"/>
        </w:rPr>
        <w:t xml:space="preserve"> </w:t>
      </w:r>
      <w:r>
        <w:rPr>
          <w:sz w:val="18"/>
          <w:szCs w:val="18"/>
        </w:rPr>
        <w:t xml:space="preserve">patients only </w:t>
      </w:r>
      <w:r w:rsidRPr="00303C7E">
        <w:rPr>
          <w:sz w:val="18"/>
          <w:szCs w:val="18"/>
        </w:rPr>
        <w:t>received folate supplementation for significant stomatitis</w:t>
      </w:r>
      <w:r>
        <w:rPr>
          <w:sz w:val="18"/>
          <w:szCs w:val="18"/>
        </w:rPr>
        <w:t>;</w:t>
      </w:r>
      <w:r w:rsidRPr="00303C7E">
        <w:rPr>
          <w:sz w:val="18"/>
          <w:szCs w:val="18"/>
          <w:vertAlign w:val="superscript"/>
        </w:rPr>
        <w:t>$</w:t>
      </w:r>
      <w:r w:rsidRPr="00303C7E">
        <w:rPr>
          <w:sz w:val="18"/>
          <w:szCs w:val="18"/>
        </w:rPr>
        <w:t>vitamin B12/folate supplementation was implemented part way through study</w:t>
      </w:r>
      <w:r>
        <w:rPr>
          <w:sz w:val="18"/>
          <w:szCs w:val="18"/>
        </w:rPr>
        <w:t>.</w:t>
      </w:r>
      <w:r w:rsidRPr="00303C7E">
        <w:rPr>
          <w:sz w:val="18"/>
          <w:szCs w:val="18"/>
        </w:rPr>
        <w:t xml:space="preserve"> 14/48 patients did not receive vitamins</w:t>
      </w:r>
      <w:r>
        <w:rPr>
          <w:sz w:val="18"/>
          <w:szCs w:val="18"/>
        </w:rPr>
        <w:t xml:space="preserve">; </w:t>
      </w:r>
      <w:r w:rsidRPr="00303C7E">
        <w:rPr>
          <w:sz w:val="18"/>
          <w:szCs w:val="18"/>
          <w:vertAlign w:val="superscript"/>
        </w:rPr>
        <w:t>@</w:t>
      </w:r>
      <w:r w:rsidRPr="00303C7E">
        <w:rPr>
          <w:sz w:val="18"/>
          <w:szCs w:val="18"/>
        </w:rPr>
        <w:t xml:space="preserve"> </w:t>
      </w:r>
      <w:r>
        <w:rPr>
          <w:sz w:val="18"/>
          <w:szCs w:val="18"/>
        </w:rPr>
        <w:t xml:space="preserve">patients with </w:t>
      </w:r>
      <w:r w:rsidRPr="00303C7E">
        <w:rPr>
          <w:sz w:val="18"/>
          <w:szCs w:val="18"/>
        </w:rPr>
        <w:t>solid tumour or NHL (to date only solid tumour patients enrolled)</w:t>
      </w:r>
      <w:r>
        <w:rPr>
          <w:sz w:val="18"/>
          <w:szCs w:val="18"/>
        </w:rPr>
        <w:t xml:space="preserve">; </w:t>
      </w:r>
      <w:r w:rsidRPr="00630968">
        <w:rPr>
          <w:sz w:val="18"/>
          <w:szCs w:val="18"/>
          <w:vertAlign w:val="superscript"/>
        </w:rPr>
        <w:t>^</w:t>
      </w:r>
      <w:r>
        <w:rPr>
          <w:sz w:val="18"/>
          <w:szCs w:val="18"/>
        </w:rPr>
        <w:t xml:space="preserve"> the comparator in Study PDX-012 is erlotinib </w:t>
      </w:r>
      <w:r w:rsidRPr="00303C7E">
        <w:rPr>
          <w:rFonts w:eastAsia="TimesNewRoman" w:cs="TimesNewRoman"/>
          <w:sz w:val="18"/>
          <w:szCs w:val="18"/>
        </w:rPr>
        <w:t>PTCL = peripheral T-cell lymphoma</w:t>
      </w:r>
      <w:r>
        <w:rPr>
          <w:rFonts w:eastAsia="TimesNewRoman" w:cs="TimesNewRoman"/>
          <w:sz w:val="18"/>
          <w:szCs w:val="18"/>
        </w:rPr>
        <w:t xml:space="preserve">; </w:t>
      </w:r>
      <w:r w:rsidRPr="00303C7E">
        <w:rPr>
          <w:rFonts w:eastAsia="TimesNewRoman" w:cs="TimesNewRoman"/>
          <w:sz w:val="18"/>
          <w:szCs w:val="18"/>
        </w:rPr>
        <w:t>BC</w:t>
      </w:r>
      <w:r>
        <w:rPr>
          <w:rFonts w:eastAsia="TimesNewRoman" w:cs="TimesNewRoman"/>
          <w:sz w:val="18"/>
          <w:szCs w:val="18"/>
        </w:rPr>
        <w:t>NH</w:t>
      </w:r>
      <w:r w:rsidRPr="00303C7E">
        <w:rPr>
          <w:rFonts w:eastAsia="TimesNewRoman" w:cs="TimesNewRoman"/>
          <w:sz w:val="18"/>
          <w:szCs w:val="18"/>
        </w:rPr>
        <w:t xml:space="preserve">L = B-cell </w:t>
      </w:r>
      <w:r>
        <w:rPr>
          <w:rFonts w:eastAsia="TimesNewRoman" w:cs="TimesNewRoman"/>
          <w:sz w:val="18"/>
          <w:szCs w:val="18"/>
        </w:rPr>
        <w:t xml:space="preserve">non Hodgkin’s </w:t>
      </w:r>
      <w:r w:rsidRPr="00303C7E">
        <w:rPr>
          <w:rFonts w:eastAsia="TimesNewRoman" w:cs="TimesNewRoman"/>
          <w:sz w:val="18"/>
          <w:szCs w:val="18"/>
        </w:rPr>
        <w:t>lymphoma</w:t>
      </w:r>
      <w:r>
        <w:rPr>
          <w:rFonts w:eastAsia="TimesNewRoman" w:cs="TimesNewRoman"/>
          <w:sz w:val="18"/>
          <w:szCs w:val="18"/>
        </w:rPr>
        <w:t xml:space="preserve">; </w:t>
      </w:r>
      <w:r w:rsidRPr="00303C7E">
        <w:rPr>
          <w:rFonts w:eastAsia="TimesNewRoman" w:cs="TimesNewRoman"/>
          <w:sz w:val="18"/>
          <w:szCs w:val="18"/>
        </w:rPr>
        <w:t>HL = Hodgkin’s lymphoma</w:t>
      </w:r>
      <w:r>
        <w:rPr>
          <w:rFonts w:eastAsia="TimesNewRoman" w:cs="TimesNewRoman"/>
          <w:sz w:val="18"/>
          <w:szCs w:val="18"/>
        </w:rPr>
        <w:t xml:space="preserve">; </w:t>
      </w:r>
      <w:r w:rsidRPr="00303C7E">
        <w:rPr>
          <w:rFonts w:eastAsia="TimesNewRoman" w:cs="TimesNewRoman"/>
          <w:sz w:val="18"/>
          <w:szCs w:val="18"/>
        </w:rPr>
        <w:t>CTCL = cutaneous T-cell lymphoma</w:t>
      </w:r>
      <w:r>
        <w:rPr>
          <w:rFonts w:eastAsia="TimesNewRoman" w:cs="TimesNewRoman"/>
          <w:sz w:val="18"/>
          <w:szCs w:val="18"/>
        </w:rPr>
        <w:t xml:space="preserve">; </w:t>
      </w:r>
      <w:r w:rsidRPr="00303C7E">
        <w:rPr>
          <w:rFonts w:eastAsia="TimesNewRoman" w:cs="TimesNewRoman"/>
          <w:sz w:val="18"/>
          <w:szCs w:val="18"/>
        </w:rPr>
        <w:t>NSCLC = non-small cell lung cancer</w:t>
      </w:r>
      <w:r>
        <w:rPr>
          <w:rFonts w:eastAsia="TimesNewRoman" w:cs="TimesNewRoman"/>
          <w:sz w:val="18"/>
          <w:szCs w:val="18"/>
        </w:rPr>
        <w:t xml:space="preserve">; </w:t>
      </w:r>
      <w:r w:rsidRPr="00303C7E">
        <w:rPr>
          <w:rFonts w:eastAsia="TimesNewRoman" w:cs="TimesNewRoman"/>
          <w:sz w:val="18"/>
          <w:szCs w:val="18"/>
        </w:rPr>
        <w:t xml:space="preserve">TCC = transitional cell </w:t>
      </w:r>
      <w:r>
        <w:rPr>
          <w:rFonts w:eastAsia="TimesNewRoman" w:cs="TimesNewRoman"/>
          <w:sz w:val="18"/>
          <w:szCs w:val="18"/>
        </w:rPr>
        <w:t>carcinoma; PDX = pralatrexate; DOC = docetaxel; PAC = paclitaxel; GEM = gemcitabine; PRO = probenecid</w:t>
      </w:r>
    </w:p>
    <w:p w:rsidR="004D5254" w:rsidRPr="000408AA" w:rsidRDefault="004D5254" w:rsidP="004D5254">
      <w:pPr>
        <w:pStyle w:val="ListBullet"/>
        <w:numPr>
          <w:ilvl w:val="0"/>
          <w:numId w:val="1"/>
        </w:numPr>
      </w:pPr>
      <w:r w:rsidRPr="00630968">
        <w:t xml:space="preserve">75 patients received pralatrexate without any vitamin supplementation (in PDX-97-006 and the early stages of </w:t>
      </w:r>
      <w:r>
        <w:t>S</w:t>
      </w:r>
      <w:r w:rsidRPr="00630968">
        <w:t>tudies PDX-99-083 and PDX-02-078) and a further 39 received folate supplementation only in the event of “significant” stomatitis (PDX-99-053).</w:t>
      </w:r>
      <w:r>
        <w:t xml:space="preserve"> </w:t>
      </w:r>
      <w:r w:rsidRPr="00630968">
        <w:t xml:space="preserve">With regard to </w:t>
      </w:r>
      <w:r>
        <w:t>Study PDX-</w:t>
      </w:r>
      <w:r w:rsidRPr="00630968">
        <w:t xml:space="preserve">02-078, in the first 2 versions of the protocol no patients received vitamin supplementation as part of the study procedures; however, with the second amendment of the protocol (early 2003), patients with </w:t>
      </w:r>
      <w:r>
        <w:t>≥</w:t>
      </w:r>
      <w:r w:rsidRPr="00630968">
        <w:t xml:space="preserve"> Grade 2 stomatitis received vitamin supplementation.</w:t>
      </w:r>
      <w:r>
        <w:t xml:space="preserve"> After</w:t>
      </w:r>
      <w:r w:rsidRPr="000408AA">
        <w:t xml:space="preserve"> the third amendment of the protocol (mid 2004), all patients received vitamin supplementation.</w:t>
      </w:r>
      <w:r>
        <w:t xml:space="preserve"> </w:t>
      </w:r>
      <w:r w:rsidRPr="000408AA">
        <w:t>Consequently, 4 patients with PTCL in that study did not receive any vitamin supplementation.</w:t>
      </w:r>
    </w:p>
    <w:p w:rsidR="004D5254" w:rsidRDefault="004D5254" w:rsidP="004D5254">
      <w:pPr>
        <w:rPr>
          <w:color w:val="000000"/>
        </w:rPr>
      </w:pPr>
      <w:r>
        <w:t xml:space="preserve">As at 31 January 2011, 519 patients had received pralatrexate as a single agent and 172 patients received pralatrexate in combination with other chemotherapeutic agents. A total of 355 patients had a lymphoproliferative malignancy and, of these, 248 received pralatrexate as a single agent and 107 had received pralatrexate in combination with gemcitabine. It was not reported how many of the </w:t>
      </w:r>
      <w:r w:rsidRPr="00C37C3E">
        <w:rPr>
          <w:color w:val="000000"/>
        </w:rPr>
        <w:t>additional 45 patients</w:t>
      </w:r>
      <w:r>
        <w:rPr>
          <w:color w:val="000000"/>
        </w:rPr>
        <w:t xml:space="preserve"> enrolled in Study PDX-009 had PTCL.</w:t>
      </w:r>
    </w:p>
    <w:p w:rsidR="004D5254" w:rsidRDefault="004D5254" w:rsidP="004D5254">
      <w:pPr>
        <w:pStyle w:val="Heading6"/>
        <w:numPr>
          <w:ilvl w:val="0"/>
          <w:numId w:val="0"/>
        </w:numPr>
      </w:pPr>
      <w:r>
        <w:t>Exposure according to dose and duration</w:t>
      </w:r>
    </w:p>
    <w:p w:rsidR="004D5254" w:rsidRDefault="004D5254" w:rsidP="004D5254">
      <w:r>
        <w:t>The dose of p</w:t>
      </w:r>
      <w:r w:rsidRPr="00123B4B">
        <w:t>ralatrexate administered to patients across all studies ranged from 10-325 mg/m</w:t>
      </w:r>
      <w:r w:rsidRPr="00123B4B">
        <w:rPr>
          <w:vertAlign w:val="superscript"/>
        </w:rPr>
        <w:t>2</w:t>
      </w:r>
      <w:r>
        <w:t>.</w:t>
      </w:r>
      <w:r w:rsidRPr="00123B4B">
        <w:t xml:space="preserve"> </w:t>
      </w:r>
      <w:r>
        <w:t>A variety of administration</w:t>
      </w:r>
      <w:r w:rsidRPr="00123B4B">
        <w:t xml:space="preserve"> schedules</w:t>
      </w:r>
      <w:r>
        <w:t xml:space="preserve"> were also used, ranging from a dose every </w:t>
      </w:r>
      <w:r w:rsidRPr="00123B4B">
        <w:t>2 weeks</w:t>
      </w:r>
      <w:r>
        <w:t xml:space="preserve"> to </w:t>
      </w:r>
      <w:r w:rsidRPr="00123B4B">
        <w:t>weekly</w:t>
      </w:r>
      <w:r>
        <w:t xml:space="preserve"> doses</w:t>
      </w:r>
      <w:r w:rsidRPr="00123B4B">
        <w:t xml:space="preserve"> f</w:t>
      </w:r>
      <w:r>
        <w:t>or</w:t>
      </w:r>
      <w:r w:rsidRPr="00123B4B">
        <w:t xml:space="preserve"> 2 of 3 weeks,</w:t>
      </w:r>
      <w:r>
        <w:t xml:space="preserve"> </w:t>
      </w:r>
      <w:r w:rsidRPr="00123B4B">
        <w:t>3 of 4 weeks, and 6 of 7 weeks (each with 1 week of rest).</w:t>
      </w:r>
      <w:r>
        <w:t xml:space="preserve"> </w:t>
      </w:r>
    </w:p>
    <w:p w:rsidR="004D5254" w:rsidRDefault="004D5254" w:rsidP="004D5254">
      <w:r>
        <w:t xml:space="preserve">In the pivotal study, all 111 patients with PTCL initially received pralatrexate </w:t>
      </w:r>
      <w:r w:rsidRPr="00123B4B">
        <w:t>30 mg/m</w:t>
      </w:r>
      <w:r w:rsidRPr="00A83A88">
        <w:rPr>
          <w:vertAlign w:val="superscript"/>
        </w:rPr>
        <w:t>2</w:t>
      </w:r>
      <w:r w:rsidRPr="00123B4B">
        <w:t xml:space="preserve"> weekly for</w:t>
      </w:r>
      <w:r>
        <w:t xml:space="preserve"> </w:t>
      </w:r>
      <w:r w:rsidRPr="00123B4B">
        <w:t>6 weeks in a 7-week cycle.</w:t>
      </w:r>
      <w:r>
        <w:t xml:space="preserve"> </w:t>
      </w:r>
      <w:r>
        <w:rPr>
          <w:color w:val="000000"/>
        </w:rPr>
        <w:t>T</w:t>
      </w:r>
      <w:r w:rsidRPr="00A83A88">
        <w:rPr>
          <w:color w:val="000000"/>
        </w:rPr>
        <w:t>he majority of</w:t>
      </w:r>
      <w:r>
        <w:rPr>
          <w:color w:val="000000"/>
        </w:rPr>
        <w:t xml:space="preserve"> </w:t>
      </w:r>
      <w:r w:rsidRPr="00A83A88">
        <w:rPr>
          <w:color w:val="000000"/>
        </w:rPr>
        <w:t>patients (n = 76</w:t>
      </w:r>
      <w:r>
        <w:rPr>
          <w:color w:val="000000"/>
        </w:rPr>
        <w:t>;</w:t>
      </w:r>
      <w:r w:rsidRPr="00A83A88">
        <w:rPr>
          <w:color w:val="000000"/>
        </w:rPr>
        <w:t xml:space="preserve"> 68%) remained at this dose for the duration of </w:t>
      </w:r>
      <w:r>
        <w:rPr>
          <w:color w:val="000000"/>
        </w:rPr>
        <w:t xml:space="preserve">their </w:t>
      </w:r>
      <w:r w:rsidRPr="00A83A88">
        <w:rPr>
          <w:color w:val="000000"/>
        </w:rPr>
        <w:t>treatment</w:t>
      </w:r>
      <w:r>
        <w:rPr>
          <w:color w:val="000000"/>
        </w:rPr>
        <w:t xml:space="preserve">. </w:t>
      </w:r>
      <w:r w:rsidRPr="00A83A88">
        <w:rPr>
          <w:color w:val="000000"/>
        </w:rPr>
        <w:t>The pralatrexate dose was reduced from</w:t>
      </w:r>
      <w:r>
        <w:rPr>
          <w:color w:val="000000"/>
        </w:rPr>
        <w:t xml:space="preserve"> </w:t>
      </w:r>
      <w:r w:rsidRPr="00A83A88">
        <w:rPr>
          <w:color w:val="000000"/>
        </w:rPr>
        <w:t>30 mg/m</w:t>
      </w:r>
      <w:r w:rsidRPr="00A83A88">
        <w:rPr>
          <w:color w:val="000000"/>
          <w:vertAlign w:val="superscript"/>
        </w:rPr>
        <w:t>2</w:t>
      </w:r>
      <w:r w:rsidRPr="00A83A88">
        <w:rPr>
          <w:color w:val="000000"/>
        </w:rPr>
        <w:t xml:space="preserve"> to 20 mg/m</w:t>
      </w:r>
      <w:r w:rsidRPr="00A83A88">
        <w:rPr>
          <w:color w:val="000000"/>
          <w:vertAlign w:val="superscript"/>
        </w:rPr>
        <w:t>2</w:t>
      </w:r>
      <w:r w:rsidRPr="00A83A88">
        <w:rPr>
          <w:color w:val="000000"/>
        </w:rPr>
        <w:t xml:space="preserve"> </w:t>
      </w:r>
      <w:r>
        <w:rPr>
          <w:color w:val="000000"/>
        </w:rPr>
        <w:t>in the remaining</w:t>
      </w:r>
      <w:r w:rsidRPr="00A83A88">
        <w:rPr>
          <w:color w:val="000000"/>
        </w:rPr>
        <w:t xml:space="preserve"> 35 </w:t>
      </w:r>
      <w:r>
        <w:rPr>
          <w:color w:val="000000"/>
        </w:rPr>
        <w:t>(32%) patients</w:t>
      </w:r>
      <w:r w:rsidRPr="00A83A88">
        <w:rPr>
          <w:color w:val="000000"/>
        </w:rPr>
        <w:t>.</w:t>
      </w:r>
      <w:r>
        <w:rPr>
          <w:color w:val="000000"/>
        </w:rPr>
        <w:t xml:space="preserve"> D</w:t>
      </w:r>
      <w:r w:rsidRPr="00A83A88">
        <w:rPr>
          <w:color w:val="000000"/>
        </w:rPr>
        <w:t>ose reduction below 20 mg/m</w:t>
      </w:r>
      <w:r w:rsidRPr="00A83A88">
        <w:rPr>
          <w:color w:val="000000"/>
          <w:vertAlign w:val="superscript"/>
        </w:rPr>
        <w:t>2</w:t>
      </w:r>
      <w:r w:rsidRPr="00A83A88">
        <w:rPr>
          <w:color w:val="000000"/>
        </w:rPr>
        <w:t xml:space="preserve"> was not</w:t>
      </w:r>
      <w:r>
        <w:rPr>
          <w:color w:val="000000"/>
        </w:rPr>
        <w:t xml:space="preserve"> </w:t>
      </w:r>
      <w:r w:rsidRPr="00A83A88">
        <w:rPr>
          <w:color w:val="000000"/>
        </w:rPr>
        <w:t>allowed.</w:t>
      </w:r>
      <w:r>
        <w:rPr>
          <w:color w:val="000000"/>
        </w:rPr>
        <w:t xml:space="preserve"> </w:t>
      </w:r>
      <w:r w:rsidRPr="00A83A88">
        <w:t>The median duration of</w:t>
      </w:r>
      <w:r>
        <w:t xml:space="preserve"> </w:t>
      </w:r>
      <w:r w:rsidRPr="00A83A88">
        <w:t>treatment was 70 days (</w:t>
      </w:r>
      <w:r>
        <w:t xml:space="preserve">mean 121; </w:t>
      </w:r>
      <w:r w:rsidRPr="00A83A88">
        <w:t>range</w:t>
      </w:r>
      <w:r>
        <w:t>:</w:t>
      </w:r>
      <w:r w:rsidRPr="00A83A88">
        <w:t xml:space="preserve"> 1-696).</w:t>
      </w:r>
      <w:r>
        <w:t xml:space="preserve"> </w:t>
      </w:r>
      <w:r w:rsidRPr="00A83A88">
        <w:t>The median number of cycles</w:t>
      </w:r>
      <w:r>
        <w:t xml:space="preserve"> </w:t>
      </w:r>
      <w:r w:rsidRPr="00A83A88">
        <w:t>administered to patients (based on cycles initiated) was 2.0 (</w:t>
      </w:r>
      <w:r>
        <w:t xml:space="preserve">mean 3.0; </w:t>
      </w:r>
      <w:r w:rsidRPr="00A83A88">
        <w:t>range</w:t>
      </w:r>
      <w:r>
        <w:t>:</w:t>
      </w:r>
      <w:r w:rsidRPr="00A83A88">
        <w:t xml:space="preserve"> 1-14)</w:t>
      </w:r>
      <w:r>
        <w:t xml:space="preserve">. </w:t>
      </w:r>
      <w:r w:rsidRPr="00A83A88">
        <w:t>Nineteen (17%) patients were treated with pralatrexate for</w:t>
      </w:r>
      <w:r>
        <w:t xml:space="preserve"> ≥</w:t>
      </w:r>
      <w:r w:rsidRPr="00A83A88">
        <w:t xml:space="preserve"> 6 months and 10 (9%) patients were treated for </w:t>
      </w:r>
      <w:r>
        <w:t>≥</w:t>
      </w:r>
      <w:r w:rsidRPr="00A83A88">
        <w:t xml:space="preserve"> 1 year</w:t>
      </w:r>
      <w:r>
        <w:t>, including 13 (12%) patients treated for ≥</w:t>
      </w:r>
      <w:r w:rsidRPr="00A83A88">
        <w:t xml:space="preserve"> 6 months and </w:t>
      </w:r>
      <w:r>
        <w:t>5</w:t>
      </w:r>
      <w:r w:rsidRPr="00A83A88">
        <w:t xml:space="preserve"> </w:t>
      </w:r>
      <w:r>
        <w:t xml:space="preserve">(4.5%) </w:t>
      </w:r>
      <w:r w:rsidRPr="00A83A88">
        <w:t xml:space="preserve">patients treated for </w:t>
      </w:r>
      <w:r>
        <w:t>≥</w:t>
      </w:r>
      <w:r w:rsidRPr="00A83A88">
        <w:t xml:space="preserve"> 1 year</w:t>
      </w:r>
      <w:r>
        <w:t xml:space="preserve"> without a dose reduction at any time</w:t>
      </w:r>
      <w:r w:rsidRPr="00A83A88">
        <w:t>.</w:t>
      </w:r>
      <w:r>
        <w:t xml:space="preserve"> </w:t>
      </w:r>
      <w:r>
        <w:rPr>
          <w:color w:val="000000"/>
        </w:rPr>
        <w:t xml:space="preserve">The criteria for treatment modifications used in the study were summarised in the study report. A total of 76 (38%) patients required at least one dose omission mainly due to mucositis (n=46; 41%), thrombocytopaenia (n=28; 25%) and neutropaenia (n=14; 13%). Thirty five (32%) patients required a dose reduction and, once again, the most common cause was mucositis (n=25; 23%). Other reasons for dose reduction occurring in 2 or more patients were liver function abnormality, thrombocytopaenia and fatigue (all n=2; 2%). </w:t>
      </w:r>
      <w:r w:rsidRPr="00A83A88">
        <w:t xml:space="preserve">The median total dose </w:t>
      </w:r>
      <w:r>
        <w:t xml:space="preserve">of pralatrexate </w:t>
      </w:r>
      <w:r w:rsidRPr="00A83A88">
        <w:t>administered over the course of treatment was</w:t>
      </w:r>
      <w:r>
        <w:t xml:space="preserve"> </w:t>
      </w:r>
      <w:r w:rsidRPr="00A83A88">
        <w:t>208</w:t>
      </w:r>
      <w:r>
        <w:t xml:space="preserve"> </w:t>
      </w:r>
      <w:r w:rsidRPr="00A83A88">
        <w:t>mg/m</w:t>
      </w:r>
      <w:r w:rsidRPr="00016B3C">
        <w:rPr>
          <w:vertAlign w:val="superscript"/>
        </w:rPr>
        <w:t>2</w:t>
      </w:r>
      <w:r>
        <w:rPr>
          <w:vertAlign w:val="superscript"/>
        </w:rPr>
        <w:t xml:space="preserve"> </w:t>
      </w:r>
      <w:r w:rsidRPr="00A83A88">
        <w:t>(</w:t>
      </w:r>
      <w:r>
        <w:t xml:space="preserve">mean: 384; </w:t>
      </w:r>
      <w:r w:rsidRPr="00A83A88">
        <w:t>range</w:t>
      </w:r>
      <w:r>
        <w:t>:</w:t>
      </w:r>
      <w:r w:rsidRPr="00A83A88">
        <w:t xml:space="preserve"> 27-2109).</w:t>
      </w:r>
    </w:p>
    <w:p w:rsidR="004D5254" w:rsidRPr="008B3A0B" w:rsidRDefault="004D5254" w:rsidP="004D5254">
      <w:r>
        <w:lastRenderedPageBreak/>
        <w:t xml:space="preserve">Twenty seven </w:t>
      </w:r>
      <w:r w:rsidRPr="00123B4B">
        <w:t xml:space="preserve">patients in </w:t>
      </w:r>
      <w:r>
        <w:t>Study PDX-</w:t>
      </w:r>
      <w:r w:rsidRPr="00123B4B">
        <w:t xml:space="preserve">02-078 were treated </w:t>
      </w:r>
      <w:r>
        <w:t>with</w:t>
      </w:r>
      <w:r w:rsidRPr="00123B4B">
        <w:t xml:space="preserve"> the same dose and</w:t>
      </w:r>
      <w:r>
        <w:t xml:space="preserve"> </w:t>
      </w:r>
      <w:r w:rsidRPr="00123B4B">
        <w:t>schedule as in PDX-008</w:t>
      </w:r>
      <w:r>
        <w:t>, although doses were reduced to 15 mg/m</w:t>
      </w:r>
      <w:r w:rsidRPr="00FD13C9">
        <w:rPr>
          <w:vertAlign w:val="superscript"/>
        </w:rPr>
        <w:t>2</w:t>
      </w:r>
      <w:r>
        <w:t xml:space="preserve"> rather than 20 mg/m</w:t>
      </w:r>
      <w:r w:rsidRPr="00FD13C9">
        <w:rPr>
          <w:vertAlign w:val="superscript"/>
        </w:rPr>
        <w:t>2</w:t>
      </w:r>
      <w:r>
        <w:t xml:space="preserve"> in the event of specified toxicities. These patients</w:t>
      </w:r>
      <w:r w:rsidRPr="00123B4B">
        <w:t xml:space="preserve"> received a median of 11 doses (range 1-45)</w:t>
      </w:r>
      <w:r>
        <w:t>, with a</w:t>
      </w:r>
      <w:r w:rsidRPr="00123B4B">
        <w:t xml:space="preserve"> median</w:t>
      </w:r>
      <w:r>
        <w:t xml:space="preserve"> </w:t>
      </w:r>
      <w:r w:rsidRPr="00123B4B">
        <w:t xml:space="preserve">duration of treatment </w:t>
      </w:r>
      <w:r>
        <w:t>of</w:t>
      </w:r>
      <w:r w:rsidRPr="00123B4B">
        <w:t xml:space="preserve"> 85 days (</w:t>
      </w:r>
      <w:r>
        <w:t xml:space="preserve">mean: 135; </w:t>
      </w:r>
      <w:r w:rsidRPr="00123B4B">
        <w:t>range</w:t>
      </w:r>
      <w:r>
        <w:t>:</w:t>
      </w:r>
      <w:r w:rsidRPr="00123B4B">
        <w:t xml:space="preserve"> 1-715).</w:t>
      </w:r>
      <w:r>
        <w:t xml:space="preserve"> </w:t>
      </w:r>
      <w:r w:rsidRPr="00123B4B">
        <w:t>The</w:t>
      </w:r>
      <w:r>
        <w:t xml:space="preserve"> n</w:t>
      </w:r>
      <w:r w:rsidRPr="00123B4B">
        <w:t>umber</w:t>
      </w:r>
      <w:r>
        <w:t>s</w:t>
      </w:r>
      <w:r w:rsidRPr="00123B4B">
        <w:t xml:space="preserve"> of doses received by patients in PDX-02-078 </w:t>
      </w:r>
      <w:r>
        <w:t>were higher than for</w:t>
      </w:r>
      <w:r w:rsidRPr="00123B4B">
        <w:t xml:space="preserve"> PDX-008</w:t>
      </w:r>
      <w:r>
        <w:t xml:space="preserve"> because the </w:t>
      </w:r>
      <w:r w:rsidRPr="00123B4B">
        <w:t>study had been ongoing for significantly longer</w:t>
      </w:r>
      <w:r>
        <w:t>,</w:t>
      </w:r>
      <w:r w:rsidRPr="00123B4B">
        <w:t xml:space="preserve"> with some patients remaining on</w:t>
      </w:r>
      <w:r>
        <w:t xml:space="preserve"> </w:t>
      </w:r>
      <w:r w:rsidRPr="00123B4B">
        <w:t>treatment for long periods.</w:t>
      </w:r>
      <w:r>
        <w:t xml:space="preserve"> Nineteen of these patients had PTCL. </w:t>
      </w:r>
      <w:r w:rsidRPr="008B3A0B">
        <w:t>The dose and regimen for patients in the other lymphoproliferative malignancy studies</w:t>
      </w:r>
      <w:r>
        <w:t xml:space="preserve"> </w:t>
      </w:r>
      <w:r w:rsidRPr="008B3A0B">
        <w:t>(PDX-010, and the subset of PDX-02-078 patients who did not receive the same</w:t>
      </w:r>
      <w:r>
        <w:t xml:space="preserve"> </w:t>
      </w:r>
      <w:r w:rsidRPr="008B3A0B">
        <w:t>dose/schedule as PDX-008) varied by cohort.</w:t>
      </w:r>
      <w:r>
        <w:t xml:space="preserve"> </w:t>
      </w:r>
      <w:r w:rsidRPr="008B3A0B">
        <w:t>Treatment doses ranged from 10-270 mg/m</w:t>
      </w:r>
      <w:r w:rsidRPr="007167D0">
        <w:rPr>
          <w:vertAlign w:val="superscript"/>
        </w:rPr>
        <w:t>2</w:t>
      </w:r>
      <w:r w:rsidRPr="008B3A0B">
        <w:t>,</w:t>
      </w:r>
      <w:r>
        <w:t xml:space="preserve"> </w:t>
      </w:r>
      <w:r w:rsidRPr="008B3A0B">
        <w:t xml:space="preserve">and the schedule ranged from once </w:t>
      </w:r>
      <w:r>
        <w:t>every</w:t>
      </w:r>
      <w:r w:rsidRPr="008B3A0B">
        <w:t xml:space="preserve"> 2 weeks to weekly for 6 weeks of treatment followed by</w:t>
      </w:r>
      <w:r>
        <w:t xml:space="preserve"> </w:t>
      </w:r>
      <w:r w:rsidRPr="008B3A0B">
        <w:t>1 week of rest.</w:t>
      </w:r>
      <w:r>
        <w:t xml:space="preserve"> </w:t>
      </w:r>
      <w:r w:rsidRPr="008B3A0B">
        <w:t>The median number of doses received was 4 for PDX-02-078 and 8 for PDX-010</w:t>
      </w:r>
      <w:r>
        <w:t xml:space="preserve"> and the</w:t>
      </w:r>
      <w:r w:rsidRPr="008B3A0B">
        <w:t xml:space="preserve"> median total dose received was 543 mg/m</w:t>
      </w:r>
      <w:r w:rsidRPr="00782506">
        <w:rPr>
          <w:vertAlign w:val="superscript"/>
        </w:rPr>
        <w:t>2</w:t>
      </w:r>
      <w:r>
        <w:rPr>
          <w:vertAlign w:val="superscript"/>
        </w:rPr>
        <w:t xml:space="preserve"> </w:t>
      </w:r>
      <w:r w:rsidRPr="008B3A0B">
        <w:t>(range 45-2804)</w:t>
      </w:r>
      <w:r>
        <w:t xml:space="preserve"> </w:t>
      </w:r>
      <w:r w:rsidRPr="008B3A0B">
        <w:t xml:space="preserve">in </w:t>
      </w:r>
      <w:r>
        <w:t>Study PDX-</w:t>
      </w:r>
      <w:r w:rsidRPr="008B3A0B">
        <w:t>02-078 and 96 mg/m</w:t>
      </w:r>
      <w:r w:rsidRPr="00782506">
        <w:rPr>
          <w:vertAlign w:val="superscript"/>
        </w:rPr>
        <w:t>2</w:t>
      </w:r>
      <w:r w:rsidRPr="008B3A0B">
        <w:t xml:space="preserve"> (range 20-1306) in PDX-010.</w:t>
      </w:r>
      <w:r>
        <w:t xml:space="preserve"> </w:t>
      </w:r>
      <w:r w:rsidRPr="008B3A0B">
        <w:t>The median duration of treatment range was 36 days (range 1-567) in PDX-02-078 and</w:t>
      </w:r>
      <w:r>
        <w:t xml:space="preserve"> </w:t>
      </w:r>
      <w:r w:rsidRPr="008B3A0B">
        <w:t>71 days (range 7-708) in PDX-010.</w:t>
      </w:r>
    </w:p>
    <w:p w:rsidR="004D5254" w:rsidRPr="008B3A0B" w:rsidRDefault="004D5254" w:rsidP="004D5254">
      <w:r w:rsidRPr="008B3A0B">
        <w:t>The doses in the solid tumo</w:t>
      </w:r>
      <w:r>
        <w:t>u</w:t>
      </w:r>
      <w:r w:rsidRPr="008B3A0B">
        <w:t>r stu</w:t>
      </w:r>
      <w:r>
        <w:t>dies (PDX-007, PDX-011, PDX-012)</w:t>
      </w:r>
      <w:r w:rsidRPr="008B3A0B">
        <w:t xml:space="preserve"> were higher (up to 325 mg/m</w:t>
      </w:r>
      <w:r w:rsidRPr="00782506">
        <w:rPr>
          <w:vertAlign w:val="superscript"/>
        </w:rPr>
        <w:t>2</w:t>
      </w:r>
      <w:r w:rsidRPr="008B3A0B">
        <w:t>) and given less frequently (</w:t>
      </w:r>
      <w:r>
        <w:t xml:space="preserve">every </w:t>
      </w:r>
      <w:r w:rsidRPr="008B3A0B">
        <w:t>2 weeks) than</w:t>
      </w:r>
      <w:r>
        <w:t xml:space="preserve"> </w:t>
      </w:r>
      <w:r w:rsidRPr="008B3A0B">
        <w:t>those in the lymphoproliferative studies. The range of the median number of doses received</w:t>
      </w:r>
      <w:r>
        <w:t xml:space="preserve"> </w:t>
      </w:r>
      <w:r w:rsidRPr="008B3A0B">
        <w:t xml:space="preserve">was 3-6. The range of the median duration of treatment was </w:t>
      </w:r>
      <w:r>
        <w:t>36-44 days</w:t>
      </w:r>
      <w:r w:rsidRPr="008B3A0B">
        <w:t>.</w:t>
      </w:r>
      <w:r>
        <w:t xml:space="preserve"> </w:t>
      </w:r>
      <w:r w:rsidRPr="008B3A0B">
        <w:t>Overall, the cumulative doses were higher and the duration of</w:t>
      </w:r>
      <w:r>
        <w:t xml:space="preserve"> </w:t>
      </w:r>
      <w:r w:rsidRPr="008B3A0B">
        <w:t>treatment shorter in these solid tumo</w:t>
      </w:r>
      <w:r>
        <w:t>u</w:t>
      </w:r>
      <w:r w:rsidRPr="008B3A0B">
        <w:t>r studies compared with the lymphoproliferative</w:t>
      </w:r>
      <w:r>
        <w:t xml:space="preserve"> </w:t>
      </w:r>
      <w:r w:rsidRPr="008B3A0B">
        <w:t>malignancies studies.</w:t>
      </w:r>
    </w:p>
    <w:p w:rsidR="004D5254" w:rsidRDefault="004D5254" w:rsidP="004D5254">
      <w:pPr>
        <w:pStyle w:val="Heading3"/>
        <w:numPr>
          <w:ilvl w:val="1"/>
          <w:numId w:val="5"/>
        </w:numPr>
      </w:pPr>
      <w:bookmarkStart w:id="242" w:name="_Toc241374319"/>
      <w:bookmarkStart w:id="243" w:name="_Ref271044764"/>
      <w:bookmarkStart w:id="244" w:name="_Toc272414663"/>
      <w:bookmarkStart w:id="245" w:name="_Toc290846301"/>
      <w:bookmarkStart w:id="246" w:name="_Toc320881460"/>
      <w:bookmarkStart w:id="247" w:name="_Toc359930735"/>
      <w:bookmarkStart w:id="248" w:name="_Toc364764909"/>
      <w:r>
        <w:t>Adverse events</w:t>
      </w:r>
      <w:bookmarkEnd w:id="242"/>
      <w:bookmarkEnd w:id="243"/>
      <w:bookmarkEnd w:id="244"/>
      <w:bookmarkEnd w:id="245"/>
      <w:bookmarkEnd w:id="246"/>
      <w:bookmarkEnd w:id="247"/>
      <w:bookmarkEnd w:id="248"/>
    </w:p>
    <w:p w:rsidR="004D5254" w:rsidRPr="00C27CB6" w:rsidRDefault="004D5254" w:rsidP="004D5254">
      <w:pPr>
        <w:pStyle w:val="Heading4"/>
        <w:numPr>
          <w:ilvl w:val="2"/>
          <w:numId w:val="5"/>
        </w:numPr>
      </w:pPr>
      <w:bookmarkStart w:id="249" w:name="_Ref272317284"/>
      <w:bookmarkStart w:id="250" w:name="_Ref272333565"/>
      <w:bookmarkStart w:id="251" w:name="_Toc272414664"/>
      <w:bookmarkStart w:id="252" w:name="_Toc290846302"/>
      <w:bookmarkStart w:id="253" w:name="_Toc320881461"/>
      <w:r>
        <w:t>All adverse events (irrespective of relationship to study treatment)</w:t>
      </w:r>
      <w:bookmarkEnd w:id="249"/>
      <w:bookmarkEnd w:id="250"/>
      <w:bookmarkEnd w:id="251"/>
      <w:bookmarkEnd w:id="252"/>
      <w:bookmarkEnd w:id="253"/>
    </w:p>
    <w:p w:rsidR="004D5254" w:rsidRDefault="004D5254" w:rsidP="004D5254">
      <w:pPr>
        <w:pStyle w:val="Heading5"/>
        <w:numPr>
          <w:ilvl w:val="3"/>
          <w:numId w:val="5"/>
        </w:numPr>
      </w:pPr>
      <w:r>
        <w:t>Pivotal study</w:t>
      </w:r>
    </w:p>
    <w:p w:rsidR="004D5254" w:rsidRDefault="004D5254" w:rsidP="004D5254">
      <w:r w:rsidRPr="00991A8C">
        <w:t xml:space="preserve">All </w:t>
      </w:r>
      <w:r>
        <w:t xml:space="preserve">111 </w:t>
      </w:r>
      <w:r w:rsidRPr="00991A8C">
        <w:t xml:space="preserve">patients </w:t>
      </w:r>
      <w:r>
        <w:t xml:space="preserve">in Study PDX-008 </w:t>
      </w:r>
      <w:r w:rsidRPr="00991A8C">
        <w:t xml:space="preserve">experienced at least 1 </w:t>
      </w:r>
      <w:r>
        <w:t xml:space="preserve">treatment emergent </w:t>
      </w:r>
      <w:r w:rsidRPr="00991A8C">
        <w:t>AE.</w:t>
      </w:r>
      <w:r>
        <w:t xml:space="preserve"> </w:t>
      </w:r>
      <w:r w:rsidRPr="00991A8C">
        <w:t xml:space="preserve">The most commonly affected system organ classes were: Gastrointestinal System </w:t>
      </w:r>
      <w:r>
        <w:t>(N=98; 88%), General Disorders a</w:t>
      </w:r>
      <w:r w:rsidRPr="00991A8C">
        <w:t xml:space="preserve">nd Application Site </w:t>
      </w:r>
      <w:r>
        <w:t>Conditions</w:t>
      </w:r>
      <w:r w:rsidRPr="00991A8C">
        <w:t xml:space="preserve"> (N=85; 77%), Respiratory System (N=75; 68%), Skin And Connective Tissue Disorders (N=71; 64%), Infection (n=62; 56%) and Bl</w:t>
      </w:r>
      <w:r>
        <w:t>o</w:t>
      </w:r>
      <w:r w:rsidRPr="00991A8C">
        <w:t>od And Lymphatic System (n=57; 51%).</w:t>
      </w:r>
      <w:r>
        <w:t xml:space="preserve"> Individual AEs occurring in ≥ 10% patients are summarised according to grade of severity i</w:t>
      </w:r>
      <w:r w:rsidRPr="006A7079">
        <w:t>n Table 16</w:t>
      </w:r>
      <w:r>
        <w:t>.</w:t>
      </w:r>
    </w:p>
    <w:p w:rsidR="004D5254" w:rsidRDefault="004D5254" w:rsidP="004D5254">
      <w:pPr>
        <w:pStyle w:val="FigureTitle"/>
        <w:keepNext/>
      </w:pPr>
      <w:bookmarkStart w:id="254" w:name="_Toc320881539"/>
      <w:r>
        <w:lastRenderedPageBreak/>
        <w:t>Table 16. Study PDX-008 - Adverse events occurring in ≥10% patients, by severity</w:t>
      </w:r>
      <w:bookmarkEnd w:id="254"/>
    </w:p>
    <w:p w:rsidR="004D5254" w:rsidRDefault="004D5254" w:rsidP="004D5254">
      <w:pPr>
        <w:keepNext/>
        <w:autoSpaceDE w:val="0"/>
        <w:autoSpaceDN w:val="0"/>
        <w:adjustRightInd w:val="0"/>
      </w:pPr>
      <w:r>
        <w:rPr>
          <w:noProof/>
          <w:lang w:eastAsia="en-AU"/>
        </w:rPr>
        <w:drawing>
          <wp:inline distT="0" distB="0" distL="0" distR="0">
            <wp:extent cx="5297196" cy="1685925"/>
            <wp:effectExtent l="19050" t="0" r="0" b="0"/>
            <wp:docPr id="31" name="Picture 31" descr="Table 16. Study PDX-008 - Adverse events occurring in ≥10% patients, by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duotone>
                        <a:prstClr val="black"/>
                        <a:schemeClr val="bg1">
                          <a:tint val="45000"/>
                          <a:satMod val="400000"/>
                        </a:schemeClr>
                      </a:duotone>
                    </a:blip>
                    <a:srcRect/>
                    <a:stretch>
                      <a:fillRect/>
                    </a:stretch>
                  </pic:blipFill>
                  <pic:spPr bwMode="auto">
                    <a:xfrm>
                      <a:off x="0" y="0"/>
                      <a:ext cx="5297196" cy="1685925"/>
                    </a:xfrm>
                    <a:prstGeom prst="rect">
                      <a:avLst/>
                    </a:prstGeom>
                    <a:noFill/>
                    <a:ln w="9525">
                      <a:noFill/>
                      <a:miter lim="800000"/>
                      <a:headEnd/>
                      <a:tailEnd/>
                    </a:ln>
                  </pic:spPr>
                </pic:pic>
              </a:graphicData>
            </a:graphic>
          </wp:inline>
        </w:drawing>
      </w:r>
    </w:p>
    <w:p w:rsidR="004D5254" w:rsidRDefault="004D5254" w:rsidP="004D5254">
      <w:pPr>
        <w:keepNext/>
        <w:autoSpaceDE w:val="0"/>
        <w:autoSpaceDN w:val="0"/>
        <w:adjustRightInd w:val="0"/>
      </w:pPr>
      <w:r>
        <w:rPr>
          <w:noProof/>
          <w:lang w:eastAsia="en-AU"/>
        </w:rPr>
        <w:drawing>
          <wp:inline distT="0" distB="0" distL="0" distR="0">
            <wp:extent cx="5295900" cy="4986723"/>
            <wp:effectExtent l="19050" t="0" r="0" b="0"/>
            <wp:docPr id="32" name="Picture 32" descr="Table 16 continued. Study PDX-008 - Adverse events occurring in ≥10% patients, by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duotone>
                        <a:prstClr val="black"/>
                        <a:schemeClr val="bg1">
                          <a:tint val="45000"/>
                          <a:satMod val="400000"/>
                        </a:schemeClr>
                      </a:duotone>
                    </a:blip>
                    <a:srcRect t="1343"/>
                    <a:stretch>
                      <a:fillRect/>
                    </a:stretch>
                  </pic:blipFill>
                  <pic:spPr bwMode="auto">
                    <a:xfrm>
                      <a:off x="0" y="0"/>
                      <a:ext cx="5295900" cy="4986723"/>
                    </a:xfrm>
                    <a:prstGeom prst="rect">
                      <a:avLst/>
                    </a:prstGeom>
                    <a:noFill/>
                    <a:ln w="9525">
                      <a:noFill/>
                      <a:miter lim="800000"/>
                      <a:headEnd/>
                      <a:tailEnd/>
                    </a:ln>
                  </pic:spPr>
                </pic:pic>
              </a:graphicData>
            </a:graphic>
          </wp:inline>
        </w:drawing>
      </w:r>
    </w:p>
    <w:p w:rsidR="004D5254" w:rsidRDefault="004D5254" w:rsidP="004D5254">
      <w:pPr>
        <w:autoSpaceDE w:val="0"/>
        <w:autoSpaceDN w:val="0"/>
        <w:adjustRightInd w:val="0"/>
        <w:rPr>
          <w:rFonts w:eastAsia="TimesNewRoman" w:cs="TimesNewRoman"/>
          <w:color w:val="000000"/>
        </w:rPr>
      </w:pPr>
      <w:r w:rsidRPr="00991A8C">
        <w:t xml:space="preserve">The most common </w:t>
      </w:r>
      <w:r>
        <w:t xml:space="preserve">individual </w:t>
      </w:r>
      <w:r w:rsidRPr="00991A8C">
        <w:t>AEs were mucosal inflammation (n = 79; 71%), nausea (n = 46; 41%), thrombocytopenia</w:t>
      </w:r>
      <w:r>
        <w:t xml:space="preserve"> </w:t>
      </w:r>
      <w:r w:rsidRPr="00991A8C">
        <w:t>(n = 45; 41%), and fatigue (n = 40, 36%).</w:t>
      </w:r>
      <w:r>
        <w:t xml:space="preserve"> Overall, m</w:t>
      </w:r>
      <w:r w:rsidRPr="00991A8C">
        <w:t>ost events were</w:t>
      </w:r>
      <w:r>
        <w:t xml:space="preserve"> of Grade 1</w:t>
      </w:r>
      <w:r w:rsidRPr="00991A8C">
        <w:t xml:space="preserve"> or 2 severity.</w:t>
      </w:r>
      <w:r>
        <w:t xml:space="preserve"> </w:t>
      </w:r>
      <w:r w:rsidRPr="00991A8C">
        <w:t>The most commonly reported Grade 3 or 4 events were thrombocytopenia (n = 36; 32%), mucosal inflammation (n = 24; 22%), neutropaenia (n = 24; 22%) and anaemia (n = 20; 18%).</w:t>
      </w:r>
      <w:r>
        <w:t xml:space="preserve"> </w:t>
      </w:r>
      <w:r w:rsidRPr="00A05EB7">
        <w:rPr>
          <w:rFonts w:eastAsia="TimesNewRoman" w:cs="TimesNewRoman"/>
          <w:color w:val="000000"/>
        </w:rPr>
        <w:t>The median time</w:t>
      </w:r>
      <w:r>
        <w:rPr>
          <w:rFonts w:eastAsia="TimesNewRoman" w:cs="TimesNewRoman"/>
          <w:color w:val="000000"/>
        </w:rPr>
        <w:t xml:space="preserve"> </w:t>
      </w:r>
      <w:r w:rsidRPr="00A05EB7">
        <w:rPr>
          <w:rFonts w:eastAsia="TimesNewRoman" w:cs="TimesNewRoman"/>
          <w:color w:val="000000"/>
        </w:rPr>
        <w:t>to onset of thrombocytopenia ≥</w:t>
      </w:r>
      <w:r>
        <w:rPr>
          <w:rFonts w:eastAsia="TimesNewRoman" w:cs="TimesNewRoman"/>
          <w:color w:val="000000"/>
        </w:rPr>
        <w:t xml:space="preserve"> G</w:t>
      </w:r>
      <w:r w:rsidRPr="00A05EB7">
        <w:rPr>
          <w:rFonts w:eastAsia="TimesNewRoman" w:cs="TimesNewRoman"/>
          <w:color w:val="000000"/>
        </w:rPr>
        <w:t>rade 3</w:t>
      </w:r>
      <w:r>
        <w:rPr>
          <w:rFonts w:eastAsia="TimesNewRoman" w:cs="TimesNewRoman"/>
          <w:color w:val="000000"/>
        </w:rPr>
        <w:t xml:space="preserve"> </w:t>
      </w:r>
      <w:r w:rsidRPr="00A05EB7">
        <w:rPr>
          <w:rFonts w:eastAsia="TimesNewRoman" w:cs="TimesNewRoman"/>
          <w:color w:val="000000"/>
        </w:rPr>
        <w:t>was 15 days</w:t>
      </w:r>
      <w:r>
        <w:rPr>
          <w:rFonts w:eastAsia="TimesNewRoman" w:cs="TimesNewRoman"/>
          <w:color w:val="000000"/>
        </w:rPr>
        <w:t xml:space="preserve">, with a </w:t>
      </w:r>
      <w:r w:rsidRPr="00A05EB7">
        <w:rPr>
          <w:rFonts w:eastAsia="TimesNewRoman" w:cs="TimesNewRoman"/>
          <w:color w:val="000000"/>
        </w:rPr>
        <w:t>median duration of 16 days.</w:t>
      </w:r>
      <w:r>
        <w:rPr>
          <w:rFonts w:eastAsia="TimesNewRoman" w:cs="TimesNewRoman"/>
          <w:color w:val="000000"/>
        </w:rPr>
        <w:t xml:space="preserve"> T</w:t>
      </w:r>
      <w:r w:rsidRPr="00A05EB7">
        <w:rPr>
          <w:rFonts w:eastAsia="TimesNewRoman" w:cs="TimesNewRoman"/>
          <w:color w:val="000000"/>
        </w:rPr>
        <w:t>he median time to onset of</w:t>
      </w:r>
      <w:r>
        <w:rPr>
          <w:rFonts w:eastAsia="TimesNewRoman" w:cs="TimesNewRoman"/>
          <w:color w:val="000000"/>
        </w:rPr>
        <w:t xml:space="preserve"> ≥ </w:t>
      </w:r>
      <w:r w:rsidRPr="00A05EB7">
        <w:rPr>
          <w:rFonts w:eastAsia="TimesNewRoman" w:cs="TimesNewRoman"/>
          <w:color w:val="000000"/>
        </w:rPr>
        <w:t>Grade 3 neutrop</w:t>
      </w:r>
      <w:r>
        <w:rPr>
          <w:rFonts w:eastAsia="TimesNewRoman" w:cs="TimesNewRoman"/>
          <w:color w:val="000000"/>
        </w:rPr>
        <w:t>a</w:t>
      </w:r>
      <w:r w:rsidRPr="00A05EB7">
        <w:rPr>
          <w:rFonts w:eastAsia="TimesNewRoman" w:cs="TimesNewRoman"/>
          <w:color w:val="000000"/>
        </w:rPr>
        <w:t xml:space="preserve">enia was </w:t>
      </w:r>
      <w:r>
        <w:rPr>
          <w:rFonts w:eastAsia="TimesNewRoman" w:cs="TimesNewRoman"/>
          <w:color w:val="000000"/>
        </w:rPr>
        <w:t xml:space="preserve">slightly longer at </w:t>
      </w:r>
      <w:r w:rsidRPr="00A05EB7">
        <w:rPr>
          <w:rFonts w:eastAsia="TimesNewRoman" w:cs="TimesNewRoman"/>
          <w:color w:val="000000"/>
        </w:rPr>
        <w:t>22 days</w:t>
      </w:r>
      <w:r>
        <w:rPr>
          <w:rFonts w:eastAsia="TimesNewRoman" w:cs="TimesNewRoman"/>
          <w:color w:val="000000"/>
        </w:rPr>
        <w:t xml:space="preserve"> but the </w:t>
      </w:r>
      <w:r w:rsidRPr="00A05EB7">
        <w:rPr>
          <w:rFonts w:eastAsia="TimesNewRoman" w:cs="TimesNewRoman"/>
          <w:color w:val="000000"/>
        </w:rPr>
        <w:t xml:space="preserve">median duration was </w:t>
      </w:r>
      <w:r>
        <w:rPr>
          <w:rFonts w:eastAsia="TimesNewRoman" w:cs="TimesNewRoman"/>
          <w:color w:val="000000"/>
        </w:rPr>
        <w:t xml:space="preserve">only </w:t>
      </w:r>
      <w:r w:rsidRPr="00A05EB7">
        <w:rPr>
          <w:rFonts w:eastAsia="TimesNewRoman" w:cs="TimesNewRoman"/>
          <w:color w:val="000000"/>
        </w:rPr>
        <w:t>8 days.</w:t>
      </w:r>
      <w:r>
        <w:rPr>
          <w:rFonts w:eastAsia="TimesNewRoman" w:cs="TimesNewRoman"/>
          <w:color w:val="000000"/>
        </w:rPr>
        <w:t xml:space="preserve"> This is likely due to the fact that </w:t>
      </w:r>
      <w:r w:rsidRPr="00A05EB7">
        <w:rPr>
          <w:rFonts w:eastAsia="TimesNewRoman" w:cs="TimesNewRoman"/>
          <w:color w:val="000000"/>
        </w:rPr>
        <w:t>use of</w:t>
      </w:r>
      <w:r>
        <w:rPr>
          <w:rFonts w:eastAsia="TimesNewRoman" w:cs="TimesNewRoman"/>
          <w:color w:val="000000"/>
        </w:rPr>
        <w:t xml:space="preserve"> </w:t>
      </w:r>
      <w:r w:rsidRPr="00A05EB7">
        <w:rPr>
          <w:rFonts w:eastAsia="TimesNewRoman" w:cs="TimesNewRoman"/>
          <w:color w:val="000000"/>
        </w:rPr>
        <w:t>granulocyte colony stimulating factor (G-CSF) or granulocyte/macrophage colony</w:t>
      </w:r>
      <w:r>
        <w:rPr>
          <w:rFonts w:eastAsia="TimesNewRoman" w:cs="TimesNewRoman"/>
          <w:color w:val="000000"/>
        </w:rPr>
        <w:t xml:space="preserve"> </w:t>
      </w:r>
      <w:r w:rsidRPr="00A05EB7">
        <w:rPr>
          <w:rFonts w:eastAsia="TimesNewRoman" w:cs="TimesNewRoman"/>
          <w:color w:val="000000"/>
        </w:rPr>
        <w:t xml:space="preserve">stimulating factor (GM-CSF) was </w:t>
      </w:r>
      <w:r>
        <w:rPr>
          <w:rFonts w:eastAsia="TimesNewRoman" w:cs="TimesNewRoman"/>
          <w:color w:val="000000"/>
        </w:rPr>
        <w:t>allowed</w:t>
      </w:r>
      <w:r w:rsidRPr="00A05EB7">
        <w:rPr>
          <w:rFonts w:eastAsia="TimesNewRoman" w:cs="TimesNewRoman"/>
          <w:color w:val="000000"/>
        </w:rPr>
        <w:t xml:space="preserve"> according to institutional standards</w:t>
      </w:r>
      <w:r>
        <w:rPr>
          <w:rFonts w:eastAsia="TimesNewRoman" w:cs="TimesNewRoman"/>
          <w:color w:val="000000"/>
        </w:rPr>
        <w:t xml:space="preserve"> </w:t>
      </w:r>
      <w:r w:rsidRPr="00A05EB7">
        <w:rPr>
          <w:rFonts w:eastAsia="TimesNewRoman" w:cs="TimesNewRoman"/>
          <w:color w:val="000000"/>
        </w:rPr>
        <w:t xml:space="preserve">and </w:t>
      </w:r>
      <w:r w:rsidRPr="00A05EB7">
        <w:rPr>
          <w:rFonts w:eastAsia="TimesNewRoman" w:cs="TimesNewRoman"/>
          <w:color w:val="000000"/>
        </w:rPr>
        <w:lastRenderedPageBreak/>
        <w:t>investigator judgment.</w:t>
      </w:r>
      <w:r>
        <w:rPr>
          <w:rFonts w:eastAsia="TimesNewRoman" w:cs="TimesNewRoman"/>
          <w:color w:val="000000"/>
        </w:rPr>
        <w:t xml:space="preserve"> Finally, the </w:t>
      </w:r>
      <w:r w:rsidRPr="00A05EB7">
        <w:rPr>
          <w:rFonts w:eastAsia="TimesNewRoman" w:cs="TimesNewRoman"/>
          <w:color w:val="000000"/>
        </w:rPr>
        <w:t>median time to</w:t>
      </w:r>
      <w:r>
        <w:rPr>
          <w:rFonts w:eastAsia="TimesNewRoman" w:cs="TimesNewRoman"/>
          <w:color w:val="000000"/>
        </w:rPr>
        <w:t xml:space="preserve"> </w:t>
      </w:r>
      <w:r w:rsidRPr="00A05EB7">
        <w:rPr>
          <w:rFonts w:eastAsia="TimesNewRoman" w:cs="TimesNewRoman"/>
          <w:color w:val="000000"/>
        </w:rPr>
        <w:t xml:space="preserve">onset for </w:t>
      </w:r>
      <w:r>
        <w:rPr>
          <w:rFonts w:eastAsia="TimesNewRoman" w:cs="TimesNewRoman"/>
          <w:color w:val="000000"/>
        </w:rPr>
        <w:t xml:space="preserve">≥ </w:t>
      </w:r>
      <w:r w:rsidRPr="00A05EB7">
        <w:rPr>
          <w:rFonts w:eastAsia="TimesNewRoman" w:cs="TimesNewRoman"/>
          <w:color w:val="000000"/>
        </w:rPr>
        <w:t>Grade 3 mucosal inflammation was 19 days</w:t>
      </w:r>
      <w:r>
        <w:rPr>
          <w:rFonts w:eastAsia="TimesNewRoman" w:cs="TimesNewRoman"/>
          <w:color w:val="000000"/>
        </w:rPr>
        <w:t xml:space="preserve">, with a median duration of 13 days. </w:t>
      </w:r>
    </w:p>
    <w:p w:rsidR="004D5254" w:rsidRDefault="004D5254" w:rsidP="004D5254">
      <w:r>
        <w:t xml:space="preserve">Other haematological AEs included febrile neutropaenia (n= 5; 5% - all cases Grade 3), pancytopaenia (n=2; 2% - 1 Grade 3 and 1 Grade 4) and haemolytic anaemia (n=1; 1% - Grade 2). </w:t>
      </w:r>
    </w:p>
    <w:p w:rsidR="004D5254" w:rsidRDefault="004D5254" w:rsidP="004D5254">
      <w:r>
        <w:t>Other AEs of particular note, but occurring in smaller numbers of patients were skin AEs including (but not limited to) 17 reports of rash (all ≤ Grade 2); 9 reports of skin ulceration (2 Grade 3, 3 Grade 2 and 4 Grade 1); 6 reports of skin blistering (all ≤ Grade 2); 2 reports of penile ulceration (both ≤ Grade 2); and 1 report each of skin exfoliation (Grade 2), skin toxicity (Grade 2), genital rash (Grade 1) and genital ulceration (Grade 2).</w:t>
      </w:r>
    </w:p>
    <w:p w:rsidR="004D5254" w:rsidRDefault="004D5254" w:rsidP="004D5254">
      <w:pPr>
        <w:pStyle w:val="Heading5"/>
        <w:numPr>
          <w:ilvl w:val="3"/>
          <w:numId w:val="5"/>
        </w:numPr>
      </w:pPr>
      <w:r>
        <w:t>Other studies</w:t>
      </w:r>
    </w:p>
    <w:p w:rsidR="004D5254" w:rsidRDefault="004D5254" w:rsidP="004D5254">
      <w:pPr>
        <w:rPr>
          <w:rFonts w:eastAsia="TimesNewRoman" w:cs="TimesNewRoman"/>
          <w:color w:val="000000"/>
        </w:rPr>
      </w:pPr>
      <w:r>
        <w:t xml:space="preserve">From a table of the AEs reported for ≥ 10% patients in any of the safety populations it can be appreciated that, on the whole, despite variable dosage regimens similar patterns of AEs were observed for each population, with the most frequently occurring AEs being </w:t>
      </w:r>
      <w:r w:rsidRPr="00641F80">
        <w:rPr>
          <w:rFonts w:eastAsia="TimesNewRoman" w:cs="TimesNewRoman"/>
          <w:color w:val="000000"/>
        </w:rPr>
        <w:t xml:space="preserve">mucosal inflammation, fatigue, nausea, and epistaxis. </w:t>
      </w:r>
      <w:r>
        <w:rPr>
          <w:rFonts w:eastAsia="TimesNewRoman" w:cs="TimesNewRoman"/>
          <w:color w:val="000000"/>
        </w:rPr>
        <w:t>However, there were some exceptions:</w:t>
      </w:r>
    </w:p>
    <w:p w:rsidR="004D5254" w:rsidRDefault="004D5254" w:rsidP="004D5254">
      <w:pPr>
        <w:pStyle w:val="ListBullet"/>
        <w:numPr>
          <w:ilvl w:val="0"/>
          <w:numId w:val="1"/>
        </w:numPr>
      </w:pPr>
      <w:r>
        <w:t>haematological AEs (anaemia, thrombocytopenia, neutropaenia) and pyrexia were more common in P</w:t>
      </w:r>
      <w:r w:rsidRPr="00641F80">
        <w:t>opulations 1, 2, and</w:t>
      </w:r>
      <w:r>
        <w:t xml:space="preserve"> </w:t>
      </w:r>
      <w:r w:rsidRPr="00641F80">
        <w:t xml:space="preserve">4 </w:t>
      </w:r>
      <w:r>
        <w:t>(</w:t>
      </w:r>
      <w:r w:rsidRPr="00990CA1">
        <w:t>that is,</w:t>
      </w:r>
      <w:r>
        <w:t xml:space="preserve"> patients with lymphoproliferative malignancies) than in P</w:t>
      </w:r>
      <w:r w:rsidRPr="00641F80">
        <w:t>opulations 3 and 5</w:t>
      </w:r>
      <w:r>
        <w:t xml:space="preserve"> (patients with solid tumours)</w:t>
      </w:r>
      <w:r w:rsidRPr="00641F80">
        <w:t xml:space="preserve">, which </w:t>
      </w:r>
      <w:r>
        <w:t>is not an unexpected finding.</w:t>
      </w:r>
    </w:p>
    <w:p w:rsidR="004D5254" w:rsidRDefault="004D5254" w:rsidP="004D5254">
      <w:pPr>
        <w:pStyle w:val="ListBullet"/>
        <w:numPr>
          <w:ilvl w:val="0"/>
          <w:numId w:val="1"/>
        </w:numPr>
      </w:pPr>
      <w:r>
        <w:t xml:space="preserve">mucositis had a much lower frequency in Population 4, </w:t>
      </w:r>
      <w:r w:rsidRPr="00990CA1">
        <w:t>that is,</w:t>
      </w:r>
      <w:r>
        <w:t xml:space="preserve"> patients who received pralatrexate (10-30 mg/m</w:t>
      </w:r>
      <w:r w:rsidRPr="00EB1BB7">
        <w:rPr>
          <w:vertAlign w:val="superscript"/>
        </w:rPr>
        <w:t>2</w:t>
      </w:r>
      <w:r>
        <w:t>) in combination with gemcitabine (200-1000 mg/m</w:t>
      </w:r>
      <w:r w:rsidRPr="00EB1BB7">
        <w:rPr>
          <w:vertAlign w:val="superscript"/>
        </w:rPr>
        <w:t>2</w:t>
      </w:r>
      <w:r>
        <w:t xml:space="preserve">). However, this study was </w:t>
      </w:r>
      <w:r w:rsidRPr="00EB1BB7">
        <w:t xml:space="preserve">conducted </w:t>
      </w:r>
      <w:r>
        <w:t>as</w:t>
      </w:r>
      <w:r w:rsidRPr="00EB1BB7">
        <w:t xml:space="preserve"> 2 distinct phases</w:t>
      </w:r>
      <w:r>
        <w:t>; comprising a Phase I</w:t>
      </w:r>
      <w:r w:rsidRPr="00EB1BB7">
        <w:t xml:space="preserve"> (dose </w:t>
      </w:r>
      <w:r>
        <w:t xml:space="preserve">escalation/dose </w:t>
      </w:r>
      <w:r w:rsidRPr="00EB1BB7">
        <w:t xml:space="preserve">finding) </w:t>
      </w:r>
      <w:r>
        <w:t xml:space="preserve">component </w:t>
      </w:r>
      <w:r w:rsidRPr="00EB1BB7">
        <w:t xml:space="preserve">and </w:t>
      </w:r>
      <w:r>
        <w:t>a Phase II</w:t>
      </w:r>
      <w:r w:rsidRPr="00EB1BB7">
        <w:t>a (confirmation of</w:t>
      </w:r>
      <w:r>
        <w:t xml:space="preserve"> </w:t>
      </w:r>
      <w:r w:rsidRPr="00EB1BB7">
        <w:t>tolerability and assessment of efficacy</w:t>
      </w:r>
      <w:r>
        <w:t xml:space="preserve">) component. During the Phase IIa component, the much lower MTD of </w:t>
      </w:r>
      <w:r w:rsidRPr="00866EFC">
        <w:t>pralatrexate 10 mg/m</w:t>
      </w:r>
      <w:r w:rsidRPr="00866EFC">
        <w:rPr>
          <w:vertAlign w:val="superscript"/>
        </w:rPr>
        <w:t>2</w:t>
      </w:r>
      <w:r>
        <w:t xml:space="preserve"> + </w:t>
      </w:r>
      <w:r w:rsidRPr="00866EFC">
        <w:t>gemcitabine 400 mg/m</w:t>
      </w:r>
      <w:r w:rsidRPr="00866EFC">
        <w:rPr>
          <w:vertAlign w:val="superscript"/>
        </w:rPr>
        <w:t>2</w:t>
      </w:r>
      <w:r w:rsidRPr="00866EFC">
        <w:t xml:space="preserve"> on sequential days </w:t>
      </w:r>
      <w:r>
        <w:t>every</w:t>
      </w:r>
      <w:r w:rsidRPr="00866EFC">
        <w:t xml:space="preserve"> 2 weeks</w:t>
      </w:r>
      <w:r>
        <w:t xml:space="preserve"> was used</w:t>
      </w:r>
      <w:r w:rsidRPr="00EB1BB7">
        <w:t>.</w:t>
      </w:r>
      <w:r>
        <w:t xml:space="preserve"> </w:t>
      </w:r>
      <w:r w:rsidRPr="00EB1BB7">
        <w:t xml:space="preserve">Fewer patients in the Phase </w:t>
      </w:r>
      <w:r>
        <w:t>II</w:t>
      </w:r>
      <w:r w:rsidRPr="00EB1BB7">
        <w:t>a component of the study</w:t>
      </w:r>
      <w:r>
        <w:t xml:space="preserve"> </w:t>
      </w:r>
      <w:r w:rsidRPr="00EB1BB7">
        <w:t>experienced AEs, and there was a lower incidence of most AE terms</w:t>
      </w:r>
      <w:r>
        <w:t>, including mucositis (Phase IIa n=2; 7% versus Phase I n=16; 46%, giving an overall frequency of 29%)</w:t>
      </w:r>
      <w:r w:rsidRPr="00EB1BB7">
        <w:t>.</w:t>
      </w:r>
    </w:p>
    <w:p w:rsidR="004D5254" w:rsidRDefault="004D5254" w:rsidP="004D5254">
      <w:pPr>
        <w:pStyle w:val="ListBullet"/>
        <w:numPr>
          <w:ilvl w:val="0"/>
          <w:numId w:val="1"/>
        </w:numPr>
      </w:pPr>
      <w:r>
        <w:t xml:space="preserve">there was an </w:t>
      </w:r>
      <w:r w:rsidRPr="00641F80">
        <w:t>increased frequency of the respiratory AEs (cough, dyspn</w:t>
      </w:r>
      <w:r>
        <w:t>o</w:t>
      </w:r>
      <w:r w:rsidRPr="00641F80">
        <w:t>ea) in</w:t>
      </w:r>
      <w:r>
        <w:t xml:space="preserve"> Population 5, which may </w:t>
      </w:r>
      <w:r w:rsidRPr="00641F80">
        <w:t xml:space="preserve">reflect </w:t>
      </w:r>
      <w:r>
        <w:t>a</w:t>
      </w:r>
      <w:r w:rsidRPr="00641F80">
        <w:t xml:space="preserve"> predominance of NSCLC</w:t>
      </w:r>
      <w:r>
        <w:t xml:space="preserve"> and lung cancer </w:t>
      </w:r>
      <w:r w:rsidRPr="00641F80">
        <w:t>patients</w:t>
      </w:r>
      <w:r>
        <w:t>.</w:t>
      </w:r>
    </w:p>
    <w:p w:rsidR="004D5254" w:rsidRPr="00641F80" w:rsidRDefault="004D5254" w:rsidP="004D5254">
      <w:pPr>
        <w:pStyle w:val="ListBullet"/>
        <w:numPr>
          <w:ilvl w:val="0"/>
          <w:numId w:val="1"/>
        </w:numPr>
      </w:pPr>
      <w:r>
        <w:t xml:space="preserve">peripheral neuropathy was more frequently reported as an AE in Population 5. These patients were heavily pre-treated with known neurotoxic agents such as taxanes, cisplatin, carboplatin and vinorelbine, such that a substantial proportion of patients entered these studies with evidence of sensory neuropathies. Furthermore in Study 99-083, which contributed almost half of the reports of neuropathy, patients received pralatrexate in combination with a taxane. </w:t>
      </w:r>
    </w:p>
    <w:p w:rsidR="004D5254" w:rsidRDefault="004D5254" w:rsidP="004D5254">
      <w:r>
        <w:t xml:space="preserve">The sponsor reported that </w:t>
      </w:r>
      <w:r w:rsidRPr="00641F80">
        <w:t>assessment</w:t>
      </w:r>
      <w:r>
        <w:t>s</w:t>
      </w:r>
      <w:r w:rsidRPr="00641F80">
        <w:t xml:space="preserve"> w</w:t>
      </w:r>
      <w:r>
        <w:t>ere</w:t>
      </w:r>
      <w:r w:rsidRPr="00641F80">
        <w:t xml:space="preserve"> conducted on the </w:t>
      </w:r>
      <w:r>
        <w:t xml:space="preserve">association of thrombocytopenia </w:t>
      </w:r>
      <w:r w:rsidRPr="00641F80">
        <w:t>and the</w:t>
      </w:r>
      <w:r>
        <w:t xml:space="preserve"> </w:t>
      </w:r>
      <w:r w:rsidRPr="00641F80">
        <w:t>occu</w:t>
      </w:r>
      <w:r>
        <w:t xml:space="preserve">rrence of bleeding complication and </w:t>
      </w:r>
      <w:r w:rsidRPr="00641F80">
        <w:t>on the association of neutrop</w:t>
      </w:r>
      <w:r>
        <w:t>a</w:t>
      </w:r>
      <w:r w:rsidRPr="00641F80">
        <w:t>enia and the occurrence of infections.</w:t>
      </w:r>
      <w:r>
        <w:t xml:space="preserve"> </w:t>
      </w:r>
      <w:r w:rsidRPr="00641F80">
        <w:t>Bleeding complications in patients who had</w:t>
      </w:r>
      <w:r>
        <w:t xml:space="preserve"> </w:t>
      </w:r>
      <w:r w:rsidRPr="00641F80">
        <w:t>thrombocytopenia were generally mild in severity and predominantly presented clinically as</w:t>
      </w:r>
      <w:r>
        <w:t xml:space="preserve"> </w:t>
      </w:r>
      <w:r w:rsidRPr="00641F80">
        <w:t>epistaxis.</w:t>
      </w:r>
      <w:r>
        <w:t xml:space="preserve"> </w:t>
      </w:r>
      <w:r w:rsidRPr="00641F80">
        <w:t>Across all pralatrexate studies (excluding PDX-016), none of the</w:t>
      </w:r>
      <w:r>
        <w:t xml:space="preserve"> </w:t>
      </w:r>
      <w:r w:rsidRPr="00641F80">
        <w:t>thrombocytopenic events reported as AEs were associated with Grade 4 bleeding events</w:t>
      </w:r>
      <w:r>
        <w:t>. Unsurprisingly, b</w:t>
      </w:r>
      <w:r w:rsidRPr="00641F80">
        <w:t>leeding AEs were also observed in patients for whom thrombocytopenia</w:t>
      </w:r>
      <w:r>
        <w:t xml:space="preserve"> </w:t>
      </w:r>
      <w:r w:rsidRPr="00641F80">
        <w:t>was not reported as an AE.</w:t>
      </w:r>
      <w:r>
        <w:t xml:space="preserve"> Also, a</w:t>
      </w:r>
      <w:r w:rsidRPr="00641F80">
        <w:t>cross all pralatrexate studies (excluding PDX-016), no Grade 4 infectious AEs</w:t>
      </w:r>
      <w:r>
        <w:t xml:space="preserve"> </w:t>
      </w:r>
      <w:r w:rsidRPr="00641F80">
        <w:t>were reported in patients who had neutrop</w:t>
      </w:r>
      <w:r>
        <w:t>a</w:t>
      </w:r>
      <w:r w:rsidRPr="00641F80">
        <w:t>enia. Infectious AEs were also</w:t>
      </w:r>
      <w:r>
        <w:t xml:space="preserve"> </w:t>
      </w:r>
      <w:r w:rsidRPr="00641F80">
        <w:t>observed in patients for whom neutrop</w:t>
      </w:r>
      <w:r>
        <w:t>a</w:t>
      </w:r>
      <w:r w:rsidRPr="00641F80">
        <w:t>enia was not reported as an AE.</w:t>
      </w:r>
    </w:p>
    <w:p w:rsidR="004D5254" w:rsidRDefault="004D5254" w:rsidP="004D5254">
      <w:r>
        <w:lastRenderedPageBreak/>
        <w:t>A total of 40 (7%) patients across the clinical development program were reported to have experienced an exfoliative rash; 45 (8%) had a rash and 38 (7%) had a ‘dermatosis’. There were also 2 reports of erythema multiforme.</w:t>
      </w:r>
    </w:p>
    <w:p w:rsidR="004D5254" w:rsidRDefault="004D5254" w:rsidP="004D5254">
      <w:r>
        <w:t>Updated data available as at 31 January 2011 showed a similar profile of the most common AEs.</w:t>
      </w:r>
    </w:p>
    <w:p w:rsidR="004D5254" w:rsidRPr="00D12012" w:rsidRDefault="004D5254" w:rsidP="004D5254">
      <w:pPr>
        <w:pStyle w:val="Heading4"/>
        <w:numPr>
          <w:ilvl w:val="2"/>
          <w:numId w:val="5"/>
        </w:numPr>
      </w:pPr>
      <w:bookmarkStart w:id="255" w:name="_Ref272333567"/>
      <w:bookmarkStart w:id="256" w:name="_Toc272414665"/>
      <w:bookmarkStart w:id="257" w:name="_Toc290846303"/>
      <w:bookmarkStart w:id="258" w:name="_Toc320881462"/>
      <w:r>
        <w:t>Treatment-related adverse events (adverse drug reactions (ADRs))</w:t>
      </w:r>
      <w:bookmarkEnd w:id="255"/>
      <w:bookmarkEnd w:id="256"/>
      <w:bookmarkEnd w:id="257"/>
      <w:bookmarkEnd w:id="258"/>
    </w:p>
    <w:p w:rsidR="004D5254" w:rsidRDefault="004D5254" w:rsidP="004D5254">
      <w:pPr>
        <w:pStyle w:val="Heading5"/>
        <w:numPr>
          <w:ilvl w:val="3"/>
          <w:numId w:val="5"/>
        </w:numPr>
      </w:pPr>
      <w:r>
        <w:t>Pivotal study</w:t>
      </w:r>
    </w:p>
    <w:p w:rsidR="004D5254" w:rsidRPr="00CA74E3" w:rsidRDefault="004D5254" w:rsidP="004D5254">
      <w:r w:rsidRPr="00CA74E3">
        <w:t xml:space="preserve">Adverse drug reactions (that is, those AEs considered by the investigator to be possibly, probably or definitely related to pralatrexate) occurred in 106/111 (95%) patients. The most commonly affected system organ classes were: Gastrointestinal System </w:t>
      </w:r>
      <w:r>
        <w:t>(N=90; 81%), General Disorders a</w:t>
      </w:r>
      <w:r w:rsidRPr="00CA74E3">
        <w:t xml:space="preserve">nd Application Site Conditions (N=59; 77%), Respiratory System (N=53; 48%), Blood </w:t>
      </w:r>
      <w:r>
        <w:t>a</w:t>
      </w:r>
      <w:r w:rsidRPr="00CA74E3">
        <w:t>nd Lymp</w:t>
      </w:r>
      <w:r>
        <w:t>hatic System (N=52; 47%), Skin a</w:t>
      </w:r>
      <w:r w:rsidRPr="00CA74E3">
        <w:t>nd Connectiv</w:t>
      </w:r>
      <w:r>
        <w:t>e Tissue Disorders (N=40; 36%) a</w:t>
      </w:r>
      <w:r w:rsidRPr="00CA74E3">
        <w:t xml:space="preserve">nd Infection (n=39; 35%). Individual ADRs occurring in ≥ 10% patients are summarised in Table 17. </w:t>
      </w:r>
    </w:p>
    <w:p w:rsidR="004D5254" w:rsidRDefault="004D5254" w:rsidP="004D5254">
      <w:pPr>
        <w:pStyle w:val="FigureTitle"/>
      </w:pPr>
      <w:bookmarkStart w:id="259" w:name="_Toc320881540"/>
      <w:r>
        <w:t>Table 17. Study PDX-008 - ADRs occurring in ≥ 10% patients</w:t>
      </w:r>
      <w:bookmarkEnd w:id="259"/>
    </w:p>
    <w:tbl>
      <w:tblPr>
        <w:tblStyle w:val="TableGrid"/>
        <w:tblW w:w="0" w:type="auto"/>
        <w:tblLook w:val="04A0"/>
      </w:tblPr>
      <w:tblGrid>
        <w:gridCol w:w="3516"/>
        <w:gridCol w:w="1145"/>
        <w:gridCol w:w="1145"/>
        <w:gridCol w:w="1145"/>
        <w:gridCol w:w="1145"/>
        <w:gridCol w:w="1146"/>
      </w:tblGrid>
      <w:tr w:rsidR="004D5254" w:rsidTr="003A2EF5">
        <w:trPr>
          <w:tblHeader/>
        </w:trPr>
        <w:tc>
          <w:tcPr>
            <w:tcW w:w="3516" w:type="dxa"/>
            <w:tcBorders>
              <w:top w:val="nil"/>
              <w:left w:val="nil"/>
              <w:bottom w:val="nil"/>
            </w:tcBorders>
          </w:tcPr>
          <w:p w:rsidR="004D5254" w:rsidRDefault="004D5254" w:rsidP="00C80331">
            <w:pPr>
              <w:spacing w:before="40" w:after="40"/>
              <w:rPr>
                <w:sz w:val="20"/>
                <w:szCs w:val="20"/>
              </w:rPr>
            </w:pPr>
          </w:p>
        </w:tc>
        <w:tc>
          <w:tcPr>
            <w:tcW w:w="4580" w:type="dxa"/>
            <w:gridSpan w:val="4"/>
            <w:shd w:val="clear" w:color="auto" w:fill="0070C0"/>
          </w:tcPr>
          <w:p w:rsidR="004D5254" w:rsidRPr="00CA74E3" w:rsidRDefault="004D5254" w:rsidP="00C80331">
            <w:pPr>
              <w:spacing w:before="40" w:after="40"/>
              <w:jc w:val="center"/>
              <w:rPr>
                <w:b/>
                <w:color w:val="FFFFFF" w:themeColor="background1"/>
                <w:sz w:val="20"/>
                <w:szCs w:val="20"/>
              </w:rPr>
            </w:pPr>
            <w:r w:rsidRPr="00CA74E3">
              <w:rPr>
                <w:b/>
                <w:color w:val="FFFFFF" w:themeColor="background1"/>
                <w:sz w:val="20"/>
                <w:szCs w:val="20"/>
              </w:rPr>
              <w:t>Severity</w:t>
            </w:r>
          </w:p>
        </w:tc>
        <w:tc>
          <w:tcPr>
            <w:tcW w:w="1146" w:type="dxa"/>
            <w:vMerge w:val="restart"/>
            <w:shd w:val="clear" w:color="auto" w:fill="0070C0"/>
          </w:tcPr>
          <w:p w:rsidR="004D5254" w:rsidRPr="00CA74E3" w:rsidRDefault="004D5254" w:rsidP="00C80331">
            <w:pPr>
              <w:jc w:val="center"/>
              <w:rPr>
                <w:b/>
                <w:color w:val="FFFFFF" w:themeColor="background1"/>
                <w:sz w:val="20"/>
                <w:szCs w:val="20"/>
              </w:rPr>
            </w:pPr>
          </w:p>
          <w:p w:rsidR="004D5254" w:rsidRPr="00CA74E3" w:rsidRDefault="004D5254" w:rsidP="00C80331">
            <w:pPr>
              <w:jc w:val="center"/>
              <w:rPr>
                <w:b/>
                <w:color w:val="FFFFFF" w:themeColor="background1"/>
                <w:sz w:val="20"/>
                <w:szCs w:val="20"/>
              </w:rPr>
            </w:pPr>
            <w:r w:rsidRPr="00CA74E3">
              <w:rPr>
                <w:b/>
                <w:color w:val="FFFFFF" w:themeColor="background1"/>
                <w:sz w:val="20"/>
                <w:szCs w:val="20"/>
              </w:rPr>
              <w:t>Total</w:t>
            </w:r>
          </w:p>
        </w:tc>
      </w:tr>
      <w:tr w:rsidR="004D5254" w:rsidTr="003A2EF5">
        <w:trPr>
          <w:tblHeader/>
        </w:trPr>
        <w:tc>
          <w:tcPr>
            <w:tcW w:w="3516" w:type="dxa"/>
            <w:tcBorders>
              <w:top w:val="nil"/>
              <w:left w:val="nil"/>
            </w:tcBorders>
          </w:tcPr>
          <w:p w:rsidR="004D5254" w:rsidRDefault="004D5254" w:rsidP="00C80331">
            <w:pPr>
              <w:spacing w:before="40" w:after="40"/>
              <w:rPr>
                <w:sz w:val="20"/>
                <w:szCs w:val="20"/>
              </w:rPr>
            </w:pPr>
          </w:p>
        </w:tc>
        <w:tc>
          <w:tcPr>
            <w:tcW w:w="1145" w:type="dxa"/>
            <w:shd w:val="clear" w:color="auto" w:fill="0070C0"/>
          </w:tcPr>
          <w:p w:rsidR="004D5254" w:rsidRPr="00CA74E3" w:rsidRDefault="004D5254" w:rsidP="00C80331">
            <w:pPr>
              <w:spacing w:before="40" w:after="40"/>
              <w:jc w:val="center"/>
              <w:rPr>
                <w:b/>
                <w:color w:val="FFFFFF" w:themeColor="background1"/>
                <w:sz w:val="20"/>
                <w:szCs w:val="20"/>
              </w:rPr>
            </w:pPr>
            <w:r w:rsidRPr="00CA74E3">
              <w:rPr>
                <w:b/>
                <w:color w:val="FFFFFF" w:themeColor="background1"/>
                <w:sz w:val="20"/>
                <w:szCs w:val="20"/>
              </w:rPr>
              <w:t>Grade 1</w:t>
            </w:r>
          </w:p>
        </w:tc>
        <w:tc>
          <w:tcPr>
            <w:tcW w:w="1145" w:type="dxa"/>
            <w:shd w:val="clear" w:color="auto" w:fill="0070C0"/>
          </w:tcPr>
          <w:p w:rsidR="004D5254" w:rsidRPr="00CA74E3" w:rsidRDefault="004D5254" w:rsidP="00C80331">
            <w:pPr>
              <w:spacing w:before="40" w:after="40"/>
              <w:jc w:val="center"/>
              <w:rPr>
                <w:b/>
                <w:color w:val="FFFFFF" w:themeColor="background1"/>
                <w:sz w:val="20"/>
                <w:szCs w:val="20"/>
              </w:rPr>
            </w:pPr>
            <w:r w:rsidRPr="00CA74E3">
              <w:rPr>
                <w:b/>
                <w:color w:val="FFFFFF" w:themeColor="background1"/>
                <w:sz w:val="20"/>
                <w:szCs w:val="20"/>
              </w:rPr>
              <w:t>Grade 2</w:t>
            </w:r>
          </w:p>
        </w:tc>
        <w:tc>
          <w:tcPr>
            <w:tcW w:w="1145" w:type="dxa"/>
            <w:shd w:val="clear" w:color="auto" w:fill="0070C0"/>
          </w:tcPr>
          <w:p w:rsidR="004D5254" w:rsidRPr="00CA74E3" w:rsidRDefault="004D5254" w:rsidP="00C80331">
            <w:pPr>
              <w:spacing w:before="40" w:after="40"/>
              <w:jc w:val="center"/>
              <w:rPr>
                <w:b/>
                <w:color w:val="FFFFFF" w:themeColor="background1"/>
                <w:sz w:val="20"/>
                <w:szCs w:val="20"/>
              </w:rPr>
            </w:pPr>
            <w:r w:rsidRPr="00CA74E3">
              <w:rPr>
                <w:b/>
                <w:color w:val="FFFFFF" w:themeColor="background1"/>
                <w:sz w:val="20"/>
                <w:szCs w:val="20"/>
              </w:rPr>
              <w:t>Grade 3</w:t>
            </w:r>
          </w:p>
        </w:tc>
        <w:tc>
          <w:tcPr>
            <w:tcW w:w="1145" w:type="dxa"/>
            <w:shd w:val="clear" w:color="auto" w:fill="0070C0"/>
          </w:tcPr>
          <w:p w:rsidR="004D5254" w:rsidRPr="00CA74E3" w:rsidRDefault="004D5254" w:rsidP="00C80331">
            <w:pPr>
              <w:spacing w:before="40" w:after="40"/>
              <w:jc w:val="center"/>
              <w:rPr>
                <w:b/>
                <w:color w:val="FFFFFF" w:themeColor="background1"/>
                <w:sz w:val="20"/>
                <w:szCs w:val="20"/>
              </w:rPr>
            </w:pPr>
            <w:r w:rsidRPr="00CA74E3">
              <w:rPr>
                <w:b/>
                <w:color w:val="FFFFFF" w:themeColor="background1"/>
                <w:sz w:val="20"/>
                <w:szCs w:val="20"/>
              </w:rPr>
              <w:t>Grade 4</w:t>
            </w:r>
          </w:p>
        </w:tc>
        <w:tc>
          <w:tcPr>
            <w:tcW w:w="1146" w:type="dxa"/>
            <w:vMerge/>
            <w:shd w:val="clear" w:color="auto" w:fill="0070C0"/>
          </w:tcPr>
          <w:p w:rsidR="004D5254" w:rsidRPr="00CA74E3" w:rsidRDefault="004D5254" w:rsidP="00C80331">
            <w:pPr>
              <w:spacing w:before="40" w:after="40"/>
              <w:jc w:val="center"/>
              <w:rPr>
                <w:b/>
                <w:color w:val="FFFFFF" w:themeColor="background1"/>
                <w:sz w:val="20"/>
                <w:szCs w:val="20"/>
              </w:rPr>
            </w:pPr>
          </w:p>
        </w:tc>
      </w:tr>
      <w:tr w:rsidR="004D5254" w:rsidTr="00C80331">
        <w:tc>
          <w:tcPr>
            <w:tcW w:w="3516" w:type="dxa"/>
          </w:tcPr>
          <w:p w:rsidR="004D5254" w:rsidRPr="00B03113" w:rsidRDefault="004D5254" w:rsidP="00C80331">
            <w:pPr>
              <w:spacing w:before="40" w:after="40"/>
              <w:rPr>
                <w:i/>
                <w:sz w:val="20"/>
                <w:szCs w:val="20"/>
              </w:rPr>
            </w:pPr>
            <w:r w:rsidRPr="00B03113">
              <w:rPr>
                <w:i/>
                <w:sz w:val="20"/>
                <w:szCs w:val="20"/>
              </w:rPr>
              <w:t>General disorders</w:t>
            </w: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6" w:type="dxa"/>
          </w:tcPr>
          <w:p w:rsidR="004D5254" w:rsidRDefault="004D5254" w:rsidP="00C80331">
            <w:pPr>
              <w:spacing w:before="40" w:after="40"/>
              <w:jc w:val="center"/>
              <w:rPr>
                <w:sz w:val="20"/>
                <w:szCs w:val="20"/>
              </w:rPr>
            </w:pPr>
          </w:p>
        </w:tc>
      </w:tr>
      <w:tr w:rsidR="004D5254" w:rsidTr="00C80331">
        <w:tc>
          <w:tcPr>
            <w:tcW w:w="3516" w:type="dxa"/>
          </w:tcPr>
          <w:p w:rsidR="004D5254" w:rsidRDefault="004D5254" w:rsidP="00C80331">
            <w:pPr>
              <w:spacing w:before="40" w:after="40"/>
              <w:rPr>
                <w:sz w:val="20"/>
                <w:szCs w:val="20"/>
              </w:rPr>
            </w:pPr>
            <w:r>
              <w:rPr>
                <w:sz w:val="20"/>
                <w:szCs w:val="20"/>
              </w:rPr>
              <w:t xml:space="preserve"> Mucosal inflammation**</w:t>
            </w:r>
          </w:p>
        </w:tc>
        <w:tc>
          <w:tcPr>
            <w:tcW w:w="1145" w:type="dxa"/>
          </w:tcPr>
          <w:p w:rsidR="004D5254" w:rsidRDefault="004D5254" w:rsidP="00C80331">
            <w:pPr>
              <w:spacing w:before="40" w:after="40"/>
              <w:jc w:val="center"/>
              <w:rPr>
                <w:sz w:val="20"/>
                <w:szCs w:val="20"/>
              </w:rPr>
            </w:pPr>
            <w:r>
              <w:rPr>
                <w:sz w:val="20"/>
                <w:szCs w:val="20"/>
              </w:rPr>
              <w:t>20 (18%)</w:t>
            </w:r>
          </w:p>
        </w:tc>
        <w:tc>
          <w:tcPr>
            <w:tcW w:w="1145" w:type="dxa"/>
          </w:tcPr>
          <w:p w:rsidR="004D5254" w:rsidRDefault="004D5254" w:rsidP="00C80331">
            <w:pPr>
              <w:spacing w:before="40" w:after="40"/>
              <w:jc w:val="center"/>
              <w:rPr>
                <w:sz w:val="20"/>
                <w:szCs w:val="20"/>
              </w:rPr>
            </w:pPr>
            <w:r>
              <w:rPr>
                <w:sz w:val="20"/>
                <w:szCs w:val="20"/>
              </w:rPr>
              <w:t>32 (29%)</w:t>
            </w:r>
          </w:p>
        </w:tc>
        <w:tc>
          <w:tcPr>
            <w:tcW w:w="1145" w:type="dxa"/>
          </w:tcPr>
          <w:p w:rsidR="004D5254" w:rsidRDefault="004D5254" w:rsidP="00C80331">
            <w:pPr>
              <w:spacing w:before="40" w:after="40"/>
              <w:jc w:val="center"/>
              <w:rPr>
                <w:sz w:val="20"/>
                <w:szCs w:val="20"/>
              </w:rPr>
            </w:pPr>
            <w:r>
              <w:rPr>
                <w:sz w:val="20"/>
                <w:szCs w:val="20"/>
              </w:rPr>
              <w:t>20 (18%)</w:t>
            </w:r>
          </w:p>
        </w:tc>
        <w:tc>
          <w:tcPr>
            <w:tcW w:w="1145" w:type="dxa"/>
          </w:tcPr>
          <w:p w:rsidR="004D5254" w:rsidRDefault="004D5254" w:rsidP="00C80331">
            <w:pPr>
              <w:spacing w:before="40" w:after="40"/>
              <w:jc w:val="center"/>
              <w:rPr>
                <w:sz w:val="20"/>
                <w:szCs w:val="20"/>
              </w:rPr>
            </w:pPr>
            <w:r>
              <w:rPr>
                <w:sz w:val="20"/>
                <w:szCs w:val="20"/>
              </w:rPr>
              <w:t>4 (4%)</w:t>
            </w:r>
          </w:p>
        </w:tc>
        <w:tc>
          <w:tcPr>
            <w:tcW w:w="1146" w:type="dxa"/>
          </w:tcPr>
          <w:p w:rsidR="004D5254" w:rsidRDefault="004D5254" w:rsidP="00C80331">
            <w:pPr>
              <w:spacing w:before="40" w:after="40"/>
              <w:jc w:val="center"/>
              <w:rPr>
                <w:sz w:val="20"/>
                <w:szCs w:val="20"/>
              </w:rPr>
            </w:pPr>
            <w:r>
              <w:rPr>
                <w:sz w:val="20"/>
                <w:szCs w:val="20"/>
              </w:rPr>
              <w:t>76 (68%)</w:t>
            </w:r>
          </w:p>
        </w:tc>
      </w:tr>
      <w:tr w:rsidR="004D5254" w:rsidTr="00C80331">
        <w:tc>
          <w:tcPr>
            <w:tcW w:w="3516" w:type="dxa"/>
          </w:tcPr>
          <w:p w:rsidR="004D5254" w:rsidRDefault="004D5254" w:rsidP="00C80331">
            <w:pPr>
              <w:spacing w:before="40" w:after="40"/>
              <w:rPr>
                <w:sz w:val="20"/>
                <w:szCs w:val="20"/>
              </w:rPr>
            </w:pPr>
            <w:r>
              <w:rPr>
                <w:sz w:val="20"/>
                <w:szCs w:val="20"/>
              </w:rPr>
              <w:t xml:space="preserve"> Fatigue</w:t>
            </w:r>
          </w:p>
        </w:tc>
        <w:tc>
          <w:tcPr>
            <w:tcW w:w="1145" w:type="dxa"/>
          </w:tcPr>
          <w:p w:rsidR="004D5254" w:rsidRDefault="004D5254" w:rsidP="00C80331">
            <w:pPr>
              <w:spacing w:before="40" w:after="40"/>
              <w:jc w:val="center"/>
              <w:rPr>
                <w:sz w:val="20"/>
                <w:szCs w:val="20"/>
              </w:rPr>
            </w:pPr>
            <w:r>
              <w:rPr>
                <w:sz w:val="20"/>
                <w:szCs w:val="20"/>
              </w:rPr>
              <w:t>16 (14%)</w:t>
            </w:r>
          </w:p>
        </w:tc>
        <w:tc>
          <w:tcPr>
            <w:tcW w:w="1145" w:type="dxa"/>
          </w:tcPr>
          <w:p w:rsidR="004D5254" w:rsidRDefault="004D5254" w:rsidP="00C80331">
            <w:pPr>
              <w:spacing w:before="40" w:after="40"/>
              <w:jc w:val="center"/>
              <w:rPr>
                <w:sz w:val="20"/>
                <w:szCs w:val="20"/>
              </w:rPr>
            </w:pPr>
            <w:r>
              <w:rPr>
                <w:sz w:val="20"/>
                <w:szCs w:val="20"/>
              </w:rPr>
              <w:t>11 (10%)</w:t>
            </w:r>
          </w:p>
        </w:tc>
        <w:tc>
          <w:tcPr>
            <w:tcW w:w="1145" w:type="dxa"/>
          </w:tcPr>
          <w:p w:rsidR="004D5254" w:rsidRDefault="004D5254" w:rsidP="00C80331">
            <w:pPr>
              <w:spacing w:before="40" w:after="40"/>
              <w:jc w:val="center"/>
              <w:rPr>
                <w:sz w:val="20"/>
                <w:szCs w:val="20"/>
              </w:rPr>
            </w:pPr>
            <w:r>
              <w:rPr>
                <w:sz w:val="20"/>
                <w:szCs w:val="20"/>
              </w:rPr>
              <w:t>5 (5%)</w:t>
            </w:r>
          </w:p>
        </w:tc>
        <w:tc>
          <w:tcPr>
            <w:tcW w:w="1145" w:type="dxa"/>
          </w:tcPr>
          <w:p w:rsidR="004D5254" w:rsidRDefault="004D5254" w:rsidP="00C80331">
            <w:pPr>
              <w:spacing w:before="40" w:after="40"/>
              <w:jc w:val="center"/>
              <w:rPr>
                <w:sz w:val="20"/>
                <w:szCs w:val="20"/>
              </w:rPr>
            </w:pPr>
            <w:r>
              <w:rPr>
                <w:sz w:val="20"/>
                <w:szCs w:val="20"/>
              </w:rPr>
              <w:t>1 (1%)</w:t>
            </w:r>
          </w:p>
        </w:tc>
        <w:tc>
          <w:tcPr>
            <w:tcW w:w="1146" w:type="dxa"/>
          </w:tcPr>
          <w:p w:rsidR="004D5254" w:rsidRDefault="004D5254" w:rsidP="00C80331">
            <w:pPr>
              <w:spacing w:before="40" w:after="40"/>
              <w:jc w:val="center"/>
              <w:rPr>
                <w:sz w:val="20"/>
                <w:szCs w:val="20"/>
              </w:rPr>
            </w:pPr>
            <w:r>
              <w:rPr>
                <w:sz w:val="20"/>
                <w:szCs w:val="20"/>
              </w:rPr>
              <w:t>33 (30%)</w:t>
            </w:r>
          </w:p>
        </w:tc>
      </w:tr>
      <w:tr w:rsidR="004D5254" w:rsidTr="00C80331">
        <w:tc>
          <w:tcPr>
            <w:tcW w:w="3516" w:type="dxa"/>
          </w:tcPr>
          <w:p w:rsidR="004D5254" w:rsidRDefault="004D5254" w:rsidP="00C80331">
            <w:pPr>
              <w:spacing w:before="40" w:after="40"/>
              <w:rPr>
                <w:sz w:val="20"/>
                <w:szCs w:val="20"/>
              </w:rPr>
            </w:pPr>
            <w:r>
              <w:rPr>
                <w:sz w:val="20"/>
                <w:szCs w:val="20"/>
              </w:rPr>
              <w:t xml:space="preserve"> Pyrexia</w:t>
            </w:r>
          </w:p>
        </w:tc>
        <w:tc>
          <w:tcPr>
            <w:tcW w:w="1145" w:type="dxa"/>
          </w:tcPr>
          <w:p w:rsidR="004D5254" w:rsidRDefault="004D5254" w:rsidP="00C80331">
            <w:pPr>
              <w:spacing w:before="40" w:after="40"/>
              <w:jc w:val="center"/>
              <w:rPr>
                <w:sz w:val="20"/>
                <w:szCs w:val="20"/>
              </w:rPr>
            </w:pPr>
            <w:r>
              <w:rPr>
                <w:sz w:val="20"/>
                <w:szCs w:val="20"/>
              </w:rPr>
              <w:t>17 (15%)</w:t>
            </w:r>
          </w:p>
        </w:tc>
        <w:tc>
          <w:tcPr>
            <w:tcW w:w="1145" w:type="dxa"/>
          </w:tcPr>
          <w:p w:rsidR="004D5254" w:rsidRDefault="004D5254" w:rsidP="00C80331">
            <w:pPr>
              <w:spacing w:before="40" w:after="40"/>
              <w:jc w:val="center"/>
              <w:rPr>
                <w:sz w:val="20"/>
                <w:szCs w:val="20"/>
              </w:rPr>
            </w:pPr>
            <w:r>
              <w:rPr>
                <w:sz w:val="20"/>
                <w:szCs w:val="20"/>
              </w:rPr>
              <w:t>4 (4%)</w:t>
            </w:r>
          </w:p>
        </w:tc>
        <w:tc>
          <w:tcPr>
            <w:tcW w:w="1145" w:type="dxa"/>
          </w:tcPr>
          <w:p w:rsidR="004D5254" w:rsidRDefault="004D5254" w:rsidP="00C80331">
            <w:pPr>
              <w:spacing w:before="40" w:after="40"/>
              <w:jc w:val="center"/>
              <w:rPr>
                <w:sz w:val="20"/>
                <w:szCs w:val="20"/>
              </w:rPr>
            </w:pPr>
            <w:r>
              <w:rPr>
                <w:sz w:val="20"/>
                <w:szCs w:val="20"/>
              </w:rPr>
              <w:t>0</w:t>
            </w:r>
          </w:p>
        </w:tc>
        <w:tc>
          <w:tcPr>
            <w:tcW w:w="1145" w:type="dxa"/>
          </w:tcPr>
          <w:p w:rsidR="004D5254" w:rsidRDefault="004D5254" w:rsidP="00C80331">
            <w:pPr>
              <w:spacing w:before="40" w:after="40"/>
              <w:jc w:val="center"/>
              <w:rPr>
                <w:sz w:val="20"/>
                <w:szCs w:val="20"/>
              </w:rPr>
            </w:pPr>
            <w:r>
              <w:rPr>
                <w:sz w:val="20"/>
                <w:szCs w:val="20"/>
              </w:rPr>
              <w:t>0</w:t>
            </w:r>
          </w:p>
        </w:tc>
        <w:tc>
          <w:tcPr>
            <w:tcW w:w="1146" w:type="dxa"/>
          </w:tcPr>
          <w:p w:rsidR="004D5254" w:rsidRDefault="004D5254" w:rsidP="00C80331">
            <w:pPr>
              <w:spacing w:before="40" w:after="40"/>
              <w:jc w:val="center"/>
              <w:rPr>
                <w:sz w:val="20"/>
                <w:szCs w:val="20"/>
              </w:rPr>
            </w:pPr>
            <w:r>
              <w:rPr>
                <w:sz w:val="20"/>
                <w:szCs w:val="20"/>
              </w:rPr>
              <w:t>21 (19%)</w:t>
            </w:r>
          </w:p>
        </w:tc>
      </w:tr>
      <w:tr w:rsidR="004D5254" w:rsidTr="00C80331">
        <w:tc>
          <w:tcPr>
            <w:tcW w:w="3516" w:type="dxa"/>
          </w:tcPr>
          <w:p w:rsidR="004D5254" w:rsidRDefault="004D5254" w:rsidP="00C80331">
            <w:pPr>
              <w:spacing w:before="40" w:after="40"/>
              <w:rPr>
                <w:sz w:val="20"/>
                <w:szCs w:val="20"/>
              </w:rPr>
            </w:pPr>
            <w:r>
              <w:rPr>
                <w:sz w:val="20"/>
                <w:szCs w:val="20"/>
              </w:rPr>
              <w:t xml:space="preserve"> Oedema*</w:t>
            </w:r>
          </w:p>
        </w:tc>
        <w:tc>
          <w:tcPr>
            <w:tcW w:w="1145" w:type="dxa"/>
          </w:tcPr>
          <w:p w:rsidR="004D5254" w:rsidRDefault="004D5254" w:rsidP="00C80331">
            <w:pPr>
              <w:spacing w:before="40" w:after="40"/>
              <w:jc w:val="center"/>
              <w:rPr>
                <w:sz w:val="20"/>
                <w:szCs w:val="20"/>
              </w:rPr>
            </w:pPr>
            <w:r>
              <w:rPr>
                <w:sz w:val="20"/>
                <w:szCs w:val="20"/>
              </w:rPr>
              <w:t>13 (12%)</w:t>
            </w:r>
          </w:p>
        </w:tc>
        <w:tc>
          <w:tcPr>
            <w:tcW w:w="1145" w:type="dxa"/>
          </w:tcPr>
          <w:p w:rsidR="004D5254" w:rsidRDefault="004D5254" w:rsidP="00C80331">
            <w:pPr>
              <w:spacing w:before="40" w:after="40"/>
              <w:jc w:val="center"/>
              <w:rPr>
                <w:sz w:val="20"/>
                <w:szCs w:val="20"/>
              </w:rPr>
            </w:pPr>
            <w:r>
              <w:rPr>
                <w:sz w:val="20"/>
                <w:szCs w:val="20"/>
              </w:rPr>
              <w:t>7 (6%)</w:t>
            </w:r>
          </w:p>
        </w:tc>
        <w:tc>
          <w:tcPr>
            <w:tcW w:w="1145" w:type="dxa"/>
          </w:tcPr>
          <w:p w:rsidR="004D5254" w:rsidRDefault="004D5254" w:rsidP="00C80331">
            <w:pPr>
              <w:spacing w:before="40" w:after="40"/>
              <w:jc w:val="center"/>
              <w:rPr>
                <w:sz w:val="20"/>
                <w:szCs w:val="20"/>
              </w:rPr>
            </w:pPr>
            <w:r>
              <w:rPr>
                <w:sz w:val="20"/>
                <w:szCs w:val="20"/>
              </w:rPr>
              <w:t>0</w:t>
            </w:r>
          </w:p>
        </w:tc>
        <w:tc>
          <w:tcPr>
            <w:tcW w:w="1145" w:type="dxa"/>
          </w:tcPr>
          <w:p w:rsidR="004D5254" w:rsidRDefault="004D5254" w:rsidP="00C80331">
            <w:pPr>
              <w:spacing w:before="40" w:after="40"/>
              <w:jc w:val="center"/>
              <w:rPr>
                <w:sz w:val="20"/>
                <w:szCs w:val="20"/>
              </w:rPr>
            </w:pPr>
            <w:r>
              <w:rPr>
                <w:sz w:val="20"/>
                <w:szCs w:val="20"/>
              </w:rPr>
              <w:t>0</w:t>
            </w:r>
          </w:p>
        </w:tc>
        <w:tc>
          <w:tcPr>
            <w:tcW w:w="1146" w:type="dxa"/>
          </w:tcPr>
          <w:p w:rsidR="004D5254" w:rsidRDefault="004D5254" w:rsidP="00C80331">
            <w:pPr>
              <w:spacing w:before="40" w:after="40"/>
              <w:jc w:val="center"/>
              <w:rPr>
                <w:sz w:val="20"/>
                <w:szCs w:val="20"/>
              </w:rPr>
            </w:pPr>
            <w:r>
              <w:rPr>
                <w:sz w:val="20"/>
                <w:szCs w:val="20"/>
              </w:rPr>
              <w:t>20 (18%)</w:t>
            </w:r>
          </w:p>
        </w:tc>
      </w:tr>
      <w:tr w:rsidR="004D5254" w:rsidTr="00C80331">
        <w:tc>
          <w:tcPr>
            <w:tcW w:w="3516" w:type="dxa"/>
          </w:tcPr>
          <w:p w:rsidR="004D5254" w:rsidRPr="00B03113" w:rsidRDefault="004D5254" w:rsidP="00C80331">
            <w:pPr>
              <w:spacing w:before="40" w:after="40"/>
              <w:rPr>
                <w:i/>
                <w:sz w:val="20"/>
                <w:szCs w:val="20"/>
              </w:rPr>
            </w:pPr>
            <w:r w:rsidRPr="00B03113">
              <w:rPr>
                <w:i/>
                <w:sz w:val="20"/>
                <w:szCs w:val="20"/>
              </w:rPr>
              <w:t>Blood and lymphatic system</w:t>
            </w:r>
          </w:p>
        </w:tc>
        <w:tc>
          <w:tcPr>
            <w:tcW w:w="2290" w:type="dxa"/>
            <w:gridSpan w:val="2"/>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6" w:type="dxa"/>
          </w:tcPr>
          <w:p w:rsidR="004D5254" w:rsidRDefault="004D5254" w:rsidP="00C80331">
            <w:pPr>
              <w:spacing w:before="40" w:after="40"/>
              <w:jc w:val="center"/>
              <w:rPr>
                <w:sz w:val="20"/>
                <w:szCs w:val="20"/>
              </w:rPr>
            </w:pPr>
          </w:p>
        </w:tc>
      </w:tr>
      <w:tr w:rsidR="004D5254" w:rsidTr="00C80331">
        <w:tc>
          <w:tcPr>
            <w:tcW w:w="3516" w:type="dxa"/>
          </w:tcPr>
          <w:p w:rsidR="004D5254" w:rsidRDefault="004D5254" w:rsidP="00C80331">
            <w:pPr>
              <w:spacing w:before="40" w:after="40"/>
              <w:rPr>
                <w:sz w:val="20"/>
                <w:szCs w:val="20"/>
              </w:rPr>
            </w:pPr>
            <w:r>
              <w:rPr>
                <w:sz w:val="20"/>
                <w:szCs w:val="20"/>
              </w:rPr>
              <w:t xml:space="preserve"> Thrombocytopaenia*</w:t>
            </w:r>
          </w:p>
        </w:tc>
        <w:tc>
          <w:tcPr>
            <w:tcW w:w="2290" w:type="dxa"/>
            <w:gridSpan w:val="2"/>
          </w:tcPr>
          <w:p w:rsidR="004D5254" w:rsidRDefault="004D5254" w:rsidP="00C80331">
            <w:pPr>
              <w:spacing w:before="40" w:after="40"/>
              <w:jc w:val="center"/>
              <w:rPr>
                <w:sz w:val="20"/>
                <w:szCs w:val="20"/>
              </w:rPr>
            </w:pPr>
            <w:r>
              <w:rPr>
                <w:sz w:val="20"/>
                <w:szCs w:val="20"/>
              </w:rPr>
              <w:t>9 (8%)</w:t>
            </w:r>
          </w:p>
        </w:tc>
        <w:tc>
          <w:tcPr>
            <w:tcW w:w="1145" w:type="dxa"/>
          </w:tcPr>
          <w:p w:rsidR="004D5254" w:rsidRDefault="004D5254" w:rsidP="00C80331">
            <w:pPr>
              <w:spacing w:before="40" w:after="40"/>
              <w:jc w:val="center"/>
              <w:rPr>
                <w:sz w:val="20"/>
                <w:szCs w:val="20"/>
              </w:rPr>
            </w:pPr>
            <w:r>
              <w:rPr>
                <w:sz w:val="20"/>
                <w:szCs w:val="20"/>
              </w:rPr>
              <w:t>16 (14%)</w:t>
            </w:r>
          </w:p>
        </w:tc>
        <w:tc>
          <w:tcPr>
            <w:tcW w:w="1145" w:type="dxa"/>
          </w:tcPr>
          <w:p w:rsidR="004D5254" w:rsidRDefault="004D5254" w:rsidP="00C80331">
            <w:pPr>
              <w:spacing w:before="40" w:after="40"/>
              <w:jc w:val="center"/>
              <w:rPr>
                <w:sz w:val="20"/>
                <w:szCs w:val="20"/>
              </w:rPr>
            </w:pPr>
            <w:r>
              <w:rPr>
                <w:sz w:val="20"/>
                <w:szCs w:val="20"/>
              </w:rPr>
              <w:t>19 (17%)</w:t>
            </w:r>
          </w:p>
        </w:tc>
        <w:tc>
          <w:tcPr>
            <w:tcW w:w="1146" w:type="dxa"/>
          </w:tcPr>
          <w:p w:rsidR="004D5254" w:rsidRDefault="004D5254" w:rsidP="00C80331">
            <w:pPr>
              <w:spacing w:before="40" w:after="40"/>
              <w:jc w:val="center"/>
              <w:rPr>
                <w:sz w:val="20"/>
                <w:szCs w:val="20"/>
              </w:rPr>
            </w:pPr>
            <w:r>
              <w:rPr>
                <w:sz w:val="20"/>
                <w:szCs w:val="20"/>
              </w:rPr>
              <w:t>44 (40%)</w:t>
            </w:r>
          </w:p>
        </w:tc>
      </w:tr>
      <w:tr w:rsidR="004D5254" w:rsidTr="00C80331">
        <w:tc>
          <w:tcPr>
            <w:tcW w:w="3516" w:type="dxa"/>
          </w:tcPr>
          <w:p w:rsidR="004D5254" w:rsidRDefault="004D5254" w:rsidP="00C80331">
            <w:pPr>
              <w:spacing w:before="40" w:after="40"/>
              <w:rPr>
                <w:sz w:val="20"/>
                <w:szCs w:val="20"/>
              </w:rPr>
            </w:pPr>
            <w:r>
              <w:rPr>
                <w:sz w:val="20"/>
                <w:szCs w:val="20"/>
              </w:rPr>
              <w:t xml:space="preserve"> Anaemia*</w:t>
            </w:r>
          </w:p>
        </w:tc>
        <w:tc>
          <w:tcPr>
            <w:tcW w:w="2290" w:type="dxa"/>
            <w:gridSpan w:val="2"/>
          </w:tcPr>
          <w:p w:rsidR="004D5254" w:rsidRDefault="004D5254" w:rsidP="00C80331">
            <w:pPr>
              <w:spacing w:before="40" w:after="40"/>
              <w:jc w:val="center"/>
              <w:rPr>
                <w:sz w:val="20"/>
                <w:szCs w:val="20"/>
              </w:rPr>
            </w:pPr>
            <w:r>
              <w:rPr>
                <w:sz w:val="20"/>
                <w:szCs w:val="20"/>
              </w:rPr>
              <w:t>19 (17%)</w:t>
            </w:r>
          </w:p>
        </w:tc>
        <w:tc>
          <w:tcPr>
            <w:tcW w:w="1145" w:type="dxa"/>
          </w:tcPr>
          <w:p w:rsidR="004D5254" w:rsidRDefault="004D5254" w:rsidP="00C80331">
            <w:pPr>
              <w:spacing w:before="40" w:after="40"/>
              <w:jc w:val="center"/>
              <w:rPr>
                <w:sz w:val="20"/>
                <w:szCs w:val="20"/>
              </w:rPr>
            </w:pPr>
            <w:r>
              <w:rPr>
                <w:sz w:val="20"/>
                <w:szCs w:val="20"/>
              </w:rPr>
              <w:t>15 (14%)</w:t>
            </w:r>
          </w:p>
        </w:tc>
        <w:tc>
          <w:tcPr>
            <w:tcW w:w="1145" w:type="dxa"/>
          </w:tcPr>
          <w:p w:rsidR="004D5254" w:rsidRDefault="004D5254" w:rsidP="00C80331">
            <w:pPr>
              <w:spacing w:before="40" w:after="40"/>
              <w:jc w:val="center"/>
              <w:rPr>
                <w:sz w:val="20"/>
                <w:szCs w:val="20"/>
              </w:rPr>
            </w:pPr>
            <w:r>
              <w:rPr>
                <w:sz w:val="20"/>
                <w:szCs w:val="20"/>
              </w:rPr>
              <w:t>2 (2%)</w:t>
            </w:r>
          </w:p>
        </w:tc>
        <w:tc>
          <w:tcPr>
            <w:tcW w:w="1146" w:type="dxa"/>
          </w:tcPr>
          <w:p w:rsidR="004D5254" w:rsidRDefault="004D5254" w:rsidP="00C80331">
            <w:pPr>
              <w:spacing w:before="40" w:after="40"/>
              <w:jc w:val="center"/>
              <w:rPr>
                <w:sz w:val="20"/>
                <w:szCs w:val="20"/>
              </w:rPr>
            </w:pPr>
            <w:r>
              <w:rPr>
                <w:sz w:val="20"/>
                <w:szCs w:val="20"/>
              </w:rPr>
              <w:t>36 (32%)</w:t>
            </w:r>
          </w:p>
        </w:tc>
      </w:tr>
      <w:tr w:rsidR="004D5254" w:rsidTr="00C80331">
        <w:tc>
          <w:tcPr>
            <w:tcW w:w="3516" w:type="dxa"/>
          </w:tcPr>
          <w:p w:rsidR="004D5254" w:rsidRDefault="004D5254" w:rsidP="00C80331">
            <w:pPr>
              <w:spacing w:before="40" w:after="40"/>
              <w:rPr>
                <w:sz w:val="20"/>
                <w:szCs w:val="20"/>
              </w:rPr>
            </w:pPr>
            <w:r>
              <w:rPr>
                <w:sz w:val="20"/>
                <w:szCs w:val="20"/>
              </w:rPr>
              <w:t xml:space="preserve"> Neutropaenia *</w:t>
            </w:r>
          </w:p>
        </w:tc>
        <w:tc>
          <w:tcPr>
            <w:tcW w:w="2290" w:type="dxa"/>
            <w:gridSpan w:val="2"/>
          </w:tcPr>
          <w:p w:rsidR="004D5254" w:rsidRDefault="004D5254" w:rsidP="00C80331">
            <w:pPr>
              <w:spacing w:before="40" w:after="40"/>
              <w:jc w:val="center"/>
              <w:rPr>
                <w:sz w:val="20"/>
                <w:szCs w:val="20"/>
              </w:rPr>
            </w:pPr>
            <w:r>
              <w:rPr>
                <w:sz w:val="20"/>
                <w:szCs w:val="20"/>
              </w:rPr>
              <w:t>3 (3%)</w:t>
            </w:r>
          </w:p>
        </w:tc>
        <w:tc>
          <w:tcPr>
            <w:tcW w:w="1145" w:type="dxa"/>
          </w:tcPr>
          <w:p w:rsidR="004D5254" w:rsidRDefault="004D5254" w:rsidP="00C80331">
            <w:pPr>
              <w:spacing w:before="40" w:after="40"/>
              <w:jc w:val="center"/>
              <w:rPr>
                <w:sz w:val="20"/>
                <w:szCs w:val="20"/>
              </w:rPr>
            </w:pPr>
            <w:r>
              <w:rPr>
                <w:sz w:val="20"/>
                <w:szCs w:val="20"/>
              </w:rPr>
              <w:t>16 (14%)</w:t>
            </w:r>
          </w:p>
        </w:tc>
        <w:tc>
          <w:tcPr>
            <w:tcW w:w="1145" w:type="dxa"/>
          </w:tcPr>
          <w:p w:rsidR="004D5254" w:rsidRDefault="004D5254" w:rsidP="00C80331">
            <w:pPr>
              <w:spacing w:before="40" w:after="40"/>
              <w:jc w:val="center"/>
              <w:rPr>
                <w:sz w:val="20"/>
                <w:szCs w:val="20"/>
              </w:rPr>
            </w:pPr>
            <w:r>
              <w:rPr>
                <w:sz w:val="20"/>
                <w:szCs w:val="20"/>
              </w:rPr>
              <w:t>8 (7%)</w:t>
            </w:r>
          </w:p>
        </w:tc>
        <w:tc>
          <w:tcPr>
            <w:tcW w:w="1146" w:type="dxa"/>
          </w:tcPr>
          <w:p w:rsidR="004D5254" w:rsidRDefault="004D5254" w:rsidP="00C80331">
            <w:pPr>
              <w:spacing w:before="40" w:after="40"/>
              <w:jc w:val="center"/>
              <w:rPr>
                <w:sz w:val="20"/>
                <w:szCs w:val="20"/>
              </w:rPr>
            </w:pPr>
            <w:r>
              <w:rPr>
                <w:sz w:val="20"/>
                <w:szCs w:val="20"/>
              </w:rPr>
              <w:t>27 (24%)</w:t>
            </w:r>
          </w:p>
        </w:tc>
      </w:tr>
      <w:tr w:rsidR="004D5254" w:rsidTr="00C80331">
        <w:tc>
          <w:tcPr>
            <w:tcW w:w="3516" w:type="dxa"/>
          </w:tcPr>
          <w:p w:rsidR="004D5254" w:rsidRDefault="004D5254" w:rsidP="00C80331">
            <w:pPr>
              <w:spacing w:before="40" w:after="40"/>
              <w:rPr>
                <w:sz w:val="20"/>
                <w:szCs w:val="20"/>
              </w:rPr>
            </w:pPr>
            <w:r>
              <w:rPr>
                <w:sz w:val="20"/>
                <w:szCs w:val="20"/>
              </w:rPr>
              <w:t xml:space="preserve"> Leucopaenia*</w:t>
            </w:r>
          </w:p>
        </w:tc>
        <w:tc>
          <w:tcPr>
            <w:tcW w:w="2290" w:type="dxa"/>
            <w:gridSpan w:val="2"/>
          </w:tcPr>
          <w:p w:rsidR="004D5254" w:rsidRDefault="004D5254" w:rsidP="00C80331">
            <w:pPr>
              <w:spacing w:before="40" w:after="40"/>
              <w:jc w:val="center"/>
              <w:rPr>
                <w:sz w:val="20"/>
                <w:szCs w:val="20"/>
              </w:rPr>
            </w:pPr>
            <w:r>
              <w:rPr>
                <w:sz w:val="20"/>
                <w:szCs w:val="20"/>
              </w:rPr>
              <w:t>4 (4%)</w:t>
            </w:r>
          </w:p>
        </w:tc>
        <w:tc>
          <w:tcPr>
            <w:tcW w:w="1145" w:type="dxa"/>
          </w:tcPr>
          <w:p w:rsidR="004D5254" w:rsidRDefault="004D5254" w:rsidP="00C80331">
            <w:pPr>
              <w:spacing w:before="40" w:after="40"/>
              <w:jc w:val="center"/>
              <w:rPr>
                <w:sz w:val="20"/>
                <w:szCs w:val="20"/>
              </w:rPr>
            </w:pPr>
            <w:r>
              <w:rPr>
                <w:sz w:val="20"/>
                <w:szCs w:val="20"/>
              </w:rPr>
              <w:t>4 (4%)</w:t>
            </w:r>
          </w:p>
        </w:tc>
        <w:tc>
          <w:tcPr>
            <w:tcW w:w="1145" w:type="dxa"/>
          </w:tcPr>
          <w:p w:rsidR="004D5254" w:rsidRDefault="004D5254" w:rsidP="00C80331">
            <w:pPr>
              <w:spacing w:before="40" w:after="40"/>
              <w:jc w:val="center"/>
              <w:rPr>
                <w:sz w:val="20"/>
                <w:szCs w:val="20"/>
              </w:rPr>
            </w:pPr>
            <w:r>
              <w:rPr>
                <w:sz w:val="20"/>
                <w:szCs w:val="20"/>
              </w:rPr>
              <w:t>4 (4%)</w:t>
            </w:r>
          </w:p>
        </w:tc>
        <w:tc>
          <w:tcPr>
            <w:tcW w:w="1146" w:type="dxa"/>
          </w:tcPr>
          <w:p w:rsidR="004D5254" w:rsidRDefault="004D5254" w:rsidP="00C80331">
            <w:pPr>
              <w:spacing w:before="40" w:after="40"/>
              <w:jc w:val="center"/>
              <w:rPr>
                <w:sz w:val="20"/>
                <w:szCs w:val="20"/>
              </w:rPr>
            </w:pPr>
            <w:r>
              <w:rPr>
                <w:sz w:val="20"/>
                <w:szCs w:val="20"/>
              </w:rPr>
              <w:t>12 (11%)</w:t>
            </w:r>
          </w:p>
        </w:tc>
      </w:tr>
      <w:tr w:rsidR="004D5254" w:rsidTr="00C80331">
        <w:tc>
          <w:tcPr>
            <w:tcW w:w="3516" w:type="dxa"/>
          </w:tcPr>
          <w:p w:rsidR="004D5254" w:rsidRPr="00B03113" w:rsidRDefault="004D5254" w:rsidP="00C80331">
            <w:pPr>
              <w:spacing w:before="40" w:after="40"/>
              <w:rPr>
                <w:i/>
                <w:sz w:val="20"/>
                <w:szCs w:val="20"/>
              </w:rPr>
            </w:pPr>
            <w:r w:rsidRPr="00B03113">
              <w:rPr>
                <w:i/>
                <w:sz w:val="20"/>
                <w:szCs w:val="20"/>
              </w:rPr>
              <w:t>Gastrointestinal disorders</w:t>
            </w:r>
          </w:p>
        </w:tc>
        <w:tc>
          <w:tcPr>
            <w:tcW w:w="2290" w:type="dxa"/>
            <w:gridSpan w:val="2"/>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6" w:type="dxa"/>
          </w:tcPr>
          <w:p w:rsidR="004D5254" w:rsidRDefault="004D5254" w:rsidP="00C80331">
            <w:pPr>
              <w:spacing w:before="40" w:after="40"/>
              <w:jc w:val="center"/>
              <w:rPr>
                <w:sz w:val="20"/>
                <w:szCs w:val="20"/>
              </w:rPr>
            </w:pPr>
          </w:p>
        </w:tc>
      </w:tr>
      <w:tr w:rsidR="004D5254" w:rsidTr="00C80331">
        <w:tc>
          <w:tcPr>
            <w:tcW w:w="3516" w:type="dxa"/>
          </w:tcPr>
          <w:p w:rsidR="004D5254" w:rsidRDefault="004D5254" w:rsidP="00C80331">
            <w:pPr>
              <w:spacing w:before="40" w:after="40"/>
              <w:rPr>
                <w:sz w:val="20"/>
                <w:szCs w:val="20"/>
              </w:rPr>
            </w:pPr>
            <w:r>
              <w:rPr>
                <w:sz w:val="20"/>
                <w:szCs w:val="20"/>
              </w:rPr>
              <w:t xml:space="preserve"> Nausea</w:t>
            </w:r>
          </w:p>
        </w:tc>
        <w:tc>
          <w:tcPr>
            <w:tcW w:w="1145" w:type="dxa"/>
          </w:tcPr>
          <w:p w:rsidR="004D5254" w:rsidRDefault="004D5254" w:rsidP="00C80331">
            <w:pPr>
              <w:spacing w:before="40" w:after="40"/>
              <w:jc w:val="center"/>
              <w:rPr>
                <w:sz w:val="20"/>
                <w:szCs w:val="20"/>
              </w:rPr>
            </w:pPr>
            <w:r>
              <w:rPr>
                <w:sz w:val="20"/>
                <w:szCs w:val="20"/>
              </w:rPr>
              <w:t>21 (19%)</w:t>
            </w:r>
          </w:p>
        </w:tc>
        <w:tc>
          <w:tcPr>
            <w:tcW w:w="1145" w:type="dxa"/>
          </w:tcPr>
          <w:p w:rsidR="004D5254" w:rsidRDefault="004D5254" w:rsidP="00C80331">
            <w:pPr>
              <w:spacing w:before="40" w:after="40"/>
              <w:jc w:val="center"/>
              <w:rPr>
                <w:sz w:val="20"/>
                <w:szCs w:val="20"/>
              </w:rPr>
            </w:pPr>
            <w:r>
              <w:rPr>
                <w:sz w:val="20"/>
                <w:szCs w:val="20"/>
              </w:rPr>
              <w:t>12 (11%)</w:t>
            </w:r>
          </w:p>
        </w:tc>
        <w:tc>
          <w:tcPr>
            <w:tcW w:w="1145" w:type="dxa"/>
          </w:tcPr>
          <w:p w:rsidR="004D5254" w:rsidRDefault="004D5254" w:rsidP="00C80331">
            <w:pPr>
              <w:spacing w:before="40" w:after="40"/>
              <w:jc w:val="center"/>
              <w:rPr>
                <w:sz w:val="20"/>
                <w:szCs w:val="20"/>
              </w:rPr>
            </w:pPr>
            <w:r>
              <w:rPr>
                <w:sz w:val="20"/>
                <w:szCs w:val="20"/>
              </w:rPr>
              <w:t>4 (4%)</w:t>
            </w:r>
          </w:p>
        </w:tc>
        <w:tc>
          <w:tcPr>
            <w:tcW w:w="1145" w:type="dxa"/>
          </w:tcPr>
          <w:p w:rsidR="004D5254" w:rsidRDefault="004D5254" w:rsidP="00C80331">
            <w:pPr>
              <w:spacing w:before="40" w:after="40"/>
              <w:jc w:val="center"/>
              <w:rPr>
                <w:sz w:val="20"/>
                <w:szCs w:val="20"/>
              </w:rPr>
            </w:pPr>
            <w:r>
              <w:rPr>
                <w:sz w:val="20"/>
                <w:szCs w:val="20"/>
              </w:rPr>
              <w:t>0</w:t>
            </w:r>
          </w:p>
        </w:tc>
        <w:tc>
          <w:tcPr>
            <w:tcW w:w="1146" w:type="dxa"/>
          </w:tcPr>
          <w:p w:rsidR="004D5254" w:rsidRDefault="004D5254" w:rsidP="00C80331">
            <w:pPr>
              <w:spacing w:before="40" w:after="40"/>
              <w:jc w:val="center"/>
              <w:rPr>
                <w:sz w:val="20"/>
                <w:szCs w:val="20"/>
              </w:rPr>
            </w:pPr>
            <w:r>
              <w:rPr>
                <w:sz w:val="20"/>
                <w:szCs w:val="20"/>
              </w:rPr>
              <w:t>37 (33%)</w:t>
            </w:r>
          </w:p>
        </w:tc>
      </w:tr>
      <w:tr w:rsidR="004D5254" w:rsidTr="00C80331">
        <w:tc>
          <w:tcPr>
            <w:tcW w:w="3516" w:type="dxa"/>
          </w:tcPr>
          <w:p w:rsidR="004D5254" w:rsidRDefault="004D5254" w:rsidP="00C80331">
            <w:pPr>
              <w:spacing w:before="40" w:after="40"/>
              <w:rPr>
                <w:sz w:val="20"/>
                <w:szCs w:val="20"/>
              </w:rPr>
            </w:pPr>
            <w:r>
              <w:rPr>
                <w:sz w:val="20"/>
                <w:szCs w:val="20"/>
              </w:rPr>
              <w:t xml:space="preserve"> Constipation</w:t>
            </w:r>
          </w:p>
        </w:tc>
        <w:tc>
          <w:tcPr>
            <w:tcW w:w="1145" w:type="dxa"/>
          </w:tcPr>
          <w:p w:rsidR="004D5254" w:rsidRDefault="004D5254" w:rsidP="00C80331">
            <w:pPr>
              <w:spacing w:before="40" w:after="40"/>
              <w:jc w:val="center"/>
              <w:rPr>
                <w:sz w:val="20"/>
                <w:szCs w:val="20"/>
              </w:rPr>
            </w:pPr>
            <w:r>
              <w:rPr>
                <w:sz w:val="20"/>
                <w:szCs w:val="20"/>
              </w:rPr>
              <w:t>17 (15%)</w:t>
            </w:r>
          </w:p>
        </w:tc>
        <w:tc>
          <w:tcPr>
            <w:tcW w:w="1145" w:type="dxa"/>
          </w:tcPr>
          <w:p w:rsidR="004D5254" w:rsidRDefault="004D5254" w:rsidP="00C80331">
            <w:pPr>
              <w:spacing w:before="40" w:after="40"/>
              <w:jc w:val="center"/>
              <w:rPr>
                <w:sz w:val="20"/>
                <w:szCs w:val="20"/>
              </w:rPr>
            </w:pPr>
            <w:r>
              <w:rPr>
                <w:sz w:val="20"/>
                <w:szCs w:val="20"/>
              </w:rPr>
              <w:t>6 (5%)</w:t>
            </w:r>
          </w:p>
        </w:tc>
        <w:tc>
          <w:tcPr>
            <w:tcW w:w="1145" w:type="dxa"/>
          </w:tcPr>
          <w:p w:rsidR="004D5254" w:rsidRDefault="004D5254" w:rsidP="00C80331">
            <w:pPr>
              <w:spacing w:before="40" w:after="40"/>
              <w:jc w:val="center"/>
              <w:rPr>
                <w:sz w:val="20"/>
                <w:szCs w:val="20"/>
              </w:rPr>
            </w:pPr>
            <w:r>
              <w:rPr>
                <w:sz w:val="20"/>
                <w:szCs w:val="20"/>
              </w:rPr>
              <w:t>0</w:t>
            </w:r>
          </w:p>
        </w:tc>
        <w:tc>
          <w:tcPr>
            <w:tcW w:w="1145" w:type="dxa"/>
          </w:tcPr>
          <w:p w:rsidR="004D5254" w:rsidRDefault="004D5254" w:rsidP="00C80331">
            <w:pPr>
              <w:spacing w:before="40" w:after="40"/>
              <w:jc w:val="center"/>
              <w:rPr>
                <w:sz w:val="20"/>
                <w:szCs w:val="20"/>
              </w:rPr>
            </w:pPr>
            <w:r>
              <w:rPr>
                <w:sz w:val="20"/>
                <w:szCs w:val="20"/>
              </w:rPr>
              <w:t>0</w:t>
            </w:r>
          </w:p>
        </w:tc>
        <w:tc>
          <w:tcPr>
            <w:tcW w:w="1146" w:type="dxa"/>
          </w:tcPr>
          <w:p w:rsidR="004D5254" w:rsidRDefault="004D5254" w:rsidP="00C80331">
            <w:pPr>
              <w:spacing w:before="40" w:after="40"/>
              <w:jc w:val="center"/>
              <w:rPr>
                <w:sz w:val="20"/>
                <w:szCs w:val="20"/>
              </w:rPr>
            </w:pPr>
            <w:r>
              <w:rPr>
                <w:sz w:val="20"/>
                <w:szCs w:val="20"/>
              </w:rPr>
              <w:t>23 (21%)</w:t>
            </w:r>
          </w:p>
        </w:tc>
      </w:tr>
      <w:tr w:rsidR="004D5254" w:rsidTr="00C80331">
        <w:tc>
          <w:tcPr>
            <w:tcW w:w="3516" w:type="dxa"/>
          </w:tcPr>
          <w:p w:rsidR="004D5254" w:rsidRDefault="004D5254" w:rsidP="00C80331">
            <w:pPr>
              <w:spacing w:before="40" w:after="40"/>
              <w:rPr>
                <w:sz w:val="20"/>
                <w:szCs w:val="20"/>
              </w:rPr>
            </w:pPr>
            <w:r>
              <w:rPr>
                <w:sz w:val="20"/>
                <w:szCs w:val="20"/>
              </w:rPr>
              <w:t xml:space="preserve"> Vomiting</w:t>
            </w:r>
          </w:p>
        </w:tc>
        <w:tc>
          <w:tcPr>
            <w:tcW w:w="1145" w:type="dxa"/>
          </w:tcPr>
          <w:p w:rsidR="004D5254" w:rsidRDefault="004D5254" w:rsidP="00C80331">
            <w:pPr>
              <w:spacing w:before="40" w:after="40"/>
              <w:jc w:val="center"/>
              <w:rPr>
                <w:sz w:val="20"/>
                <w:szCs w:val="20"/>
              </w:rPr>
            </w:pPr>
            <w:r>
              <w:rPr>
                <w:sz w:val="20"/>
                <w:szCs w:val="20"/>
              </w:rPr>
              <w:t>15 (14%)</w:t>
            </w:r>
          </w:p>
        </w:tc>
        <w:tc>
          <w:tcPr>
            <w:tcW w:w="1145" w:type="dxa"/>
          </w:tcPr>
          <w:p w:rsidR="004D5254" w:rsidRDefault="004D5254" w:rsidP="00C80331">
            <w:pPr>
              <w:spacing w:before="40" w:after="40"/>
              <w:jc w:val="center"/>
              <w:rPr>
                <w:sz w:val="20"/>
                <w:szCs w:val="20"/>
              </w:rPr>
            </w:pPr>
            <w:r>
              <w:rPr>
                <w:sz w:val="20"/>
                <w:szCs w:val="20"/>
              </w:rPr>
              <w:t>6 (5%)</w:t>
            </w:r>
          </w:p>
        </w:tc>
        <w:tc>
          <w:tcPr>
            <w:tcW w:w="1145" w:type="dxa"/>
          </w:tcPr>
          <w:p w:rsidR="004D5254" w:rsidRDefault="004D5254" w:rsidP="00C80331">
            <w:pPr>
              <w:spacing w:before="40" w:after="40"/>
              <w:jc w:val="center"/>
              <w:rPr>
                <w:sz w:val="20"/>
                <w:szCs w:val="20"/>
              </w:rPr>
            </w:pPr>
            <w:r>
              <w:rPr>
                <w:sz w:val="20"/>
                <w:szCs w:val="20"/>
              </w:rPr>
              <w:t>2 (2%)</w:t>
            </w:r>
          </w:p>
        </w:tc>
        <w:tc>
          <w:tcPr>
            <w:tcW w:w="1145" w:type="dxa"/>
          </w:tcPr>
          <w:p w:rsidR="004D5254" w:rsidRDefault="004D5254" w:rsidP="00C80331">
            <w:pPr>
              <w:spacing w:before="40" w:after="40"/>
              <w:jc w:val="center"/>
              <w:rPr>
                <w:sz w:val="20"/>
                <w:szCs w:val="20"/>
              </w:rPr>
            </w:pPr>
            <w:r>
              <w:rPr>
                <w:sz w:val="20"/>
                <w:szCs w:val="20"/>
              </w:rPr>
              <w:t>0</w:t>
            </w:r>
          </w:p>
        </w:tc>
        <w:tc>
          <w:tcPr>
            <w:tcW w:w="1146" w:type="dxa"/>
          </w:tcPr>
          <w:p w:rsidR="004D5254" w:rsidRDefault="004D5254" w:rsidP="00C80331">
            <w:pPr>
              <w:spacing w:before="40" w:after="40"/>
              <w:jc w:val="center"/>
              <w:rPr>
                <w:sz w:val="20"/>
                <w:szCs w:val="20"/>
              </w:rPr>
            </w:pPr>
            <w:r>
              <w:rPr>
                <w:sz w:val="20"/>
                <w:szCs w:val="20"/>
              </w:rPr>
              <w:t>23 (21%)</w:t>
            </w:r>
          </w:p>
        </w:tc>
      </w:tr>
      <w:tr w:rsidR="004D5254" w:rsidTr="00C80331">
        <w:tc>
          <w:tcPr>
            <w:tcW w:w="3516" w:type="dxa"/>
          </w:tcPr>
          <w:p w:rsidR="004D5254" w:rsidRDefault="004D5254" w:rsidP="00C80331">
            <w:pPr>
              <w:spacing w:before="40" w:after="40"/>
              <w:rPr>
                <w:sz w:val="20"/>
                <w:szCs w:val="20"/>
              </w:rPr>
            </w:pPr>
            <w:r>
              <w:rPr>
                <w:sz w:val="20"/>
                <w:szCs w:val="20"/>
              </w:rPr>
              <w:t xml:space="preserve"> Diarrhoea</w:t>
            </w:r>
          </w:p>
        </w:tc>
        <w:tc>
          <w:tcPr>
            <w:tcW w:w="1145" w:type="dxa"/>
          </w:tcPr>
          <w:p w:rsidR="004D5254" w:rsidRDefault="004D5254" w:rsidP="00C80331">
            <w:pPr>
              <w:spacing w:before="40" w:after="40"/>
              <w:jc w:val="center"/>
              <w:rPr>
                <w:sz w:val="20"/>
                <w:szCs w:val="20"/>
              </w:rPr>
            </w:pPr>
            <w:r>
              <w:rPr>
                <w:sz w:val="20"/>
                <w:szCs w:val="20"/>
              </w:rPr>
              <w:t>12 (11%)</w:t>
            </w:r>
          </w:p>
        </w:tc>
        <w:tc>
          <w:tcPr>
            <w:tcW w:w="1145" w:type="dxa"/>
          </w:tcPr>
          <w:p w:rsidR="004D5254" w:rsidRDefault="004D5254" w:rsidP="00C80331">
            <w:pPr>
              <w:spacing w:before="40" w:after="40"/>
              <w:jc w:val="center"/>
              <w:rPr>
                <w:sz w:val="20"/>
                <w:szCs w:val="20"/>
              </w:rPr>
            </w:pPr>
            <w:r>
              <w:rPr>
                <w:sz w:val="20"/>
                <w:szCs w:val="20"/>
              </w:rPr>
              <w:t>6 (5%)</w:t>
            </w:r>
          </w:p>
        </w:tc>
        <w:tc>
          <w:tcPr>
            <w:tcW w:w="1145" w:type="dxa"/>
          </w:tcPr>
          <w:p w:rsidR="004D5254" w:rsidRDefault="004D5254" w:rsidP="00C80331">
            <w:pPr>
              <w:spacing w:before="40" w:after="40"/>
              <w:jc w:val="center"/>
              <w:rPr>
                <w:sz w:val="20"/>
                <w:szCs w:val="20"/>
              </w:rPr>
            </w:pPr>
            <w:r>
              <w:rPr>
                <w:sz w:val="20"/>
                <w:szCs w:val="20"/>
              </w:rPr>
              <w:t>1 (1%)</w:t>
            </w:r>
          </w:p>
        </w:tc>
        <w:tc>
          <w:tcPr>
            <w:tcW w:w="1145" w:type="dxa"/>
          </w:tcPr>
          <w:p w:rsidR="004D5254" w:rsidRDefault="004D5254" w:rsidP="00C80331">
            <w:pPr>
              <w:spacing w:before="40" w:after="40"/>
              <w:jc w:val="center"/>
              <w:rPr>
                <w:sz w:val="20"/>
                <w:szCs w:val="20"/>
              </w:rPr>
            </w:pPr>
            <w:r>
              <w:rPr>
                <w:sz w:val="20"/>
                <w:szCs w:val="20"/>
              </w:rPr>
              <w:t>0</w:t>
            </w:r>
          </w:p>
        </w:tc>
        <w:tc>
          <w:tcPr>
            <w:tcW w:w="1146" w:type="dxa"/>
          </w:tcPr>
          <w:p w:rsidR="004D5254" w:rsidRDefault="004D5254" w:rsidP="00C80331">
            <w:pPr>
              <w:spacing w:before="40" w:after="40"/>
              <w:jc w:val="center"/>
              <w:rPr>
                <w:sz w:val="20"/>
                <w:szCs w:val="20"/>
              </w:rPr>
            </w:pPr>
            <w:r>
              <w:rPr>
                <w:sz w:val="20"/>
                <w:szCs w:val="20"/>
              </w:rPr>
              <w:t>19 (17%)</w:t>
            </w:r>
          </w:p>
        </w:tc>
      </w:tr>
      <w:tr w:rsidR="004D5254" w:rsidTr="00C80331">
        <w:tc>
          <w:tcPr>
            <w:tcW w:w="3516" w:type="dxa"/>
          </w:tcPr>
          <w:p w:rsidR="004D5254" w:rsidRPr="00B03113" w:rsidRDefault="004D5254" w:rsidP="00C80331">
            <w:pPr>
              <w:spacing w:before="40" w:after="40"/>
              <w:rPr>
                <w:i/>
                <w:sz w:val="20"/>
                <w:szCs w:val="20"/>
              </w:rPr>
            </w:pPr>
            <w:r w:rsidRPr="00B03113">
              <w:rPr>
                <w:i/>
                <w:sz w:val="20"/>
                <w:szCs w:val="20"/>
              </w:rPr>
              <w:t>Respiratory disorders</w:t>
            </w: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6" w:type="dxa"/>
          </w:tcPr>
          <w:p w:rsidR="004D5254" w:rsidRDefault="004D5254" w:rsidP="00C80331">
            <w:pPr>
              <w:spacing w:before="40" w:after="40"/>
              <w:jc w:val="center"/>
              <w:rPr>
                <w:sz w:val="20"/>
                <w:szCs w:val="20"/>
              </w:rPr>
            </w:pPr>
          </w:p>
        </w:tc>
      </w:tr>
      <w:tr w:rsidR="004D5254" w:rsidTr="00C80331">
        <w:tc>
          <w:tcPr>
            <w:tcW w:w="3516" w:type="dxa"/>
          </w:tcPr>
          <w:p w:rsidR="004D5254" w:rsidRDefault="004D5254" w:rsidP="00C80331">
            <w:pPr>
              <w:spacing w:before="40" w:after="40"/>
              <w:rPr>
                <w:sz w:val="20"/>
                <w:szCs w:val="20"/>
              </w:rPr>
            </w:pPr>
            <w:r>
              <w:rPr>
                <w:sz w:val="20"/>
                <w:szCs w:val="20"/>
              </w:rPr>
              <w:t xml:space="preserve"> Epistaxis</w:t>
            </w:r>
          </w:p>
        </w:tc>
        <w:tc>
          <w:tcPr>
            <w:tcW w:w="1145" w:type="dxa"/>
          </w:tcPr>
          <w:p w:rsidR="004D5254" w:rsidRDefault="004D5254" w:rsidP="00C80331">
            <w:pPr>
              <w:spacing w:before="40" w:after="40"/>
              <w:jc w:val="center"/>
              <w:rPr>
                <w:sz w:val="20"/>
                <w:szCs w:val="20"/>
              </w:rPr>
            </w:pPr>
            <w:r>
              <w:rPr>
                <w:sz w:val="20"/>
                <w:szCs w:val="20"/>
              </w:rPr>
              <w:t>24 (22%)</w:t>
            </w:r>
          </w:p>
        </w:tc>
        <w:tc>
          <w:tcPr>
            <w:tcW w:w="1145" w:type="dxa"/>
          </w:tcPr>
          <w:p w:rsidR="004D5254" w:rsidRDefault="004D5254" w:rsidP="00C80331">
            <w:pPr>
              <w:spacing w:before="40" w:after="40"/>
              <w:jc w:val="center"/>
              <w:rPr>
                <w:sz w:val="20"/>
                <w:szCs w:val="20"/>
              </w:rPr>
            </w:pPr>
            <w:r>
              <w:rPr>
                <w:sz w:val="20"/>
                <w:szCs w:val="20"/>
              </w:rPr>
              <w:t>2 (2%)</w:t>
            </w:r>
          </w:p>
        </w:tc>
        <w:tc>
          <w:tcPr>
            <w:tcW w:w="1145" w:type="dxa"/>
          </w:tcPr>
          <w:p w:rsidR="004D5254" w:rsidRDefault="004D5254" w:rsidP="00C80331">
            <w:pPr>
              <w:spacing w:before="40" w:after="40"/>
              <w:jc w:val="center"/>
              <w:rPr>
                <w:sz w:val="20"/>
                <w:szCs w:val="20"/>
              </w:rPr>
            </w:pPr>
            <w:r>
              <w:rPr>
                <w:sz w:val="20"/>
                <w:szCs w:val="20"/>
              </w:rPr>
              <w:t>0</w:t>
            </w:r>
          </w:p>
        </w:tc>
        <w:tc>
          <w:tcPr>
            <w:tcW w:w="1145" w:type="dxa"/>
          </w:tcPr>
          <w:p w:rsidR="004D5254" w:rsidRDefault="004D5254" w:rsidP="00C80331">
            <w:pPr>
              <w:spacing w:before="40" w:after="40"/>
              <w:jc w:val="center"/>
              <w:rPr>
                <w:sz w:val="20"/>
                <w:szCs w:val="20"/>
              </w:rPr>
            </w:pPr>
            <w:r>
              <w:rPr>
                <w:sz w:val="20"/>
                <w:szCs w:val="20"/>
              </w:rPr>
              <w:t>0</w:t>
            </w:r>
          </w:p>
        </w:tc>
        <w:tc>
          <w:tcPr>
            <w:tcW w:w="1146" w:type="dxa"/>
          </w:tcPr>
          <w:p w:rsidR="004D5254" w:rsidRDefault="004D5254" w:rsidP="00C80331">
            <w:pPr>
              <w:spacing w:before="40" w:after="40"/>
              <w:jc w:val="center"/>
              <w:rPr>
                <w:sz w:val="20"/>
                <w:szCs w:val="20"/>
              </w:rPr>
            </w:pPr>
            <w:r>
              <w:rPr>
                <w:sz w:val="20"/>
                <w:szCs w:val="20"/>
              </w:rPr>
              <w:t>26 (23%)</w:t>
            </w:r>
          </w:p>
        </w:tc>
      </w:tr>
      <w:tr w:rsidR="004D5254" w:rsidTr="00C80331">
        <w:tc>
          <w:tcPr>
            <w:tcW w:w="3516" w:type="dxa"/>
          </w:tcPr>
          <w:p w:rsidR="004D5254" w:rsidRDefault="004D5254" w:rsidP="00C80331">
            <w:pPr>
              <w:spacing w:before="40" w:after="40"/>
              <w:rPr>
                <w:sz w:val="20"/>
                <w:szCs w:val="20"/>
              </w:rPr>
            </w:pPr>
            <w:r>
              <w:rPr>
                <w:sz w:val="20"/>
                <w:szCs w:val="20"/>
              </w:rPr>
              <w:t xml:space="preserve"> Dyspnoea</w:t>
            </w:r>
          </w:p>
        </w:tc>
        <w:tc>
          <w:tcPr>
            <w:tcW w:w="1145" w:type="dxa"/>
          </w:tcPr>
          <w:p w:rsidR="004D5254" w:rsidRDefault="004D5254" w:rsidP="00C80331">
            <w:pPr>
              <w:spacing w:before="40" w:after="40"/>
              <w:jc w:val="center"/>
              <w:rPr>
                <w:sz w:val="20"/>
                <w:szCs w:val="20"/>
              </w:rPr>
            </w:pPr>
            <w:r>
              <w:rPr>
                <w:sz w:val="20"/>
                <w:szCs w:val="20"/>
              </w:rPr>
              <w:t>8 (7%)</w:t>
            </w:r>
          </w:p>
        </w:tc>
        <w:tc>
          <w:tcPr>
            <w:tcW w:w="1145" w:type="dxa"/>
          </w:tcPr>
          <w:p w:rsidR="004D5254" w:rsidRDefault="004D5254" w:rsidP="00C80331">
            <w:pPr>
              <w:spacing w:before="40" w:after="40"/>
              <w:jc w:val="center"/>
              <w:rPr>
                <w:sz w:val="20"/>
                <w:szCs w:val="20"/>
              </w:rPr>
            </w:pPr>
            <w:r>
              <w:rPr>
                <w:sz w:val="20"/>
                <w:szCs w:val="20"/>
              </w:rPr>
              <w:t>0</w:t>
            </w:r>
          </w:p>
        </w:tc>
        <w:tc>
          <w:tcPr>
            <w:tcW w:w="1145" w:type="dxa"/>
          </w:tcPr>
          <w:p w:rsidR="004D5254" w:rsidRDefault="004D5254" w:rsidP="00C80331">
            <w:pPr>
              <w:spacing w:before="40" w:after="40"/>
              <w:jc w:val="center"/>
              <w:rPr>
                <w:sz w:val="20"/>
                <w:szCs w:val="20"/>
              </w:rPr>
            </w:pPr>
            <w:r w:rsidRPr="00B03113">
              <w:rPr>
                <w:sz w:val="20"/>
                <w:szCs w:val="20"/>
              </w:rPr>
              <w:t>3 (3%)</w:t>
            </w:r>
          </w:p>
        </w:tc>
        <w:tc>
          <w:tcPr>
            <w:tcW w:w="1145" w:type="dxa"/>
          </w:tcPr>
          <w:p w:rsidR="004D5254" w:rsidRDefault="004D5254" w:rsidP="00C80331">
            <w:pPr>
              <w:spacing w:before="40" w:after="40"/>
              <w:jc w:val="center"/>
              <w:rPr>
                <w:sz w:val="20"/>
                <w:szCs w:val="20"/>
              </w:rPr>
            </w:pPr>
            <w:r>
              <w:rPr>
                <w:sz w:val="20"/>
                <w:szCs w:val="20"/>
              </w:rPr>
              <w:t>0</w:t>
            </w:r>
          </w:p>
        </w:tc>
        <w:tc>
          <w:tcPr>
            <w:tcW w:w="1146" w:type="dxa"/>
          </w:tcPr>
          <w:p w:rsidR="004D5254" w:rsidRDefault="004D5254" w:rsidP="00C80331">
            <w:pPr>
              <w:spacing w:before="40" w:after="40"/>
              <w:jc w:val="center"/>
              <w:rPr>
                <w:sz w:val="20"/>
                <w:szCs w:val="20"/>
              </w:rPr>
            </w:pPr>
            <w:r>
              <w:rPr>
                <w:sz w:val="20"/>
                <w:szCs w:val="20"/>
              </w:rPr>
              <w:t>11 (10%)</w:t>
            </w:r>
          </w:p>
        </w:tc>
      </w:tr>
      <w:tr w:rsidR="004D5254" w:rsidTr="00C80331">
        <w:tc>
          <w:tcPr>
            <w:tcW w:w="3516" w:type="dxa"/>
          </w:tcPr>
          <w:p w:rsidR="004D5254" w:rsidRPr="00B03113" w:rsidRDefault="004D5254" w:rsidP="00C80331">
            <w:pPr>
              <w:spacing w:before="40" w:after="40"/>
              <w:rPr>
                <w:i/>
                <w:sz w:val="20"/>
                <w:szCs w:val="20"/>
              </w:rPr>
            </w:pPr>
            <w:r w:rsidRPr="00B03113">
              <w:rPr>
                <w:i/>
                <w:sz w:val="20"/>
                <w:szCs w:val="20"/>
              </w:rPr>
              <w:t>Metabolic and nutritional disorders</w:t>
            </w: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6" w:type="dxa"/>
          </w:tcPr>
          <w:p w:rsidR="004D5254" w:rsidRDefault="004D5254" w:rsidP="00C80331">
            <w:pPr>
              <w:spacing w:before="40" w:after="40"/>
              <w:jc w:val="center"/>
              <w:rPr>
                <w:sz w:val="20"/>
                <w:szCs w:val="20"/>
              </w:rPr>
            </w:pPr>
          </w:p>
        </w:tc>
      </w:tr>
      <w:tr w:rsidR="004D5254" w:rsidTr="00C80331">
        <w:tc>
          <w:tcPr>
            <w:tcW w:w="3516" w:type="dxa"/>
          </w:tcPr>
          <w:p w:rsidR="004D5254" w:rsidRDefault="004D5254" w:rsidP="00C80331">
            <w:pPr>
              <w:spacing w:before="40" w:after="40"/>
              <w:rPr>
                <w:sz w:val="20"/>
                <w:szCs w:val="20"/>
              </w:rPr>
            </w:pPr>
            <w:r>
              <w:rPr>
                <w:sz w:val="20"/>
                <w:szCs w:val="20"/>
              </w:rPr>
              <w:t xml:space="preserve"> Anorexia*</w:t>
            </w:r>
          </w:p>
        </w:tc>
        <w:tc>
          <w:tcPr>
            <w:tcW w:w="1145" w:type="dxa"/>
          </w:tcPr>
          <w:p w:rsidR="004D5254" w:rsidRDefault="004D5254" w:rsidP="00C80331">
            <w:pPr>
              <w:spacing w:before="40" w:after="40"/>
              <w:jc w:val="center"/>
              <w:rPr>
                <w:sz w:val="20"/>
                <w:szCs w:val="20"/>
              </w:rPr>
            </w:pPr>
            <w:r>
              <w:rPr>
                <w:sz w:val="20"/>
                <w:szCs w:val="20"/>
              </w:rPr>
              <w:t>10 (%)</w:t>
            </w:r>
          </w:p>
        </w:tc>
        <w:tc>
          <w:tcPr>
            <w:tcW w:w="1145" w:type="dxa"/>
          </w:tcPr>
          <w:p w:rsidR="004D5254" w:rsidRDefault="004D5254" w:rsidP="00C80331">
            <w:pPr>
              <w:spacing w:before="40" w:after="40"/>
              <w:jc w:val="center"/>
              <w:rPr>
                <w:sz w:val="20"/>
                <w:szCs w:val="20"/>
              </w:rPr>
            </w:pPr>
            <w:r>
              <w:rPr>
                <w:sz w:val="20"/>
                <w:szCs w:val="20"/>
              </w:rPr>
              <w:t>1 (1%)</w:t>
            </w:r>
          </w:p>
        </w:tc>
        <w:tc>
          <w:tcPr>
            <w:tcW w:w="1145" w:type="dxa"/>
          </w:tcPr>
          <w:p w:rsidR="004D5254" w:rsidRDefault="004D5254" w:rsidP="00C80331">
            <w:pPr>
              <w:spacing w:before="40" w:after="40"/>
              <w:jc w:val="center"/>
              <w:rPr>
                <w:sz w:val="20"/>
                <w:szCs w:val="20"/>
              </w:rPr>
            </w:pPr>
            <w:r>
              <w:rPr>
                <w:sz w:val="20"/>
                <w:szCs w:val="20"/>
              </w:rPr>
              <w:t>2 (2%)</w:t>
            </w:r>
          </w:p>
        </w:tc>
        <w:tc>
          <w:tcPr>
            <w:tcW w:w="1145" w:type="dxa"/>
          </w:tcPr>
          <w:p w:rsidR="004D5254" w:rsidRDefault="004D5254" w:rsidP="00C80331">
            <w:pPr>
              <w:spacing w:before="40" w:after="40"/>
              <w:jc w:val="center"/>
              <w:rPr>
                <w:sz w:val="20"/>
                <w:szCs w:val="20"/>
              </w:rPr>
            </w:pPr>
            <w:r>
              <w:rPr>
                <w:sz w:val="20"/>
                <w:szCs w:val="20"/>
              </w:rPr>
              <w:t>0</w:t>
            </w:r>
          </w:p>
        </w:tc>
        <w:tc>
          <w:tcPr>
            <w:tcW w:w="1146" w:type="dxa"/>
          </w:tcPr>
          <w:p w:rsidR="004D5254" w:rsidRDefault="004D5254" w:rsidP="00C80331">
            <w:pPr>
              <w:spacing w:before="40" w:after="40"/>
              <w:jc w:val="center"/>
              <w:rPr>
                <w:sz w:val="20"/>
                <w:szCs w:val="20"/>
              </w:rPr>
            </w:pPr>
            <w:r>
              <w:rPr>
                <w:sz w:val="20"/>
                <w:szCs w:val="20"/>
              </w:rPr>
              <w:t>13 (12%)</w:t>
            </w:r>
          </w:p>
        </w:tc>
      </w:tr>
      <w:tr w:rsidR="004D5254" w:rsidTr="00C80331">
        <w:tc>
          <w:tcPr>
            <w:tcW w:w="3516" w:type="dxa"/>
          </w:tcPr>
          <w:p w:rsidR="004D5254" w:rsidRDefault="004D5254" w:rsidP="00C80331">
            <w:pPr>
              <w:spacing w:before="40" w:after="40"/>
              <w:rPr>
                <w:sz w:val="20"/>
                <w:szCs w:val="20"/>
              </w:rPr>
            </w:pPr>
            <w:r>
              <w:rPr>
                <w:sz w:val="20"/>
                <w:szCs w:val="20"/>
              </w:rPr>
              <w:t xml:space="preserve"> Hypokalaemia*</w:t>
            </w:r>
          </w:p>
        </w:tc>
        <w:tc>
          <w:tcPr>
            <w:tcW w:w="1145" w:type="dxa"/>
          </w:tcPr>
          <w:p w:rsidR="004D5254" w:rsidRDefault="004D5254" w:rsidP="00C80331">
            <w:pPr>
              <w:spacing w:before="40" w:after="40"/>
              <w:jc w:val="center"/>
              <w:rPr>
                <w:sz w:val="20"/>
                <w:szCs w:val="20"/>
              </w:rPr>
            </w:pPr>
            <w:r>
              <w:rPr>
                <w:sz w:val="20"/>
                <w:szCs w:val="20"/>
              </w:rPr>
              <w:t>9 (8%)</w:t>
            </w:r>
          </w:p>
        </w:tc>
        <w:tc>
          <w:tcPr>
            <w:tcW w:w="1145" w:type="dxa"/>
          </w:tcPr>
          <w:p w:rsidR="004D5254" w:rsidRDefault="004D5254" w:rsidP="00C80331">
            <w:pPr>
              <w:spacing w:before="40" w:after="40"/>
              <w:jc w:val="center"/>
              <w:rPr>
                <w:sz w:val="20"/>
                <w:szCs w:val="20"/>
              </w:rPr>
            </w:pPr>
            <w:r>
              <w:rPr>
                <w:sz w:val="20"/>
                <w:szCs w:val="20"/>
              </w:rPr>
              <w:t>2 (2%)</w:t>
            </w:r>
          </w:p>
        </w:tc>
        <w:tc>
          <w:tcPr>
            <w:tcW w:w="1145" w:type="dxa"/>
          </w:tcPr>
          <w:p w:rsidR="004D5254" w:rsidRDefault="004D5254" w:rsidP="00C80331">
            <w:pPr>
              <w:spacing w:before="40" w:after="40"/>
              <w:jc w:val="center"/>
              <w:rPr>
                <w:sz w:val="20"/>
                <w:szCs w:val="20"/>
              </w:rPr>
            </w:pPr>
            <w:r>
              <w:rPr>
                <w:sz w:val="20"/>
                <w:szCs w:val="20"/>
              </w:rPr>
              <w:t>0</w:t>
            </w:r>
          </w:p>
        </w:tc>
        <w:tc>
          <w:tcPr>
            <w:tcW w:w="1145" w:type="dxa"/>
          </w:tcPr>
          <w:p w:rsidR="004D5254" w:rsidRDefault="004D5254" w:rsidP="00C80331">
            <w:pPr>
              <w:spacing w:before="40" w:after="40"/>
              <w:jc w:val="center"/>
              <w:rPr>
                <w:sz w:val="20"/>
                <w:szCs w:val="20"/>
              </w:rPr>
            </w:pPr>
            <w:r>
              <w:rPr>
                <w:sz w:val="20"/>
                <w:szCs w:val="20"/>
              </w:rPr>
              <w:t>0</w:t>
            </w:r>
          </w:p>
        </w:tc>
        <w:tc>
          <w:tcPr>
            <w:tcW w:w="1146" w:type="dxa"/>
          </w:tcPr>
          <w:p w:rsidR="004D5254" w:rsidRDefault="004D5254" w:rsidP="00C80331">
            <w:pPr>
              <w:spacing w:before="40" w:after="40"/>
              <w:jc w:val="center"/>
              <w:rPr>
                <w:sz w:val="20"/>
                <w:szCs w:val="20"/>
              </w:rPr>
            </w:pPr>
            <w:r>
              <w:rPr>
                <w:sz w:val="20"/>
                <w:szCs w:val="20"/>
              </w:rPr>
              <w:t>11 (10%)</w:t>
            </w:r>
          </w:p>
        </w:tc>
      </w:tr>
      <w:tr w:rsidR="004D5254" w:rsidTr="00C80331">
        <w:tc>
          <w:tcPr>
            <w:tcW w:w="3516" w:type="dxa"/>
          </w:tcPr>
          <w:p w:rsidR="004D5254" w:rsidRPr="00B03113" w:rsidRDefault="004D5254" w:rsidP="00C80331">
            <w:pPr>
              <w:spacing w:before="40" w:after="40"/>
              <w:rPr>
                <w:i/>
                <w:sz w:val="20"/>
                <w:szCs w:val="20"/>
              </w:rPr>
            </w:pPr>
            <w:r w:rsidRPr="00B03113">
              <w:rPr>
                <w:i/>
                <w:sz w:val="20"/>
                <w:szCs w:val="20"/>
              </w:rPr>
              <w:t xml:space="preserve">Investigations </w:t>
            </w: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6" w:type="dxa"/>
          </w:tcPr>
          <w:p w:rsidR="004D5254" w:rsidRDefault="004D5254" w:rsidP="00C80331">
            <w:pPr>
              <w:spacing w:before="40" w:after="40"/>
              <w:jc w:val="center"/>
              <w:rPr>
                <w:sz w:val="20"/>
                <w:szCs w:val="20"/>
              </w:rPr>
            </w:pPr>
          </w:p>
        </w:tc>
      </w:tr>
      <w:tr w:rsidR="004D5254" w:rsidTr="00C80331">
        <w:tc>
          <w:tcPr>
            <w:tcW w:w="3516" w:type="dxa"/>
          </w:tcPr>
          <w:p w:rsidR="004D5254" w:rsidRDefault="004D5254" w:rsidP="00C80331">
            <w:pPr>
              <w:spacing w:before="40" w:after="40"/>
              <w:rPr>
                <w:sz w:val="20"/>
                <w:szCs w:val="20"/>
              </w:rPr>
            </w:pPr>
            <w:r>
              <w:rPr>
                <w:sz w:val="20"/>
                <w:szCs w:val="20"/>
              </w:rPr>
              <w:t xml:space="preserve"> Liver function abnormal*</w:t>
            </w: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6" w:type="dxa"/>
          </w:tcPr>
          <w:p w:rsidR="004D5254" w:rsidRDefault="004D5254" w:rsidP="00C80331">
            <w:pPr>
              <w:spacing w:before="40" w:after="40"/>
              <w:jc w:val="center"/>
              <w:rPr>
                <w:sz w:val="20"/>
                <w:szCs w:val="20"/>
              </w:rPr>
            </w:pPr>
            <w:r>
              <w:rPr>
                <w:sz w:val="20"/>
                <w:szCs w:val="20"/>
              </w:rPr>
              <w:t>13 (12%)</w:t>
            </w:r>
          </w:p>
        </w:tc>
      </w:tr>
      <w:tr w:rsidR="004D5254" w:rsidTr="00C80331">
        <w:tc>
          <w:tcPr>
            <w:tcW w:w="3516" w:type="dxa"/>
          </w:tcPr>
          <w:p w:rsidR="004D5254" w:rsidRPr="00B03113" w:rsidRDefault="004D5254" w:rsidP="00C80331">
            <w:pPr>
              <w:spacing w:before="40" w:after="40"/>
              <w:rPr>
                <w:i/>
                <w:sz w:val="20"/>
                <w:szCs w:val="20"/>
              </w:rPr>
            </w:pPr>
            <w:r w:rsidRPr="00B03113">
              <w:rPr>
                <w:i/>
                <w:sz w:val="20"/>
                <w:szCs w:val="20"/>
              </w:rPr>
              <w:t>Skin and subcutaneous tissue disorders</w:t>
            </w: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5" w:type="dxa"/>
          </w:tcPr>
          <w:p w:rsidR="004D5254" w:rsidRDefault="004D5254" w:rsidP="00C80331">
            <w:pPr>
              <w:spacing w:before="40" w:after="40"/>
              <w:jc w:val="center"/>
              <w:rPr>
                <w:sz w:val="20"/>
                <w:szCs w:val="20"/>
              </w:rPr>
            </w:pPr>
          </w:p>
        </w:tc>
        <w:tc>
          <w:tcPr>
            <w:tcW w:w="1146" w:type="dxa"/>
          </w:tcPr>
          <w:p w:rsidR="004D5254" w:rsidRDefault="004D5254" w:rsidP="00C80331">
            <w:pPr>
              <w:spacing w:before="40" w:after="40"/>
              <w:jc w:val="center"/>
              <w:rPr>
                <w:sz w:val="20"/>
                <w:szCs w:val="20"/>
              </w:rPr>
            </w:pPr>
          </w:p>
        </w:tc>
      </w:tr>
      <w:tr w:rsidR="004D5254" w:rsidTr="00C80331">
        <w:tc>
          <w:tcPr>
            <w:tcW w:w="3516" w:type="dxa"/>
          </w:tcPr>
          <w:p w:rsidR="004D5254" w:rsidRDefault="004D5254" w:rsidP="00C80331">
            <w:pPr>
              <w:spacing w:before="40" w:after="40"/>
              <w:rPr>
                <w:sz w:val="20"/>
                <w:szCs w:val="20"/>
              </w:rPr>
            </w:pPr>
            <w:r>
              <w:rPr>
                <w:sz w:val="20"/>
                <w:szCs w:val="20"/>
              </w:rPr>
              <w:t xml:space="preserve"> Rash</w:t>
            </w:r>
          </w:p>
        </w:tc>
        <w:tc>
          <w:tcPr>
            <w:tcW w:w="1145" w:type="dxa"/>
          </w:tcPr>
          <w:p w:rsidR="004D5254" w:rsidRDefault="004D5254" w:rsidP="00C80331">
            <w:pPr>
              <w:spacing w:before="40" w:after="40"/>
              <w:jc w:val="center"/>
              <w:rPr>
                <w:sz w:val="20"/>
                <w:szCs w:val="20"/>
              </w:rPr>
            </w:pPr>
            <w:r>
              <w:rPr>
                <w:sz w:val="20"/>
                <w:szCs w:val="20"/>
              </w:rPr>
              <w:t>10 (9%)</w:t>
            </w:r>
          </w:p>
        </w:tc>
        <w:tc>
          <w:tcPr>
            <w:tcW w:w="1145" w:type="dxa"/>
          </w:tcPr>
          <w:p w:rsidR="004D5254" w:rsidRDefault="004D5254" w:rsidP="00C80331">
            <w:pPr>
              <w:spacing w:before="40" w:after="40"/>
              <w:jc w:val="center"/>
              <w:rPr>
                <w:sz w:val="20"/>
                <w:szCs w:val="20"/>
              </w:rPr>
            </w:pPr>
            <w:r>
              <w:rPr>
                <w:sz w:val="20"/>
                <w:szCs w:val="20"/>
              </w:rPr>
              <w:t>2 (2%)</w:t>
            </w:r>
          </w:p>
        </w:tc>
        <w:tc>
          <w:tcPr>
            <w:tcW w:w="1145" w:type="dxa"/>
          </w:tcPr>
          <w:p w:rsidR="004D5254" w:rsidRDefault="004D5254" w:rsidP="00C80331">
            <w:pPr>
              <w:spacing w:before="40" w:after="40"/>
              <w:jc w:val="center"/>
              <w:rPr>
                <w:sz w:val="20"/>
                <w:szCs w:val="20"/>
              </w:rPr>
            </w:pPr>
            <w:r>
              <w:rPr>
                <w:sz w:val="20"/>
                <w:szCs w:val="20"/>
              </w:rPr>
              <w:t>0</w:t>
            </w:r>
          </w:p>
        </w:tc>
        <w:tc>
          <w:tcPr>
            <w:tcW w:w="1145" w:type="dxa"/>
          </w:tcPr>
          <w:p w:rsidR="004D5254" w:rsidRDefault="004D5254" w:rsidP="00C80331">
            <w:pPr>
              <w:spacing w:before="40" w:after="40"/>
              <w:jc w:val="center"/>
              <w:rPr>
                <w:sz w:val="20"/>
                <w:szCs w:val="20"/>
              </w:rPr>
            </w:pPr>
            <w:r>
              <w:rPr>
                <w:sz w:val="20"/>
                <w:szCs w:val="20"/>
              </w:rPr>
              <w:t>0</w:t>
            </w:r>
          </w:p>
        </w:tc>
        <w:tc>
          <w:tcPr>
            <w:tcW w:w="1146" w:type="dxa"/>
          </w:tcPr>
          <w:p w:rsidR="004D5254" w:rsidRDefault="004D5254" w:rsidP="00C80331">
            <w:pPr>
              <w:spacing w:before="40" w:after="40"/>
              <w:jc w:val="center"/>
              <w:rPr>
                <w:sz w:val="20"/>
                <w:szCs w:val="20"/>
              </w:rPr>
            </w:pPr>
            <w:r>
              <w:rPr>
                <w:sz w:val="20"/>
                <w:szCs w:val="20"/>
              </w:rPr>
              <w:t>12 (11%)</w:t>
            </w:r>
          </w:p>
        </w:tc>
      </w:tr>
    </w:tbl>
    <w:p w:rsidR="004D5254" w:rsidRPr="00B03113" w:rsidRDefault="004D5254" w:rsidP="004D5254">
      <w:pPr>
        <w:rPr>
          <w:sz w:val="18"/>
          <w:szCs w:val="18"/>
        </w:rPr>
      </w:pPr>
      <w:r w:rsidRPr="00B03113">
        <w:rPr>
          <w:sz w:val="18"/>
          <w:szCs w:val="18"/>
        </w:rPr>
        <w:t>* includes grouping of similar preferred terms</w:t>
      </w:r>
      <w:r>
        <w:rPr>
          <w:sz w:val="18"/>
          <w:szCs w:val="18"/>
        </w:rPr>
        <w:t xml:space="preserve">, </w:t>
      </w:r>
      <w:r w:rsidRPr="00B03113">
        <w:rPr>
          <w:sz w:val="18"/>
          <w:szCs w:val="18"/>
        </w:rPr>
        <w:t>** includes grouping of similar preferred terms across SOCs</w:t>
      </w:r>
    </w:p>
    <w:p w:rsidR="004D5254" w:rsidRPr="00D42E09" w:rsidRDefault="004D5254" w:rsidP="004D5254">
      <w:r w:rsidRPr="00991A8C">
        <w:lastRenderedPageBreak/>
        <w:t xml:space="preserve">The most common </w:t>
      </w:r>
      <w:r>
        <w:t xml:space="preserve">individual </w:t>
      </w:r>
      <w:r w:rsidRPr="00991A8C">
        <w:t>A</w:t>
      </w:r>
      <w:r>
        <w:t>DR</w:t>
      </w:r>
      <w:r w:rsidRPr="00991A8C">
        <w:t>s were mucosal inflammation (n = 7</w:t>
      </w:r>
      <w:r>
        <w:t>6</w:t>
      </w:r>
      <w:r w:rsidRPr="00991A8C">
        <w:t xml:space="preserve">; </w:t>
      </w:r>
      <w:r>
        <w:t>68</w:t>
      </w:r>
      <w:r w:rsidRPr="00991A8C">
        <w:t>%), thrombocytopenia</w:t>
      </w:r>
      <w:r>
        <w:t xml:space="preserve"> (n = 44</w:t>
      </w:r>
      <w:r w:rsidRPr="00991A8C">
        <w:t>; 4</w:t>
      </w:r>
      <w:r>
        <w:t>0</w:t>
      </w:r>
      <w:r w:rsidRPr="00991A8C">
        <w:t xml:space="preserve">%), nausea (n = </w:t>
      </w:r>
      <w:r>
        <w:t>37</w:t>
      </w:r>
      <w:r w:rsidRPr="00991A8C">
        <w:t xml:space="preserve">; </w:t>
      </w:r>
      <w:r>
        <w:t>33</w:t>
      </w:r>
      <w:r w:rsidRPr="00991A8C">
        <w:t>%),</w:t>
      </w:r>
      <w:r>
        <w:t xml:space="preserve"> anaemia (n=36; 32%) </w:t>
      </w:r>
      <w:r w:rsidRPr="00991A8C">
        <w:t>and fatigue (n</w:t>
      </w:r>
      <w:r>
        <w:t> </w:t>
      </w:r>
      <w:r w:rsidRPr="00991A8C">
        <w:t>=</w:t>
      </w:r>
      <w:r>
        <w:t> 33</w:t>
      </w:r>
      <w:r w:rsidRPr="00991A8C">
        <w:t>, 3</w:t>
      </w:r>
      <w:r>
        <w:t>0</w:t>
      </w:r>
      <w:r w:rsidRPr="00991A8C">
        <w:t>%)</w:t>
      </w:r>
      <w:r>
        <w:t xml:space="preserve">. Comparing </w:t>
      </w:r>
      <w:r w:rsidRPr="0034268C">
        <w:t>Tables 16 and 17</w:t>
      </w:r>
      <w:r>
        <w:t xml:space="preserve">, it is evident that </w:t>
      </w:r>
      <w:r w:rsidRPr="00D42E09">
        <w:t xml:space="preserve">most mucosal inflammation AEs </w:t>
      </w:r>
      <w:r>
        <w:t xml:space="preserve">and haematological AEs </w:t>
      </w:r>
      <w:r w:rsidRPr="00D42E09">
        <w:t>were considered treatment</w:t>
      </w:r>
      <w:r>
        <w:t xml:space="preserve"> </w:t>
      </w:r>
      <w:r w:rsidRPr="00D42E09">
        <w:t>related,</w:t>
      </w:r>
      <w:r>
        <w:t xml:space="preserve"> </w:t>
      </w:r>
      <w:r w:rsidRPr="00D42E09">
        <w:t xml:space="preserve">which is consistent with the expected profile for </w:t>
      </w:r>
      <w:r>
        <w:t>a cytotoxic agent.</w:t>
      </w:r>
    </w:p>
    <w:p w:rsidR="004D5254" w:rsidRPr="008E3AB7" w:rsidRDefault="004D5254" w:rsidP="004D5254">
      <w:r w:rsidRPr="008E3AB7">
        <w:rPr>
          <w:color w:val="000000"/>
        </w:rPr>
        <w:t>With the exception of the haematological ADRs, the majority of ADRs were Grade 2 or less in severity.</w:t>
      </w:r>
      <w:r>
        <w:rPr>
          <w:color w:val="000000"/>
        </w:rPr>
        <w:t xml:space="preserve"> </w:t>
      </w:r>
      <w:r w:rsidRPr="008E3AB7">
        <w:rPr>
          <w:color w:val="000000"/>
        </w:rPr>
        <w:t>A total of 76 (68%) patients experienced an ADR under the grouped term of mucosal inflammation.</w:t>
      </w:r>
      <w:r>
        <w:rPr>
          <w:color w:val="000000"/>
        </w:rPr>
        <w:t xml:space="preserve"> </w:t>
      </w:r>
      <w:r w:rsidRPr="008E3AB7">
        <w:rPr>
          <w:color w:val="000000"/>
        </w:rPr>
        <w:t>Of these, 20 (18%) had</w:t>
      </w:r>
      <w:r>
        <w:rPr>
          <w:color w:val="000000"/>
        </w:rPr>
        <w:t xml:space="preserve"> Grade 3</w:t>
      </w:r>
      <w:r w:rsidRPr="008E3AB7">
        <w:rPr>
          <w:color w:val="000000"/>
        </w:rPr>
        <w:t xml:space="preserve"> reaction and 4 (4%) had a</w:t>
      </w:r>
      <w:r>
        <w:rPr>
          <w:color w:val="000000"/>
        </w:rPr>
        <w:t xml:space="preserve"> Grade 4</w:t>
      </w:r>
      <w:r w:rsidRPr="008E3AB7">
        <w:rPr>
          <w:color w:val="000000"/>
        </w:rPr>
        <w:t xml:space="preserve"> reaction. Under the collective term of thrombocytopenia, 44 (40%) patients had a pralatrexate-related event, with</w:t>
      </w:r>
      <w:r>
        <w:rPr>
          <w:color w:val="000000"/>
        </w:rPr>
        <w:t xml:space="preserve"> Grade 3</w:t>
      </w:r>
      <w:r w:rsidRPr="008E3AB7">
        <w:rPr>
          <w:color w:val="000000"/>
        </w:rPr>
        <w:t xml:space="preserve"> severity occurring in 16 (14%) patients and</w:t>
      </w:r>
      <w:r>
        <w:rPr>
          <w:color w:val="000000"/>
        </w:rPr>
        <w:t xml:space="preserve"> Grade 4</w:t>
      </w:r>
      <w:r w:rsidRPr="008E3AB7">
        <w:rPr>
          <w:color w:val="000000"/>
        </w:rPr>
        <w:t xml:space="preserve"> in 19 (17%) patients.</w:t>
      </w:r>
      <w:r>
        <w:rPr>
          <w:color w:val="000000"/>
        </w:rPr>
        <w:t xml:space="preserve"> </w:t>
      </w:r>
      <w:r w:rsidRPr="008E3AB7">
        <w:rPr>
          <w:color w:val="000000"/>
        </w:rPr>
        <w:t>Neutropaenia was recorded as an ADR in 27 (24%) patients, of whom 16 (14%) had</w:t>
      </w:r>
      <w:r>
        <w:rPr>
          <w:color w:val="000000"/>
        </w:rPr>
        <w:t xml:space="preserve"> Grade 3</w:t>
      </w:r>
      <w:r w:rsidRPr="008E3AB7">
        <w:rPr>
          <w:color w:val="000000"/>
        </w:rPr>
        <w:t xml:space="preserve"> severity and 8 (7%) had</w:t>
      </w:r>
      <w:r>
        <w:rPr>
          <w:color w:val="000000"/>
        </w:rPr>
        <w:t xml:space="preserve"> Grade 4</w:t>
      </w:r>
      <w:r w:rsidRPr="008E3AB7">
        <w:rPr>
          <w:color w:val="000000"/>
        </w:rPr>
        <w:t xml:space="preserve"> severity.</w:t>
      </w:r>
      <w:r>
        <w:rPr>
          <w:color w:val="000000"/>
        </w:rPr>
        <w:t xml:space="preserve"> </w:t>
      </w:r>
      <w:r w:rsidRPr="008E3AB7">
        <w:rPr>
          <w:color w:val="000000"/>
        </w:rPr>
        <w:t xml:space="preserve">Grade 4 haematological ADRs were otherwise observed as follows: anaemia (n=2); leucopenia (n=4); and pancytopaenia (n=1). </w:t>
      </w:r>
    </w:p>
    <w:p w:rsidR="004D5254" w:rsidRDefault="004D5254" w:rsidP="004D5254">
      <w:r>
        <w:t>Most of the skin AEs were also considered to be pralatrexate treatment-related: 12</w:t>
      </w:r>
      <w:r>
        <w:rPr>
          <w:rFonts w:eastAsia="TimesNewRoman" w:cs="TimesNewRoman"/>
          <w:color w:val="000000"/>
        </w:rPr>
        <w:t xml:space="preserve"> cases of rash (all ≤ Grade 2); 6 reports of skin ulceration (2 Grade 3, 1 Grade 2 and 3 Grade 1); 4 reports of skin blistering (all ≤ Grade 2); and 1 report each of penile ulceration (Grade 2), skin exfoliation (Grade 2), skin toxicity (Grade 2), genital rash (Grade 1) and genital ulceration (Grade 2).</w:t>
      </w:r>
    </w:p>
    <w:p w:rsidR="004D5254" w:rsidRDefault="004D5254" w:rsidP="004D5254">
      <w:pPr>
        <w:pStyle w:val="Heading5"/>
        <w:numPr>
          <w:ilvl w:val="3"/>
          <w:numId w:val="5"/>
        </w:numPr>
      </w:pPr>
      <w:r>
        <w:t>Other studies</w:t>
      </w:r>
    </w:p>
    <w:p w:rsidR="004D5254" w:rsidRDefault="004D5254" w:rsidP="004D5254">
      <w:pPr>
        <w:autoSpaceDE w:val="0"/>
        <w:autoSpaceDN w:val="0"/>
        <w:adjustRightInd w:val="0"/>
        <w:rPr>
          <w:rFonts w:eastAsia="TimesNewRoman" w:cs="TimesNewRoman"/>
        </w:rPr>
      </w:pPr>
      <w:r w:rsidRPr="00FC0E1F">
        <w:rPr>
          <w:rFonts w:eastAsia="TimesNewRoman" w:cs="TimesNewRoman"/>
        </w:rPr>
        <w:t>The most frequently occurring</w:t>
      </w:r>
      <w:r>
        <w:rPr>
          <w:rFonts w:eastAsia="TimesNewRoman" w:cs="TimesNewRoman"/>
        </w:rPr>
        <w:t xml:space="preserve"> ADRs</w:t>
      </w:r>
      <w:r w:rsidRPr="00FC0E1F">
        <w:rPr>
          <w:rFonts w:eastAsia="TimesNewRoman" w:cs="TimesNewRoman"/>
        </w:rPr>
        <w:t xml:space="preserve"> across all studies were mucosal inflammation, fatigue, nausea, and epistaxis.</w:t>
      </w:r>
      <w:r>
        <w:rPr>
          <w:rFonts w:eastAsia="TimesNewRoman" w:cs="TimesNewRoman"/>
        </w:rPr>
        <w:t xml:space="preserve"> </w:t>
      </w:r>
    </w:p>
    <w:p w:rsidR="004D5254" w:rsidRDefault="004D5254" w:rsidP="004D5254">
      <w:pPr>
        <w:autoSpaceDE w:val="0"/>
        <w:autoSpaceDN w:val="0"/>
        <w:adjustRightInd w:val="0"/>
        <w:rPr>
          <w:rFonts w:eastAsia="TimesNewRoman" w:cs="TimesNewRoman"/>
        </w:rPr>
      </w:pPr>
      <w:r>
        <w:rPr>
          <w:rFonts w:eastAsia="TimesNewRoman" w:cs="TimesNewRoman"/>
        </w:rPr>
        <w:t xml:space="preserve">As with AEs, </w:t>
      </w:r>
      <w:r w:rsidRPr="00FC0E1F">
        <w:rPr>
          <w:rFonts w:eastAsia="TimesNewRoman" w:cs="TimesNewRoman"/>
        </w:rPr>
        <w:t>more h</w:t>
      </w:r>
      <w:r>
        <w:rPr>
          <w:rFonts w:eastAsia="TimesNewRoman" w:cs="TimesNewRoman"/>
        </w:rPr>
        <w:t>a</w:t>
      </w:r>
      <w:r w:rsidRPr="00FC0E1F">
        <w:rPr>
          <w:rFonts w:eastAsia="TimesNewRoman" w:cs="TimesNewRoman"/>
        </w:rPr>
        <w:t>ematologic</w:t>
      </w:r>
      <w:r>
        <w:rPr>
          <w:rFonts w:eastAsia="TimesNewRoman" w:cs="TimesNewRoman"/>
        </w:rPr>
        <w:t>al</w:t>
      </w:r>
      <w:r w:rsidRPr="00FC0E1F">
        <w:rPr>
          <w:rFonts w:eastAsia="TimesNewRoman" w:cs="TimesNewRoman"/>
        </w:rPr>
        <w:t xml:space="preserve"> A</w:t>
      </w:r>
      <w:r>
        <w:rPr>
          <w:rFonts w:eastAsia="TimesNewRoman" w:cs="TimesNewRoman"/>
        </w:rPr>
        <w:t>DR</w:t>
      </w:r>
      <w:r w:rsidRPr="00FC0E1F">
        <w:rPr>
          <w:rFonts w:eastAsia="TimesNewRoman" w:cs="TimesNewRoman"/>
        </w:rPr>
        <w:t>s occurred in the lymphoproliferative malignancies</w:t>
      </w:r>
      <w:r>
        <w:rPr>
          <w:rFonts w:eastAsia="TimesNewRoman" w:cs="TimesNewRoman"/>
        </w:rPr>
        <w:t xml:space="preserve"> </w:t>
      </w:r>
      <w:r w:rsidRPr="00FC0E1F">
        <w:rPr>
          <w:rFonts w:eastAsia="TimesNewRoman" w:cs="TimesNewRoman"/>
        </w:rPr>
        <w:t>compared to solid tumo</w:t>
      </w:r>
      <w:r>
        <w:rPr>
          <w:rFonts w:eastAsia="TimesNewRoman" w:cs="TimesNewRoman"/>
        </w:rPr>
        <w:t>u</w:t>
      </w:r>
      <w:r w:rsidRPr="00FC0E1F">
        <w:rPr>
          <w:rFonts w:eastAsia="TimesNewRoman" w:cs="TimesNewRoman"/>
        </w:rPr>
        <w:t>rs, although most h</w:t>
      </w:r>
      <w:r>
        <w:rPr>
          <w:rFonts w:eastAsia="TimesNewRoman" w:cs="TimesNewRoman"/>
        </w:rPr>
        <w:t>a</w:t>
      </w:r>
      <w:r w:rsidRPr="00FC0E1F">
        <w:rPr>
          <w:rFonts w:eastAsia="TimesNewRoman" w:cs="TimesNewRoman"/>
        </w:rPr>
        <w:t>ematologic</w:t>
      </w:r>
      <w:r>
        <w:rPr>
          <w:rFonts w:eastAsia="TimesNewRoman" w:cs="TimesNewRoman"/>
        </w:rPr>
        <w:t>al</w:t>
      </w:r>
      <w:r w:rsidRPr="00FC0E1F">
        <w:rPr>
          <w:rFonts w:eastAsia="TimesNewRoman" w:cs="TimesNewRoman"/>
        </w:rPr>
        <w:t xml:space="preserve"> AEs were considered</w:t>
      </w:r>
      <w:r>
        <w:rPr>
          <w:rFonts w:eastAsia="TimesNewRoman" w:cs="TimesNewRoman"/>
        </w:rPr>
        <w:t xml:space="preserve"> </w:t>
      </w:r>
      <w:r w:rsidRPr="00FC0E1F">
        <w:rPr>
          <w:rFonts w:eastAsia="TimesNewRoman" w:cs="TimesNewRoman"/>
        </w:rPr>
        <w:t>pralatrexate-related in all populations.</w:t>
      </w:r>
      <w:r>
        <w:rPr>
          <w:rFonts w:eastAsia="TimesNewRoman" w:cs="TimesNewRoman"/>
        </w:rPr>
        <w:t xml:space="preserve"> </w:t>
      </w:r>
      <w:r w:rsidRPr="00FC0E1F">
        <w:rPr>
          <w:rFonts w:eastAsia="TimesNewRoman" w:cs="TimesNewRoman"/>
        </w:rPr>
        <w:t>Many of the non-h</w:t>
      </w:r>
      <w:r>
        <w:rPr>
          <w:rFonts w:eastAsia="TimesNewRoman" w:cs="TimesNewRoman"/>
        </w:rPr>
        <w:t>a</w:t>
      </w:r>
      <w:r w:rsidRPr="00FC0E1F">
        <w:rPr>
          <w:rFonts w:eastAsia="TimesNewRoman" w:cs="TimesNewRoman"/>
        </w:rPr>
        <w:t>ematologic</w:t>
      </w:r>
      <w:r>
        <w:rPr>
          <w:rFonts w:eastAsia="TimesNewRoman" w:cs="TimesNewRoman"/>
        </w:rPr>
        <w:t>al</w:t>
      </w:r>
      <w:r w:rsidRPr="00FC0E1F">
        <w:rPr>
          <w:rFonts w:eastAsia="TimesNewRoman" w:cs="TimesNewRoman"/>
        </w:rPr>
        <w:t xml:space="preserve"> AEs were </w:t>
      </w:r>
      <w:r>
        <w:rPr>
          <w:rFonts w:eastAsia="TimesNewRoman" w:cs="TimesNewRoman"/>
        </w:rPr>
        <w:t xml:space="preserve">also </w:t>
      </w:r>
      <w:r w:rsidRPr="00FC0E1F">
        <w:rPr>
          <w:rFonts w:eastAsia="TimesNewRoman" w:cs="TimesNewRoman"/>
        </w:rPr>
        <w:t>considered</w:t>
      </w:r>
      <w:r>
        <w:rPr>
          <w:rFonts w:eastAsia="TimesNewRoman" w:cs="TimesNewRoman"/>
        </w:rPr>
        <w:t xml:space="preserve"> </w:t>
      </w:r>
      <w:r w:rsidRPr="00FC0E1F">
        <w:rPr>
          <w:rFonts w:eastAsia="TimesNewRoman" w:cs="TimesNewRoman"/>
        </w:rPr>
        <w:t>treatment-related, except for most respiratory AEs which occurred more frequently in the</w:t>
      </w:r>
      <w:r>
        <w:rPr>
          <w:rFonts w:eastAsia="TimesNewRoman" w:cs="TimesNewRoman"/>
        </w:rPr>
        <w:t xml:space="preserve"> </w:t>
      </w:r>
      <w:r w:rsidRPr="00FC0E1F">
        <w:rPr>
          <w:rFonts w:eastAsia="TimesNewRoman" w:cs="TimesNewRoman"/>
        </w:rPr>
        <w:t>solid tumo</w:t>
      </w:r>
      <w:r>
        <w:rPr>
          <w:rFonts w:eastAsia="TimesNewRoman" w:cs="TimesNewRoman"/>
        </w:rPr>
        <w:t>u</w:t>
      </w:r>
      <w:r w:rsidRPr="00FC0E1F">
        <w:rPr>
          <w:rFonts w:eastAsia="TimesNewRoman" w:cs="TimesNewRoman"/>
        </w:rPr>
        <w:t>r studies and were likely considered a manifestation of the underlying disease</w:t>
      </w:r>
      <w:r>
        <w:rPr>
          <w:rFonts w:eastAsia="TimesNewRoman" w:cs="TimesNewRoman"/>
        </w:rPr>
        <w:t xml:space="preserve"> </w:t>
      </w:r>
      <w:r w:rsidRPr="00FC0E1F">
        <w:rPr>
          <w:rFonts w:eastAsia="TimesNewRoman" w:cs="TimesNewRoman"/>
        </w:rPr>
        <w:t>(predominantly NSCLC).</w:t>
      </w:r>
      <w:r>
        <w:rPr>
          <w:rFonts w:eastAsia="TimesNewRoman" w:cs="TimesNewRoman"/>
        </w:rPr>
        <w:t xml:space="preserve"> Most skin events were also considered to be ADRs.</w:t>
      </w:r>
    </w:p>
    <w:p w:rsidR="004D5254" w:rsidRDefault="004D5254" w:rsidP="004D5254">
      <w:r>
        <w:t>Updated data available as at 31 January 2011 showed a similar profile of the most common ADRs and no new clinically important ADRs.</w:t>
      </w:r>
    </w:p>
    <w:p w:rsidR="004D5254" w:rsidRDefault="004D5254" w:rsidP="004D5254">
      <w:pPr>
        <w:pStyle w:val="Heading4"/>
        <w:numPr>
          <w:ilvl w:val="2"/>
          <w:numId w:val="5"/>
        </w:numPr>
      </w:pPr>
      <w:bookmarkStart w:id="260" w:name="_Toc241374320"/>
      <w:bookmarkStart w:id="261" w:name="_Ref272333507"/>
      <w:bookmarkStart w:id="262" w:name="_Toc272414666"/>
      <w:bookmarkStart w:id="263" w:name="_Toc290846304"/>
      <w:bookmarkStart w:id="264" w:name="_Toc320881463"/>
      <w:r>
        <w:t>Deaths and other serious adverse events</w:t>
      </w:r>
      <w:bookmarkEnd w:id="260"/>
      <w:bookmarkEnd w:id="261"/>
      <w:bookmarkEnd w:id="262"/>
      <w:bookmarkEnd w:id="263"/>
      <w:r>
        <w:t xml:space="preserve"> (SAEs)</w:t>
      </w:r>
      <w:bookmarkEnd w:id="264"/>
    </w:p>
    <w:p w:rsidR="004D5254" w:rsidRDefault="004D5254" w:rsidP="004D5254">
      <w:pPr>
        <w:pStyle w:val="Heading5"/>
        <w:numPr>
          <w:ilvl w:val="3"/>
          <w:numId w:val="5"/>
        </w:numPr>
      </w:pPr>
      <w:r>
        <w:t>Pivotal study</w:t>
      </w:r>
    </w:p>
    <w:p w:rsidR="004D5254" w:rsidRDefault="004D5254" w:rsidP="004D5254">
      <w:pPr>
        <w:pStyle w:val="Heading6"/>
        <w:numPr>
          <w:ilvl w:val="4"/>
          <w:numId w:val="5"/>
        </w:numPr>
        <w:ind w:left="1702" w:hanging="1418"/>
      </w:pPr>
      <w:r>
        <w:t>Deaths</w:t>
      </w:r>
    </w:p>
    <w:p w:rsidR="004D5254" w:rsidRDefault="004D5254" w:rsidP="004D5254">
      <w:r w:rsidRPr="006251FF">
        <w:t xml:space="preserve">Seven patients </w:t>
      </w:r>
      <w:r>
        <w:t xml:space="preserve">from Study PDX-008 </w:t>
      </w:r>
      <w:r w:rsidRPr="006251FF">
        <w:t>died while still on treatment with pralatrexate due to progression of their PTCL.</w:t>
      </w:r>
      <w:r>
        <w:t xml:space="preserve"> Vignettes were provided for each death and this evaluator is satisfied that these patients had clear evidence of disease progression and that death was due to this and not concomitant pralatrexate toxicity.</w:t>
      </w:r>
    </w:p>
    <w:p w:rsidR="004D5254" w:rsidRPr="00B40129" w:rsidRDefault="004D5254" w:rsidP="004D5254">
      <w:pPr>
        <w:rPr>
          <w:rFonts w:eastAsia="TimesNewRoman" w:cs="TimesNewRoman"/>
          <w:color w:val="000000"/>
        </w:rPr>
      </w:pPr>
      <w:r w:rsidRPr="006251FF">
        <w:t>A</w:t>
      </w:r>
      <w:r>
        <w:t>nother</w:t>
      </w:r>
      <w:r w:rsidRPr="006251FF">
        <w:t xml:space="preserve"> patient died within 30 days of </w:t>
      </w:r>
      <w:r>
        <w:t>his</w:t>
      </w:r>
      <w:r w:rsidRPr="006251FF">
        <w:t xml:space="preserve"> last dose of pralatrexate due to </w:t>
      </w:r>
      <w:r w:rsidRPr="006251FF">
        <w:rPr>
          <w:rFonts w:eastAsia="TimesNewRoman" w:cs="TimesNewRoman"/>
          <w:color w:val="000000"/>
        </w:rPr>
        <w:t xml:space="preserve">cardiopulmonary arrest </w:t>
      </w:r>
      <w:r>
        <w:rPr>
          <w:rFonts w:eastAsia="TimesNewRoman" w:cs="TimesNewRoman"/>
          <w:color w:val="000000"/>
        </w:rPr>
        <w:t xml:space="preserve">that was </w:t>
      </w:r>
      <w:r w:rsidRPr="006251FF">
        <w:rPr>
          <w:rFonts w:eastAsia="TimesNewRoman" w:cs="TimesNewRoman"/>
          <w:color w:val="000000"/>
        </w:rPr>
        <w:t>considered to be possibly related to pralatrexate</w:t>
      </w:r>
      <w:r w:rsidRPr="006251FF">
        <w:t>.</w:t>
      </w:r>
      <w:r>
        <w:t xml:space="preserve"> This patient, a 64M with PTCL-unspecified, received pralatrexate at a dose of 30 mg/m</w:t>
      </w:r>
      <w:r w:rsidRPr="00474DFA">
        <w:rPr>
          <w:vertAlign w:val="superscript"/>
        </w:rPr>
        <w:t>2</w:t>
      </w:r>
      <w:r>
        <w:t xml:space="preserve"> for 5 doses in Cycle 1 before having a dose omitted because of mucositis. He received a further 2 doses at 30 mg/m</w:t>
      </w:r>
      <w:r w:rsidRPr="004C2114">
        <w:rPr>
          <w:vertAlign w:val="superscript"/>
        </w:rPr>
        <w:t>2</w:t>
      </w:r>
      <w:r>
        <w:t xml:space="preserve"> in Cycle 2 before the dose was omitted because of the mucositis and pancytopaenia. Two doses were then given at 20 mg/m</w:t>
      </w:r>
      <w:r w:rsidRPr="00211203">
        <w:rPr>
          <w:vertAlign w:val="superscript"/>
        </w:rPr>
        <w:t>2</w:t>
      </w:r>
      <w:r>
        <w:t>, with the last dose administered on Day 78. Pralatrexate was subsequently discontinued because of</w:t>
      </w:r>
      <w:r>
        <w:rPr>
          <w:rFonts w:eastAsia="TimesNewRoman" w:cs="TimesNewRoman"/>
          <w:color w:val="000000"/>
        </w:rPr>
        <w:t xml:space="preserve"> Grade 3</w:t>
      </w:r>
      <w:r w:rsidRPr="006251FF">
        <w:rPr>
          <w:rFonts w:eastAsia="TimesNewRoman" w:cs="TimesNewRoman"/>
          <w:color w:val="000000"/>
        </w:rPr>
        <w:t xml:space="preserve"> mucosal inflammation</w:t>
      </w:r>
      <w:r>
        <w:rPr>
          <w:rFonts w:eastAsia="TimesNewRoman" w:cs="TimesNewRoman"/>
          <w:color w:val="000000"/>
        </w:rPr>
        <w:t xml:space="preserve"> </w:t>
      </w:r>
      <w:r w:rsidRPr="006251FF">
        <w:rPr>
          <w:rFonts w:eastAsia="TimesNewRoman" w:cs="TimesNewRoman"/>
          <w:color w:val="000000"/>
        </w:rPr>
        <w:t>and</w:t>
      </w:r>
      <w:r>
        <w:rPr>
          <w:rFonts w:eastAsia="TimesNewRoman" w:cs="TimesNewRoman"/>
          <w:color w:val="000000"/>
        </w:rPr>
        <w:t xml:space="preserve"> pancytopaenia/</w:t>
      </w:r>
      <w:r w:rsidRPr="006251FF">
        <w:rPr>
          <w:rFonts w:eastAsia="TimesNewRoman" w:cs="TimesNewRoman"/>
          <w:color w:val="000000"/>
        </w:rPr>
        <w:t>febrile neutrop</w:t>
      </w:r>
      <w:r>
        <w:rPr>
          <w:rFonts w:eastAsia="TimesNewRoman" w:cs="TimesNewRoman"/>
          <w:color w:val="000000"/>
        </w:rPr>
        <w:t>a</w:t>
      </w:r>
      <w:r w:rsidRPr="006251FF">
        <w:rPr>
          <w:rFonts w:eastAsia="TimesNewRoman" w:cs="TimesNewRoman"/>
          <w:color w:val="000000"/>
        </w:rPr>
        <w:t xml:space="preserve">enia (both </w:t>
      </w:r>
      <w:r>
        <w:rPr>
          <w:rFonts w:eastAsia="TimesNewRoman" w:cs="TimesNewRoman"/>
          <w:color w:val="000000"/>
        </w:rPr>
        <w:t xml:space="preserve">of which were </w:t>
      </w:r>
      <w:r w:rsidRPr="006251FF">
        <w:rPr>
          <w:rFonts w:eastAsia="TimesNewRoman" w:cs="TimesNewRoman"/>
          <w:color w:val="000000"/>
        </w:rPr>
        <w:t>considered related to pralatrexate treatment)</w:t>
      </w:r>
      <w:r>
        <w:rPr>
          <w:rFonts w:eastAsia="TimesNewRoman" w:cs="TimesNewRoman"/>
          <w:color w:val="000000"/>
        </w:rPr>
        <w:t>. He was hospitalised but these events never resolved d</w:t>
      </w:r>
      <w:r w:rsidRPr="00B40129">
        <w:t>espite treatment with broad</w:t>
      </w:r>
      <w:r>
        <w:t xml:space="preserve"> </w:t>
      </w:r>
      <w:r w:rsidRPr="00B40129">
        <w:t>spectrum</w:t>
      </w:r>
      <w:r>
        <w:t xml:space="preserve"> </w:t>
      </w:r>
      <w:r w:rsidRPr="00B40129">
        <w:t>intravenous (IV) antibiotics, IV fluids, and granulocyte colony-stimulating factor</w:t>
      </w:r>
      <w:r>
        <w:t>. H</w:t>
      </w:r>
      <w:r>
        <w:rPr>
          <w:rFonts w:eastAsia="TimesNewRoman" w:cs="TimesNewRoman"/>
          <w:color w:val="000000"/>
        </w:rPr>
        <w:t xml:space="preserve">e </w:t>
      </w:r>
      <w:r w:rsidRPr="006251FF">
        <w:rPr>
          <w:rFonts w:eastAsia="TimesNewRoman" w:cs="TimesNewRoman"/>
          <w:color w:val="000000"/>
        </w:rPr>
        <w:t>died approximately 3 weeks after his last dose of pralatrexate</w:t>
      </w:r>
      <w:r>
        <w:rPr>
          <w:rFonts w:eastAsia="TimesNewRoman" w:cs="TimesNewRoman"/>
          <w:color w:val="000000"/>
        </w:rPr>
        <w:t>, having been on study for 96 days.</w:t>
      </w:r>
    </w:p>
    <w:p w:rsidR="004D5254" w:rsidRPr="006251FF" w:rsidRDefault="004D5254" w:rsidP="004D5254">
      <w:pPr>
        <w:pStyle w:val="Heading6"/>
        <w:numPr>
          <w:ilvl w:val="4"/>
          <w:numId w:val="5"/>
        </w:numPr>
        <w:ind w:left="1702" w:hanging="1418"/>
      </w:pPr>
      <w:r>
        <w:lastRenderedPageBreak/>
        <w:t>Other SAEs</w:t>
      </w:r>
    </w:p>
    <w:p w:rsidR="004D5254" w:rsidRPr="00CA74E3" w:rsidRDefault="004D5254" w:rsidP="004D5254">
      <w:pPr>
        <w:rPr>
          <w:rFonts w:eastAsia="TimesNewRoman" w:cs="TimesNewRoman"/>
        </w:rPr>
      </w:pPr>
      <w:r w:rsidRPr="006251FF">
        <w:t>Fifty patients (45%) experienced an SAE while on study or within 30 days after their last</w:t>
      </w:r>
      <w:r>
        <w:t xml:space="preserve"> </w:t>
      </w:r>
      <w:r w:rsidRPr="006251FF">
        <w:t>dose of pralatrexate.</w:t>
      </w:r>
      <w:r>
        <w:t xml:space="preserve"> </w:t>
      </w:r>
      <w:r w:rsidRPr="00083690">
        <w:rPr>
          <w:rFonts w:eastAsia="TimesNewRoman" w:cs="TimesNewRoman"/>
        </w:rPr>
        <w:t xml:space="preserve">SAEs that occurred in ≥ 2% of patients in </w:t>
      </w:r>
      <w:r>
        <w:rPr>
          <w:rFonts w:eastAsia="TimesNewRoman" w:cs="TimesNewRoman"/>
        </w:rPr>
        <w:t>Study PDX-</w:t>
      </w:r>
      <w:r w:rsidRPr="00083690">
        <w:rPr>
          <w:rFonts w:eastAsia="TimesNewRoman" w:cs="TimesNewRoman"/>
        </w:rPr>
        <w:t xml:space="preserve">008 are </w:t>
      </w:r>
      <w:r>
        <w:rPr>
          <w:rFonts w:eastAsia="TimesNewRoman" w:cs="TimesNewRoman"/>
        </w:rPr>
        <w:t xml:space="preserve">shown below in </w:t>
      </w:r>
      <w:r w:rsidRPr="00CA74E3">
        <w:rPr>
          <w:rFonts w:eastAsia="TimesNewRoman" w:cs="TimesNewRoman"/>
        </w:rPr>
        <w:t xml:space="preserve">Table 18. </w:t>
      </w:r>
    </w:p>
    <w:p w:rsidR="004D5254" w:rsidRDefault="004D5254" w:rsidP="004D5254">
      <w:pPr>
        <w:pStyle w:val="FigureTitle"/>
      </w:pPr>
      <w:bookmarkStart w:id="265" w:name="_Toc320881541"/>
      <w:r>
        <w:t>Table 18. Study PDX-008 - serious adverse events occurring in ≥2% patients</w:t>
      </w:r>
      <w:bookmarkEnd w:id="265"/>
    </w:p>
    <w:tbl>
      <w:tblPr>
        <w:tblStyle w:val="TableGrid"/>
        <w:tblW w:w="0" w:type="auto"/>
        <w:tblInd w:w="108" w:type="dxa"/>
        <w:tblLook w:val="04A0"/>
      </w:tblPr>
      <w:tblGrid>
        <w:gridCol w:w="3294"/>
        <w:gridCol w:w="1462"/>
        <w:gridCol w:w="1458"/>
        <w:gridCol w:w="1462"/>
        <w:gridCol w:w="1458"/>
      </w:tblGrid>
      <w:tr w:rsidR="004D5254" w:rsidTr="003A2EF5">
        <w:trPr>
          <w:tblHeader/>
        </w:trPr>
        <w:tc>
          <w:tcPr>
            <w:tcW w:w="3294" w:type="dxa"/>
            <w:tcBorders>
              <w:top w:val="nil"/>
              <w:left w:val="nil"/>
              <w:bottom w:val="nil"/>
            </w:tcBorders>
          </w:tcPr>
          <w:p w:rsidR="004D5254" w:rsidRPr="00C27315" w:rsidRDefault="004D5254" w:rsidP="00C80331">
            <w:pPr>
              <w:autoSpaceDE w:val="0"/>
              <w:autoSpaceDN w:val="0"/>
              <w:adjustRightInd w:val="0"/>
              <w:spacing w:before="40" w:after="40"/>
              <w:rPr>
                <w:rFonts w:eastAsia="TimesNewRoman" w:cs="TimesNewRoman"/>
                <w:sz w:val="20"/>
                <w:szCs w:val="20"/>
              </w:rPr>
            </w:pPr>
          </w:p>
        </w:tc>
        <w:tc>
          <w:tcPr>
            <w:tcW w:w="2920" w:type="dxa"/>
            <w:gridSpan w:val="2"/>
            <w:shd w:val="clear" w:color="auto" w:fill="0070C0"/>
          </w:tcPr>
          <w:p w:rsidR="004D5254" w:rsidRPr="00CA74E3" w:rsidRDefault="004D5254" w:rsidP="00C80331">
            <w:pPr>
              <w:autoSpaceDE w:val="0"/>
              <w:autoSpaceDN w:val="0"/>
              <w:adjustRightInd w:val="0"/>
              <w:spacing w:before="40" w:after="40"/>
              <w:jc w:val="center"/>
              <w:rPr>
                <w:rFonts w:eastAsia="TimesNewRoman" w:cs="TimesNewRoman"/>
                <w:b/>
                <w:color w:val="FFFFFF" w:themeColor="background1"/>
                <w:sz w:val="20"/>
                <w:szCs w:val="20"/>
              </w:rPr>
            </w:pPr>
            <w:r w:rsidRPr="00CA74E3">
              <w:rPr>
                <w:rFonts w:eastAsia="TimesNewRoman" w:cs="TimesNewRoman"/>
                <w:b/>
                <w:color w:val="FFFFFF" w:themeColor="background1"/>
                <w:sz w:val="20"/>
                <w:szCs w:val="20"/>
              </w:rPr>
              <w:t>All SAEs</w:t>
            </w:r>
          </w:p>
        </w:tc>
        <w:tc>
          <w:tcPr>
            <w:tcW w:w="2920" w:type="dxa"/>
            <w:gridSpan w:val="2"/>
            <w:shd w:val="clear" w:color="auto" w:fill="0070C0"/>
          </w:tcPr>
          <w:p w:rsidR="004D5254" w:rsidRPr="00CA74E3" w:rsidRDefault="004D5254" w:rsidP="00C80331">
            <w:pPr>
              <w:autoSpaceDE w:val="0"/>
              <w:autoSpaceDN w:val="0"/>
              <w:adjustRightInd w:val="0"/>
              <w:spacing w:before="40" w:after="40"/>
              <w:jc w:val="center"/>
              <w:rPr>
                <w:rFonts w:eastAsia="TimesNewRoman" w:cs="TimesNewRoman"/>
                <w:b/>
                <w:color w:val="FFFFFF" w:themeColor="background1"/>
                <w:sz w:val="20"/>
                <w:szCs w:val="20"/>
              </w:rPr>
            </w:pPr>
            <w:r w:rsidRPr="00CA74E3">
              <w:rPr>
                <w:rFonts w:eastAsia="TimesNewRoman" w:cs="TimesNewRoman"/>
                <w:b/>
                <w:color w:val="FFFFFF" w:themeColor="background1"/>
                <w:sz w:val="20"/>
                <w:szCs w:val="20"/>
              </w:rPr>
              <w:t>Treatment-related SAEs</w:t>
            </w:r>
          </w:p>
        </w:tc>
      </w:tr>
      <w:tr w:rsidR="004D5254" w:rsidTr="003A2EF5">
        <w:trPr>
          <w:tblHeader/>
        </w:trPr>
        <w:tc>
          <w:tcPr>
            <w:tcW w:w="3294" w:type="dxa"/>
            <w:tcBorders>
              <w:top w:val="nil"/>
              <w:left w:val="nil"/>
            </w:tcBorders>
          </w:tcPr>
          <w:p w:rsidR="004D5254" w:rsidRPr="00C27315" w:rsidRDefault="004D5254" w:rsidP="00C80331">
            <w:pPr>
              <w:autoSpaceDE w:val="0"/>
              <w:autoSpaceDN w:val="0"/>
              <w:adjustRightInd w:val="0"/>
              <w:spacing w:before="40" w:after="40"/>
              <w:rPr>
                <w:rFonts w:eastAsia="TimesNewRoman" w:cs="TimesNewRoman"/>
                <w:sz w:val="20"/>
                <w:szCs w:val="20"/>
              </w:rPr>
            </w:pPr>
          </w:p>
        </w:tc>
        <w:tc>
          <w:tcPr>
            <w:tcW w:w="1462" w:type="dxa"/>
            <w:shd w:val="clear" w:color="auto" w:fill="0070C0"/>
          </w:tcPr>
          <w:p w:rsidR="004D5254" w:rsidRPr="00CA74E3" w:rsidRDefault="004D5254" w:rsidP="00C80331">
            <w:pPr>
              <w:autoSpaceDE w:val="0"/>
              <w:autoSpaceDN w:val="0"/>
              <w:adjustRightInd w:val="0"/>
              <w:spacing w:before="40" w:after="40"/>
              <w:jc w:val="center"/>
              <w:rPr>
                <w:rFonts w:eastAsia="TimesNewRoman" w:cs="TimesNewRoman"/>
                <w:b/>
                <w:color w:val="FFFFFF" w:themeColor="background1"/>
                <w:sz w:val="20"/>
                <w:szCs w:val="20"/>
              </w:rPr>
            </w:pPr>
            <w:r w:rsidRPr="00CA74E3">
              <w:rPr>
                <w:rFonts w:eastAsia="TimesNewRoman" w:cs="TimesNewRoman"/>
                <w:b/>
                <w:color w:val="FFFFFF" w:themeColor="background1"/>
                <w:sz w:val="20"/>
                <w:szCs w:val="20"/>
              </w:rPr>
              <w:t>All grades</w:t>
            </w:r>
          </w:p>
        </w:tc>
        <w:tc>
          <w:tcPr>
            <w:tcW w:w="1458" w:type="dxa"/>
            <w:shd w:val="clear" w:color="auto" w:fill="0070C0"/>
          </w:tcPr>
          <w:p w:rsidR="004D5254" w:rsidRPr="00CA74E3" w:rsidRDefault="004D5254" w:rsidP="00C80331">
            <w:pPr>
              <w:autoSpaceDE w:val="0"/>
              <w:autoSpaceDN w:val="0"/>
              <w:adjustRightInd w:val="0"/>
              <w:spacing w:before="40" w:after="40"/>
              <w:jc w:val="center"/>
              <w:rPr>
                <w:rFonts w:eastAsia="TimesNewRoman" w:cs="TimesNewRoman"/>
                <w:b/>
                <w:color w:val="FFFFFF" w:themeColor="background1"/>
                <w:sz w:val="20"/>
                <w:szCs w:val="20"/>
              </w:rPr>
            </w:pPr>
            <w:r w:rsidRPr="00CA74E3">
              <w:rPr>
                <w:rFonts w:eastAsia="TimesNewRoman" w:cs="TimesNewRoman"/>
                <w:b/>
                <w:color w:val="FFFFFF" w:themeColor="background1"/>
                <w:sz w:val="20"/>
                <w:szCs w:val="20"/>
              </w:rPr>
              <w:t>≥ Grade 3</w:t>
            </w:r>
          </w:p>
        </w:tc>
        <w:tc>
          <w:tcPr>
            <w:tcW w:w="1462" w:type="dxa"/>
            <w:shd w:val="clear" w:color="auto" w:fill="0070C0"/>
          </w:tcPr>
          <w:p w:rsidR="004D5254" w:rsidRPr="00CA74E3" w:rsidRDefault="004D5254" w:rsidP="00C80331">
            <w:pPr>
              <w:autoSpaceDE w:val="0"/>
              <w:autoSpaceDN w:val="0"/>
              <w:adjustRightInd w:val="0"/>
              <w:spacing w:before="40" w:after="40"/>
              <w:jc w:val="center"/>
              <w:rPr>
                <w:rFonts w:eastAsia="TimesNewRoman" w:cs="TimesNewRoman"/>
                <w:b/>
                <w:color w:val="FFFFFF" w:themeColor="background1"/>
                <w:sz w:val="20"/>
                <w:szCs w:val="20"/>
              </w:rPr>
            </w:pPr>
            <w:r w:rsidRPr="00CA74E3">
              <w:rPr>
                <w:rFonts w:eastAsia="TimesNewRoman" w:cs="TimesNewRoman"/>
                <w:b/>
                <w:color w:val="FFFFFF" w:themeColor="background1"/>
                <w:sz w:val="20"/>
                <w:szCs w:val="20"/>
              </w:rPr>
              <w:t>All grades</w:t>
            </w:r>
          </w:p>
        </w:tc>
        <w:tc>
          <w:tcPr>
            <w:tcW w:w="1458" w:type="dxa"/>
            <w:shd w:val="clear" w:color="auto" w:fill="0070C0"/>
          </w:tcPr>
          <w:p w:rsidR="004D5254" w:rsidRPr="00CA74E3" w:rsidRDefault="004D5254" w:rsidP="00C80331">
            <w:pPr>
              <w:autoSpaceDE w:val="0"/>
              <w:autoSpaceDN w:val="0"/>
              <w:adjustRightInd w:val="0"/>
              <w:spacing w:before="40" w:after="40"/>
              <w:jc w:val="center"/>
              <w:rPr>
                <w:rFonts w:eastAsia="TimesNewRoman" w:cs="TimesNewRoman"/>
                <w:b/>
                <w:color w:val="FFFFFF" w:themeColor="background1"/>
                <w:sz w:val="20"/>
                <w:szCs w:val="20"/>
              </w:rPr>
            </w:pPr>
            <w:r w:rsidRPr="00CA74E3">
              <w:rPr>
                <w:rFonts w:eastAsia="TimesNewRoman" w:cs="TimesNewRoman"/>
                <w:b/>
                <w:color w:val="FFFFFF" w:themeColor="background1"/>
                <w:sz w:val="20"/>
                <w:szCs w:val="20"/>
              </w:rPr>
              <w:t>≥ Grade 3</w:t>
            </w:r>
          </w:p>
        </w:tc>
      </w:tr>
      <w:tr w:rsidR="004D5254" w:rsidTr="004D5254">
        <w:tc>
          <w:tcPr>
            <w:tcW w:w="3294" w:type="dxa"/>
          </w:tcPr>
          <w:p w:rsidR="004D5254" w:rsidRPr="00A343E7" w:rsidRDefault="004D5254" w:rsidP="00C80331">
            <w:pPr>
              <w:autoSpaceDE w:val="0"/>
              <w:autoSpaceDN w:val="0"/>
              <w:adjustRightInd w:val="0"/>
              <w:spacing w:before="40" w:after="40"/>
              <w:rPr>
                <w:rFonts w:eastAsia="TimesNewRoman" w:cs="TimesNewRoman"/>
                <w:b/>
                <w:sz w:val="20"/>
                <w:szCs w:val="20"/>
              </w:rPr>
            </w:pPr>
            <w:r w:rsidRPr="00A343E7">
              <w:rPr>
                <w:rFonts w:eastAsia="TimesNewRoman" w:cs="TimesNewRoman"/>
                <w:b/>
                <w:sz w:val="20"/>
                <w:szCs w:val="20"/>
              </w:rPr>
              <w:t>Any SAE</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50 (45%)</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42 (38%)</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28 (25%)</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21 (19%)</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Pyrexia</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8 (7%)</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1</w:t>
            </w:r>
            <w:r w:rsidRPr="00C27315">
              <w:rPr>
                <w:rFonts w:eastAsia="TimesNewRoman" w:cs="TimesNewRoman"/>
                <w:sz w:val="20"/>
                <w:szCs w:val="20"/>
              </w:rPr>
              <w:t xml:space="preserve"> (</w:t>
            </w:r>
            <w:r>
              <w:rPr>
                <w:rFonts w:eastAsia="TimesNewRoman" w:cs="TimesNewRoman"/>
                <w:sz w:val="20"/>
                <w:szCs w:val="20"/>
              </w:rPr>
              <w:t>1</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5 (5</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 xml:space="preserve">Mucosal inflammation </w:t>
            </w:r>
            <w:r w:rsidRPr="00C27315">
              <w:rPr>
                <w:rFonts w:eastAsia="TimesNewRoman" w:cs="TimesNewRoman"/>
                <w:sz w:val="20"/>
                <w:szCs w:val="20"/>
              </w:rPr>
              <w:t>(grouped)</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6</w:t>
            </w:r>
            <w:r w:rsidRPr="00C27315">
              <w:rPr>
                <w:rFonts w:eastAsia="TimesNewRoman" w:cs="TimesNewRoman"/>
                <w:sz w:val="20"/>
                <w:szCs w:val="20"/>
              </w:rPr>
              <w:t xml:space="preserve"> (</w:t>
            </w:r>
            <w:r>
              <w:rPr>
                <w:rFonts w:eastAsia="TimesNewRoman" w:cs="TimesNewRoman"/>
                <w:sz w:val="20"/>
                <w:szCs w:val="20"/>
              </w:rPr>
              <w:t>5</w:t>
            </w:r>
            <w:r w:rsidRPr="00C27315">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6 (5</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6 (5</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6 (5</w:t>
            </w:r>
            <w:r w:rsidRPr="00BD4A90">
              <w:rPr>
                <w:rFonts w:eastAsia="TimesNewRoman" w:cs="TimesNewRoman"/>
                <w:sz w:val="20"/>
                <w:szCs w:val="20"/>
              </w:rPr>
              <w:t>%)</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Febrile neutropaenia</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5 (5</w:t>
            </w:r>
            <w:r w:rsidRPr="00C27315">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5 (5</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4</w:t>
            </w:r>
            <w:r w:rsidRPr="00BD4A90">
              <w:rPr>
                <w:rFonts w:eastAsia="TimesNewRoman" w:cs="TimesNewRoman"/>
                <w:sz w:val="20"/>
                <w:szCs w:val="20"/>
              </w:rPr>
              <w:t xml:space="preserve"> (</w:t>
            </w:r>
            <w:r>
              <w:rPr>
                <w:rFonts w:eastAsia="TimesNewRoman" w:cs="TimesNewRoman"/>
                <w:sz w:val="20"/>
                <w:szCs w:val="20"/>
              </w:rPr>
              <w:t>4</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4</w:t>
            </w:r>
            <w:r w:rsidRPr="00BD4A90">
              <w:rPr>
                <w:rFonts w:eastAsia="TimesNewRoman" w:cs="TimesNewRoman"/>
                <w:sz w:val="20"/>
                <w:szCs w:val="20"/>
              </w:rPr>
              <w:t xml:space="preserve"> (</w:t>
            </w:r>
            <w:r>
              <w:rPr>
                <w:rFonts w:eastAsia="TimesNewRoman" w:cs="TimesNewRoman"/>
                <w:sz w:val="20"/>
                <w:szCs w:val="20"/>
              </w:rPr>
              <w:t>4</w:t>
            </w:r>
            <w:r w:rsidRPr="00BD4A90">
              <w:rPr>
                <w:rFonts w:eastAsia="TimesNewRoman" w:cs="TimesNewRoman"/>
                <w:sz w:val="20"/>
                <w:szCs w:val="20"/>
              </w:rPr>
              <w:t>%)</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Sepsis</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5 (5</w:t>
            </w:r>
            <w:r w:rsidRPr="00C27315">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4 (4</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BD4A90">
              <w:rPr>
                <w:rFonts w:eastAsia="TimesNewRoman" w:cs="TimesNewRoman"/>
                <w:sz w:val="20"/>
                <w:szCs w:val="20"/>
              </w:rPr>
              <w:t>%)</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Dehydration</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4 (4</w:t>
            </w:r>
            <w:r w:rsidRPr="00C27315">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Dyspnoea</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4 (4</w:t>
            </w:r>
            <w:r w:rsidRPr="00C27315">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4 (4</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1 (1</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1 (1</w:t>
            </w:r>
            <w:r w:rsidRPr="00BD4A90">
              <w:rPr>
                <w:rFonts w:eastAsia="TimesNewRoman" w:cs="TimesNewRoman"/>
                <w:sz w:val="20"/>
                <w:szCs w:val="20"/>
              </w:rPr>
              <w:t>%)</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Herpes zoster</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3 (3%)</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3 (3</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BD4A90">
              <w:rPr>
                <w:rFonts w:eastAsia="TimesNewRoman" w:cs="TimesNewRoman"/>
                <w:sz w:val="20"/>
                <w:szCs w:val="20"/>
              </w:rPr>
              <w:t>%)</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Neutropaenia (grouped)</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 xml:space="preserve">3 </w:t>
            </w:r>
            <w:r w:rsidRPr="00C27315">
              <w:rPr>
                <w:rFonts w:eastAsia="TimesNewRoman" w:cs="TimesNewRoman"/>
                <w:sz w:val="20"/>
                <w:szCs w:val="20"/>
              </w:rPr>
              <w:t>(3%)</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sidRPr="00BD4A90">
              <w:rPr>
                <w:rFonts w:eastAsia="TimesNewRoman" w:cs="TimesNewRoman"/>
                <w:sz w:val="20"/>
                <w:szCs w:val="20"/>
              </w:rPr>
              <w:t>1 (1%)</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Pneumonia</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 xml:space="preserve">3 </w:t>
            </w:r>
            <w:r w:rsidRPr="00C27315">
              <w:rPr>
                <w:rFonts w:eastAsia="TimesNewRoman" w:cs="TimesNewRoman"/>
                <w:sz w:val="20"/>
                <w:szCs w:val="20"/>
              </w:rPr>
              <w:t>(3%)</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sidRPr="00BD4A90">
              <w:rPr>
                <w:rFonts w:eastAsia="TimesNewRoman" w:cs="TimesNewRoman"/>
                <w:sz w:val="20"/>
                <w:szCs w:val="20"/>
              </w:rPr>
              <w:t>1 (1%)</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 xml:space="preserve">Thrombocytopaenia </w:t>
            </w:r>
            <w:r w:rsidRPr="00C27315">
              <w:rPr>
                <w:rFonts w:eastAsia="TimesNewRoman" w:cs="TimesNewRoman"/>
                <w:sz w:val="20"/>
                <w:szCs w:val="20"/>
              </w:rPr>
              <w:t>(grouped)</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 xml:space="preserve">3 </w:t>
            </w:r>
            <w:r w:rsidRPr="00C27315">
              <w:rPr>
                <w:rFonts w:eastAsia="TimesNewRoman" w:cs="TimesNewRoman"/>
                <w:sz w:val="20"/>
                <w:szCs w:val="20"/>
              </w:rPr>
              <w:t>(3%)</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3 (3</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3 (3</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3 (3</w:t>
            </w:r>
            <w:r w:rsidRPr="00BD4A90">
              <w:rPr>
                <w:rFonts w:eastAsia="TimesNewRoman" w:cs="TimesNewRoman"/>
                <w:sz w:val="20"/>
                <w:szCs w:val="20"/>
              </w:rPr>
              <w:t>%)</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Abdominal pain</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1 (1</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Cerebral infarction</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 xml:space="preserve">2 </w:t>
            </w:r>
            <w:r w:rsidRPr="00C27315">
              <w:rPr>
                <w:rFonts w:eastAsia="TimesNewRoman" w:cs="TimesNewRoman"/>
                <w:sz w:val="20"/>
                <w:szCs w:val="20"/>
              </w:rPr>
              <w:t>(2%)</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Fatigue</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 xml:space="preserve">2 </w:t>
            </w:r>
            <w:r w:rsidRPr="00C27315">
              <w:rPr>
                <w:rFonts w:eastAsia="TimesNewRoman" w:cs="TimesNewRoman"/>
                <w:sz w:val="20"/>
                <w:szCs w:val="20"/>
              </w:rPr>
              <w:t>(2%)</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1 (1</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1 (1</w:t>
            </w:r>
            <w:r w:rsidRPr="00BD4A90">
              <w:rPr>
                <w:rFonts w:eastAsia="TimesNewRoman" w:cs="TimesNewRoman"/>
                <w:sz w:val="20"/>
                <w:szCs w:val="20"/>
              </w:rPr>
              <w:t>%)</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Hypotension</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 xml:space="preserve">2 </w:t>
            </w:r>
            <w:r w:rsidRPr="00C27315">
              <w:rPr>
                <w:rFonts w:eastAsia="TimesNewRoman" w:cs="TimesNewRoman"/>
                <w:sz w:val="20"/>
                <w:szCs w:val="20"/>
              </w:rPr>
              <w:t>(2%)</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Acute renal failure</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 xml:space="preserve">2 </w:t>
            </w:r>
            <w:r w:rsidRPr="00C27315">
              <w:rPr>
                <w:rFonts w:eastAsia="TimesNewRoman" w:cs="TimesNewRoman"/>
                <w:sz w:val="20"/>
                <w:szCs w:val="20"/>
              </w:rPr>
              <w:t>(2%)</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Skin ulcer</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 xml:space="preserve">2 </w:t>
            </w:r>
            <w:r w:rsidRPr="00C27315">
              <w:rPr>
                <w:rFonts w:eastAsia="TimesNewRoman" w:cs="TimesNewRoman"/>
                <w:sz w:val="20"/>
                <w:szCs w:val="20"/>
              </w:rPr>
              <w:t>(2%)</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1 (1</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0</w:t>
            </w:r>
          </w:p>
        </w:tc>
      </w:tr>
      <w:tr w:rsidR="004D5254" w:rsidTr="004D5254">
        <w:tc>
          <w:tcPr>
            <w:tcW w:w="3294" w:type="dxa"/>
          </w:tcPr>
          <w:p w:rsidR="004D5254" w:rsidRPr="00C27315" w:rsidRDefault="004D5254" w:rsidP="00C80331">
            <w:pPr>
              <w:autoSpaceDE w:val="0"/>
              <w:autoSpaceDN w:val="0"/>
              <w:adjustRightInd w:val="0"/>
              <w:spacing w:before="40" w:after="40"/>
              <w:rPr>
                <w:rFonts w:eastAsia="TimesNewRoman" w:cs="TimesNewRoman"/>
                <w:sz w:val="20"/>
                <w:szCs w:val="20"/>
              </w:rPr>
            </w:pPr>
            <w:r>
              <w:rPr>
                <w:rFonts w:eastAsia="TimesNewRoman" w:cs="TimesNewRoman"/>
                <w:sz w:val="20"/>
                <w:szCs w:val="20"/>
              </w:rPr>
              <w:t>Urinary tract infection</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 xml:space="preserve">2 </w:t>
            </w:r>
            <w:r w:rsidRPr="00C27315">
              <w:rPr>
                <w:rFonts w:eastAsia="TimesNewRoman" w:cs="TimesNewRoman"/>
                <w:sz w:val="20"/>
                <w:szCs w:val="20"/>
              </w:rPr>
              <w:t>(2%)</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2 (2</w:t>
            </w:r>
            <w:r w:rsidRPr="00C27315">
              <w:rPr>
                <w:rFonts w:eastAsia="TimesNewRoman" w:cs="TimesNewRoman"/>
                <w:sz w:val="20"/>
                <w:szCs w:val="20"/>
              </w:rPr>
              <w:t>%)</w:t>
            </w:r>
          </w:p>
        </w:tc>
        <w:tc>
          <w:tcPr>
            <w:tcW w:w="1462"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1 (1</w:t>
            </w:r>
            <w:r w:rsidRPr="00BD4A90">
              <w:rPr>
                <w:rFonts w:eastAsia="TimesNewRoman" w:cs="TimesNewRoman"/>
                <w:sz w:val="20"/>
                <w:szCs w:val="20"/>
              </w:rPr>
              <w:t>%)</w:t>
            </w:r>
          </w:p>
        </w:tc>
        <w:tc>
          <w:tcPr>
            <w:tcW w:w="1458" w:type="dxa"/>
          </w:tcPr>
          <w:p w:rsidR="004D5254" w:rsidRPr="00C27315" w:rsidRDefault="004D5254" w:rsidP="00C80331">
            <w:pPr>
              <w:autoSpaceDE w:val="0"/>
              <w:autoSpaceDN w:val="0"/>
              <w:adjustRightInd w:val="0"/>
              <w:spacing w:before="40" w:after="40"/>
              <w:jc w:val="center"/>
              <w:rPr>
                <w:rFonts w:eastAsia="TimesNewRoman" w:cs="TimesNewRoman"/>
                <w:sz w:val="20"/>
                <w:szCs w:val="20"/>
              </w:rPr>
            </w:pPr>
            <w:r>
              <w:rPr>
                <w:rFonts w:eastAsia="TimesNewRoman" w:cs="TimesNewRoman"/>
                <w:sz w:val="20"/>
                <w:szCs w:val="20"/>
              </w:rPr>
              <w:t>1 (1</w:t>
            </w:r>
            <w:r w:rsidRPr="00BD4A90">
              <w:rPr>
                <w:rFonts w:eastAsia="TimesNewRoman" w:cs="TimesNewRoman"/>
                <w:sz w:val="20"/>
                <w:szCs w:val="20"/>
              </w:rPr>
              <w:t>%)</w:t>
            </w:r>
          </w:p>
        </w:tc>
      </w:tr>
    </w:tbl>
    <w:p w:rsidR="004D5254" w:rsidRDefault="004D5254" w:rsidP="004D5254">
      <w:r>
        <w:t>R</w:t>
      </w:r>
      <w:r w:rsidRPr="00083690">
        <w:t>egardless of causality</w:t>
      </w:r>
      <w:r>
        <w:t>, SAEs</w:t>
      </w:r>
      <w:r w:rsidRPr="00083690">
        <w:t xml:space="preserve"> most frequently</w:t>
      </w:r>
      <w:r>
        <w:t xml:space="preserve"> manifested as </w:t>
      </w:r>
      <w:r w:rsidRPr="00083690">
        <w:t>infections</w:t>
      </w:r>
      <w:r>
        <w:t xml:space="preserve"> and infestations (n = 18, 16%); </w:t>
      </w:r>
      <w:r w:rsidRPr="00083690">
        <w:t>blood and lymphatic system disorders (n = 13, 12%)</w:t>
      </w:r>
      <w:r>
        <w:t>;</w:t>
      </w:r>
      <w:r w:rsidRPr="00083690">
        <w:t xml:space="preserve"> and general disorders and</w:t>
      </w:r>
      <w:r>
        <w:t xml:space="preserve"> </w:t>
      </w:r>
      <w:r w:rsidRPr="00083690">
        <w:t>administration site conditions (n = 11, 10%).</w:t>
      </w:r>
      <w:r>
        <w:t xml:space="preserve"> </w:t>
      </w:r>
      <w:r w:rsidRPr="006251FF">
        <w:t xml:space="preserve">The most common </w:t>
      </w:r>
      <w:r>
        <w:t xml:space="preserve">individual </w:t>
      </w:r>
      <w:r w:rsidRPr="006251FF">
        <w:t>SAEs were pyrexia, mucosal inflammation, febrile</w:t>
      </w:r>
      <w:r>
        <w:t xml:space="preserve"> </w:t>
      </w:r>
      <w:r w:rsidRPr="006251FF">
        <w:t>neutrop</w:t>
      </w:r>
      <w:r>
        <w:t>a</w:t>
      </w:r>
      <w:r w:rsidRPr="006251FF">
        <w:t>enia, sepsis, dehydration, and dyspn</w:t>
      </w:r>
      <w:r>
        <w:t>o</w:t>
      </w:r>
      <w:r w:rsidRPr="006251FF">
        <w:t>ea.</w:t>
      </w:r>
      <w:r>
        <w:t xml:space="preserve"> Most of these SAEs could be expected from the cytotoxic activity of pralatrexate or the patient’s underlying tumour and immuno-compromised status. It can be appreciated from the table that most SAEs manifesting as mucosal or haematological toxicity were of Grade 3 or higher severity and almost all were considered to be treatment-related by the investigators. Grade 4 treatment-related haematological SAEs included 3 cases of thrombocytopaenia, 1 case of neutropaenia and 1 case of pancytopaenia. </w:t>
      </w:r>
    </w:p>
    <w:p w:rsidR="004D5254" w:rsidRPr="00C97789" w:rsidRDefault="004D5254" w:rsidP="004D5254">
      <w:r>
        <w:t xml:space="preserve">SAEs of </w:t>
      </w:r>
      <w:r w:rsidRPr="00C97789">
        <w:t>particular note</w:t>
      </w:r>
      <w:r>
        <w:t xml:space="preserve"> were</w:t>
      </w:r>
      <w:r w:rsidRPr="00C97789">
        <w:t>:</w:t>
      </w:r>
    </w:p>
    <w:p w:rsidR="004D5254" w:rsidRDefault="004D5254" w:rsidP="004D5254">
      <w:pPr>
        <w:pStyle w:val="ListBullet"/>
        <w:numPr>
          <w:ilvl w:val="0"/>
          <w:numId w:val="1"/>
        </w:numPr>
        <w:rPr>
          <w:rFonts w:eastAsia="TimesNewRoman" w:cs="TimesNewRoman"/>
        </w:rPr>
      </w:pPr>
      <w:r w:rsidRPr="004C28D0">
        <w:t xml:space="preserve">One patient </w:t>
      </w:r>
      <w:r>
        <w:t xml:space="preserve">(095) </w:t>
      </w:r>
      <w:r w:rsidRPr="004C28D0">
        <w:t>developed tumour lysis syndrome</w:t>
      </w:r>
      <w:r>
        <w:t xml:space="preserve"> </w:t>
      </w:r>
      <w:r w:rsidRPr="004C28D0">
        <w:t xml:space="preserve">2 days after beginning </w:t>
      </w:r>
      <w:r>
        <w:t>C</w:t>
      </w:r>
      <w:r w:rsidRPr="004C28D0">
        <w:t>ycle 2</w:t>
      </w:r>
      <w:r>
        <w:t xml:space="preserve">, manifesting with elevated </w:t>
      </w:r>
      <w:r w:rsidRPr="00F601A8">
        <w:t xml:space="preserve">BUN </w:t>
      </w:r>
      <w:r>
        <w:t>(</w:t>
      </w:r>
      <w:r w:rsidRPr="00F601A8">
        <w:t>49 mg/dL</w:t>
      </w:r>
      <w:r>
        <w:t xml:space="preserve">; </w:t>
      </w:r>
      <w:r w:rsidRPr="00F601A8">
        <w:t>normal reference range 7-23 mg/dL)</w:t>
      </w:r>
      <w:r>
        <w:t>, hyperphosphataemia (</w:t>
      </w:r>
      <w:r w:rsidRPr="007A680F">
        <w:t>6.7 mg/dL</w:t>
      </w:r>
      <w:r>
        <w:t xml:space="preserve">; </w:t>
      </w:r>
      <w:r w:rsidRPr="007A680F">
        <w:t>normal reference range 2.2-4.7 mg/dL)</w:t>
      </w:r>
      <w:r>
        <w:t xml:space="preserve"> and hyperuricaemia (</w:t>
      </w:r>
      <w:r w:rsidRPr="007A680F">
        <w:t>23.5 mg/dL</w:t>
      </w:r>
      <w:r>
        <w:t xml:space="preserve">; </w:t>
      </w:r>
      <w:r w:rsidRPr="007A680F">
        <w:t>normal reference range</w:t>
      </w:r>
      <w:r>
        <w:t xml:space="preserve"> 2.9-7.9 mg/dL)</w:t>
      </w:r>
      <w:r w:rsidRPr="004C28D0">
        <w:t>.</w:t>
      </w:r>
      <w:r>
        <w:t xml:space="preserve"> Hypocalcaemia was also recorded as an AE around that time. </w:t>
      </w:r>
      <w:r w:rsidRPr="004C28D0">
        <w:t>The event resolved approximately a week later, but the next 2 doses were omitted due to thrombocytop</w:t>
      </w:r>
      <w:r>
        <w:t>a</w:t>
      </w:r>
      <w:r w:rsidRPr="004C28D0">
        <w:t>enia.</w:t>
      </w:r>
      <w:r>
        <w:t xml:space="preserve"> </w:t>
      </w:r>
      <w:r w:rsidRPr="004C28D0">
        <w:t>The patient ultimately discontinued treatment due to thrombocytop</w:t>
      </w:r>
      <w:r>
        <w:t>a</w:t>
      </w:r>
      <w:r w:rsidRPr="004C28D0">
        <w:t>enia and disease progression.</w:t>
      </w:r>
    </w:p>
    <w:p w:rsidR="004D5254" w:rsidRPr="00114F23" w:rsidRDefault="004D5254" w:rsidP="004D5254">
      <w:pPr>
        <w:pStyle w:val="ListBullet"/>
        <w:numPr>
          <w:ilvl w:val="0"/>
          <w:numId w:val="1"/>
        </w:numPr>
      </w:pPr>
      <w:r>
        <w:lastRenderedPageBreak/>
        <w:t xml:space="preserve">Two </w:t>
      </w:r>
      <w:r w:rsidRPr="00114F23">
        <w:t xml:space="preserve">patients were reported to have experienced SAEs of renal failure, both considered </w:t>
      </w:r>
      <w:r>
        <w:t>causally un</w:t>
      </w:r>
      <w:r w:rsidRPr="00114F23">
        <w:t>related to pralatrexate.</w:t>
      </w:r>
      <w:r>
        <w:t xml:space="preserve"> </w:t>
      </w:r>
      <w:r w:rsidRPr="00114F23">
        <w:t>The first patient, a 65 year old man, developed Grade 3 acute renal failure 28 days after initiating study treatment with pralatrexate and approximately a week after discontinuing pralatrexate due to disease progression.</w:t>
      </w:r>
      <w:r>
        <w:t xml:space="preserve"> </w:t>
      </w:r>
      <w:r w:rsidRPr="00114F23">
        <w:t>Two days prior to the onset of renal failure the patient had been treated with antibiotics for tumour-associated fever.</w:t>
      </w:r>
      <w:r>
        <w:t xml:space="preserve"> </w:t>
      </w:r>
      <w:r w:rsidRPr="00114F23">
        <w:t>His serum creatinine was 2.7 mg/dL (baseline value not provided, normal reference range 0.3-1.5 mg/dL) at presentation and peaked at 4.3 mg/dL 2 days later.</w:t>
      </w:r>
      <w:r>
        <w:t xml:space="preserve"> </w:t>
      </w:r>
      <w:r w:rsidRPr="00114F23">
        <w:t xml:space="preserve">Treatment included IV hydration and event resolved approximately 2 weeks later. </w:t>
      </w:r>
      <w:r>
        <w:t>This patient was receiving multiple c</w:t>
      </w:r>
      <w:r w:rsidRPr="00114F23">
        <w:t>oncomitant medications at the time of SAE onset</w:t>
      </w:r>
      <w:r>
        <w:t>,</w:t>
      </w:r>
      <w:r w:rsidRPr="00114F23">
        <w:t xml:space="preserve"> includ</w:t>
      </w:r>
      <w:r>
        <w:t>ing</w:t>
      </w:r>
      <w:r w:rsidRPr="00114F23">
        <w:t xml:space="preserve"> acyclovir, vancomycin</w:t>
      </w:r>
      <w:r>
        <w:t xml:space="preserve"> and</w:t>
      </w:r>
      <w:r w:rsidRPr="00114F23">
        <w:t xml:space="preserve"> allopurinol.</w:t>
      </w:r>
      <w:r>
        <w:t xml:space="preserve"> </w:t>
      </w:r>
      <w:r w:rsidRPr="00114F23">
        <w:t xml:space="preserve">The second patient developed Grade 4 renal failure (serum creatinine 6.5 mg/dL; NR 0.8-1.5 mg/dL) secondary to bilateral ureteric obstruction and hydronephrosis caused by disease progression after the third dose of </w:t>
      </w:r>
      <w:r>
        <w:t>C</w:t>
      </w:r>
      <w:r w:rsidRPr="00114F23">
        <w:t>ycle 1.</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8"/>
      </w:tblGrid>
      <w:tr w:rsidR="004D5254" w:rsidRPr="007F1A20" w:rsidTr="00C80331">
        <w:tc>
          <w:tcPr>
            <w:tcW w:w="8708" w:type="dxa"/>
            <w:shd w:val="clear" w:color="auto" w:fill="D9D9D9" w:themeFill="background1" w:themeFillShade="D9"/>
          </w:tcPr>
          <w:p w:rsidR="004D5254" w:rsidRPr="007F1A20" w:rsidRDefault="004D5254" w:rsidP="00C80331">
            <w:pPr>
              <w:autoSpaceDE w:val="0"/>
              <w:autoSpaceDN w:val="0"/>
              <w:adjustRightInd w:val="0"/>
            </w:pPr>
            <w:r w:rsidRPr="007F1A20">
              <w:rPr>
                <w:u w:val="single"/>
              </w:rPr>
              <w:t>Evaluator’s comment</w:t>
            </w:r>
            <w:r w:rsidRPr="007F1A20">
              <w:t>:</w:t>
            </w:r>
          </w:p>
          <w:p w:rsidR="004D5254" w:rsidRPr="007F1A20" w:rsidRDefault="004D5254" w:rsidP="00C80331">
            <w:pPr>
              <w:autoSpaceDE w:val="0"/>
              <w:autoSpaceDN w:val="0"/>
              <w:adjustRightInd w:val="0"/>
            </w:pPr>
            <w:r w:rsidRPr="007F1A20">
              <w:t xml:space="preserve">Interestingly, </w:t>
            </w:r>
            <w:r>
              <w:t xml:space="preserve">the first </w:t>
            </w:r>
            <w:r w:rsidRPr="007F1A20">
              <w:t>patient</w:t>
            </w:r>
            <w:r>
              <w:t xml:space="preserve"> </w:t>
            </w:r>
            <w:r w:rsidRPr="007F1A20">
              <w:t xml:space="preserve">also had hyperuricaemia and hyperphosphataemia recorded as adverse events around the same time </w:t>
            </w:r>
            <w:r>
              <w:t xml:space="preserve">as the renal failure </w:t>
            </w:r>
            <w:r w:rsidRPr="007F1A20">
              <w:t>(Note: actual serum values for these parameters were not documented).</w:t>
            </w:r>
            <w:r>
              <w:t xml:space="preserve"> </w:t>
            </w:r>
            <w:r w:rsidRPr="007F1A20">
              <w:t>These events were thought to be possibly related to pralatrexate treatment.</w:t>
            </w:r>
            <w:r>
              <w:t xml:space="preserve"> </w:t>
            </w:r>
            <w:r w:rsidRPr="007F1A20">
              <w:t>These metabolic derangements in combination with acute renal failure are suggestive of possible tumour lysis syndrome.</w:t>
            </w:r>
            <w:r>
              <w:t xml:space="preserve"> </w:t>
            </w:r>
          </w:p>
        </w:tc>
      </w:tr>
    </w:tbl>
    <w:p w:rsidR="004D5254" w:rsidRDefault="004D5254" w:rsidP="004D5254">
      <w:pPr>
        <w:pStyle w:val="ListBullet"/>
        <w:numPr>
          <w:ilvl w:val="0"/>
          <w:numId w:val="1"/>
        </w:numPr>
      </w:pPr>
      <w:r>
        <w:t>Four patients required investigation and hospital treatment of dyspnoea. In most cases the dyspnoea was considered to be a manifestation of either the underlying disease/disease progression (such pulmonary infiltration, pleural effusion and compression) or pneumonia. One patient was found to have pneumonitis which was considered to be an acute hypersensitivity to pralatrexate.</w:t>
      </w:r>
    </w:p>
    <w:p w:rsidR="004D5254" w:rsidRPr="00A70FDB" w:rsidRDefault="004D5254" w:rsidP="004D5254">
      <w:pPr>
        <w:pStyle w:val="ListBullet"/>
        <w:numPr>
          <w:ilvl w:val="0"/>
          <w:numId w:val="1"/>
        </w:numPr>
      </w:pPr>
      <w:r>
        <w:t xml:space="preserve">Five patients had a serious thromboembolic event. Three of these occurred more than 2 weeks after the most recent dose of pralatrexate. The first of these patients, developed right subclavian vein thrombosis 2 days after the peripheral insertion of a central catheter (site not stated) and 3 weeks after the most recent dose of pralatrexate. The event was considered causally unrelated to pralatrexate. The second patient had also had his most recent (and final) dose of pralatrexate some three weeks prior to developing frontal lobe infarction (MRI proven) that presented as a series of seizures. In the period between the last dose of pralatrexate and the onset seizures the patient had experienced disease progression and had discontinued pralatrexate and commenced gemcitabine. Five days before the onset of seizures the patient was hospitalised with dehydration (no electrolyte data were recorded). The event was considered causally unrelated to pralatrexate. The third patient developed an ischaemic stroke involving the left posterior cerebral artery, non sustained ventricular tachycardia and atrial fibrillation 491 days after starting treatment with pralatrexate and 2 weeks after the most recent dose. This 74 year old man had a past history of vascular disease including coronary artery disease and bypass grafting, atherosclerosis, deep vein thrombosis and intermittent atrial fibrillation. Brain MRI also revealed the presence of right vertebral artery stenosis and there was evidence of irregularity of the carotid bifurcation (side not stated) on angiography. The event was considered causally unrelated to pralatrexate. Of the remaining 2 patients, one patient developed what was reported to be a cerebral infarction (diagnostic results not provided), manifesting with aphasia, lateral hemianopia and facial paralysis 236 days after commencing treatment with pralatrexate and 5 days after the most recent dose. The symptoms resolved after 2 days of treatment with acetylsalicylic acid. Platelet count was normal at the time. The event was considered by the investigator to be causally unrelated to pralatrexate. The final patient developed a pulmonary embolus 649 days after commencing pralatrexate and 1 day after her most recent dose. At the time she had concurrent Grade 2 pneumonitis that was considered by the investigator to be treatment-related but not serious. Her past history </w:t>
      </w:r>
      <w:r>
        <w:lastRenderedPageBreak/>
        <w:t>included bilateral DVT and bilateral pulmonary embolism. The pulmonary embolus was considered to be possibly causally related to pralatrexate.</w:t>
      </w:r>
    </w:p>
    <w:p w:rsidR="004D5254" w:rsidRDefault="004D5254" w:rsidP="004D5254">
      <w:pPr>
        <w:pStyle w:val="Heading5"/>
        <w:numPr>
          <w:ilvl w:val="3"/>
          <w:numId w:val="5"/>
        </w:numPr>
      </w:pPr>
      <w:r>
        <w:t>Other studies</w:t>
      </w:r>
    </w:p>
    <w:p w:rsidR="004D5254" w:rsidRDefault="004D5254" w:rsidP="004D5254">
      <w:pPr>
        <w:pStyle w:val="Heading6"/>
        <w:numPr>
          <w:ilvl w:val="4"/>
          <w:numId w:val="5"/>
        </w:numPr>
        <w:ind w:left="1702" w:hanging="1418"/>
      </w:pPr>
      <w:r>
        <w:t>Deaths</w:t>
      </w:r>
    </w:p>
    <w:p w:rsidR="004D5254" w:rsidRDefault="004D5254" w:rsidP="004D5254">
      <w:pPr>
        <w:autoSpaceDE w:val="0"/>
        <w:autoSpaceDN w:val="0"/>
        <w:adjustRightInd w:val="0"/>
      </w:pPr>
      <w:r>
        <w:t xml:space="preserve">A total of 43 (7%) patients in the overall clinical development program either died </w:t>
      </w:r>
      <w:r w:rsidRPr="006251FF">
        <w:t>while still on treatment with pralatrexate</w:t>
      </w:r>
      <w:r>
        <w:t xml:space="preserve"> or died within 30 days of stopping treatment. The majority of these deaths (33/43; 77%) were due to either disease progression or events that could be reasonably attributed to complications of the underlying tumour (</w:t>
      </w:r>
      <w:r w:rsidRPr="00E64F1B">
        <w:t>for example,</w:t>
      </w:r>
      <w:r>
        <w:t xml:space="preserve"> respiratory failure in patients with lung cancer). Six deaths (16%) were considered by the investigator to be causally related to treatment with pralatrexate, including the case from the pivotal study.</w:t>
      </w:r>
    </w:p>
    <w:tbl>
      <w:tblPr>
        <w:tblStyle w:val="TableGrid"/>
        <w:tblW w:w="0" w:type="auto"/>
        <w:tblLook w:val="04A0"/>
      </w:tblPr>
      <w:tblGrid>
        <w:gridCol w:w="9242"/>
      </w:tblGrid>
      <w:tr w:rsidR="004D5254" w:rsidTr="00C80331">
        <w:tc>
          <w:tcPr>
            <w:tcW w:w="9242" w:type="dxa"/>
            <w:shd w:val="clear" w:color="auto" w:fill="D9D9D9" w:themeFill="background1" w:themeFillShade="D9"/>
          </w:tcPr>
          <w:p w:rsidR="004D5254" w:rsidRDefault="004D5254" w:rsidP="00C80331">
            <w:pPr>
              <w:autoSpaceDE w:val="0"/>
              <w:autoSpaceDN w:val="0"/>
              <w:adjustRightInd w:val="0"/>
            </w:pPr>
            <w:r w:rsidRPr="003D6CF9">
              <w:rPr>
                <w:u w:val="single"/>
              </w:rPr>
              <w:t>Evaluator’s comment</w:t>
            </w:r>
            <w:r>
              <w:t>:</w:t>
            </w:r>
          </w:p>
          <w:p w:rsidR="004D5254" w:rsidRDefault="004D5254" w:rsidP="00C80331">
            <w:pPr>
              <w:autoSpaceDE w:val="0"/>
              <w:autoSpaceDN w:val="0"/>
              <w:adjustRightInd w:val="0"/>
            </w:pPr>
            <w:r>
              <w:t xml:space="preserve">This evaluator compiled a table of information from narratives within the individual study reports and synopses and includes studies PDX-014, PDX-015 and PDX-016. This was used in preference to Table 2.7.4.14 of the </w:t>
            </w:r>
            <w:r w:rsidRPr="005E7AB0">
              <w:rPr>
                <w:i/>
              </w:rPr>
              <w:t>Summary of Clinical Safety</w:t>
            </w:r>
            <w:r>
              <w:t>, because it was difficult to readily reconcile the information provided in the text against the categories of the causes of death used in Table 2.7.4.14. This evaluator’s table also draws a sharper distinction between deaths that were considered by the investigator to be causally related to treatment with pralatrexate (</w:t>
            </w:r>
            <w:r w:rsidRPr="00990CA1">
              <w:t>that is,</w:t>
            </w:r>
            <w:r>
              <w:t xml:space="preserve"> due to ADRs) and those that were not (</w:t>
            </w:r>
            <w:r w:rsidRPr="00990CA1">
              <w:t>that is,</w:t>
            </w:r>
            <w:r>
              <w:t xml:space="preserve"> due to AEs). The total number of deaths captured in the evaluator’s table differs from the </w:t>
            </w:r>
            <w:r w:rsidRPr="009E4E99">
              <w:rPr>
                <w:i/>
              </w:rPr>
              <w:t>Summary of Clinical Safety</w:t>
            </w:r>
            <w:r>
              <w:t xml:space="preserve"> because some of the interim study reports post-dated the cut off for the Allos safety database. No additional information about deaths was available from the </w:t>
            </w:r>
            <w:r w:rsidRPr="00C62EF5">
              <w:rPr>
                <w:i/>
              </w:rPr>
              <w:t>Updated Safety Tables</w:t>
            </w:r>
            <w:r>
              <w:t xml:space="preserve">. </w:t>
            </w:r>
          </w:p>
        </w:tc>
      </w:tr>
    </w:tbl>
    <w:p w:rsidR="004D5254" w:rsidRDefault="004D5254" w:rsidP="004D5254">
      <w:pPr>
        <w:autoSpaceDE w:val="0"/>
        <w:autoSpaceDN w:val="0"/>
        <w:adjustRightInd w:val="0"/>
      </w:pPr>
      <w:r>
        <w:t>In the non-pivotal studies, the deaths considered to be causally related to pralatrexate administration were:</w:t>
      </w:r>
    </w:p>
    <w:p w:rsidR="004D5254" w:rsidRPr="007A4B4A" w:rsidRDefault="004D5254" w:rsidP="004D5254">
      <w:pPr>
        <w:pStyle w:val="ListBullet"/>
        <w:numPr>
          <w:ilvl w:val="0"/>
          <w:numId w:val="1"/>
        </w:numPr>
      </w:pPr>
      <w:r>
        <w:t>One p</w:t>
      </w:r>
      <w:r w:rsidRPr="00474DFA">
        <w:t>atient</w:t>
      </w:r>
      <w:r>
        <w:t xml:space="preserve"> from Study PDX-02-078 (Population 2) - a 48F</w:t>
      </w:r>
      <w:r w:rsidRPr="00474DFA">
        <w:t xml:space="preserve"> </w:t>
      </w:r>
      <w:r>
        <w:t xml:space="preserve">with T/NK-cell lymphoma (adult T-cell lymphoma/leukaemia (HTLV1+)) and </w:t>
      </w:r>
      <w:r w:rsidRPr="007A4B4A">
        <w:t>extensive skin/subcutaneous involvement</w:t>
      </w:r>
      <w:r>
        <w:t xml:space="preserve"> </w:t>
      </w:r>
      <w:r w:rsidRPr="00474DFA">
        <w:t>died 6 days after being</w:t>
      </w:r>
      <w:r>
        <w:t xml:space="preserve"> </w:t>
      </w:r>
      <w:r w:rsidRPr="00474DFA">
        <w:t>hospitali</w:t>
      </w:r>
      <w:r>
        <w:t>s</w:t>
      </w:r>
      <w:r w:rsidRPr="00474DFA">
        <w:t>ed for febrile neutrop</w:t>
      </w:r>
      <w:r>
        <w:t>a</w:t>
      </w:r>
      <w:r w:rsidRPr="00474DFA">
        <w:t xml:space="preserve">enia (probably related to </w:t>
      </w:r>
      <w:r>
        <w:t>p</w:t>
      </w:r>
      <w:r w:rsidRPr="00474DFA">
        <w:t>ralatrexate) and infection (probably</w:t>
      </w:r>
      <w:r>
        <w:t xml:space="preserve"> </w:t>
      </w:r>
      <w:r w:rsidRPr="00474DFA">
        <w:t xml:space="preserve">related to pralatrexate) </w:t>
      </w:r>
      <w:r>
        <w:t>and</w:t>
      </w:r>
      <w:r w:rsidRPr="00474DFA">
        <w:t xml:space="preserve"> </w:t>
      </w:r>
      <w:r>
        <w:t>a</w:t>
      </w:r>
      <w:r w:rsidRPr="00474DFA">
        <w:t xml:space="preserve"> desquamatin</w:t>
      </w:r>
      <w:r>
        <w:t>g rash</w:t>
      </w:r>
      <w:r w:rsidRPr="00474DFA">
        <w:t xml:space="preserve"> (possibly related to pralatrexate).</w:t>
      </w:r>
      <w:r>
        <w:t xml:space="preserve"> This patient received only 2 doses of pralatrexate 45 mg/m</w:t>
      </w:r>
      <w:r w:rsidRPr="00B40129">
        <w:rPr>
          <w:vertAlign w:val="superscript"/>
        </w:rPr>
        <w:t>2</w:t>
      </w:r>
      <w:r>
        <w:t xml:space="preserve">. Four days after the first dose she </w:t>
      </w:r>
      <w:r w:rsidRPr="007A4B4A">
        <w:t xml:space="preserve">was admitted to hospital </w:t>
      </w:r>
      <w:r>
        <w:t>with</w:t>
      </w:r>
      <w:r w:rsidRPr="007A4B4A">
        <w:t xml:space="preserve"> febrile neutrop</w:t>
      </w:r>
      <w:r>
        <w:t>a</w:t>
      </w:r>
      <w:r w:rsidRPr="007A4B4A">
        <w:t>enia, hypotension, and anuria.</w:t>
      </w:r>
      <w:r>
        <w:t xml:space="preserve"> At that time </w:t>
      </w:r>
      <w:r w:rsidRPr="007A4B4A">
        <w:t>the patient’s skin was noted to be erythematous with some breakdown beneath her breasts</w:t>
      </w:r>
      <w:r>
        <w:t xml:space="preserve"> </w:t>
      </w:r>
      <w:r w:rsidRPr="007A4B4A">
        <w:t>and anterior abdominal wall.</w:t>
      </w:r>
      <w:r>
        <w:t xml:space="preserve"> </w:t>
      </w:r>
      <w:r w:rsidRPr="007A4B4A">
        <w:t>She was treated with antibiotics and intravenous (IV) fluids</w:t>
      </w:r>
      <w:r>
        <w:t xml:space="preserve"> and later discharged at which time she was given her second dose of pralatrexate</w:t>
      </w:r>
      <w:r w:rsidRPr="007A4B4A">
        <w:t>.</w:t>
      </w:r>
      <w:r>
        <w:t xml:space="preserve"> Four days after the second dose </w:t>
      </w:r>
      <w:r w:rsidRPr="007A4B4A">
        <w:t xml:space="preserve">the patient </w:t>
      </w:r>
      <w:r>
        <w:t>re-</w:t>
      </w:r>
      <w:r w:rsidRPr="007A4B4A">
        <w:t>presented with chills and</w:t>
      </w:r>
      <w:r>
        <w:t xml:space="preserve"> </w:t>
      </w:r>
      <w:r w:rsidRPr="007A4B4A">
        <w:t>new marked desquamation of her skin.</w:t>
      </w:r>
      <w:r>
        <w:t xml:space="preserve"> Despite treatment she developed haemodynamic compromise and later </w:t>
      </w:r>
      <w:r w:rsidRPr="007A4B4A">
        <w:t>died</w:t>
      </w:r>
      <w:r>
        <w:t>. S</w:t>
      </w:r>
      <w:r w:rsidRPr="007A4B4A">
        <w:t xml:space="preserve">kin desquamation was </w:t>
      </w:r>
      <w:r>
        <w:t xml:space="preserve">considered to be </w:t>
      </w:r>
      <w:r w:rsidRPr="007A4B4A">
        <w:t>the major contributor to her death</w:t>
      </w:r>
      <w:r>
        <w:t>.</w:t>
      </w:r>
    </w:p>
    <w:p w:rsidR="004D5254" w:rsidRPr="00792E9C" w:rsidRDefault="004D5254" w:rsidP="004D5254">
      <w:pPr>
        <w:pStyle w:val="ListBullet"/>
        <w:numPr>
          <w:ilvl w:val="0"/>
          <w:numId w:val="1"/>
        </w:numPr>
        <w:rPr>
          <w:rFonts w:ascii="Times New Roman" w:hAnsi="Times New Roman"/>
          <w:sz w:val="24"/>
        </w:rPr>
      </w:pPr>
      <w:r>
        <w:t xml:space="preserve">One patient </w:t>
      </w:r>
      <w:r w:rsidRPr="00C15B49">
        <w:t xml:space="preserve">from </w:t>
      </w:r>
      <w:r>
        <w:t>Study PDX-</w:t>
      </w:r>
      <w:r w:rsidRPr="00C15B49">
        <w:t xml:space="preserve">012 (Population 3) </w:t>
      </w:r>
      <w:r>
        <w:t xml:space="preserve">- </w:t>
      </w:r>
      <w:r w:rsidRPr="00C15B49">
        <w:t xml:space="preserve">a 70M with NSCLC </w:t>
      </w:r>
      <w:r>
        <w:t xml:space="preserve">who </w:t>
      </w:r>
      <w:r w:rsidRPr="00C15B49">
        <w:t>was hospitalised with pancytopaenia 10 days after receiving his first and only dose of pralatrexate 190 mg/m</w:t>
      </w:r>
      <w:r w:rsidRPr="00C15B49">
        <w:rPr>
          <w:vertAlign w:val="superscript"/>
        </w:rPr>
        <w:t>2</w:t>
      </w:r>
      <w:r w:rsidRPr="00C15B49">
        <w:t>.</w:t>
      </w:r>
      <w:r>
        <w:t xml:space="preserve"> </w:t>
      </w:r>
      <w:r w:rsidRPr="00C15B49">
        <w:t>He subsequently also developed stomatitis and chest pain and died the following morning.</w:t>
      </w:r>
      <w:r>
        <w:t xml:space="preserve"> </w:t>
      </w:r>
      <w:r w:rsidRPr="00C15B49">
        <w:t>A post mortem examination confirmed the cause of death as pancytopaenia.</w:t>
      </w:r>
      <w:r>
        <w:t xml:space="preserve"> </w:t>
      </w:r>
      <w:r w:rsidRPr="00C15B49">
        <w:t>Concomitant medications included tiotropium bromide, megestrol acetate, fluconazole, methylprednisolone, glycerin borax, and filgrastim.</w:t>
      </w:r>
      <w:r>
        <w:t xml:space="preserve"> </w:t>
      </w:r>
      <w:r w:rsidRPr="00C15B49">
        <w:t>The investigator considered the pancytopaenia to be probably related to pralatrexate.</w:t>
      </w:r>
    </w:p>
    <w:p w:rsidR="004D5254" w:rsidRPr="003A1388" w:rsidRDefault="004D5254" w:rsidP="004D5254">
      <w:pPr>
        <w:pStyle w:val="ListBullet"/>
        <w:numPr>
          <w:ilvl w:val="0"/>
          <w:numId w:val="1"/>
        </w:numPr>
        <w:rPr>
          <w:rFonts w:ascii="Times New Roman" w:hAnsi="Times New Roman"/>
          <w:sz w:val="24"/>
        </w:rPr>
      </w:pPr>
      <w:r>
        <w:t xml:space="preserve">Another patient </w:t>
      </w:r>
      <w:r w:rsidRPr="003A1388">
        <w:t xml:space="preserve">from </w:t>
      </w:r>
      <w:r>
        <w:t>Study PDX-</w:t>
      </w:r>
      <w:r w:rsidRPr="003A1388">
        <w:t xml:space="preserve">012 (Population 3) </w:t>
      </w:r>
      <w:r>
        <w:t xml:space="preserve">- </w:t>
      </w:r>
      <w:r w:rsidRPr="003A1388">
        <w:t xml:space="preserve">a 65F with NSCLC </w:t>
      </w:r>
      <w:r>
        <w:t xml:space="preserve">who </w:t>
      </w:r>
      <w:r w:rsidRPr="003A1388">
        <w:t>died from sepsis 21 days after receiving her first and only dose of pralatrexate (190 mg/m</w:t>
      </w:r>
      <w:r w:rsidRPr="00FF20C6">
        <w:rPr>
          <w:vertAlign w:val="superscript"/>
        </w:rPr>
        <w:t>2</w:t>
      </w:r>
      <w:r w:rsidRPr="003A1388">
        <w:t>).</w:t>
      </w:r>
      <w:r>
        <w:t xml:space="preserve"> </w:t>
      </w:r>
      <w:r w:rsidRPr="003A1388">
        <w:t>Other ADRs present at the time of her death were stomatitis, mucositis, leucopenia, thrombocytopenia and respiratory distress. She was hospitalised 6 days after administration of pralatrexate with</w:t>
      </w:r>
      <w:r>
        <w:t xml:space="preserve"> Grade 4</w:t>
      </w:r>
      <w:r w:rsidRPr="003A1388">
        <w:t xml:space="preserve"> mucositis and an inability to eat or drink, as </w:t>
      </w:r>
      <w:r w:rsidRPr="003A1388">
        <w:lastRenderedPageBreak/>
        <w:t>well as a marked, severe erythematous and bullous rash of her trunk and proximal extremities. The patient was treated with hydrocortisone in a desensiti</w:t>
      </w:r>
      <w:r>
        <w:t>s</w:t>
      </w:r>
      <w:r w:rsidRPr="003A1388">
        <w:t>ation regimen due to concurrent corticosteroid allergy. Leucopaenia and thrombocytopaenia developed 12 days after receiving pralatrexate and this was followed a day later by respiratory distress that required intubation. She then developed sepsis with profound metabolic acidosis and required treatment with vasopressors. The rash improved but the mucositis and marrow suppression persisted despite leucovorin therapy. She died 3 weeks after the dose of pralatrexate.</w:t>
      </w:r>
      <w:r>
        <w:t xml:space="preserve"> </w:t>
      </w:r>
      <w:r w:rsidRPr="003A1388">
        <w:t>The investigator assessed all events as probably related to pralatrexate.</w:t>
      </w:r>
    </w:p>
    <w:tbl>
      <w:tblPr>
        <w:tblStyle w:val="TableGrid"/>
        <w:tblW w:w="0" w:type="auto"/>
        <w:tblInd w:w="534" w:type="dxa"/>
        <w:tblLook w:val="04A0"/>
      </w:tblPr>
      <w:tblGrid>
        <w:gridCol w:w="8708"/>
      </w:tblGrid>
      <w:tr w:rsidR="004D5254" w:rsidTr="00C80331">
        <w:tc>
          <w:tcPr>
            <w:tcW w:w="8708" w:type="dxa"/>
            <w:shd w:val="clear" w:color="auto" w:fill="D9D9D9" w:themeFill="background1" w:themeFillShade="D9"/>
          </w:tcPr>
          <w:p w:rsidR="004D5254" w:rsidRDefault="004D5254" w:rsidP="00C80331">
            <w:pPr>
              <w:autoSpaceDE w:val="0"/>
              <w:autoSpaceDN w:val="0"/>
              <w:adjustRightInd w:val="0"/>
            </w:pPr>
            <w:r w:rsidRPr="009A3906">
              <w:rPr>
                <w:u w:val="single"/>
              </w:rPr>
              <w:t>Evaluator’s comment</w:t>
            </w:r>
            <w:r>
              <w:t>:</w:t>
            </w:r>
          </w:p>
          <w:p w:rsidR="004D5254" w:rsidRDefault="004D5254" w:rsidP="00C80331">
            <w:pPr>
              <w:autoSpaceDE w:val="0"/>
              <w:autoSpaceDN w:val="0"/>
              <w:adjustRightInd w:val="0"/>
            </w:pPr>
            <w:r>
              <w:rPr>
                <w:szCs w:val="22"/>
              </w:rPr>
              <w:t>T</w:t>
            </w:r>
            <w:r w:rsidRPr="009A3906">
              <w:rPr>
                <w:szCs w:val="22"/>
              </w:rPr>
              <w:t xml:space="preserve">he </w:t>
            </w:r>
            <w:r>
              <w:rPr>
                <w:szCs w:val="22"/>
              </w:rPr>
              <w:t xml:space="preserve">investigator thought this </w:t>
            </w:r>
            <w:r w:rsidRPr="009A3906">
              <w:rPr>
                <w:szCs w:val="22"/>
              </w:rPr>
              <w:t>reaction was out of proportion to what would be expected from a single dose of pralatrexate and considered the reaction to be ‘idiosyncratic’</w:t>
            </w:r>
            <w:r>
              <w:rPr>
                <w:szCs w:val="22"/>
              </w:rPr>
              <w:t xml:space="preserve">. Skin reactions were examined in detail by the sponsor </w:t>
            </w:r>
            <w:r w:rsidRPr="00214B92">
              <w:rPr>
                <w:rFonts w:eastAsia="TimesNewRoman" w:cs="TimesNewRoman"/>
                <w:color w:val="000000"/>
                <w:szCs w:val="22"/>
              </w:rPr>
              <w:t>during post-marketing surveillance</w:t>
            </w:r>
            <w:r>
              <w:rPr>
                <w:rFonts w:eastAsia="TimesNewRoman" w:cs="TimesNewRoman"/>
                <w:color w:val="000000"/>
                <w:szCs w:val="22"/>
              </w:rPr>
              <w:t xml:space="preserve"> and were </w:t>
            </w:r>
            <w:r w:rsidRPr="00214B92">
              <w:rPr>
                <w:rFonts w:eastAsia="TimesNewRoman" w:cs="TimesNewRoman"/>
                <w:color w:val="000000"/>
                <w:szCs w:val="22"/>
              </w:rPr>
              <w:t xml:space="preserve">the subject of a </w:t>
            </w:r>
            <w:r w:rsidRPr="00214B92">
              <w:rPr>
                <w:rFonts w:eastAsia="TimesNewRoman" w:cs="TimesNewRoman"/>
                <w:i/>
                <w:color w:val="000000"/>
                <w:szCs w:val="22"/>
              </w:rPr>
              <w:t>Summary of Clinical Safety Addendum</w:t>
            </w:r>
            <w:r>
              <w:rPr>
                <w:rFonts w:eastAsia="TimesNewRoman" w:cs="TimesNewRoman"/>
                <w:color w:val="000000"/>
                <w:szCs w:val="22"/>
              </w:rPr>
              <w:t>. The sponsor identified</w:t>
            </w:r>
            <w:r>
              <w:rPr>
                <w:szCs w:val="22"/>
              </w:rPr>
              <w:t xml:space="preserve"> 6 dermatological reactions resulting in death and the analysis highlighted that all but one of the reactions that resulted in death occurred after only one dose of pralatrexate and in the remaining case the reaction occurred after only 2 doses. Although this particular death was not included amongst those considered in the sponsor’s analysis of dermatological deaths, the patient also presented with a severe bullous rash which could have compromised the integrity of the skin and pre-disposed the patient to infection and subsequent sepsis in the setting of leucopaenia.</w:t>
            </w:r>
          </w:p>
        </w:tc>
      </w:tr>
    </w:tbl>
    <w:p w:rsidR="004D5254" w:rsidRPr="001D237D" w:rsidRDefault="004D5254" w:rsidP="004D5254">
      <w:pPr>
        <w:pStyle w:val="ListBullet"/>
        <w:numPr>
          <w:ilvl w:val="0"/>
          <w:numId w:val="1"/>
        </w:numPr>
      </w:pPr>
      <w:r>
        <w:t xml:space="preserve">One patient from Study PDX-011 (Population 3) - a 73M with TCC of the bladder who died 10 days after receiving a single dose of </w:t>
      </w:r>
      <w:r w:rsidRPr="003A1388">
        <w:t>pralatrexate (190 mg/m</w:t>
      </w:r>
      <w:r w:rsidRPr="00FF20C6">
        <w:rPr>
          <w:vertAlign w:val="superscript"/>
        </w:rPr>
        <w:t>2</w:t>
      </w:r>
      <w:r w:rsidRPr="003A1388">
        <w:t>)</w:t>
      </w:r>
      <w:r>
        <w:t>. A narrative was not provided in the brief study synopsis but it appears from IPD listings that 6 days post dosing the patient developed anorexia; fatigue; Grade 3 mucositis, leucopaenia and neutropaenia (which all progressed to Grade 4 on day 7); and Grade 1 thrombocytopaenia (which subsequently increased to Grade 2). Renal failure ensued on Day 7 and by Day 9 the patient had a depressed level of consciousness and a right hemiparesis. The anorexia, fatigue, mucositis, leucopaenia, neutropaenia and thrombocytopaenia were all considered definitely related to treatment with pralatrexate.</w:t>
      </w:r>
    </w:p>
    <w:p w:rsidR="004D5254" w:rsidRPr="00A46E9B" w:rsidRDefault="004D5254" w:rsidP="004D5254">
      <w:pPr>
        <w:pStyle w:val="ListBullet"/>
        <w:numPr>
          <w:ilvl w:val="0"/>
          <w:numId w:val="1"/>
        </w:numPr>
      </w:pPr>
      <w:r>
        <w:t xml:space="preserve">One patient </w:t>
      </w:r>
      <w:r w:rsidRPr="00A46E9B">
        <w:t xml:space="preserve">from </w:t>
      </w:r>
      <w:r>
        <w:t>Study PDX-</w:t>
      </w:r>
      <w:r w:rsidRPr="00A46E9B">
        <w:t xml:space="preserve">009 (population 4) </w:t>
      </w:r>
      <w:r>
        <w:t xml:space="preserve">- </w:t>
      </w:r>
      <w:r w:rsidRPr="00A46E9B">
        <w:t xml:space="preserve">a 49F with transformed mycosis fungoides and extensive skin involvement </w:t>
      </w:r>
      <w:r>
        <w:t xml:space="preserve">who </w:t>
      </w:r>
      <w:r w:rsidRPr="00A46E9B">
        <w:t>died 15 days after her first and only dose of pralatrexate (10 mg/m</w:t>
      </w:r>
      <w:r w:rsidRPr="00A46E9B">
        <w:rPr>
          <w:vertAlign w:val="superscript"/>
        </w:rPr>
        <w:t>2</w:t>
      </w:r>
      <w:r w:rsidRPr="00A46E9B">
        <w:t>) and 14 days after gemcitabine (40</w:t>
      </w:r>
      <w:r>
        <w:t>0 mg</w:t>
      </w:r>
      <w:r w:rsidRPr="00A46E9B">
        <w:t>/m</w:t>
      </w:r>
      <w:r w:rsidRPr="00A46E9B">
        <w:rPr>
          <w:vertAlign w:val="superscript"/>
        </w:rPr>
        <w:t>2</w:t>
      </w:r>
      <w:r w:rsidRPr="00A46E9B">
        <w:t>).</w:t>
      </w:r>
      <w:r>
        <w:t xml:space="preserve"> </w:t>
      </w:r>
      <w:r w:rsidRPr="00A46E9B">
        <w:t>She was hospitalised 4 days after the administration of pralatrexate because of severe almost full body desquamation, cutaneous lymphoma lesions on her right arm, knees and buttocks, and multiple bullous lesions throughout.</w:t>
      </w:r>
      <w:r>
        <w:t xml:space="preserve"> </w:t>
      </w:r>
      <w:r w:rsidRPr="00A46E9B">
        <w:t>Despite wound care and prophylactic antibiotics, wound cultures subsequently yielded gram positive cocci, moderate enterococcus, few pseudomonas aeruginosa, and gram positive rods.</w:t>
      </w:r>
      <w:r>
        <w:t xml:space="preserve"> </w:t>
      </w:r>
      <w:r w:rsidRPr="00A46E9B">
        <w:t>The patient became increasingly nonresponsive over several days and later died.</w:t>
      </w:r>
      <w:r>
        <w:t xml:space="preserve"> </w:t>
      </w:r>
      <w:r w:rsidRPr="00A46E9B">
        <w:t>Relevant medical history included the completion of a course of liposomal doxorubicin and gemcitabine approximately 8 months earlier, complicated by “total skin breakdown.”</w:t>
      </w:r>
    </w:p>
    <w:p w:rsidR="004D5254" w:rsidRDefault="004D5254" w:rsidP="004D5254">
      <w:r>
        <w:t xml:space="preserve">Four deaths were due to events that were not considered by the investigator to be causally related to pralatrexate. Amongst these were 2 reports of cardiac arrest. The first of these was in a 60M with stage IV </w:t>
      </w:r>
      <w:r w:rsidRPr="00D35BF8">
        <w:t>NSCLC who developed respiratory distress and died while being transported to hospital</w:t>
      </w:r>
      <w:r>
        <w:t xml:space="preserve"> </w:t>
      </w:r>
      <w:r w:rsidRPr="00D35BF8">
        <w:t>7 days after receiving his first and only dose of pralatrexate (190</w:t>
      </w:r>
      <w:r>
        <w:t xml:space="preserve"> </w:t>
      </w:r>
      <w:r w:rsidRPr="00D35BF8">
        <w:t>mg/m</w:t>
      </w:r>
      <w:r w:rsidRPr="00D35BF8">
        <w:rPr>
          <w:vertAlign w:val="superscript"/>
        </w:rPr>
        <w:t>2</w:t>
      </w:r>
      <w:r w:rsidRPr="00D35BF8">
        <w:t>).</w:t>
      </w:r>
      <w:r>
        <w:t xml:space="preserve"> </w:t>
      </w:r>
      <w:r w:rsidRPr="00D35BF8">
        <w:t>No other details (</w:t>
      </w:r>
      <w:r w:rsidRPr="00E64F1B">
        <w:t>for example,</w:t>
      </w:r>
      <w:r w:rsidRPr="00D35BF8">
        <w:t xml:space="preserve"> autopsy) were provided.</w:t>
      </w:r>
      <w:r>
        <w:t xml:space="preserve"> The second report was for a </w:t>
      </w:r>
      <w:r w:rsidRPr="003F2C45">
        <w:t>58</w:t>
      </w:r>
      <w:r>
        <w:t xml:space="preserve">F with </w:t>
      </w:r>
      <w:r w:rsidRPr="003F2C45">
        <w:t xml:space="preserve">metastatic NSCLC </w:t>
      </w:r>
      <w:r>
        <w:t>who</w:t>
      </w:r>
      <w:r w:rsidRPr="003F2C45">
        <w:t xml:space="preserve"> died </w:t>
      </w:r>
      <w:r>
        <w:t xml:space="preserve">after the second dose of </w:t>
      </w:r>
      <w:r w:rsidRPr="003F2C45">
        <w:t>pralatrexate (150 mg/m</w:t>
      </w:r>
      <w:r w:rsidRPr="003F2C45">
        <w:rPr>
          <w:vertAlign w:val="superscript"/>
        </w:rPr>
        <w:t>2</w:t>
      </w:r>
      <w:r w:rsidRPr="003F2C45">
        <w:t>)</w:t>
      </w:r>
      <w:r>
        <w:t>. She had developed</w:t>
      </w:r>
      <w:r w:rsidRPr="003F2C45">
        <w:t xml:space="preserve"> bilateral pulmonary emboli 11 days </w:t>
      </w:r>
      <w:r>
        <w:t xml:space="preserve">after her first dose and remained </w:t>
      </w:r>
      <w:r w:rsidRPr="003F2C45">
        <w:t>dalteparin and</w:t>
      </w:r>
      <w:r>
        <w:t xml:space="preserve"> </w:t>
      </w:r>
      <w:r w:rsidRPr="003F2C45">
        <w:t>warfarin</w:t>
      </w:r>
      <w:r>
        <w:t xml:space="preserve"> at the time of her death</w:t>
      </w:r>
      <w:r w:rsidRPr="003F2C45">
        <w:t xml:space="preserve">. She received her second dose of pralatrexate </w:t>
      </w:r>
      <w:r>
        <w:t>and 15 days later developed</w:t>
      </w:r>
      <w:r w:rsidRPr="003F2C45">
        <w:t xml:space="preserve"> severe shortness of breath</w:t>
      </w:r>
      <w:r>
        <w:t xml:space="preserve"> and </w:t>
      </w:r>
      <w:r w:rsidRPr="003F2C45">
        <w:t>died</w:t>
      </w:r>
      <w:r>
        <w:t xml:space="preserve"> </w:t>
      </w:r>
      <w:r w:rsidRPr="003F2C45">
        <w:t>from cardiac arrest en route to the hospital. The investigator suspected that a possible recurrence</w:t>
      </w:r>
      <w:r>
        <w:t xml:space="preserve"> </w:t>
      </w:r>
      <w:r w:rsidRPr="003F2C45">
        <w:t>of the pulmonary emboli led to the cardiac arrest. However, no autopsy was reported.</w:t>
      </w:r>
    </w:p>
    <w:p w:rsidR="004D5254" w:rsidRDefault="004D5254" w:rsidP="004D5254">
      <w:pPr>
        <w:pStyle w:val="Heading6"/>
        <w:numPr>
          <w:ilvl w:val="4"/>
          <w:numId w:val="5"/>
        </w:numPr>
        <w:ind w:left="1702" w:hanging="1418"/>
      </w:pPr>
      <w:r>
        <w:lastRenderedPageBreak/>
        <w:t>Other SAEs</w:t>
      </w:r>
    </w:p>
    <w:p w:rsidR="004D5254" w:rsidRDefault="004D5254" w:rsidP="004D5254">
      <w:r w:rsidRPr="005E101C">
        <w:t xml:space="preserve">The </w:t>
      </w:r>
      <w:r>
        <w:t xml:space="preserve">patterns of SAEs </w:t>
      </w:r>
      <w:r w:rsidRPr="005E101C">
        <w:t>in patients</w:t>
      </w:r>
      <w:r>
        <w:t xml:space="preserve"> enrolled in the supporting and contributive studies</w:t>
      </w:r>
      <w:r w:rsidRPr="005E101C">
        <w:t xml:space="preserve"> were</w:t>
      </w:r>
      <w:r>
        <w:t xml:space="preserve"> generally consistent with that observed in the pivotal study. The most frequently occurring SAEs were</w:t>
      </w:r>
      <w:r w:rsidRPr="005E101C">
        <w:t xml:space="preserve"> mucosal inflammation, pyrexia, dyspn</w:t>
      </w:r>
      <w:r>
        <w:t>o</w:t>
      </w:r>
      <w:r w:rsidRPr="005E101C">
        <w:t>ea,</w:t>
      </w:r>
      <w:r>
        <w:t xml:space="preserve"> </w:t>
      </w:r>
      <w:r w:rsidRPr="005E101C">
        <w:t>febrile neutrop</w:t>
      </w:r>
      <w:r>
        <w:t>a</w:t>
      </w:r>
      <w:r w:rsidRPr="005E101C">
        <w:t>enia, pneumonia and dehydration.</w:t>
      </w:r>
      <w:r>
        <w:t xml:space="preserve"> </w:t>
      </w:r>
      <w:r w:rsidRPr="005E101C">
        <w:t>However, the populations comprising</w:t>
      </w:r>
      <w:r>
        <w:t xml:space="preserve"> </w:t>
      </w:r>
      <w:r w:rsidRPr="005E101C">
        <w:t xml:space="preserve">patients with lymphoproliferative malignancies </w:t>
      </w:r>
      <w:r>
        <w:t xml:space="preserve">(Populations 1, 2 and 4) </w:t>
      </w:r>
      <w:r w:rsidRPr="005E101C">
        <w:t>included all of the SAEs of febrile</w:t>
      </w:r>
      <w:r>
        <w:t xml:space="preserve"> </w:t>
      </w:r>
      <w:r w:rsidRPr="005E101C">
        <w:t>neutropaenia and dehydration and a higher proportion of the SAEs of pyrexia.</w:t>
      </w:r>
      <w:r>
        <w:t xml:space="preserve"> This is not an un</w:t>
      </w:r>
      <w:r w:rsidRPr="005E101C">
        <w:t xml:space="preserve">expected </w:t>
      </w:r>
      <w:r>
        <w:t xml:space="preserve">finding given the greater degree of </w:t>
      </w:r>
      <w:r w:rsidRPr="005E101C">
        <w:t>immuno</w:t>
      </w:r>
      <w:r>
        <w:t>-</w:t>
      </w:r>
      <w:r w:rsidRPr="005E101C">
        <w:t>compromise</w:t>
      </w:r>
      <w:r>
        <w:t xml:space="preserve"> in</w:t>
      </w:r>
      <w:r w:rsidRPr="005E101C">
        <w:t xml:space="preserve"> patients with lymphoproliferative malignancies.</w:t>
      </w:r>
    </w:p>
    <w:p w:rsidR="004D5254" w:rsidRDefault="004D5254" w:rsidP="004D5254">
      <w:r w:rsidRPr="00D65B0A">
        <w:t>The most frequently occurring SAEs by single preferred term across all studies were</w:t>
      </w:r>
      <w:r>
        <w:t xml:space="preserve"> </w:t>
      </w:r>
      <w:r w:rsidRPr="00D65B0A">
        <w:t>stomatitis, febrile neutropaenia, mucosal inflammation, pyrexia, and thrombocytopenia.</w:t>
      </w:r>
      <w:r>
        <w:t xml:space="preserve"> Other SAEs of note were:</w:t>
      </w:r>
    </w:p>
    <w:p w:rsidR="004D5254" w:rsidRDefault="004D5254" w:rsidP="004D5254">
      <w:pPr>
        <w:pStyle w:val="ListBullet"/>
        <w:numPr>
          <w:ilvl w:val="0"/>
          <w:numId w:val="1"/>
        </w:numPr>
      </w:pPr>
      <w:r>
        <w:t xml:space="preserve">Tumour lysis syndrome was recorded as a SAE in 4 patients with lymphoproliferative disorders - with 1 </w:t>
      </w:r>
      <w:r w:rsidRPr="00352FA4">
        <w:t xml:space="preserve">patient </w:t>
      </w:r>
      <w:r>
        <w:t xml:space="preserve">each </w:t>
      </w:r>
      <w:r w:rsidRPr="00352FA4">
        <w:t>from studies PDX-02-078, PDX-008,</w:t>
      </w:r>
      <w:r>
        <w:t xml:space="preserve"> </w:t>
      </w:r>
      <w:r w:rsidRPr="00352FA4">
        <w:t>PDX-009</w:t>
      </w:r>
      <w:r>
        <w:t xml:space="preserve"> and</w:t>
      </w:r>
      <w:r w:rsidRPr="00352FA4">
        <w:t xml:space="preserve"> PDX-010.</w:t>
      </w:r>
      <w:r>
        <w:t xml:space="preserve"> Three of these</w:t>
      </w:r>
      <w:r w:rsidRPr="00352FA4">
        <w:t xml:space="preserve"> patients </w:t>
      </w:r>
      <w:r>
        <w:t>had</w:t>
      </w:r>
      <w:r w:rsidRPr="00352FA4">
        <w:t xml:space="preserve"> PTCL </w:t>
      </w:r>
      <w:r>
        <w:t xml:space="preserve">- </w:t>
      </w:r>
      <w:r w:rsidRPr="00352FA4">
        <w:t>1 with anaplastic large cell lymphoma</w:t>
      </w:r>
      <w:r>
        <w:t xml:space="preserve"> </w:t>
      </w:r>
      <w:r w:rsidRPr="00352FA4">
        <w:t>[ALCL]</w:t>
      </w:r>
      <w:r>
        <w:t>;</w:t>
      </w:r>
      <w:r w:rsidRPr="00352FA4">
        <w:t xml:space="preserve"> 1 with subcutaneous PTCL</w:t>
      </w:r>
      <w:r>
        <w:t>;</w:t>
      </w:r>
      <w:r w:rsidRPr="00352FA4">
        <w:t xml:space="preserve"> and one with adult T-cell leukaemia/lymphoma [ATLL]</w:t>
      </w:r>
      <w:r>
        <w:t xml:space="preserve"> </w:t>
      </w:r>
      <w:r w:rsidRPr="00352FA4">
        <w:t>human T-lymphotropic virus [HTLV-1] associated.</w:t>
      </w:r>
      <w:r>
        <w:t xml:space="preserve"> The remaining</w:t>
      </w:r>
      <w:r w:rsidRPr="00352FA4">
        <w:t xml:space="preserve"> patient had CTCL (mycosis fungoides and Sezary</w:t>
      </w:r>
      <w:r>
        <w:t xml:space="preserve"> </w:t>
      </w:r>
      <w:r w:rsidRPr="00352FA4">
        <w:t>Syndrome)</w:t>
      </w:r>
      <w:r>
        <w:t>. All cases of tumour lysis</w:t>
      </w:r>
      <w:r w:rsidRPr="00352FA4">
        <w:t xml:space="preserve"> </w:t>
      </w:r>
      <w:r>
        <w:t xml:space="preserve">syndrome </w:t>
      </w:r>
      <w:r w:rsidRPr="00352FA4">
        <w:t xml:space="preserve">were </w:t>
      </w:r>
      <w:r>
        <w:t>of Grade 3</w:t>
      </w:r>
      <w:r w:rsidRPr="00352FA4">
        <w:t>-4 severity,</w:t>
      </w:r>
      <w:r>
        <w:t xml:space="preserve"> with </w:t>
      </w:r>
      <w:r w:rsidRPr="00352FA4">
        <w:t xml:space="preserve">onset </w:t>
      </w:r>
      <w:r>
        <w:t>between</w:t>
      </w:r>
      <w:r w:rsidRPr="00352FA4">
        <w:t xml:space="preserve"> 3-51 days following initial administration of pralatrexate and</w:t>
      </w:r>
      <w:r>
        <w:t xml:space="preserve"> </w:t>
      </w:r>
      <w:r w:rsidRPr="00352FA4">
        <w:t>duration rang</w:t>
      </w:r>
      <w:r>
        <w:t>ing</w:t>
      </w:r>
      <w:r w:rsidRPr="00352FA4">
        <w:t xml:space="preserve"> from 7-14 days.</w:t>
      </w:r>
      <w:r>
        <w:t xml:space="preserve"> </w:t>
      </w:r>
      <w:r w:rsidRPr="00352FA4">
        <w:t xml:space="preserve">All </w:t>
      </w:r>
      <w:r>
        <w:t>4 cases</w:t>
      </w:r>
      <w:r w:rsidRPr="00352FA4">
        <w:t xml:space="preserve"> were</w:t>
      </w:r>
      <w:r>
        <w:t xml:space="preserve"> </w:t>
      </w:r>
      <w:r w:rsidRPr="00352FA4">
        <w:t xml:space="preserve">considered </w:t>
      </w:r>
      <w:r>
        <w:t xml:space="preserve">to be </w:t>
      </w:r>
      <w:r w:rsidRPr="00352FA4">
        <w:t>related to the administration of pralatrexate</w:t>
      </w:r>
      <w:r>
        <w:t>.</w:t>
      </w:r>
    </w:p>
    <w:p w:rsidR="004D5254" w:rsidRDefault="004D5254" w:rsidP="004D5254">
      <w:pPr>
        <w:pStyle w:val="ListBullet"/>
        <w:numPr>
          <w:ilvl w:val="0"/>
          <w:numId w:val="1"/>
        </w:numPr>
      </w:pPr>
      <w:r>
        <w:t>Renal failure (acute) and renal failure were recorded as SAEs in 8 patients across the clinical development program, including 2 from the pivotal study. Of the 6 cases from the supportive studies, 5 cases of renal failure were considered to be casually unrelated to pralatrexate as they were either a manifestation of underlying disease complications or a consequence of other side effects, as follows: sepsis; diarrhoea; concomitant drug administration (vancomycin); infected skin ulcers and hypotension; and sepsis/pneumonia. The case considered to be possibly causally related to pralatrexate occurred in a 48 F with DLBCL who developed pulmonary embolism, hypotension and renal failure the same day as she received her first and only dose of pralatrexate 45 mg/m</w:t>
      </w:r>
      <w:r w:rsidRPr="00A64C07">
        <w:rPr>
          <w:vertAlign w:val="superscript"/>
        </w:rPr>
        <w:t>2</w:t>
      </w:r>
      <w:r>
        <w:t>. The event resolved after treatment that included anticoagulants, IV fluids and furosemide.</w:t>
      </w:r>
    </w:p>
    <w:p w:rsidR="004D5254" w:rsidRDefault="004D5254" w:rsidP="004D5254">
      <w:pPr>
        <w:pStyle w:val="ListBullet"/>
        <w:numPr>
          <w:ilvl w:val="0"/>
          <w:numId w:val="1"/>
        </w:numPr>
      </w:pPr>
      <w:r>
        <w:t>Pneumonitis was reported as an SAE in 5 patients (4 with a lymphoproliferative malignancy), including one from the pivotal study. Three cases were considered to be related to treatment with pralatrexate.</w:t>
      </w:r>
    </w:p>
    <w:p w:rsidR="004D5254" w:rsidRPr="00ED15E7" w:rsidRDefault="004D5254" w:rsidP="004D5254">
      <w:pPr>
        <w:pStyle w:val="ListBullet"/>
        <w:numPr>
          <w:ilvl w:val="0"/>
          <w:numId w:val="1"/>
        </w:numPr>
      </w:pPr>
      <w:r>
        <w:t>Eight cases of pulmonary embolism (5 of which were considered by the investigator to be treatment-related, including the case from the pivotal study), 3 cases of DVT (one of which was considered to be treatment-related) and 3 cases of myocardial infarction (none considered to be treatment-related).</w:t>
      </w:r>
    </w:p>
    <w:p w:rsidR="004D5254" w:rsidRPr="000640DA" w:rsidRDefault="004D5254" w:rsidP="004D5254">
      <w:pPr>
        <w:autoSpaceDE w:val="0"/>
        <w:autoSpaceDN w:val="0"/>
        <w:adjustRightInd w:val="0"/>
      </w:pPr>
      <w:r>
        <w:t>The updated safety information as of 31 January 2011 identified in addition 2 SAE reports of acute renal failure, 1 case of renal insufficiency and 1 report of pneumonitis. The reports of acute renal failure were both from Study PDX-009 (Population 4), which used combination therapy with gemcitabine. In the first case the patient had discontinued the combination therapy 3 weeks prior to the onset of renal failure and had commenced a new chemotherapy regimen 9 days earlier. In the second case the acute renal failure occurred in the context of symptomatic congestive cardiac failure (ejection fraction 19%) in a patient previously treated with CHOP. Neither of these cases was considered to be causally related to pralatrexate. The additional case of renal insufficiency (PDX-011; Population 3) was considered by the investigator to be probably causally related to pralatrexate. In this patient, the renal insufficiency (</w:t>
      </w:r>
      <w:r w:rsidRPr="000640DA">
        <w:t>urea 11.6 mmol/L</w:t>
      </w:r>
      <w:r>
        <w:t>; NR</w:t>
      </w:r>
      <w:r w:rsidRPr="000640DA">
        <w:t xml:space="preserve"> 3.0-7.5 mmol/L</w:t>
      </w:r>
      <w:r>
        <w:t xml:space="preserve"> and</w:t>
      </w:r>
      <w:r w:rsidRPr="000640DA">
        <w:t xml:space="preserve"> creatinine 2.28 mg/dL</w:t>
      </w:r>
      <w:r>
        <w:t>; NR</w:t>
      </w:r>
      <w:r w:rsidRPr="000640DA">
        <w:t xml:space="preserve"> 1.05-1.64 mg/dL)</w:t>
      </w:r>
      <w:r>
        <w:t xml:space="preserve"> occurred after a single dose of pralatrexate in the setting of a severe </w:t>
      </w:r>
      <w:r w:rsidRPr="000640DA">
        <w:t xml:space="preserve">bullous </w:t>
      </w:r>
      <w:r>
        <w:t xml:space="preserve">eruption </w:t>
      </w:r>
      <w:r>
        <w:lastRenderedPageBreak/>
        <w:t>(with biopsy results consistent with toxiderma)</w:t>
      </w:r>
      <w:r w:rsidRPr="000640DA">
        <w:t xml:space="preserve"> and mucositis.</w:t>
      </w:r>
      <w:r>
        <w:t xml:space="preserve"> The additional report of pneumonitis occurred in a patient with lymphoproliferative disorders (Population 4) and considered to be causally related to pralatrexate treatment. Pneumonitis is discussed in further detail below.</w:t>
      </w:r>
    </w:p>
    <w:p w:rsidR="004D5254" w:rsidRPr="008F73B4" w:rsidRDefault="004D5254" w:rsidP="004D5254">
      <w:pPr>
        <w:pStyle w:val="Heading4"/>
        <w:numPr>
          <w:ilvl w:val="2"/>
          <w:numId w:val="5"/>
        </w:numPr>
      </w:pPr>
      <w:bookmarkStart w:id="266" w:name="_Toc241374325"/>
      <w:bookmarkStart w:id="267" w:name="_Ref272333477"/>
      <w:bookmarkStart w:id="268" w:name="_Toc272414667"/>
      <w:bookmarkStart w:id="269" w:name="_Toc290846305"/>
      <w:bookmarkStart w:id="270" w:name="_Toc320881464"/>
      <w:r>
        <w:t>Discontinuation due to adverse events</w:t>
      </w:r>
      <w:bookmarkEnd w:id="266"/>
      <w:bookmarkEnd w:id="267"/>
      <w:bookmarkEnd w:id="268"/>
      <w:bookmarkEnd w:id="269"/>
      <w:bookmarkEnd w:id="270"/>
    </w:p>
    <w:p w:rsidR="004D5254" w:rsidRDefault="004D5254" w:rsidP="004D5254">
      <w:pPr>
        <w:pStyle w:val="Heading5"/>
        <w:numPr>
          <w:ilvl w:val="3"/>
          <w:numId w:val="5"/>
        </w:numPr>
      </w:pPr>
      <w:r>
        <w:t>Pivotal study</w:t>
      </w:r>
    </w:p>
    <w:p w:rsidR="004D5254" w:rsidRPr="00083690" w:rsidRDefault="004D5254" w:rsidP="004D5254">
      <w:r w:rsidRPr="00741873">
        <w:t xml:space="preserve">Twenty-six patients (23%) withdrew from pralatrexate treatment due to an AE </w:t>
      </w:r>
      <w:r>
        <w:t xml:space="preserve">in Study PDX-008. </w:t>
      </w:r>
      <w:r w:rsidRPr="00741873">
        <w:t>The AEs</w:t>
      </w:r>
      <w:r>
        <w:t xml:space="preserve"> </w:t>
      </w:r>
      <w:r w:rsidRPr="00741873">
        <w:t xml:space="preserve">reported most frequently as the reason for withdrawal </w:t>
      </w:r>
      <w:r>
        <w:t>of</w:t>
      </w:r>
      <w:r w:rsidRPr="00741873">
        <w:t xml:space="preserve"> treatment were</w:t>
      </w:r>
      <w:r>
        <w:t xml:space="preserve"> </w:t>
      </w:r>
      <w:r w:rsidRPr="00741873">
        <w:t>mucosal inflammation (n = 7</w:t>
      </w:r>
      <w:r>
        <w:t>;</w:t>
      </w:r>
      <w:r w:rsidRPr="00741873">
        <w:t xml:space="preserve"> 6%)</w:t>
      </w:r>
      <w:r>
        <w:t>,</w:t>
      </w:r>
      <w:r w:rsidRPr="00741873">
        <w:t xml:space="preserve"> thrombocytopenia (n = 4</w:t>
      </w:r>
      <w:r>
        <w:t>;</w:t>
      </w:r>
      <w:r w:rsidRPr="00741873">
        <w:t xml:space="preserve"> 4%)</w:t>
      </w:r>
      <w:r>
        <w:t xml:space="preserve"> and neutropaenia (n=2; 2%), with all these events considered by the investigator to be causally related to pralatrexate treatment</w:t>
      </w:r>
      <w:r w:rsidRPr="00741873">
        <w:t>.</w:t>
      </w:r>
      <w:r>
        <w:t xml:space="preserve"> Other ADRs leading to withdrawal were single cases of CMV colitis, pyrexia, abnormal liver function (elevated ALT), cardiopulmonary arrest, nausea, pain, pulmonary embolism, pneumonitis and urticaria. Additional reasons for withdrawal that were not considered to be causally related to pralatrexate were single cases of renal failure, metastatic cholangiocarcinoma, pneumonia and thrombosis. </w:t>
      </w:r>
    </w:p>
    <w:p w:rsidR="004D5254" w:rsidRDefault="004D5254" w:rsidP="004D5254">
      <w:pPr>
        <w:pStyle w:val="Heading5"/>
        <w:numPr>
          <w:ilvl w:val="3"/>
          <w:numId w:val="5"/>
        </w:numPr>
      </w:pPr>
      <w:r>
        <w:t>Other studies</w:t>
      </w:r>
    </w:p>
    <w:p w:rsidR="004D5254" w:rsidRDefault="004D5254" w:rsidP="004D5254">
      <w:pPr>
        <w:autoSpaceDE w:val="0"/>
        <w:autoSpaceDN w:val="0"/>
        <w:adjustRightInd w:val="0"/>
        <w:rPr>
          <w:rFonts w:eastAsia="TimesNewRoman" w:cs="TimesNewRoman"/>
        </w:rPr>
      </w:pPr>
      <w:r>
        <w:rPr>
          <w:rFonts w:eastAsia="TimesNewRoman" w:cs="TimesNewRoman"/>
        </w:rPr>
        <w:t xml:space="preserve">A tabulation </w:t>
      </w:r>
      <w:r w:rsidRPr="00F166CF">
        <w:rPr>
          <w:rFonts w:eastAsia="TimesNewRoman" w:cs="TimesNewRoman"/>
        </w:rPr>
        <w:t>of th</w:t>
      </w:r>
      <w:r>
        <w:rPr>
          <w:rFonts w:eastAsia="TimesNewRoman" w:cs="TimesNewRoman"/>
        </w:rPr>
        <w:t>e ADRs that led to treatment withdrawal in at least 2 patients across the clinical development program shows that t</w:t>
      </w:r>
      <w:r w:rsidRPr="009F08A1">
        <w:rPr>
          <w:rFonts w:eastAsia="TimesNewRoman" w:cs="TimesNewRoman"/>
        </w:rPr>
        <w:t>he discontinuation profiles of the other populations were similar</w:t>
      </w:r>
      <w:r>
        <w:rPr>
          <w:rFonts w:eastAsia="TimesNewRoman" w:cs="TimesNewRoman"/>
        </w:rPr>
        <w:t xml:space="preserve"> to the pivotal study, in that the majority of withdrawals were due to </w:t>
      </w:r>
      <w:r w:rsidRPr="009F08A1">
        <w:rPr>
          <w:rFonts w:eastAsia="TimesNewRoman" w:cs="TimesNewRoman"/>
        </w:rPr>
        <w:t>stomatitis/mucositis and h</w:t>
      </w:r>
      <w:r>
        <w:rPr>
          <w:rFonts w:eastAsia="TimesNewRoman" w:cs="TimesNewRoman"/>
        </w:rPr>
        <w:t>a</w:t>
      </w:r>
      <w:r w:rsidRPr="009F08A1">
        <w:rPr>
          <w:rFonts w:eastAsia="TimesNewRoman" w:cs="TimesNewRoman"/>
        </w:rPr>
        <w:t xml:space="preserve">ematological </w:t>
      </w:r>
      <w:r>
        <w:rPr>
          <w:rFonts w:eastAsia="TimesNewRoman" w:cs="TimesNewRoman"/>
        </w:rPr>
        <w:t xml:space="preserve">reactions. However, it is also evident that withdrawals due to skin and appendage reactions were much more prominent in the other treatment populations, with 7 patients withdrawing due to a variety of rashes (including one case of an exfoliative rash), 3 with skin ulceration and 2 due to alopecia. Also, not shown in the table is a single case of whole body desquamation in a patient from population 4 (this is discussed under </w:t>
      </w:r>
      <w:r w:rsidRPr="00F166CF">
        <w:rPr>
          <w:rFonts w:eastAsia="TimesNewRoman" w:cs="TimesNewRoman"/>
          <w:i/>
        </w:rPr>
        <w:t>Deaths</w:t>
      </w:r>
      <w:r>
        <w:rPr>
          <w:rFonts w:eastAsia="TimesNewRoman" w:cs="TimesNewRoman"/>
        </w:rPr>
        <w:t xml:space="preserve"> below).</w:t>
      </w:r>
    </w:p>
    <w:p w:rsidR="004D5254" w:rsidRPr="00925141" w:rsidRDefault="004D5254" w:rsidP="004D5254">
      <w:pPr>
        <w:rPr>
          <w:rFonts w:eastAsia="TimesNewRoman" w:cs="TimesNewRoman"/>
        </w:rPr>
      </w:pPr>
      <w:r>
        <w:t xml:space="preserve">No additional information about withdrawals due to ADRs was available from the </w:t>
      </w:r>
      <w:r w:rsidRPr="00C62EF5">
        <w:rPr>
          <w:i/>
        </w:rPr>
        <w:t>Updated Safety Tables</w:t>
      </w:r>
      <w:r>
        <w:t>.</w:t>
      </w:r>
    </w:p>
    <w:p w:rsidR="004D5254" w:rsidRDefault="004D5254" w:rsidP="004D5254">
      <w:pPr>
        <w:pStyle w:val="Heading3"/>
        <w:numPr>
          <w:ilvl w:val="1"/>
          <w:numId w:val="5"/>
        </w:numPr>
      </w:pPr>
      <w:bookmarkStart w:id="271" w:name="_Toc241374321"/>
      <w:bookmarkStart w:id="272" w:name="_Ref271044780"/>
      <w:bookmarkStart w:id="273" w:name="_Ref271196640"/>
      <w:bookmarkStart w:id="274" w:name="_Ref272333085"/>
      <w:bookmarkStart w:id="275" w:name="_Toc272414668"/>
      <w:bookmarkStart w:id="276" w:name="_Toc290846306"/>
      <w:bookmarkStart w:id="277" w:name="_Toc320881465"/>
      <w:bookmarkStart w:id="278" w:name="_Toc359930736"/>
      <w:bookmarkStart w:id="279" w:name="_Toc364764910"/>
      <w:r>
        <w:t>Laboratory tests</w:t>
      </w:r>
      <w:bookmarkEnd w:id="271"/>
      <w:bookmarkEnd w:id="272"/>
      <w:bookmarkEnd w:id="273"/>
      <w:bookmarkEnd w:id="274"/>
      <w:bookmarkEnd w:id="275"/>
      <w:bookmarkEnd w:id="276"/>
      <w:bookmarkEnd w:id="277"/>
      <w:bookmarkEnd w:id="278"/>
      <w:bookmarkEnd w:id="279"/>
    </w:p>
    <w:p w:rsidR="004D5254" w:rsidRDefault="004D5254" w:rsidP="004D5254">
      <w:pPr>
        <w:pStyle w:val="Heading4"/>
        <w:numPr>
          <w:ilvl w:val="2"/>
          <w:numId w:val="5"/>
        </w:numPr>
      </w:pPr>
      <w:bookmarkStart w:id="280" w:name="_Toc272414669"/>
      <w:bookmarkStart w:id="281" w:name="_Toc290846307"/>
      <w:bookmarkStart w:id="282" w:name="_Toc320881466"/>
      <w:r>
        <w:t>Liver function</w:t>
      </w:r>
      <w:bookmarkEnd w:id="280"/>
      <w:bookmarkEnd w:id="281"/>
      <w:bookmarkEnd w:id="282"/>
    </w:p>
    <w:p w:rsidR="004D5254" w:rsidRDefault="004D5254" w:rsidP="004D5254">
      <w:pPr>
        <w:pStyle w:val="Heading5"/>
        <w:numPr>
          <w:ilvl w:val="3"/>
          <w:numId w:val="5"/>
        </w:numPr>
      </w:pPr>
      <w:r>
        <w:t>Pivotal study</w:t>
      </w:r>
    </w:p>
    <w:p w:rsidR="004D5254" w:rsidRDefault="004D5254" w:rsidP="004D5254">
      <w:pPr>
        <w:autoSpaceDE w:val="0"/>
        <w:autoSpaceDN w:val="0"/>
        <w:adjustRightInd w:val="0"/>
      </w:pPr>
      <w:r>
        <w:t>A total of 29 (26%) patients had at least one clinically significant abnormality of liver function testing during treatment with pralatrexate.</w:t>
      </w:r>
    </w:p>
    <w:p w:rsidR="004D5254" w:rsidRDefault="004D5254" w:rsidP="004D5254">
      <w:pPr>
        <w:autoSpaceDE w:val="0"/>
        <w:autoSpaceDN w:val="0"/>
        <w:adjustRightInd w:val="0"/>
        <w:rPr>
          <w:color w:val="000000"/>
        </w:rPr>
      </w:pPr>
      <w:r>
        <w:t>S</w:t>
      </w:r>
      <w:r w:rsidRPr="00F20B4E">
        <w:t xml:space="preserve">hifts in </w:t>
      </w:r>
      <w:r>
        <w:t>transaminase</w:t>
      </w:r>
      <w:r w:rsidRPr="00F20B4E">
        <w:t xml:space="preserve"> levels </w:t>
      </w:r>
      <w:r>
        <w:t xml:space="preserve">during treatment with pralatrexate </w:t>
      </w:r>
      <w:r w:rsidRPr="00F20B4E">
        <w:t>are shown i</w:t>
      </w:r>
      <w:r w:rsidRPr="00F166CF">
        <w:t>n Table 19, bel</w:t>
      </w:r>
      <w:r w:rsidRPr="00F20B4E">
        <w:t>ow</w:t>
      </w:r>
      <w:r>
        <w:t xml:space="preserve">. Clinically significant changes </w:t>
      </w:r>
      <w:r>
        <w:rPr>
          <w:color w:val="000000"/>
        </w:rPr>
        <w:t>(</w:t>
      </w:r>
      <w:r w:rsidRPr="00990CA1">
        <w:rPr>
          <w:color w:val="000000"/>
        </w:rPr>
        <w:t>that is,</w:t>
      </w:r>
      <w:r w:rsidRPr="00ED48EE">
        <w:rPr>
          <w:color w:val="000000"/>
        </w:rPr>
        <w:t xml:space="preserve"> </w:t>
      </w:r>
      <w:r>
        <w:rPr>
          <w:rFonts w:eastAsia="TimesNewRoman" w:cs="TimesNewRoman"/>
        </w:rPr>
        <w:t>≥ Grade 2</w:t>
      </w:r>
      <w:r w:rsidRPr="00ED48EE">
        <w:rPr>
          <w:rFonts w:eastAsia="TimesNewRoman"/>
        </w:rPr>
        <w:t xml:space="preserve"> </w:t>
      </w:r>
      <w:r>
        <w:rPr>
          <w:rFonts w:eastAsia="TimesNewRoman"/>
        </w:rPr>
        <w:t xml:space="preserve">toxicity </w:t>
      </w:r>
      <w:r w:rsidRPr="00ED48EE">
        <w:rPr>
          <w:rFonts w:eastAsia="TimesNewRoman"/>
          <w:u w:val="single"/>
        </w:rPr>
        <w:t>and</w:t>
      </w:r>
      <w:r w:rsidRPr="00ED48EE">
        <w:rPr>
          <w:rFonts w:eastAsia="TimesNewRoman"/>
        </w:rPr>
        <w:t xml:space="preserve"> a</w:t>
      </w:r>
      <w:r>
        <w:rPr>
          <w:rFonts w:eastAsia="TimesNewRoman"/>
        </w:rPr>
        <w:t xml:space="preserve"> </w:t>
      </w:r>
      <w:r w:rsidRPr="00ED48EE">
        <w:rPr>
          <w:rFonts w:eastAsia="TimesNewRoman"/>
        </w:rPr>
        <w:t xml:space="preserve">shift of </w:t>
      </w:r>
      <w:r>
        <w:rPr>
          <w:rFonts w:eastAsia="TimesNewRoman" w:cs="TimesNewRoman"/>
        </w:rPr>
        <w:t xml:space="preserve">≥ </w:t>
      </w:r>
      <w:r w:rsidRPr="00ED48EE">
        <w:rPr>
          <w:rFonts w:eastAsia="TimesNewRoman"/>
        </w:rPr>
        <w:t>1 grade from the baseline value</w:t>
      </w:r>
      <w:r>
        <w:rPr>
          <w:rFonts w:eastAsia="TimesNewRoman"/>
        </w:rPr>
        <w:t xml:space="preserve">, where Grade 2 toxicity is a value &gt;2.5 – 5.0 x ULN) </w:t>
      </w:r>
      <w:r>
        <w:t xml:space="preserve">are highlighted by shading. From these tables it can be appreciated that the vast majority of patients entered the study with normal transaminase levels and most of these patients had either no deterioration in levels or Grade 1 toxicity. </w:t>
      </w:r>
      <w:r w:rsidRPr="006A3B53">
        <w:rPr>
          <w:color w:val="000000"/>
        </w:rPr>
        <w:t xml:space="preserve">Most patients who had an increase in </w:t>
      </w:r>
      <w:r>
        <w:t>transaminase levels</w:t>
      </w:r>
      <w:r w:rsidRPr="00F20B4E">
        <w:t xml:space="preserve"> </w:t>
      </w:r>
      <w:r w:rsidRPr="006A3B53">
        <w:rPr>
          <w:color w:val="000000"/>
        </w:rPr>
        <w:t>had an increase in both A</w:t>
      </w:r>
      <w:r>
        <w:rPr>
          <w:color w:val="000000"/>
        </w:rPr>
        <w:t>S</w:t>
      </w:r>
      <w:r w:rsidRPr="006A3B53">
        <w:rPr>
          <w:color w:val="000000"/>
        </w:rPr>
        <w:t>T and A</w:t>
      </w:r>
      <w:r>
        <w:rPr>
          <w:color w:val="000000"/>
        </w:rPr>
        <w:t>L</w:t>
      </w:r>
      <w:r w:rsidRPr="006A3B53">
        <w:rPr>
          <w:color w:val="000000"/>
        </w:rPr>
        <w:t>T.</w:t>
      </w:r>
      <w:r>
        <w:rPr>
          <w:color w:val="000000"/>
        </w:rPr>
        <w:t xml:space="preserve"> </w:t>
      </w:r>
      <w:r w:rsidRPr="006A3B53">
        <w:rPr>
          <w:color w:val="000000"/>
        </w:rPr>
        <w:t>Clinically significant increase</w:t>
      </w:r>
      <w:r>
        <w:rPr>
          <w:color w:val="000000"/>
        </w:rPr>
        <w:t>s in AST and ALT levels w</w:t>
      </w:r>
      <w:r w:rsidRPr="006A3B53">
        <w:rPr>
          <w:color w:val="000000"/>
        </w:rPr>
        <w:t>ere re</w:t>
      </w:r>
      <w:r>
        <w:rPr>
          <w:color w:val="000000"/>
        </w:rPr>
        <w:t>corded</w:t>
      </w:r>
      <w:r w:rsidRPr="006A3B53">
        <w:rPr>
          <w:color w:val="000000"/>
        </w:rPr>
        <w:t xml:space="preserve"> in 19 (17%) and 18 (16%) patients, respectively.</w:t>
      </w:r>
      <w:r>
        <w:rPr>
          <w:color w:val="000000"/>
        </w:rPr>
        <w:t xml:space="preserve"> Eight patients had Grade 3</w:t>
      </w:r>
      <w:r w:rsidRPr="00ED48EE">
        <w:rPr>
          <w:color w:val="000000"/>
        </w:rPr>
        <w:t xml:space="preserve"> AST levels</w:t>
      </w:r>
      <w:r>
        <w:rPr>
          <w:color w:val="000000"/>
        </w:rPr>
        <w:t xml:space="preserve"> and 7 patients (6%) had Grade 3</w:t>
      </w:r>
      <w:r w:rsidRPr="00ED48EE">
        <w:rPr>
          <w:color w:val="000000"/>
        </w:rPr>
        <w:t xml:space="preserve"> ALT val</w:t>
      </w:r>
      <w:r>
        <w:rPr>
          <w:color w:val="000000"/>
        </w:rPr>
        <w:t>ues</w:t>
      </w:r>
      <w:r w:rsidRPr="00ED48EE">
        <w:rPr>
          <w:color w:val="000000"/>
        </w:rPr>
        <w:t>.</w:t>
      </w:r>
      <w:r>
        <w:rPr>
          <w:color w:val="000000"/>
        </w:rPr>
        <w:t xml:space="preserve"> </w:t>
      </w:r>
      <w:r w:rsidRPr="00ED48EE">
        <w:rPr>
          <w:color w:val="000000"/>
        </w:rPr>
        <w:t xml:space="preserve">No patients </w:t>
      </w:r>
      <w:r>
        <w:rPr>
          <w:color w:val="000000"/>
        </w:rPr>
        <w:t>developed Grade 4</w:t>
      </w:r>
      <w:r w:rsidRPr="00ED48EE">
        <w:rPr>
          <w:color w:val="000000"/>
        </w:rPr>
        <w:t xml:space="preserve"> AST or ALT abnormalities</w:t>
      </w:r>
      <w:r>
        <w:rPr>
          <w:color w:val="000000"/>
        </w:rPr>
        <w:t>.</w:t>
      </w:r>
    </w:p>
    <w:p w:rsidR="004D5254" w:rsidRDefault="004D5254" w:rsidP="004D5254">
      <w:pPr>
        <w:autoSpaceDE w:val="0"/>
        <w:autoSpaceDN w:val="0"/>
        <w:adjustRightInd w:val="0"/>
        <w:rPr>
          <w:color w:val="000000"/>
        </w:rPr>
      </w:pPr>
      <w:r>
        <w:t xml:space="preserve">Most patients also entered the study with normal total bilirubin levels and the vast majority of these patients also had either no deterioration in levels or Grade 1 toxicity. </w:t>
      </w:r>
      <w:r w:rsidRPr="00595805">
        <w:rPr>
          <w:color w:val="000000"/>
        </w:rPr>
        <w:t>Clinically significant increased total bilirubin was reported in 10 patients (9%).</w:t>
      </w:r>
      <w:r>
        <w:rPr>
          <w:color w:val="000000"/>
        </w:rPr>
        <w:t xml:space="preserve"> </w:t>
      </w:r>
      <w:r w:rsidRPr="00595805">
        <w:rPr>
          <w:color w:val="000000"/>
        </w:rPr>
        <w:t>Five patients</w:t>
      </w:r>
      <w:r>
        <w:rPr>
          <w:color w:val="000000"/>
        </w:rPr>
        <w:t xml:space="preserve"> </w:t>
      </w:r>
      <w:r w:rsidRPr="00595805">
        <w:rPr>
          <w:color w:val="000000"/>
        </w:rPr>
        <w:t>had a bilirubin value of &gt; 2.5 mg/dL</w:t>
      </w:r>
      <w:r>
        <w:rPr>
          <w:color w:val="000000"/>
        </w:rPr>
        <w:t xml:space="preserve"> during pralatrexate treatment</w:t>
      </w:r>
      <w:r w:rsidRPr="00595805">
        <w:rPr>
          <w:color w:val="000000"/>
        </w:rPr>
        <w:t>.</w:t>
      </w:r>
    </w:p>
    <w:p w:rsidR="004D5254" w:rsidRDefault="004D5254" w:rsidP="004D5254">
      <w:r w:rsidRPr="000D1A4E">
        <w:lastRenderedPageBreak/>
        <w:t xml:space="preserve">Abnormal liver function tests </w:t>
      </w:r>
      <w:r>
        <w:t>were responsible for</w:t>
      </w:r>
      <w:r w:rsidRPr="000D1A4E">
        <w:t xml:space="preserve"> dose </w:t>
      </w:r>
      <w:r w:rsidRPr="004D5523">
        <w:t>omission</w:t>
      </w:r>
      <w:r w:rsidRPr="000D1A4E">
        <w:t xml:space="preserve"> in</w:t>
      </w:r>
      <w:r>
        <w:t xml:space="preserve"> </w:t>
      </w:r>
      <w:r w:rsidRPr="000D1A4E">
        <w:t>3 patients</w:t>
      </w:r>
      <w:r>
        <w:t>,</w:t>
      </w:r>
      <w:r w:rsidRPr="000D1A4E">
        <w:t xml:space="preserve"> dose </w:t>
      </w:r>
      <w:r w:rsidRPr="004D5523">
        <w:t>reduction</w:t>
      </w:r>
      <w:r w:rsidRPr="000D1A4E">
        <w:t xml:space="preserve"> </w:t>
      </w:r>
      <w:r>
        <w:t>in 2 patients and withdrawal of pralatrexate therapy in 1 patient. One of these p</w:t>
      </w:r>
      <w:r w:rsidRPr="00ED48EE">
        <w:t>atient</w:t>
      </w:r>
      <w:r>
        <w:t xml:space="preserve">s </w:t>
      </w:r>
      <w:r w:rsidRPr="00ED48EE">
        <w:t xml:space="preserve">discontinued study treatment </w:t>
      </w:r>
      <w:r>
        <w:t xml:space="preserve">specifically because of </w:t>
      </w:r>
      <w:r w:rsidRPr="00ED48EE">
        <w:t>increased ALT</w:t>
      </w:r>
      <w:r>
        <w:t xml:space="preserve"> levels</w:t>
      </w:r>
      <w:r w:rsidRPr="00ED48EE">
        <w:t>.</w:t>
      </w:r>
      <w:r>
        <w:t xml:space="preserve"> </w:t>
      </w:r>
      <w:r w:rsidRPr="00ED48EE">
        <w:t>His</w:t>
      </w:r>
      <w:r>
        <w:t xml:space="preserve"> </w:t>
      </w:r>
      <w:r w:rsidRPr="00ED48EE">
        <w:t xml:space="preserve">ALT </w:t>
      </w:r>
      <w:r>
        <w:t xml:space="preserve">level </w:t>
      </w:r>
      <w:r w:rsidRPr="00ED48EE">
        <w:t xml:space="preserve">increased to a maximum level of 277 IU/L in cycle 1 </w:t>
      </w:r>
      <w:r>
        <w:t xml:space="preserve">(with a corresponding AST of 101 IU/L) </w:t>
      </w:r>
      <w:r w:rsidRPr="00ED48EE">
        <w:t>and his pralatrexate dose was reduced to</w:t>
      </w:r>
      <w:r>
        <w:t xml:space="preserve"> </w:t>
      </w:r>
      <w:r w:rsidRPr="00ED48EE">
        <w:t>20 mg/m</w:t>
      </w:r>
      <w:r w:rsidRPr="00ED48EE">
        <w:rPr>
          <w:vertAlign w:val="superscript"/>
        </w:rPr>
        <w:t>2</w:t>
      </w:r>
      <w:r>
        <w:t>. H</w:t>
      </w:r>
      <w:r w:rsidRPr="00ED48EE">
        <w:t xml:space="preserve">owever, the elevated </w:t>
      </w:r>
      <w:r>
        <w:t>transaminase</w:t>
      </w:r>
      <w:r w:rsidRPr="00ED48EE">
        <w:t xml:space="preserve"> </w:t>
      </w:r>
      <w:r>
        <w:t xml:space="preserve">levels </w:t>
      </w:r>
      <w:r w:rsidRPr="00ED48EE">
        <w:t>did not resolve and he</w:t>
      </w:r>
      <w:r>
        <w:t xml:space="preserve"> </w:t>
      </w:r>
      <w:r w:rsidRPr="00ED48EE">
        <w:t xml:space="preserve">discontinued treatment after </w:t>
      </w:r>
      <w:r>
        <w:t>C</w:t>
      </w:r>
      <w:r w:rsidRPr="00ED48EE">
        <w:t>ycle 3.</w:t>
      </w:r>
      <w:r>
        <w:t xml:space="preserve"> </w:t>
      </w:r>
      <w:r w:rsidRPr="00ED48EE">
        <w:t>His maximum on</w:t>
      </w:r>
      <w:r>
        <w:t>-</w:t>
      </w:r>
      <w:r w:rsidRPr="00ED48EE">
        <w:t xml:space="preserve">study </w:t>
      </w:r>
      <w:r>
        <w:t>ALT</w:t>
      </w:r>
      <w:r w:rsidRPr="00ED48EE">
        <w:t xml:space="preserve"> </w:t>
      </w:r>
      <w:r>
        <w:t xml:space="preserve">and </w:t>
      </w:r>
      <w:r w:rsidRPr="00ED48EE">
        <w:t xml:space="preserve">AST </w:t>
      </w:r>
      <w:r>
        <w:t>levels were</w:t>
      </w:r>
      <w:r w:rsidRPr="00ED48EE">
        <w:t xml:space="preserve"> </w:t>
      </w:r>
      <w:r>
        <w:t xml:space="preserve">358 IU/L and </w:t>
      </w:r>
      <w:r w:rsidRPr="00ED48EE">
        <w:t>187 IU/L</w:t>
      </w:r>
      <w:r>
        <w:t>, respectively</w:t>
      </w:r>
      <w:r w:rsidRPr="00ED48EE">
        <w:t>.</w:t>
      </w:r>
      <w:r>
        <w:t xml:space="preserve"> </w:t>
      </w:r>
      <w:r w:rsidRPr="00ED48EE">
        <w:t>Approximately 3 weeks after discontinuing pralatrexate</w:t>
      </w:r>
      <w:r>
        <w:t xml:space="preserve"> </w:t>
      </w:r>
      <w:r w:rsidRPr="00ED48EE">
        <w:t xml:space="preserve">treatment his ALT </w:t>
      </w:r>
      <w:r>
        <w:t>w</w:t>
      </w:r>
      <w:r w:rsidRPr="00ED48EE">
        <w:t>as 89 IU/L</w:t>
      </w:r>
      <w:r>
        <w:t xml:space="preserve"> and </w:t>
      </w:r>
      <w:r w:rsidRPr="00ED48EE">
        <w:t>AST was 37 IU/L.</w:t>
      </w:r>
      <w:r>
        <w:t xml:space="preserve"> This patient’s total bilirubin levels remained normal throughout and after the study.</w:t>
      </w:r>
    </w:p>
    <w:p w:rsidR="004D5254" w:rsidRDefault="004D5254" w:rsidP="004D5254">
      <w:r>
        <w:t>Four patients experienced clinically significant increases in all 3 parameters measured on–study (AST, ALT and total bilirubin):</w:t>
      </w:r>
    </w:p>
    <w:p w:rsidR="004D5254" w:rsidRDefault="004D5254" w:rsidP="004D5254">
      <w:pPr>
        <w:pStyle w:val="ListBullet"/>
        <w:numPr>
          <w:ilvl w:val="0"/>
          <w:numId w:val="1"/>
        </w:numPr>
      </w:pPr>
      <w:r>
        <w:t>One patient had concurrent clinically significant elevations in all 3 parameters. This patient had entered the study with normal values for all three parameters. Clinically significant abnormalities were first detected at Dose 3 of Cycle 1 (total bilirubin 2.76 mg/dL; ALT 313 IU/L; AST 310 IU/L). Doses 2 and 3 of Cycle 1 were not administered and Dose 4 was reduced to 20 mg/m</w:t>
      </w:r>
      <w:r w:rsidRPr="00595805">
        <w:rPr>
          <w:vertAlign w:val="superscript"/>
        </w:rPr>
        <w:t>2</w:t>
      </w:r>
      <w:r>
        <w:t xml:space="preserve"> because of mucositis. Following investigation of the abnormal liver function, the patient was diagnosed with metastatic cholangiocarcinoma (considered unrelated to pralatrexate treatment) and discontinued from the study. </w:t>
      </w:r>
    </w:p>
    <w:p w:rsidR="004D5254" w:rsidRDefault="004D5254" w:rsidP="004D5254">
      <w:pPr>
        <w:pStyle w:val="FigureTitle"/>
      </w:pPr>
      <w:bookmarkStart w:id="283" w:name="_Toc320881542"/>
      <w:r>
        <w:t>Table 19. Study PDX-008 - shifts in transaminase and total bilirubin levels during treatment</w:t>
      </w:r>
      <w:bookmarkEnd w:id="283"/>
      <w:r>
        <w:t>. Table continued across two pages.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1433"/>
        <w:gridCol w:w="1077"/>
        <w:gridCol w:w="1071"/>
        <w:gridCol w:w="1071"/>
        <w:gridCol w:w="1069"/>
        <w:gridCol w:w="1069"/>
        <w:gridCol w:w="1069"/>
      </w:tblGrid>
      <w:tr w:rsidR="004D5254" w:rsidRPr="003929CB" w:rsidTr="003A2EF5">
        <w:trPr>
          <w:tblHeader/>
        </w:trPr>
        <w:tc>
          <w:tcPr>
            <w:tcW w:w="2141" w:type="dxa"/>
            <w:gridSpan w:val="2"/>
            <w:vMerge w:val="restart"/>
            <w:tcBorders>
              <w:top w:val="nil"/>
              <w:left w:val="nil"/>
            </w:tcBorders>
          </w:tcPr>
          <w:p w:rsidR="004D5254" w:rsidRPr="00B14E28" w:rsidRDefault="004D5254" w:rsidP="004D5254">
            <w:pPr>
              <w:pStyle w:val="ListParagraph"/>
              <w:numPr>
                <w:ilvl w:val="0"/>
                <w:numId w:val="21"/>
              </w:numPr>
              <w:autoSpaceDE w:val="0"/>
              <w:autoSpaceDN w:val="0"/>
              <w:adjustRightInd w:val="0"/>
              <w:rPr>
                <w:b/>
                <w:color w:val="000000"/>
                <w:sz w:val="20"/>
                <w:szCs w:val="20"/>
              </w:rPr>
            </w:pPr>
            <w:r w:rsidRPr="00B14E28">
              <w:rPr>
                <w:b/>
                <w:color w:val="000000"/>
                <w:sz w:val="20"/>
                <w:szCs w:val="20"/>
              </w:rPr>
              <w:t>AST</w:t>
            </w:r>
          </w:p>
          <w:p w:rsidR="004D5254" w:rsidRPr="004E2B0E" w:rsidRDefault="004D5254" w:rsidP="00C80331">
            <w:pPr>
              <w:autoSpaceDE w:val="0"/>
              <w:autoSpaceDN w:val="0"/>
              <w:adjustRightInd w:val="0"/>
              <w:spacing w:before="40" w:after="40"/>
              <w:ind w:left="34"/>
              <w:jc w:val="both"/>
              <w:rPr>
                <w:sz w:val="20"/>
                <w:szCs w:val="20"/>
              </w:rPr>
            </w:pPr>
          </w:p>
        </w:tc>
        <w:tc>
          <w:tcPr>
            <w:tcW w:w="6426" w:type="dxa"/>
            <w:gridSpan w:val="6"/>
            <w:shd w:val="clear" w:color="auto" w:fill="0070C0"/>
          </w:tcPr>
          <w:p w:rsidR="004D5254" w:rsidRPr="00F166CF" w:rsidRDefault="004D5254" w:rsidP="00C80331">
            <w:pPr>
              <w:autoSpaceDE w:val="0"/>
              <w:autoSpaceDN w:val="0"/>
              <w:adjustRightInd w:val="0"/>
              <w:spacing w:before="40" w:after="40"/>
              <w:ind w:left="11"/>
              <w:jc w:val="center"/>
              <w:rPr>
                <w:b/>
                <w:color w:val="FFFFFF" w:themeColor="background1"/>
                <w:sz w:val="20"/>
                <w:szCs w:val="20"/>
              </w:rPr>
            </w:pPr>
            <w:r w:rsidRPr="00F166CF">
              <w:rPr>
                <w:b/>
                <w:color w:val="FFFFFF" w:themeColor="background1"/>
                <w:sz w:val="20"/>
                <w:szCs w:val="20"/>
              </w:rPr>
              <w:t>Worst on-study grade</w:t>
            </w:r>
          </w:p>
        </w:tc>
      </w:tr>
      <w:tr w:rsidR="004D5254" w:rsidRPr="003929CB" w:rsidTr="003A2EF5">
        <w:trPr>
          <w:tblHeader/>
        </w:trPr>
        <w:tc>
          <w:tcPr>
            <w:tcW w:w="2141" w:type="dxa"/>
            <w:gridSpan w:val="2"/>
            <w:vMerge/>
            <w:tcBorders>
              <w:left w:val="nil"/>
            </w:tcBorders>
          </w:tcPr>
          <w:p w:rsidR="004D5254" w:rsidRPr="004E2B0E" w:rsidRDefault="004D5254" w:rsidP="00C80331">
            <w:pPr>
              <w:autoSpaceDE w:val="0"/>
              <w:autoSpaceDN w:val="0"/>
              <w:adjustRightInd w:val="0"/>
              <w:spacing w:before="40" w:after="40"/>
              <w:ind w:left="567"/>
              <w:rPr>
                <w:sz w:val="20"/>
                <w:szCs w:val="20"/>
              </w:rPr>
            </w:pPr>
          </w:p>
        </w:tc>
        <w:tc>
          <w:tcPr>
            <w:tcW w:w="1077" w:type="dxa"/>
            <w:shd w:val="clear" w:color="auto" w:fill="0070C0"/>
          </w:tcPr>
          <w:p w:rsidR="004D5254" w:rsidRPr="00F166CF" w:rsidRDefault="004D5254" w:rsidP="00C80331">
            <w:pPr>
              <w:autoSpaceDE w:val="0"/>
              <w:autoSpaceDN w:val="0"/>
              <w:adjustRightInd w:val="0"/>
              <w:spacing w:before="40" w:after="40"/>
              <w:ind w:left="11"/>
              <w:jc w:val="center"/>
              <w:rPr>
                <w:b/>
                <w:color w:val="FFFFFF" w:themeColor="background1"/>
                <w:sz w:val="20"/>
                <w:szCs w:val="20"/>
              </w:rPr>
            </w:pPr>
            <w:r w:rsidRPr="00F166CF">
              <w:rPr>
                <w:b/>
                <w:color w:val="FFFFFF" w:themeColor="background1"/>
                <w:sz w:val="20"/>
                <w:szCs w:val="20"/>
              </w:rPr>
              <w:t>Missing</w:t>
            </w:r>
          </w:p>
        </w:tc>
        <w:tc>
          <w:tcPr>
            <w:tcW w:w="1071" w:type="dxa"/>
            <w:shd w:val="clear" w:color="auto" w:fill="0070C0"/>
          </w:tcPr>
          <w:p w:rsidR="004D5254" w:rsidRPr="00F166CF" w:rsidRDefault="004D5254" w:rsidP="00C80331">
            <w:pPr>
              <w:autoSpaceDE w:val="0"/>
              <w:autoSpaceDN w:val="0"/>
              <w:adjustRightInd w:val="0"/>
              <w:spacing w:before="40" w:after="40"/>
              <w:jc w:val="center"/>
              <w:rPr>
                <w:b/>
                <w:color w:val="FFFFFF" w:themeColor="background1"/>
                <w:sz w:val="20"/>
                <w:szCs w:val="20"/>
              </w:rPr>
            </w:pPr>
            <w:r w:rsidRPr="00F166CF">
              <w:rPr>
                <w:b/>
                <w:color w:val="FFFFFF" w:themeColor="background1"/>
                <w:sz w:val="20"/>
                <w:szCs w:val="20"/>
              </w:rPr>
              <w:t>0</w:t>
            </w:r>
          </w:p>
        </w:tc>
        <w:tc>
          <w:tcPr>
            <w:tcW w:w="1071" w:type="dxa"/>
            <w:shd w:val="clear" w:color="auto" w:fill="0070C0"/>
          </w:tcPr>
          <w:p w:rsidR="004D5254" w:rsidRPr="00F166CF" w:rsidRDefault="004D5254" w:rsidP="00C80331">
            <w:pPr>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1</w:t>
            </w:r>
          </w:p>
        </w:tc>
        <w:tc>
          <w:tcPr>
            <w:tcW w:w="1069" w:type="dxa"/>
            <w:shd w:val="clear" w:color="auto" w:fill="0070C0"/>
          </w:tcPr>
          <w:p w:rsidR="004D5254" w:rsidRPr="00F166CF" w:rsidRDefault="004D5254" w:rsidP="00C80331">
            <w:pPr>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2</w:t>
            </w:r>
          </w:p>
        </w:tc>
        <w:tc>
          <w:tcPr>
            <w:tcW w:w="1069" w:type="dxa"/>
            <w:shd w:val="clear" w:color="auto" w:fill="0070C0"/>
          </w:tcPr>
          <w:p w:rsidR="004D5254" w:rsidRPr="00F166CF" w:rsidRDefault="004D5254" w:rsidP="00C80331">
            <w:pPr>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3</w:t>
            </w:r>
          </w:p>
        </w:tc>
        <w:tc>
          <w:tcPr>
            <w:tcW w:w="1069" w:type="dxa"/>
            <w:shd w:val="clear" w:color="auto" w:fill="0070C0"/>
          </w:tcPr>
          <w:p w:rsidR="004D5254" w:rsidRPr="00F166CF" w:rsidRDefault="004D5254" w:rsidP="00C80331">
            <w:pPr>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4</w:t>
            </w:r>
          </w:p>
        </w:tc>
      </w:tr>
      <w:tr w:rsidR="004D5254" w:rsidTr="00C80331">
        <w:tc>
          <w:tcPr>
            <w:tcW w:w="708" w:type="dxa"/>
            <w:vMerge w:val="restart"/>
            <w:textDirection w:val="btLr"/>
          </w:tcPr>
          <w:p w:rsidR="004D5254" w:rsidRPr="004E2B0E" w:rsidRDefault="004D5254" w:rsidP="00C80331">
            <w:pPr>
              <w:autoSpaceDE w:val="0"/>
              <w:autoSpaceDN w:val="0"/>
              <w:adjustRightInd w:val="0"/>
              <w:spacing w:before="40" w:after="40"/>
              <w:ind w:left="567" w:right="113"/>
              <w:rPr>
                <w:b/>
                <w:sz w:val="20"/>
                <w:szCs w:val="20"/>
              </w:rPr>
            </w:pPr>
            <w:r w:rsidRPr="004E2B0E">
              <w:rPr>
                <w:b/>
                <w:sz w:val="20"/>
                <w:szCs w:val="20"/>
              </w:rPr>
              <w:t>Baseline grade</w:t>
            </w:r>
          </w:p>
        </w:tc>
        <w:tc>
          <w:tcPr>
            <w:tcW w:w="1433" w:type="dxa"/>
          </w:tcPr>
          <w:p w:rsidR="004D5254" w:rsidRPr="004E2B0E" w:rsidRDefault="004D5254" w:rsidP="00C80331">
            <w:pPr>
              <w:autoSpaceDE w:val="0"/>
              <w:autoSpaceDN w:val="0"/>
              <w:adjustRightInd w:val="0"/>
              <w:ind w:left="567" w:hanging="533"/>
              <w:rPr>
                <w:sz w:val="20"/>
                <w:szCs w:val="20"/>
              </w:rPr>
            </w:pPr>
            <w:r w:rsidRPr="004E2B0E">
              <w:rPr>
                <w:sz w:val="20"/>
                <w:szCs w:val="20"/>
              </w:rPr>
              <w:t>Missing</w:t>
            </w:r>
            <w:r>
              <w:rPr>
                <w:sz w:val="20"/>
                <w:szCs w:val="20"/>
              </w:rPr>
              <w:t xml:space="preserve">  </w:t>
            </w:r>
            <w:r w:rsidRPr="004E2B0E">
              <w:rPr>
                <w:sz w:val="20"/>
                <w:szCs w:val="20"/>
              </w:rPr>
              <w:t>n=2</w:t>
            </w:r>
          </w:p>
        </w:tc>
        <w:tc>
          <w:tcPr>
            <w:tcW w:w="1077" w:type="dxa"/>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2</w:t>
            </w:r>
          </w:p>
        </w:tc>
        <w:tc>
          <w:tcPr>
            <w:tcW w:w="1071" w:type="dxa"/>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71" w:type="dxa"/>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r>
      <w:tr w:rsidR="004D5254" w:rsidRPr="003929CB" w:rsidTr="00C80331">
        <w:tc>
          <w:tcPr>
            <w:tcW w:w="708" w:type="dxa"/>
            <w:vMerge/>
            <w:textDirection w:val="btLr"/>
          </w:tcPr>
          <w:p w:rsidR="004D5254" w:rsidRPr="004E2B0E" w:rsidRDefault="004D5254" w:rsidP="00C80331">
            <w:pPr>
              <w:autoSpaceDE w:val="0"/>
              <w:autoSpaceDN w:val="0"/>
              <w:adjustRightInd w:val="0"/>
              <w:spacing w:before="40" w:after="40"/>
              <w:ind w:left="567" w:right="113"/>
              <w:jc w:val="center"/>
              <w:rPr>
                <w:b/>
                <w:sz w:val="20"/>
                <w:szCs w:val="20"/>
              </w:rPr>
            </w:pPr>
          </w:p>
        </w:tc>
        <w:tc>
          <w:tcPr>
            <w:tcW w:w="1433" w:type="dxa"/>
          </w:tcPr>
          <w:p w:rsidR="004D5254" w:rsidRPr="004E2B0E" w:rsidRDefault="004D5254" w:rsidP="00C80331">
            <w:pPr>
              <w:autoSpaceDE w:val="0"/>
              <w:autoSpaceDN w:val="0"/>
              <w:adjustRightInd w:val="0"/>
              <w:ind w:left="567" w:hanging="533"/>
              <w:rPr>
                <w:sz w:val="20"/>
                <w:szCs w:val="20"/>
              </w:rPr>
            </w:pPr>
            <w:r w:rsidRPr="004E2B0E">
              <w:rPr>
                <w:sz w:val="20"/>
                <w:szCs w:val="20"/>
              </w:rPr>
              <w:t>Grade 0 n=89</w:t>
            </w:r>
          </w:p>
        </w:tc>
        <w:tc>
          <w:tcPr>
            <w:tcW w:w="1077" w:type="dxa"/>
          </w:tcPr>
          <w:p w:rsidR="004D5254" w:rsidRPr="004E2B0E" w:rsidRDefault="004D5254" w:rsidP="00C80331">
            <w:pPr>
              <w:autoSpaceDE w:val="0"/>
              <w:autoSpaceDN w:val="0"/>
              <w:adjustRightInd w:val="0"/>
              <w:spacing w:before="40" w:after="40"/>
              <w:ind w:left="11"/>
              <w:jc w:val="center"/>
              <w:rPr>
                <w:sz w:val="20"/>
                <w:szCs w:val="20"/>
              </w:rPr>
            </w:pPr>
            <w:r w:rsidRPr="004E2B0E">
              <w:rPr>
                <w:sz w:val="20"/>
                <w:szCs w:val="20"/>
              </w:rPr>
              <w:t>0</w:t>
            </w:r>
          </w:p>
        </w:tc>
        <w:tc>
          <w:tcPr>
            <w:tcW w:w="1071" w:type="dxa"/>
          </w:tcPr>
          <w:p w:rsidR="004D5254" w:rsidRPr="004E2B0E" w:rsidRDefault="004D5254" w:rsidP="00C80331">
            <w:pPr>
              <w:autoSpaceDE w:val="0"/>
              <w:autoSpaceDN w:val="0"/>
              <w:adjustRightInd w:val="0"/>
              <w:spacing w:before="40" w:after="40"/>
              <w:jc w:val="center"/>
              <w:rPr>
                <w:sz w:val="20"/>
                <w:szCs w:val="20"/>
              </w:rPr>
            </w:pPr>
            <w:r w:rsidRPr="004E2B0E">
              <w:rPr>
                <w:sz w:val="20"/>
                <w:szCs w:val="20"/>
              </w:rPr>
              <w:t>51</w:t>
            </w:r>
          </w:p>
        </w:tc>
        <w:tc>
          <w:tcPr>
            <w:tcW w:w="1071" w:type="dxa"/>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27</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5</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6</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r>
      <w:tr w:rsidR="004D5254" w:rsidRPr="003929CB" w:rsidTr="00C80331">
        <w:tc>
          <w:tcPr>
            <w:tcW w:w="708" w:type="dxa"/>
            <w:vMerge/>
          </w:tcPr>
          <w:p w:rsidR="004D5254" w:rsidRPr="004E2B0E" w:rsidRDefault="004D5254" w:rsidP="00C80331">
            <w:pPr>
              <w:autoSpaceDE w:val="0"/>
              <w:autoSpaceDN w:val="0"/>
              <w:adjustRightInd w:val="0"/>
              <w:spacing w:before="40" w:after="40"/>
              <w:ind w:left="567"/>
              <w:rPr>
                <w:sz w:val="20"/>
                <w:szCs w:val="20"/>
              </w:rPr>
            </w:pPr>
          </w:p>
        </w:tc>
        <w:tc>
          <w:tcPr>
            <w:tcW w:w="1433" w:type="dxa"/>
          </w:tcPr>
          <w:p w:rsidR="004D5254" w:rsidRPr="004E2B0E" w:rsidRDefault="004D5254" w:rsidP="00C80331">
            <w:pPr>
              <w:autoSpaceDE w:val="0"/>
              <w:autoSpaceDN w:val="0"/>
              <w:adjustRightInd w:val="0"/>
              <w:ind w:left="567" w:hanging="533"/>
              <w:rPr>
                <w:sz w:val="20"/>
                <w:szCs w:val="20"/>
              </w:rPr>
            </w:pPr>
            <w:r w:rsidRPr="004E2B0E">
              <w:rPr>
                <w:sz w:val="20"/>
                <w:szCs w:val="20"/>
              </w:rPr>
              <w:t>Grade 1 n=17</w:t>
            </w:r>
          </w:p>
        </w:tc>
        <w:tc>
          <w:tcPr>
            <w:tcW w:w="1077" w:type="dxa"/>
            <w:shd w:val="clear" w:color="auto" w:fill="FFFFFF" w:themeFill="background1"/>
          </w:tcPr>
          <w:p w:rsidR="004D5254" w:rsidRPr="004E2B0E" w:rsidRDefault="004D5254" w:rsidP="00C80331">
            <w:pPr>
              <w:autoSpaceDE w:val="0"/>
              <w:autoSpaceDN w:val="0"/>
              <w:adjustRightInd w:val="0"/>
              <w:spacing w:before="40" w:after="40"/>
              <w:ind w:left="11"/>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10</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6</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1</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r>
      <w:tr w:rsidR="004D5254" w:rsidRPr="003929CB" w:rsidTr="00C80331">
        <w:tc>
          <w:tcPr>
            <w:tcW w:w="708" w:type="dxa"/>
            <w:vMerge/>
          </w:tcPr>
          <w:p w:rsidR="004D5254" w:rsidRPr="004E2B0E" w:rsidRDefault="004D5254" w:rsidP="00C80331">
            <w:pPr>
              <w:autoSpaceDE w:val="0"/>
              <w:autoSpaceDN w:val="0"/>
              <w:adjustRightInd w:val="0"/>
              <w:spacing w:before="40" w:after="40"/>
              <w:ind w:left="567"/>
              <w:rPr>
                <w:sz w:val="20"/>
                <w:szCs w:val="20"/>
              </w:rPr>
            </w:pPr>
          </w:p>
        </w:tc>
        <w:tc>
          <w:tcPr>
            <w:tcW w:w="1433" w:type="dxa"/>
          </w:tcPr>
          <w:p w:rsidR="004D5254" w:rsidRPr="004E2B0E" w:rsidRDefault="004D5254" w:rsidP="00C80331">
            <w:pPr>
              <w:autoSpaceDE w:val="0"/>
              <w:autoSpaceDN w:val="0"/>
              <w:adjustRightInd w:val="0"/>
              <w:ind w:left="567" w:hanging="533"/>
              <w:rPr>
                <w:sz w:val="20"/>
                <w:szCs w:val="20"/>
              </w:rPr>
            </w:pPr>
            <w:r w:rsidRPr="004E2B0E">
              <w:rPr>
                <w:sz w:val="20"/>
                <w:szCs w:val="20"/>
              </w:rPr>
              <w:t xml:space="preserve">Grade 2 </w:t>
            </w:r>
            <w:r>
              <w:rPr>
                <w:sz w:val="20"/>
                <w:szCs w:val="20"/>
              </w:rPr>
              <w:t>n=3</w:t>
            </w:r>
          </w:p>
        </w:tc>
        <w:tc>
          <w:tcPr>
            <w:tcW w:w="1077" w:type="dxa"/>
            <w:shd w:val="clear" w:color="auto" w:fill="FFFFFF" w:themeFill="background1"/>
          </w:tcPr>
          <w:p w:rsidR="004D5254" w:rsidRPr="004E2B0E" w:rsidRDefault="004D5254" w:rsidP="00C80331">
            <w:pPr>
              <w:autoSpaceDE w:val="0"/>
              <w:autoSpaceDN w:val="0"/>
              <w:adjustRightInd w:val="0"/>
              <w:spacing w:before="40" w:after="40"/>
              <w:ind w:left="11"/>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1</w:t>
            </w:r>
          </w:p>
        </w:tc>
        <w:tc>
          <w:tcPr>
            <w:tcW w:w="1069"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1</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1</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r>
    </w:tbl>
    <w:p w:rsidR="004D5254" w:rsidRDefault="004D5254" w:rsidP="004D5254">
      <w:pPr>
        <w:autoSpaceDE w:val="0"/>
        <w:autoSpaceDN w:val="0"/>
        <w:adjustRightInd w:val="0"/>
        <w:spacing w:before="40"/>
        <w:ind w:left="567"/>
        <w:rPr>
          <w:color w:val="000000"/>
          <w:sz w:val="18"/>
          <w:szCs w:val="18"/>
        </w:rPr>
      </w:pPr>
      <w:r w:rsidRPr="00E9225D">
        <w:rPr>
          <w:color w:val="000000"/>
          <w:sz w:val="18"/>
          <w:szCs w:val="18"/>
        </w:rPr>
        <w:t>Grade 1 = &gt;1 – 2.5 x ULN</w:t>
      </w:r>
      <w:r>
        <w:rPr>
          <w:color w:val="000000"/>
          <w:sz w:val="18"/>
          <w:szCs w:val="18"/>
        </w:rPr>
        <w:tab/>
      </w:r>
      <w:r w:rsidRPr="00E9225D">
        <w:rPr>
          <w:color w:val="000000"/>
          <w:sz w:val="18"/>
          <w:szCs w:val="18"/>
        </w:rPr>
        <w:t>Grade 2 = &gt;2.5 – 5.0 x ULN</w:t>
      </w:r>
      <w:r>
        <w:rPr>
          <w:color w:val="000000"/>
          <w:sz w:val="18"/>
          <w:szCs w:val="18"/>
        </w:rPr>
        <w:tab/>
      </w:r>
      <w:r w:rsidRPr="00E9225D">
        <w:rPr>
          <w:color w:val="000000"/>
          <w:sz w:val="18"/>
          <w:szCs w:val="18"/>
        </w:rPr>
        <w:t>Grade 3 = &gt;5.0 – 20.0 x ULN</w:t>
      </w:r>
      <w:r>
        <w:rPr>
          <w:color w:val="000000"/>
          <w:sz w:val="18"/>
          <w:szCs w:val="18"/>
        </w:rPr>
        <w:t xml:space="preserve">  </w:t>
      </w:r>
      <w:r w:rsidRPr="00E9225D">
        <w:rPr>
          <w:color w:val="000000"/>
          <w:sz w:val="18"/>
          <w:szCs w:val="18"/>
        </w:rPr>
        <w:t>Grade 4 = &gt;20.0 x ULN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1433"/>
        <w:gridCol w:w="1077"/>
        <w:gridCol w:w="1071"/>
        <w:gridCol w:w="1071"/>
        <w:gridCol w:w="1069"/>
        <w:gridCol w:w="1069"/>
        <w:gridCol w:w="1069"/>
      </w:tblGrid>
      <w:tr w:rsidR="004D5254" w:rsidRPr="003929CB" w:rsidTr="003A2EF5">
        <w:trPr>
          <w:tblHeader/>
        </w:trPr>
        <w:tc>
          <w:tcPr>
            <w:tcW w:w="2141" w:type="dxa"/>
            <w:gridSpan w:val="2"/>
            <w:vMerge w:val="restart"/>
            <w:tcBorders>
              <w:top w:val="nil"/>
              <w:left w:val="nil"/>
            </w:tcBorders>
          </w:tcPr>
          <w:p w:rsidR="004D5254" w:rsidRPr="00B14E28" w:rsidRDefault="004D5254" w:rsidP="004D5254">
            <w:pPr>
              <w:pStyle w:val="ListParagraph"/>
              <w:numPr>
                <w:ilvl w:val="0"/>
                <w:numId w:val="21"/>
              </w:numPr>
              <w:autoSpaceDE w:val="0"/>
              <w:autoSpaceDN w:val="0"/>
              <w:adjustRightInd w:val="0"/>
              <w:rPr>
                <w:b/>
                <w:color w:val="000000"/>
                <w:sz w:val="20"/>
                <w:szCs w:val="20"/>
              </w:rPr>
            </w:pPr>
            <w:r w:rsidRPr="00B14E28">
              <w:rPr>
                <w:b/>
                <w:color w:val="000000"/>
                <w:sz w:val="20"/>
                <w:szCs w:val="20"/>
              </w:rPr>
              <w:t>ALT</w:t>
            </w:r>
          </w:p>
          <w:p w:rsidR="004D5254" w:rsidRPr="004E2B0E" w:rsidRDefault="004D5254" w:rsidP="00C80331">
            <w:pPr>
              <w:autoSpaceDE w:val="0"/>
              <w:autoSpaceDN w:val="0"/>
              <w:adjustRightInd w:val="0"/>
              <w:spacing w:before="40" w:after="40"/>
              <w:ind w:left="34"/>
              <w:jc w:val="both"/>
              <w:rPr>
                <w:sz w:val="20"/>
                <w:szCs w:val="20"/>
              </w:rPr>
            </w:pPr>
          </w:p>
        </w:tc>
        <w:tc>
          <w:tcPr>
            <w:tcW w:w="6426" w:type="dxa"/>
            <w:gridSpan w:val="6"/>
            <w:shd w:val="clear" w:color="auto" w:fill="0070C0"/>
          </w:tcPr>
          <w:p w:rsidR="004D5254" w:rsidRPr="00F166CF" w:rsidRDefault="004D5254" w:rsidP="00C80331">
            <w:pPr>
              <w:autoSpaceDE w:val="0"/>
              <w:autoSpaceDN w:val="0"/>
              <w:adjustRightInd w:val="0"/>
              <w:spacing w:before="40" w:after="40"/>
              <w:ind w:left="11"/>
              <w:jc w:val="center"/>
              <w:rPr>
                <w:b/>
                <w:color w:val="FFFFFF" w:themeColor="background1"/>
                <w:sz w:val="20"/>
                <w:szCs w:val="20"/>
              </w:rPr>
            </w:pPr>
            <w:r w:rsidRPr="00F166CF">
              <w:rPr>
                <w:b/>
                <w:color w:val="FFFFFF" w:themeColor="background1"/>
                <w:sz w:val="20"/>
                <w:szCs w:val="20"/>
              </w:rPr>
              <w:t>Worst on-study grade</w:t>
            </w:r>
          </w:p>
        </w:tc>
      </w:tr>
      <w:tr w:rsidR="004D5254" w:rsidRPr="003929CB" w:rsidTr="003A2EF5">
        <w:trPr>
          <w:tblHeader/>
        </w:trPr>
        <w:tc>
          <w:tcPr>
            <w:tcW w:w="2141" w:type="dxa"/>
            <w:gridSpan w:val="2"/>
            <w:vMerge/>
            <w:tcBorders>
              <w:left w:val="nil"/>
            </w:tcBorders>
          </w:tcPr>
          <w:p w:rsidR="004D5254" w:rsidRPr="004E2B0E" w:rsidRDefault="004D5254" w:rsidP="00C80331">
            <w:pPr>
              <w:autoSpaceDE w:val="0"/>
              <w:autoSpaceDN w:val="0"/>
              <w:adjustRightInd w:val="0"/>
              <w:spacing w:before="40" w:after="40"/>
              <w:ind w:left="567"/>
              <w:rPr>
                <w:sz w:val="20"/>
                <w:szCs w:val="20"/>
              </w:rPr>
            </w:pPr>
          </w:p>
        </w:tc>
        <w:tc>
          <w:tcPr>
            <w:tcW w:w="1077" w:type="dxa"/>
            <w:shd w:val="clear" w:color="auto" w:fill="0070C0"/>
          </w:tcPr>
          <w:p w:rsidR="004D5254" w:rsidRPr="00F166CF" w:rsidRDefault="004D5254" w:rsidP="00C80331">
            <w:pPr>
              <w:autoSpaceDE w:val="0"/>
              <w:autoSpaceDN w:val="0"/>
              <w:adjustRightInd w:val="0"/>
              <w:spacing w:before="40" w:after="40"/>
              <w:ind w:left="11"/>
              <w:jc w:val="center"/>
              <w:rPr>
                <w:b/>
                <w:color w:val="FFFFFF" w:themeColor="background1"/>
                <w:sz w:val="20"/>
                <w:szCs w:val="20"/>
              </w:rPr>
            </w:pPr>
            <w:r w:rsidRPr="00F166CF">
              <w:rPr>
                <w:b/>
                <w:color w:val="FFFFFF" w:themeColor="background1"/>
                <w:sz w:val="20"/>
                <w:szCs w:val="20"/>
              </w:rPr>
              <w:t>Missing</w:t>
            </w:r>
          </w:p>
        </w:tc>
        <w:tc>
          <w:tcPr>
            <w:tcW w:w="1071" w:type="dxa"/>
            <w:shd w:val="clear" w:color="auto" w:fill="0070C0"/>
          </w:tcPr>
          <w:p w:rsidR="004D5254" w:rsidRPr="00F166CF" w:rsidRDefault="004D5254" w:rsidP="00C80331">
            <w:pPr>
              <w:autoSpaceDE w:val="0"/>
              <w:autoSpaceDN w:val="0"/>
              <w:adjustRightInd w:val="0"/>
              <w:spacing w:before="40" w:after="40"/>
              <w:jc w:val="center"/>
              <w:rPr>
                <w:b/>
                <w:color w:val="FFFFFF" w:themeColor="background1"/>
                <w:sz w:val="20"/>
                <w:szCs w:val="20"/>
              </w:rPr>
            </w:pPr>
            <w:r w:rsidRPr="00F166CF">
              <w:rPr>
                <w:b/>
                <w:color w:val="FFFFFF" w:themeColor="background1"/>
                <w:sz w:val="20"/>
                <w:szCs w:val="20"/>
              </w:rPr>
              <w:t>0</w:t>
            </w:r>
          </w:p>
        </w:tc>
        <w:tc>
          <w:tcPr>
            <w:tcW w:w="1071" w:type="dxa"/>
            <w:shd w:val="clear" w:color="auto" w:fill="0070C0"/>
          </w:tcPr>
          <w:p w:rsidR="004D5254" w:rsidRPr="00F166CF" w:rsidRDefault="004D5254" w:rsidP="00C80331">
            <w:pPr>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1</w:t>
            </w:r>
          </w:p>
        </w:tc>
        <w:tc>
          <w:tcPr>
            <w:tcW w:w="1069" w:type="dxa"/>
            <w:shd w:val="clear" w:color="auto" w:fill="0070C0"/>
          </w:tcPr>
          <w:p w:rsidR="004D5254" w:rsidRPr="00F166CF" w:rsidRDefault="004D5254" w:rsidP="00C80331">
            <w:pPr>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2</w:t>
            </w:r>
          </w:p>
        </w:tc>
        <w:tc>
          <w:tcPr>
            <w:tcW w:w="1069" w:type="dxa"/>
            <w:shd w:val="clear" w:color="auto" w:fill="0070C0"/>
          </w:tcPr>
          <w:p w:rsidR="004D5254" w:rsidRPr="00F166CF" w:rsidRDefault="004D5254" w:rsidP="00C80331">
            <w:pPr>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3</w:t>
            </w:r>
          </w:p>
        </w:tc>
        <w:tc>
          <w:tcPr>
            <w:tcW w:w="1069" w:type="dxa"/>
            <w:shd w:val="clear" w:color="auto" w:fill="0070C0"/>
          </w:tcPr>
          <w:p w:rsidR="004D5254" w:rsidRPr="00F166CF" w:rsidRDefault="004D5254" w:rsidP="00C80331">
            <w:pPr>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4</w:t>
            </w:r>
          </w:p>
        </w:tc>
      </w:tr>
      <w:tr w:rsidR="004D5254" w:rsidTr="00C80331">
        <w:tc>
          <w:tcPr>
            <w:tcW w:w="708" w:type="dxa"/>
            <w:vMerge w:val="restart"/>
            <w:textDirection w:val="btLr"/>
          </w:tcPr>
          <w:p w:rsidR="004D5254" w:rsidRPr="004E2B0E" w:rsidRDefault="004D5254" w:rsidP="00C80331">
            <w:pPr>
              <w:autoSpaceDE w:val="0"/>
              <w:autoSpaceDN w:val="0"/>
              <w:adjustRightInd w:val="0"/>
              <w:spacing w:before="40" w:after="40"/>
              <w:ind w:left="567" w:right="113"/>
              <w:rPr>
                <w:b/>
                <w:sz w:val="20"/>
                <w:szCs w:val="20"/>
              </w:rPr>
            </w:pPr>
            <w:r w:rsidRPr="004E2B0E">
              <w:rPr>
                <w:b/>
                <w:sz w:val="20"/>
                <w:szCs w:val="20"/>
              </w:rPr>
              <w:t>Baseline grade</w:t>
            </w:r>
          </w:p>
        </w:tc>
        <w:tc>
          <w:tcPr>
            <w:tcW w:w="1433" w:type="dxa"/>
          </w:tcPr>
          <w:p w:rsidR="004D5254" w:rsidRPr="004E2B0E" w:rsidRDefault="004D5254" w:rsidP="00C80331">
            <w:pPr>
              <w:autoSpaceDE w:val="0"/>
              <w:autoSpaceDN w:val="0"/>
              <w:adjustRightInd w:val="0"/>
              <w:ind w:left="567" w:hanging="533"/>
              <w:rPr>
                <w:sz w:val="20"/>
                <w:szCs w:val="20"/>
              </w:rPr>
            </w:pPr>
            <w:r w:rsidRPr="004E2B0E">
              <w:rPr>
                <w:sz w:val="20"/>
                <w:szCs w:val="20"/>
              </w:rPr>
              <w:t>Missing</w:t>
            </w:r>
            <w:r>
              <w:rPr>
                <w:sz w:val="20"/>
                <w:szCs w:val="20"/>
              </w:rPr>
              <w:t xml:space="preserve">  </w:t>
            </w:r>
            <w:r w:rsidRPr="004E2B0E">
              <w:rPr>
                <w:sz w:val="20"/>
                <w:szCs w:val="20"/>
              </w:rPr>
              <w:t>n=2</w:t>
            </w:r>
          </w:p>
        </w:tc>
        <w:tc>
          <w:tcPr>
            <w:tcW w:w="1077" w:type="dxa"/>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2</w:t>
            </w:r>
          </w:p>
        </w:tc>
        <w:tc>
          <w:tcPr>
            <w:tcW w:w="1071" w:type="dxa"/>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71" w:type="dxa"/>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r>
      <w:tr w:rsidR="004D5254" w:rsidRPr="003929CB" w:rsidTr="00C80331">
        <w:tc>
          <w:tcPr>
            <w:tcW w:w="708" w:type="dxa"/>
            <w:vMerge/>
            <w:textDirection w:val="btLr"/>
          </w:tcPr>
          <w:p w:rsidR="004D5254" w:rsidRPr="004E2B0E" w:rsidRDefault="004D5254" w:rsidP="00C80331">
            <w:pPr>
              <w:autoSpaceDE w:val="0"/>
              <w:autoSpaceDN w:val="0"/>
              <w:adjustRightInd w:val="0"/>
              <w:spacing w:before="40" w:after="40"/>
              <w:ind w:left="567" w:right="113"/>
              <w:jc w:val="center"/>
              <w:rPr>
                <w:b/>
                <w:sz w:val="20"/>
                <w:szCs w:val="20"/>
              </w:rPr>
            </w:pPr>
          </w:p>
        </w:tc>
        <w:tc>
          <w:tcPr>
            <w:tcW w:w="1433" w:type="dxa"/>
          </w:tcPr>
          <w:p w:rsidR="004D5254" w:rsidRPr="004E2B0E" w:rsidRDefault="004D5254" w:rsidP="00C80331">
            <w:pPr>
              <w:autoSpaceDE w:val="0"/>
              <w:autoSpaceDN w:val="0"/>
              <w:adjustRightInd w:val="0"/>
              <w:ind w:left="567" w:hanging="533"/>
              <w:rPr>
                <w:sz w:val="20"/>
                <w:szCs w:val="20"/>
              </w:rPr>
            </w:pPr>
            <w:r w:rsidRPr="004E2B0E">
              <w:rPr>
                <w:sz w:val="20"/>
                <w:szCs w:val="20"/>
              </w:rPr>
              <w:t>Grade 0 n=98</w:t>
            </w:r>
          </w:p>
        </w:tc>
        <w:tc>
          <w:tcPr>
            <w:tcW w:w="1077" w:type="dxa"/>
          </w:tcPr>
          <w:p w:rsidR="004D5254" w:rsidRPr="004E2B0E" w:rsidRDefault="004D5254" w:rsidP="00C80331">
            <w:pPr>
              <w:autoSpaceDE w:val="0"/>
              <w:autoSpaceDN w:val="0"/>
              <w:adjustRightInd w:val="0"/>
              <w:spacing w:before="40" w:after="40"/>
              <w:ind w:left="11"/>
              <w:jc w:val="center"/>
              <w:rPr>
                <w:sz w:val="20"/>
                <w:szCs w:val="20"/>
              </w:rPr>
            </w:pPr>
            <w:r w:rsidRPr="004E2B0E">
              <w:rPr>
                <w:sz w:val="20"/>
                <w:szCs w:val="20"/>
              </w:rPr>
              <w:t>0</w:t>
            </w:r>
          </w:p>
        </w:tc>
        <w:tc>
          <w:tcPr>
            <w:tcW w:w="1071" w:type="dxa"/>
          </w:tcPr>
          <w:p w:rsidR="004D5254" w:rsidRPr="004E2B0E" w:rsidRDefault="004D5254" w:rsidP="00C80331">
            <w:pPr>
              <w:autoSpaceDE w:val="0"/>
              <w:autoSpaceDN w:val="0"/>
              <w:adjustRightInd w:val="0"/>
              <w:spacing w:before="40" w:after="40"/>
              <w:jc w:val="center"/>
              <w:rPr>
                <w:sz w:val="20"/>
                <w:szCs w:val="20"/>
              </w:rPr>
            </w:pPr>
            <w:r w:rsidRPr="004E2B0E">
              <w:rPr>
                <w:sz w:val="20"/>
                <w:szCs w:val="20"/>
              </w:rPr>
              <w:t>54</w:t>
            </w:r>
          </w:p>
        </w:tc>
        <w:tc>
          <w:tcPr>
            <w:tcW w:w="1071" w:type="dxa"/>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31</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9</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4</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r>
      <w:tr w:rsidR="004D5254" w:rsidRPr="003929CB" w:rsidTr="00C80331">
        <w:tc>
          <w:tcPr>
            <w:tcW w:w="708" w:type="dxa"/>
            <w:vMerge/>
          </w:tcPr>
          <w:p w:rsidR="004D5254" w:rsidRPr="004E2B0E" w:rsidRDefault="004D5254" w:rsidP="00C80331">
            <w:pPr>
              <w:autoSpaceDE w:val="0"/>
              <w:autoSpaceDN w:val="0"/>
              <w:adjustRightInd w:val="0"/>
              <w:spacing w:before="40" w:after="40"/>
              <w:ind w:left="567"/>
              <w:rPr>
                <w:sz w:val="20"/>
                <w:szCs w:val="20"/>
              </w:rPr>
            </w:pPr>
          </w:p>
        </w:tc>
        <w:tc>
          <w:tcPr>
            <w:tcW w:w="1433" w:type="dxa"/>
          </w:tcPr>
          <w:p w:rsidR="004D5254" w:rsidRPr="004E2B0E" w:rsidRDefault="004D5254" w:rsidP="00C80331">
            <w:pPr>
              <w:autoSpaceDE w:val="0"/>
              <w:autoSpaceDN w:val="0"/>
              <w:adjustRightInd w:val="0"/>
              <w:ind w:left="567" w:hanging="533"/>
              <w:rPr>
                <w:sz w:val="20"/>
                <w:szCs w:val="20"/>
              </w:rPr>
            </w:pPr>
            <w:r w:rsidRPr="004E2B0E">
              <w:rPr>
                <w:sz w:val="20"/>
                <w:szCs w:val="20"/>
              </w:rPr>
              <w:t xml:space="preserve">Grade 1 </w:t>
            </w:r>
            <w:r>
              <w:rPr>
                <w:sz w:val="20"/>
                <w:szCs w:val="20"/>
              </w:rPr>
              <w:t>n=7</w:t>
            </w:r>
          </w:p>
        </w:tc>
        <w:tc>
          <w:tcPr>
            <w:tcW w:w="1077" w:type="dxa"/>
            <w:shd w:val="clear" w:color="auto" w:fill="FFFFFF" w:themeFill="background1"/>
          </w:tcPr>
          <w:p w:rsidR="004D5254" w:rsidRPr="004E2B0E" w:rsidRDefault="004D5254" w:rsidP="00C80331">
            <w:pPr>
              <w:autoSpaceDE w:val="0"/>
              <w:autoSpaceDN w:val="0"/>
              <w:adjustRightInd w:val="0"/>
              <w:spacing w:before="40" w:after="40"/>
              <w:ind w:left="11"/>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2</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2</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3</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r>
      <w:tr w:rsidR="004D5254" w:rsidRPr="003929CB" w:rsidTr="00C80331">
        <w:tc>
          <w:tcPr>
            <w:tcW w:w="708" w:type="dxa"/>
            <w:vMerge/>
          </w:tcPr>
          <w:p w:rsidR="004D5254" w:rsidRPr="004E2B0E" w:rsidRDefault="004D5254" w:rsidP="00C80331">
            <w:pPr>
              <w:autoSpaceDE w:val="0"/>
              <w:autoSpaceDN w:val="0"/>
              <w:adjustRightInd w:val="0"/>
              <w:spacing w:before="40" w:after="40"/>
              <w:ind w:left="567"/>
              <w:rPr>
                <w:sz w:val="20"/>
                <w:szCs w:val="20"/>
              </w:rPr>
            </w:pPr>
          </w:p>
        </w:tc>
        <w:tc>
          <w:tcPr>
            <w:tcW w:w="1433" w:type="dxa"/>
          </w:tcPr>
          <w:p w:rsidR="004D5254" w:rsidRPr="004E2B0E" w:rsidRDefault="004D5254" w:rsidP="00C80331">
            <w:pPr>
              <w:autoSpaceDE w:val="0"/>
              <w:autoSpaceDN w:val="0"/>
              <w:adjustRightInd w:val="0"/>
              <w:ind w:left="567" w:hanging="533"/>
              <w:rPr>
                <w:sz w:val="20"/>
                <w:szCs w:val="20"/>
              </w:rPr>
            </w:pPr>
            <w:r w:rsidRPr="004E2B0E">
              <w:rPr>
                <w:sz w:val="20"/>
                <w:szCs w:val="20"/>
              </w:rPr>
              <w:t>Grade 2 n=4</w:t>
            </w:r>
          </w:p>
        </w:tc>
        <w:tc>
          <w:tcPr>
            <w:tcW w:w="1077" w:type="dxa"/>
            <w:shd w:val="clear" w:color="auto" w:fill="FFFFFF" w:themeFill="background1"/>
          </w:tcPr>
          <w:p w:rsidR="004D5254" w:rsidRPr="004E2B0E" w:rsidRDefault="004D5254" w:rsidP="00C80331">
            <w:pPr>
              <w:autoSpaceDE w:val="0"/>
              <w:autoSpaceDN w:val="0"/>
              <w:adjustRightInd w:val="0"/>
              <w:spacing w:before="40" w:after="40"/>
              <w:ind w:left="11"/>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1</w:t>
            </w:r>
          </w:p>
        </w:tc>
        <w:tc>
          <w:tcPr>
            <w:tcW w:w="1069" w:type="dxa"/>
            <w:shd w:val="clear" w:color="auto" w:fill="FFFFFF" w:themeFill="background1"/>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3</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D9D9D9" w:themeFill="background1" w:themeFillShade="D9"/>
          </w:tcPr>
          <w:p w:rsidR="004D5254" w:rsidRPr="004E2B0E" w:rsidRDefault="004D5254" w:rsidP="00C80331">
            <w:pPr>
              <w:autoSpaceDE w:val="0"/>
              <w:autoSpaceDN w:val="0"/>
              <w:adjustRightInd w:val="0"/>
              <w:spacing w:before="40" w:after="40"/>
              <w:ind w:left="567" w:hanging="567"/>
              <w:jc w:val="center"/>
              <w:rPr>
                <w:sz w:val="20"/>
                <w:szCs w:val="20"/>
              </w:rPr>
            </w:pPr>
            <w:r w:rsidRPr="004E2B0E">
              <w:rPr>
                <w:sz w:val="20"/>
                <w:szCs w:val="20"/>
              </w:rPr>
              <w:t>0</w:t>
            </w:r>
          </w:p>
        </w:tc>
      </w:tr>
    </w:tbl>
    <w:p w:rsidR="004D5254" w:rsidRDefault="004D5254" w:rsidP="004D5254">
      <w:pPr>
        <w:autoSpaceDE w:val="0"/>
        <w:autoSpaceDN w:val="0"/>
        <w:adjustRightInd w:val="0"/>
        <w:spacing w:before="40"/>
        <w:ind w:left="567"/>
        <w:rPr>
          <w:color w:val="000000"/>
          <w:sz w:val="18"/>
          <w:szCs w:val="18"/>
        </w:rPr>
      </w:pPr>
      <w:r w:rsidRPr="00E9225D">
        <w:rPr>
          <w:color w:val="000000"/>
          <w:sz w:val="18"/>
          <w:szCs w:val="18"/>
        </w:rPr>
        <w:t>Grade 1 = &gt;1 – 2.5 x ULN</w:t>
      </w:r>
      <w:r>
        <w:rPr>
          <w:color w:val="000000"/>
          <w:sz w:val="18"/>
          <w:szCs w:val="18"/>
        </w:rPr>
        <w:tab/>
      </w:r>
      <w:r w:rsidRPr="00E9225D">
        <w:rPr>
          <w:color w:val="000000"/>
          <w:sz w:val="18"/>
          <w:szCs w:val="18"/>
        </w:rPr>
        <w:t>Grade 2 = &gt;2.5 – 5.0 x ULN</w:t>
      </w:r>
      <w:r>
        <w:rPr>
          <w:color w:val="000000"/>
          <w:sz w:val="18"/>
          <w:szCs w:val="18"/>
        </w:rPr>
        <w:tab/>
      </w:r>
      <w:r w:rsidRPr="00E9225D">
        <w:rPr>
          <w:color w:val="000000"/>
          <w:sz w:val="18"/>
          <w:szCs w:val="18"/>
        </w:rPr>
        <w:t>Grade 3 = &gt;5.0 – 20.0 x ULN</w:t>
      </w:r>
      <w:r>
        <w:rPr>
          <w:color w:val="000000"/>
          <w:sz w:val="18"/>
          <w:szCs w:val="18"/>
        </w:rPr>
        <w:t xml:space="preserve">  </w:t>
      </w:r>
      <w:r w:rsidRPr="00E9225D">
        <w:rPr>
          <w:color w:val="000000"/>
          <w:sz w:val="18"/>
          <w:szCs w:val="18"/>
        </w:rPr>
        <w:t>Grade 4 = &gt;20.0 x ULN</w:t>
      </w:r>
    </w:p>
    <w:p w:rsidR="004D5254" w:rsidRPr="00E9225D" w:rsidRDefault="004D5254" w:rsidP="004D5254">
      <w:pPr>
        <w:autoSpaceDE w:val="0"/>
        <w:autoSpaceDN w:val="0"/>
        <w:adjustRightInd w:val="0"/>
        <w:spacing w:before="40"/>
        <w:ind w:left="567"/>
        <w:rPr>
          <w:color w:val="000000"/>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1561"/>
        <w:gridCol w:w="950"/>
        <w:gridCol w:w="1071"/>
        <w:gridCol w:w="1071"/>
        <w:gridCol w:w="1069"/>
        <w:gridCol w:w="1069"/>
        <w:gridCol w:w="1069"/>
      </w:tblGrid>
      <w:tr w:rsidR="004D5254" w:rsidRPr="003929CB" w:rsidTr="003A2EF5">
        <w:trPr>
          <w:tblHeader/>
        </w:trPr>
        <w:tc>
          <w:tcPr>
            <w:tcW w:w="2268" w:type="dxa"/>
            <w:gridSpan w:val="2"/>
            <w:vMerge w:val="restart"/>
            <w:tcBorders>
              <w:top w:val="nil"/>
              <w:left w:val="nil"/>
            </w:tcBorders>
          </w:tcPr>
          <w:p w:rsidR="004D5254" w:rsidRPr="00B14E28" w:rsidRDefault="004D5254" w:rsidP="004D5254">
            <w:pPr>
              <w:pStyle w:val="ListParagraph"/>
              <w:keepNext/>
              <w:numPr>
                <w:ilvl w:val="0"/>
                <w:numId w:val="21"/>
              </w:numPr>
              <w:autoSpaceDE w:val="0"/>
              <w:autoSpaceDN w:val="0"/>
              <w:adjustRightInd w:val="0"/>
              <w:rPr>
                <w:b/>
                <w:color w:val="000000"/>
                <w:sz w:val="20"/>
                <w:szCs w:val="20"/>
              </w:rPr>
            </w:pPr>
            <w:r w:rsidRPr="00B14E28">
              <w:rPr>
                <w:b/>
                <w:color w:val="000000"/>
                <w:sz w:val="20"/>
                <w:szCs w:val="20"/>
              </w:rPr>
              <w:lastRenderedPageBreak/>
              <w:t>Total bilirubin</w:t>
            </w:r>
          </w:p>
          <w:p w:rsidR="004D5254" w:rsidRPr="004E2B0E" w:rsidRDefault="004D5254" w:rsidP="00C80331">
            <w:pPr>
              <w:keepNext/>
              <w:autoSpaceDE w:val="0"/>
              <w:autoSpaceDN w:val="0"/>
              <w:adjustRightInd w:val="0"/>
              <w:spacing w:before="40" w:after="40"/>
              <w:ind w:left="34"/>
              <w:jc w:val="both"/>
              <w:rPr>
                <w:sz w:val="20"/>
                <w:szCs w:val="20"/>
              </w:rPr>
            </w:pPr>
          </w:p>
        </w:tc>
        <w:tc>
          <w:tcPr>
            <w:tcW w:w="6299" w:type="dxa"/>
            <w:gridSpan w:val="6"/>
            <w:shd w:val="clear" w:color="auto" w:fill="0070C0"/>
          </w:tcPr>
          <w:p w:rsidR="004D5254" w:rsidRPr="00F166CF" w:rsidRDefault="004D5254" w:rsidP="00C80331">
            <w:pPr>
              <w:keepNext/>
              <w:autoSpaceDE w:val="0"/>
              <w:autoSpaceDN w:val="0"/>
              <w:adjustRightInd w:val="0"/>
              <w:spacing w:before="40" w:after="40"/>
              <w:ind w:left="11"/>
              <w:jc w:val="center"/>
              <w:rPr>
                <w:b/>
                <w:color w:val="FFFFFF" w:themeColor="background1"/>
                <w:sz w:val="20"/>
                <w:szCs w:val="20"/>
              </w:rPr>
            </w:pPr>
            <w:r w:rsidRPr="00F166CF">
              <w:rPr>
                <w:b/>
                <w:color w:val="FFFFFF" w:themeColor="background1"/>
                <w:sz w:val="20"/>
                <w:szCs w:val="20"/>
              </w:rPr>
              <w:t>Worst on-study grade</w:t>
            </w:r>
          </w:p>
        </w:tc>
      </w:tr>
      <w:tr w:rsidR="004D5254" w:rsidRPr="003929CB" w:rsidTr="003A2EF5">
        <w:trPr>
          <w:tblHeader/>
        </w:trPr>
        <w:tc>
          <w:tcPr>
            <w:tcW w:w="2268" w:type="dxa"/>
            <w:gridSpan w:val="2"/>
            <w:vMerge/>
            <w:tcBorders>
              <w:left w:val="nil"/>
            </w:tcBorders>
          </w:tcPr>
          <w:p w:rsidR="004D5254" w:rsidRPr="004E2B0E" w:rsidRDefault="004D5254" w:rsidP="00C80331">
            <w:pPr>
              <w:keepNext/>
              <w:autoSpaceDE w:val="0"/>
              <w:autoSpaceDN w:val="0"/>
              <w:adjustRightInd w:val="0"/>
              <w:spacing w:before="40" w:after="40"/>
              <w:ind w:left="567"/>
              <w:rPr>
                <w:sz w:val="20"/>
                <w:szCs w:val="20"/>
              </w:rPr>
            </w:pPr>
          </w:p>
        </w:tc>
        <w:tc>
          <w:tcPr>
            <w:tcW w:w="950" w:type="dxa"/>
            <w:shd w:val="clear" w:color="auto" w:fill="0070C0"/>
          </w:tcPr>
          <w:p w:rsidR="004D5254" w:rsidRPr="00F166CF" w:rsidRDefault="004D5254" w:rsidP="00C80331">
            <w:pPr>
              <w:keepNext/>
              <w:autoSpaceDE w:val="0"/>
              <w:autoSpaceDN w:val="0"/>
              <w:adjustRightInd w:val="0"/>
              <w:spacing w:before="40" w:after="40"/>
              <w:ind w:left="11"/>
              <w:jc w:val="center"/>
              <w:rPr>
                <w:b/>
                <w:color w:val="FFFFFF" w:themeColor="background1"/>
                <w:sz w:val="20"/>
                <w:szCs w:val="20"/>
              </w:rPr>
            </w:pPr>
            <w:r w:rsidRPr="00F166CF">
              <w:rPr>
                <w:b/>
                <w:color w:val="FFFFFF" w:themeColor="background1"/>
                <w:sz w:val="20"/>
                <w:szCs w:val="20"/>
              </w:rPr>
              <w:t>Missing</w:t>
            </w:r>
          </w:p>
        </w:tc>
        <w:tc>
          <w:tcPr>
            <w:tcW w:w="1071" w:type="dxa"/>
            <w:shd w:val="clear" w:color="auto" w:fill="0070C0"/>
          </w:tcPr>
          <w:p w:rsidR="004D5254" w:rsidRPr="00F166CF" w:rsidRDefault="004D5254" w:rsidP="00C80331">
            <w:pPr>
              <w:keepNext/>
              <w:autoSpaceDE w:val="0"/>
              <w:autoSpaceDN w:val="0"/>
              <w:adjustRightInd w:val="0"/>
              <w:spacing w:before="40" w:after="40"/>
              <w:jc w:val="center"/>
              <w:rPr>
                <w:b/>
                <w:color w:val="FFFFFF" w:themeColor="background1"/>
                <w:sz w:val="20"/>
                <w:szCs w:val="20"/>
              </w:rPr>
            </w:pPr>
            <w:r w:rsidRPr="00F166CF">
              <w:rPr>
                <w:b/>
                <w:color w:val="FFFFFF" w:themeColor="background1"/>
                <w:sz w:val="20"/>
                <w:szCs w:val="20"/>
              </w:rPr>
              <w:t>0</w:t>
            </w:r>
          </w:p>
        </w:tc>
        <w:tc>
          <w:tcPr>
            <w:tcW w:w="1071" w:type="dxa"/>
            <w:shd w:val="clear" w:color="auto" w:fill="0070C0"/>
          </w:tcPr>
          <w:p w:rsidR="004D5254" w:rsidRPr="00F166CF" w:rsidRDefault="004D5254" w:rsidP="00C80331">
            <w:pPr>
              <w:keepNext/>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1</w:t>
            </w:r>
          </w:p>
        </w:tc>
        <w:tc>
          <w:tcPr>
            <w:tcW w:w="1069" w:type="dxa"/>
            <w:shd w:val="clear" w:color="auto" w:fill="0070C0"/>
          </w:tcPr>
          <w:p w:rsidR="004D5254" w:rsidRPr="00F166CF" w:rsidRDefault="004D5254" w:rsidP="00C80331">
            <w:pPr>
              <w:keepNext/>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2</w:t>
            </w:r>
          </w:p>
        </w:tc>
        <w:tc>
          <w:tcPr>
            <w:tcW w:w="1069" w:type="dxa"/>
            <w:shd w:val="clear" w:color="auto" w:fill="0070C0"/>
          </w:tcPr>
          <w:p w:rsidR="004D5254" w:rsidRPr="00F166CF" w:rsidRDefault="004D5254" w:rsidP="00C80331">
            <w:pPr>
              <w:keepNext/>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3</w:t>
            </w:r>
          </w:p>
        </w:tc>
        <w:tc>
          <w:tcPr>
            <w:tcW w:w="1069" w:type="dxa"/>
            <w:shd w:val="clear" w:color="auto" w:fill="0070C0"/>
          </w:tcPr>
          <w:p w:rsidR="004D5254" w:rsidRPr="00F166CF" w:rsidRDefault="004D5254" w:rsidP="00C80331">
            <w:pPr>
              <w:keepNext/>
              <w:autoSpaceDE w:val="0"/>
              <w:autoSpaceDN w:val="0"/>
              <w:adjustRightInd w:val="0"/>
              <w:spacing w:before="40" w:after="40"/>
              <w:ind w:left="567" w:hanging="567"/>
              <w:jc w:val="center"/>
              <w:rPr>
                <w:b/>
                <w:color w:val="FFFFFF" w:themeColor="background1"/>
                <w:sz w:val="20"/>
                <w:szCs w:val="20"/>
              </w:rPr>
            </w:pPr>
            <w:r w:rsidRPr="00F166CF">
              <w:rPr>
                <w:b/>
                <w:color w:val="FFFFFF" w:themeColor="background1"/>
                <w:sz w:val="20"/>
                <w:szCs w:val="20"/>
              </w:rPr>
              <w:t>4</w:t>
            </w:r>
          </w:p>
        </w:tc>
      </w:tr>
      <w:tr w:rsidR="004D5254" w:rsidTr="00C80331">
        <w:tc>
          <w:tcPr>
            <w:tcW w:w="707" w:type="dxa"/>
            <w:vMerge w:val="restart"/>
            <w:textDirection w:val="btLr"/>
          </w:tcPr>
          <w:p w:rsidR="004D5254" w:rsidRPr="004E2B0E" w:rsidRDefault="004D5254" w:rsidP="00C80331">
            <w:pPr>
              <w:keepNext/>
              <w:autoSpaceDE w:val="0"/>
              <w:autoSpaceDN w:val="0"/>
              <w:adjustRightInd w:val="0"/>
              <w:spacing w:before="40" w:after="40"/>
              <w:ind w:left="567" w:right="113"/>
              <w:rPr>
                <w:b/>
                <w:sz w:val="20"/>
                <w:szCs w:val="20"/>
              </w:rPr>
            </w:pPr>
            <w:r w:rsidRPr="004E2B0E">
              <w:rPr>
                <w:b/>
                <w:sz w:val="20"/>
                <w:szCs w:val="20"/>
              </w:rPr>
              <w:t>Baseline grade</w:t>
            </w:r>
          </w:p>
        </w:tc>
        <w:tc>
          <w:tcPr>
            <w:tcW w:w="1561" w:type="dxa"/>
          </w:tcPr>
          <w:p w:rsidR="004D5254" w:rsidRPr="004E2B0E" w:rsidRDefault="004D5254" w:rsidP="00C80331">
            <w:pPr>
              <w:keepNext/>
              <w:autoSpaceDE w:val="0"/>
              <w:autoSpaceDN w:val="0"/>
              <w:adjustRightInd w:val="0"/>
              <w:ind w:left="567" w:hanging="533"/>
              <w:rPr>
                <w:sz w:val="20"/>
                <w:szCs w:val="20"/>
              </w:rPr>
            </w:pPr>
            <w:r w:rsidRPr="004E2B0E">
              <w:rPr>
                <w:sz w:val="20"/>
                <w:szCs w:val="20"/>
              </w:rPr>
              <w:t>Missing</w:t>
            </w:r>
            <w:r>
              <w:rPr>
                <w:sz w:val="20"/>
                <w:szCs w:val="20"/>
              </w:rPr>
              <w:t xml:space="preserve"> </w:t>
            </w:r>
            <w:r w:rsidRPr="004E2B0E">
              <w:rPr>
                <w:sz w:val="20"/>
                <w:szCs w:val="20"/>
              </w:rPr>
              <w:t>n=2</w:t>
            </w:r>
          </w:p>
        </w:tc>
        <w:tc>
          <w:tcPr>
            <w:tcW w:w="950" w:type="dxa"/>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2</w:t>
            </w:r>
          </w:p>
        </w:tc>
        <w:tc>
          <w:tcPr>
            <w:tcW w:w="1071" w:type="dxa"/>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1</w:t>
            </w:r>
          </w:p>
        </w:tc>
        <w:tc>
          <w:tcPr>
            <w:tcW w:w="1071" w:type="dxa"/>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r>
      <w:tr w:rsidR="004D5254" w:rsidRPr="003929CB" w:rsidTr="00C80331">
        <w:tc>
          <w:tcPr>
            <w:tcW w:w="707" w:type="dxa"/>
            <w:vMerge/>
            <w:textDirection w:val="btLr"/>
          </w:tcPr>
          <w:p w:rsidR="004D5254" w:rsidRPr="004E2B0E" w:rsidRDefault="004D5254" w:rsidP="00C80331">
            <w:pPr>
              <w:keepNext/>
              <w:autoSpaceDE w:val="0"/>
              <w:autoSpaceDN w:val="0"/>
              <w:adjustRightInd w:val="0"/>
              <w:spacing w:before="40" w:after="40"/>
              <w:ind w:left="567" w:right="113"/>
              <w:jc w:val="center"/>
              <w:rPr>
                <w:b/>
                <w:sz w:val="20"/>
                <w:szCs w:val="20"/>
              </w:rPr>
            </w:pPr>
          </w:p>
        </w:tc>
        <w:tc>
          <w:tcPr>
            <w:tcW w:w="1561" w:type="dxa"/>
          </w:tcPr>
          <w:p w:rsidR="004D5254" w:rsidRPr="004E2B0E" w:rsidRDefault="004D5254" w:rsidP="00C80331">
            <w:pPr>
              <w:keepNext/>
              <w:autoSpaceDE w:val="0"/>
              <w:autoSpaceDN w:val="0"/>
              <w:adjustRightInd w:val="0"/>
              <w:ind w:left="567" w:hanging="533"/>
              <w:rPr>
                <w:sz w:val="20"/>
                <w:szCs w:val="20"/>
              </w:rPr>
            </w:pPr>
            <w:r w:rsidRPr="004E2B0E">
              <w:rPr>
                <w:sz w:val="20"/>
                <w:szCs w:val="20"/>
              </w:rPr>
              <w:t>Grade 0</w:t>
            </w:r>
            <w:r>
              <w:rPr>
                <w:sz w:val="20"/>
                <w:szCs w:val="20"/>
              </w:rPr>
              <w:t xml:space="preserve"> </w:t>
            </w:r>
            <w:r w:rsidRPr="004E2B0E">
              <w:rPr>
                <w:sz w:val="20"/>
                <w:szCs w:val="20"/>
              </w:rPr>
              <w:t>n=103</w:t>
            </w:r>
          </w:p>
        </w:tc>
        <w:tc>
          <w:tcPr>
            <w:tcW w:w="950" w:type="dxa"/>
          </w:tcPr>
          <w:p w:rsidR="004D5254" w:rsidRPr="004E2B0E" w:rsidRDefault="004D5254" w:rsidP="00C80331">
            <w:pPr>
              <w:keepNext/>
              <w:autoSpaceDE w:val="0"/>
              <w:autoSpaceDN w:val="0"/>
              <w:adjustRightInd w:val="0"/>
              <w:spacing w:before="40" w:after="40"/>
              <w:ind w:left="11"/>
              <w:jc w:val="center"/>
              <w:rPr>
                <w:sz w:val="20"/>
                <w:szCs w:val="20"/>
              </w:rPr>
            </w:pPr>
            <w:r w:rsidRPr="004E2B0E">
              <w:rPr>
                <w:sz w:val="20"/>
                <w:szCs w:val="20"/>
              </w:rPr>
              <w:t>0</w:t>
            </w:r>
          </w:p>
        </w:tc>
        <w:tc>
          <w:tcPr>
            <w:tcW w:w="1071" w:type="dxa"/>
          </w:tcPr>
          <w:p w:rsidR="004D5254" w:rsidRPr="004E2B0E" w:rsidRDefault="004D5254" w:rsidP="00C80331">
            <w:pPr>
              <w:keepNext/>
              <w:autoSpaceDE w:val="0"/>
              <w:autoSpaceDN w:val="0"/>
              <w:adjustRightInd w:val="0"/>
              <w:spacing w:before="40" w:after="40"/>
              <w:jc w:val="center"/>
              <w:rPr>
                <w:sz w:val="20"/>
                <w:szCs w:val="20"/>
              </w:rPr>
            </w:pPr>
            <w:r w:rsidRPr="004E2B0E">
              <w:rPr>
                <w:sz w:val="20"/>
                <w:szCs w:val="20"/>
              </w:rPr>
              <w:t>80</w:t>
            </w:r>
          </w:p>
        </w:tc>
        <w:tc>
          <w:tcPr>
            <w:tcW w:w="1071" w:type="dxa"/>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14</w:t>
            </w:r>
          </w:p>
        </w:tc>
        <w:tc>
          <w:tcPr>
            <w:tcW w:w="1069" w:type="dxa"/>
            <w:shd w:val="clear" w:color="auto" w:fill="D9D9D9" w:themeFill="background1" w:themeFillShade="D9"/>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7</w:t>
            </w:r>
          </w:p>
        </w:tc>
        <w:tc>
          <w:tcPr>
            <w:tcW w:w="1069" w:type="dxa"/>
            <w:shd w:val="clear" w:color="auto" w:fill="D9D9D9" w:themeFill="background1" w:themeFillShade="D9"/>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1</w:t>
            </w:r>
          </w:p>
        </w:tc>
        <w:tc>
          <w:tcPr>
            <w:tcW w:w="1069" w:type="dxa"/>
            <w:shd w:val="clear" w:color="auto" w:fill="D9D9D9" w:themeFill="background1" w:themeFillShade="D9"/>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1</w:t>
            </w:r>
          </w:p>
        </w:tc>
      </w:tr>
      <w:tr w:rsidR="004D5254" w:rsidRPr="003929CB" w:rsidTr="00C80331">
        <w:tc>
          <w:tcPr>
            <w:tcW w:w="707" w:type="dxa"/>
            <w:vMerge/>
          </w:tcPr>
          <w:p w:rsidR="004D5254" w:rsidRPr="004E2B0E" w:rsidRDefault="004D5254" w:rsidP="00C80331">
            <w:pPr>
              <w:keepNext/>
              <w:autoSpaceDE w:val="0"/>
              <w:autoSpaceDN w:val="0"/>
              <w:adjustRightInd w:val="0"/>
              <w:spacing w:before="40" w:after="40"/>
              <w:ind w:left="567"/>
              <w:rPr>
                <w:sz w:val="20"/>
                <w:szCs w:val="20"/>
              </w:rPr>
            </w:pPr>
          </w:p>
        </w:tc>
        <w:tc>
          <w:tcPr>
            <w:tcW w:w="1561" w:type="dxa"/>
          </w:tcPr>
          <w:p w:rsidR="004D5254" w:rsidRPr="004E2B0E" w:rsidRDefault="004D5254" w:rsidP="00C80331">
            <w:pPr>
              <w:keepNext/>
              <w:autoSpaceDE w:val="0"/>
              <w:autoSpaceDN w:val="0"/>
              <w:adjustRightInd w:val="0"/>
              <w:ind w:left="567" w:hanging="533"/>
              <w:rPr>
                <w:sz w:val="20"/>
                <w:szCs w:val="20"/>
              </w:rPr>
            </w:pPr>
            <w:r w:rsidRPr="004E2B0E">
              <w:rPr>
                <w:sz w:val="20"/>
                <w:szCs w:val="20"/>
              </w:rPr>
              <w:t>Grade 1 n=4</w:t>
            </w:r>
          </w:p>
        </w:tc>
        <w:tc>
          <w:tcPr>
            <w:tcW w:w="950" w:type="dxa"/>
            <w:shd w:val="clear" w:color="auto" w:fill="FFFFFF" w:themeFill="background1"/>
          </w:tcPr>
          <w:p w:rsidR="004D5254" w:rsidRPr="004E2B0E" w:rsidRDefault="004D5254" w:rsidP="00C80331">
            <w:pPr>
              <w:keepNext/>
              <w:autoSpaceDE w:val="0"/>
              <w:autoSpaceDN w:val="0"/>
              <w:adjustRightInd w:val="0"/>
              <w:spacing w:before="40" w:after="40"/>
              <w:ind w:left="11"/>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3</w:t>
            </w:r>
          </w:p>
        </w:tc>
        <w:tc>
          <w:tcPr>
            <w:tcW w:w="1071"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D9D9D9" w:themeFill="background1" w:themeFillShade="D9"/>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D9D9D9" w:themeFill="background1" w:themeFillShade="D9"/>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1</w:t>
            </w:r>
          </w:p>
        </w:tc>
        <w:tc>
          <w:tcPr>
            <w:tcW w:w="1069" w:type="dxa"/>
            <w:shd w:val="clear" w:color="auto" w:fill="D9D9D9" w:themeFill="background1" w:themeFillShade="D9"/>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r>
      <w:tr w:rsidR="004D5254" w:rsidRPr="003929CB" w:rsidTr="00C80331">
        <w:tc>
          <w:tcPr>
            <w:tcW w:w="707" w:type="dxa"/>
            <w:vMerge/>
          </w:tcPr>
          <w:p w:rsidR="004D5254" w:rsidRPr="004E2B0E" w:rsidRDefault="004D5254" w:rsidP="00C80331">
            <w:pPr>
              <w:keepNext/>
              <w:autoSpaceDE w:val="0"/>
              <w:autoSpaceDN w:val="0"/>
              <w:adjustRightInd w:val="0"/>
              <w:spacing w:before="40" w:after="40"/>
              <w:ind w:left="567"/>
              <w:rPr>
                <w:sz w:val="20"/>
                <w:szCs w:val="20"/>
              </w:rPr>
            </w:pPr>
          </w:p>
        </w:tc>
        <w:tc>
          <w:tcPr>
            <w:tcW w:w="1561" w:type="dxa"/>
          </w:tcPr>
          <w:p w:rsidR="004D5254" w:rsidRPr="004E2B0E" w:rsidRDefault="004D5254" w:rsidP="00C80331">
            <w:pPr>
              <w:keepNext/>
              <w:autoSpaceDE w:val="0"/>
              <w:autoSpaceDN w:val="0"/>
              <w:adjustRightInd w:val="0"/>
              <w:ind w:left="567" w:hanging="533"/>
              <w:rPr>
                <w:sz w:val="20"/>
                <w:szCs w:val="20"/>
              </w:rPr>
            </w:pPr>
            <w:r w:rsidRPr="004E2B0E">
              <w:rPr>
                <w:sz w:val="20"/>
                <w:szCs w:val="20"/>
              </w:rPr>
              <w:t>Grade 2 n=0</w:t>
            </w:r>
          </w:p>
        </w:tc>
        <w:tc>
          <w:tcPr>
            <w:tcW w:w="950" w:type="dxa"/>
            <w:shd w:val="clear" w:color="auto" w:fill="FFFFFF" w:themeFill="background1"/>
          </w:tcPr>
          <w:p w:rsidR="004D5254" w:rsidRPr="004E2B0E" w:rsidRDefault="004D5254" w:rsidP="00C80331">
            <w:pPr>
              <w:keepNext/>
              <w:autoSpaceDE w:val="0"/>
              <w:autoSpaceDN w:val="0"/>
              <w:adjustRightInd w:val="0"/>
              <w:spacing w:before="40" w:after="40"/>
              <w:ind w:left="11"/>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D9D9D9" w:themeFill="background1" w:themeFillShade="D9"/>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D9D9D9" w:themeFill="background1" w:themeFillShade="D9"/>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r>
      <w:tr w:rsidR="004D5254" w:rsidRPr="003929CB" w:rsidTr="00C80331">
        <w:tc>
          <w:tcPr>
            <w:tcW w:w="707" w:type="dxa"/>
            <w:vMerge/>
          </w:tcPr>
          <w:p w:rsidR="004D5254" w:rsidRPr="004E2B0E" w:rsidRDefault="004D5254" w:rsidP="00C80331">
            <w:pPr>
              <w:keepNext/>
              <w:autoSpaceDE w:val="0"/>
              <w:autoSpaceDN w:val="0"/>
              <w:adjustRightInd w:val="0"/>
              <w:spacing w:before="40" w:after="40"/>
              <w:ind w:left="567"/>
              <w:rPr>
                <w:sz w:val="20"/>
                <w:szCs w:val="20"/>
              </w:rPr>
            </w:pPr>
          </w:p>
        </w:tc>
        <w:tc>
          <w:tcPr>
            <w:tcW w:w="1561" w:type="dxa"/>
          </w:tcPr>
          <w:p w:rsidR="004D5254" w:rsidRPr="004E2B0E" w:rsidRDefault="004D5254" w:rsidP="00C80331">
            <w:pPr>
              <w:keepNext/>
              <w:autoSpaceDE w:val="0"/>
              <w:autoSpaceDN w:val="0"/>
              <w:adjustRightInd w:val="0"/>
              <w:ind w:left="34"/>
              <w:rPr>
                <w:sz w:val="20"/>
                <w:szCs w:val="20"/>
              </w:rPr>
            </w:pPr>
            <w:r w:rsidRPr="004E2B0E">
              <w:rPr>
                <w:sz w:val="20"/>
                <w:szCs w:val="20"/>
              </w:rPr>
              <w:t xml:space="preserve">Grade 3 n=1 </w:t>
            </w:r>
          </w:p>
        </w:tc>
        <w:tc>
          <w:tcPr>
            <w:tcW w:w="950" w:type="dxa"/>
            <w:shd w:val="clear" w:color="auto" w:fill="FFFFFF" w:themeFill="background1"/>
          </w:tcPr>
          <w:p w:rsidR="004D5254" w:rsidRPr="004E2B0E" w:rsidRDefault="004D5254" w:rsidP="00C80331">
            <w:pPr>
              <w:keepNext/>
              <w:autoSpaceDE w:val="0"/>
              <w:autoSpaceDN w:val="0"/>
              <w:adjustRightInd w:val="0"/>
              <w:spacing w:before="40" w:after="40"/>
              <w:ind w:left="11"/>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71"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c>
          <w:tcPr>
            <w:tcW w:w="1069" w:type="dxa"/>
            <w:shd w:val="clear" w:color="auto" w:fill="FFFFFF" w:themeFill="background1"/>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1</w:t>
            </w:r>
          </w:p>
        </w:tc>
        <w:tc>
          <w:tcPr>
            <w:tcW w:w="1069" w:type="dxa"/>
            <w:shd w:val="clear" w:color="auto" w:fill="D9D9D9" w:themeFill="background1" w:themeFillShade="D9"/>
          </w:tcPr>
          <w:p w:rsidR="004D5254" w:rsidRPr="004E2B0E" w:rsidRDefault="004D5254" w:rsidP="00C80331">
            <w:pPr>
              <w:keepNext/>
              <w:autoSpaceDE w:val="0"/>
              <w:autoSpaceDN w:val="0"/>
              <w:adjustRightInd w:val="0"/>
              <w:spacing w:before="40" w:after="40"/>
              <w:ind w:left="567" w:hanging="567"/>
              <w:jc w:val="center"/>
              <w:rPr>
                <w:sz w:val="20"/>
                <w:szCs w:val="20"/>
              </w:rPr>
            </w:pPr>
            <w:r w:rsidRPr="004E2B0E">
              <w:rPr>
                <w:sz w:val="20"/>
                <w:szCs w:val="20"/>
              </w:rPr>
              <w:t>0</w:t>
            </w:r>
          </w:p>
        </w:tc>
      </w:tr>
    </w:tbl>
    <w:p w:rsidR="004D5254" w:rsidRPr="00E9225D" w:rsidRDefault="004D5254" w:rsidP="004D5254">
      <w:pPr>
        <w:keepNext/>
        <w:autoSpaceDE w:val="0"/>
        <w:autoSpaceDN w:val="0"/>
        <w:adjustRightInd w:val="0"/>
        <w:spacing w:before="40"/>
        <w:ind w:left="567"/>
        <w:rPr>
          <w:color w:val="000000"/>
          <w:sz w:val="18"/>
          <w:szCs w:val="18"/>
        </w:rPr>
      </w:pPr>
      <w:r w:rsidRPr="00E9225D">
        <w:rPr>
          <w:color w:val="000000"/>
          <w:sz w:val="18"/>
          <w:szCs w:val="18"/>
        </w:rPr>
        <w:t xml:space="preserve">Grade 1 = &gt;1 – </w:t>
      </w:r>
      <w:r>
        <w:rPr>
          <w:color w:val="000000"/>
          <w:sz w:val="18"/>
          <w:szCs w:val="18"/>
        </w:rPr>
        <w:t>1</w:t>
      </w:r>
      <w:r w:rsidRPr="00E9225D">
        <w:rPr>
          <w:color w:val="000000"/>
          <w:sz w:val="18"/>
          <w:szCs w:val="18"/>
        </w:rPr>
        <w:t>.5 x ULN</w:t>
      </w:r>
      <w:r>
        <w:rPr>
          <w:color w:val="000000"/>
          <w:sz w:val="18"/>
          <w:szCs w:val="18"/>
        </w:rPr>
        <w:tab/>
      </w:r>
      <w:r w:rsidRPr="00E9225D">
        <w:rPr>
          <w:color w:val="000000"/>
          <w:sz w:val="18"/>
          <w:szCs w:val="18"/>
        </w:rPr>
        <w:t>Grade 2 = &gt;</w:t>
      </w:r>
      <w:r>
        <w:rPr>
          <w:color w:val="000000"/>
          <w:sz w:val="18"/>
          <w:szCs w:val="18"/>
        </w:rPr>
        <w:t>1</w:t>
      </w:r>
      <w:r w:rsidRPr="00E9225D">
        <w:rPr>
          <w:color w:val="000000"/>
          <w:sz w:val="18"/>
          <w:szCs w:val="18"/>
        </w:rPr>
        <w:t xml:space="preserve">.5 – </w:t>
      </w:r>
      <w:r>
        <w:rPr>
          <w:color w:val="000000"/>
          <w:sz w:val="18"/>
          <w:szCs w:val="18"/>
        </w:rPr>
        <w:t>3</w:t>
      </w:r>
      <w:r w:rsidRPr="00E9225D">
        <w:rPr>
          <w:color w:val="000000"/>
          <w:sz w:val="18"/>
          <w:szCs w:val="18"/>
        </w:rPr>
        <w:t>.0 x ULN</w:t>
      </w:r>
      <w:r>
        <w:rPr>
          <w:color w:val="000000"/>
          <w:sz w:val="18"/>
          <w:szCs w:val="18"/>
        </w:rPr>
        <w:tab/>
      </w:r>
      <w:r w:rsidRPr="00E9225D">
        <w:rPr>
          <w:color w:val="000000"/>
          <w:sz w:val="18"/>
          <w:szCs w:val="18"/>
        </w:rPr>
        <w:t>Grade 3 = &gt;</w:t>
      </w:r>
      <w:r>
        <w:rPr>
          <w:color w:val="000000"/>
          <w:sz w:val="18"/>
          <w:szCs w:val="18"/>
        </w:rPr>
        <w:t>3</w:t>
      </w:r>
      <w:r w:rsidRPr="00E9225D">
        <w:rPr>
          <w:color w:val="000000"/>
          <w:sz w:val="18"/>
          <w:szCs w:val="18"/>
        </w:rPr>
        <w:t xml:space="preserve">.0 – </w:t>
      </w:r>
      <w:r>
        <w:rPr>
          <w:color w:val="000000"/>
          <w:sz w:val="18"/>
          <w:szCs w:val="18"/>
        </w:rPr>
        <w:t>1</w:t>
      </w:r>
      <w:r w:rsidRPr="00E9225D">
        <w:rPr>
          <w:color w:val="000000"/>
          <w:sz w:val="18"/>
          <w:szCs w:val="18"/>
        </w:rPr>
        <w:t>0.0 x ULN</w:t>
      </w:r>
      <w:r>
        <w:rPr>
          <w:color w:val="000000"/>
          <w:sz w:val="18"/>
          <w:szCs w:val="18"/>
        </w:rPr>
        <w:t xml:space="preserve">  </w:t>
      </w:r>
      <w:r w:rsidRPr="00E9225D">
        <w:rPr>
          <w:color w:val="000000"/>
          <w:sz w:val="18"/>
          <w:szCs w:val="18"/>
        </w:rPr>
        <w:t>Grade 4 = &gt;</w:t>
      </w:r>
      <w:r>
        <w:rPr>
          <w:color w:val="000000"/>
          <w:sz w:val="18"/>
          <w:szCs w:val="18"/>
        </w:rPr>
        <w:t>1</w:t>
      </w:r>
      <w:r w:rsidRPr="00E9225D">
        <w:rPr>
          <w:color w:val="000000"/>
          <w:sz w:val="18"/>
          <w:szCs w:val="18"/>
        </w:rPr>
        <w:t>0.0 x ULN</w:t>
      </w:r>
    </w:p>
    <w:p w:rsidR="004D5254" w:rsidRDefault="004D5254" w:rsidP="004D5254">
      <w:pPr>
        <w:pStyle w:val="ListBullet"/>
        <w:numPr>
          <w:ilvl w:val="0"/>
          <w:numId w:val="1"/>
        </w:numPr>
      </w:pPr>
      <w:r>
        <w:t>One patient entered the study with elevated AST (42 IU/L) and ALT (88 IU/l) levels. ALT levels remained elevated throughout the study (with clinically significant increases on 3 occasions), whilst the AST level normalised. AST and bilirubin levels became clinically significantly elevated around the time of treatment withdrawal due to disease progression. This patient received pralatrexate 30 mg/m</w:t>
      </w:r>
      <w:r w:rsidRPr="00382F20">
        <w:rPr>
          <w:vertAlign w:val="superscript"/>
        </w:rPr>
        <w:t>2</w:t>
      </w:r>
      <w:r>
        <w:t xml:space="preserve"> up to the time of withdrawal. </w:t>
      </w:r>
    </w:p>
    <w:p w:rsidR="004D5254" w:rsidRDefault="004D5254" w:rsidP="004D5254">
      <w:pPr>
        <w:pStyle w:val="ListBullet"/>
        <w:numPr>
          <w:ilvl w:val="0"/>
          <w:numId w:val="1"/>
        </w:numPr>
      </w:pPr>
      <w:r>
        <w:t>One patient entered the study with normal liver function. ALT values first became elevated (58 IU/L) at the time of the first dose of pralatrexate. By Dose 3 of Cycle 1 both ALT (282 IU/L) and AST (106 IU/L) were significantly elevated, with a concurrent mild elevation of total bilirubin (1.2 mg/dL). The dose was omitted, with subsequent normalisation of AST (29 IU/L) and reduction in ALT (77 IU/L). However, the total bilirubin level increased significantly to 2.1mg/dL and the dose was consequently reduced to 20 mg/m</w:t>
      </w:r>
      <w:r w:rsidRPr="004D5523">
        <w:rPr>
          <w:vertAlign w:val="superscript"/>
        </w:rPr>
        <w:t>2</w:t>
      </w:r>
      <w:r>
        <w:t>. By the time of the next dose the only abnormality was an elevated ALT (91 IU/L). The patient withdrew from treatment a week later because of disease progression. At the follow up visit liver function was normal.</w:t>
      </w:r>
    </w:p>
    <w:p w:rsidR="004D5254" w:rsidRPr="004E2B0E" w:rsidRDefault="004D5254" w:rsidP="004D5254">
      <w:pPr>
        <w:pStyle w:val="ListBullet"/>
        <w:numPr>
          <w:ilvl w:val="0"/>
          <w:numId w:val="1"/>
        </w:numPr>
      </w:pPr>
      <w:r w:rsidRPr="004E2B0E">
        <w:t>The final patient also entered the study with normal hepatic function and first developed a very mild</w:t>
      </w:r>
      <w:r>
        <w:t xml:space="preserve"> elevation in AST (39 IU/L) at Dose 2, C</w:t>
      </w:r>
      <w:r w:rsidRPr="004E2B0E">
        <w:t>ycle 1.</w:t>
      </w:r>
      <w:r>
        <w:t xml:space="preserve"> By D</w:t>
      </w:r>
      <w:r w:rsidRPr="004E2B0E">
        <w:t>ose 3 the patient’s AST and ALT were both significantly increased (217 IU/L and 249 IU/L, respectively), with a normal total bilirubin level.</w:t>
      </w:r>
      <w:r>
        <w:t xml:space="preserve"> </w:t>
      </w:r>
      <w:r w:rsidRPr="004E2B0E">
        <w:t>The dose was omitted because of thrombocytopenia.</w:t>
      </w:r>
      <w:r>
        <w:t xml:space="preserve"> </w:t>
      </w:r>
      <w:r w:rsidRPr="004E2B0E">
        <w:t>A week later the transaminase levels had returned to normal but the total bilirubin level had risen significantly from 0.4</w:t>
      </w:r>
      <w:r>
        <w:t xml:space="preserve"> </w:t>
      </w:r>
      <w:r w:rsidRPr="004E2B0E">
        <w:t>mg/dL to 1.6</w:t>
      </w:r>
      <w:r>
        <w:t xml:space="preserve"> </w:t>
      </w:r>
      <w:r w:rsidRPr="004E2B0E">
        <w:t>mg/dL.</w:t>
      </w:r>
      <w:r>
        <w:t xml:space="preserve"> </w:t>
      </w:r>
      <w:r w:rsidRPr="004E2B0E">
        <w:t>The dose was again omitted because of persisting thrombocytopaenia and the total bilirubin level subsequently returned to normal.</w:t>
      </w:r>
      <w:r>
        <w:t xml:space="preserve"> </w:t>
      </w:r>
      <w:r w:rsidRPr="004E2B0E">
        <w:t>Treatment was resumed at a reduced dose of 2</w:t>
      </w:r>
      <w:r>
        <w:t>0 mg</w:t>
      </w:r>
      <w:r w:rsidRPr="004E2B0E">
        <w:t>/m</w:t>
      </w:r>
      <w:r w:rsidRPr="004E2B0E">
        <w:rPr>
          <w:vertAlign w:val="superscript"/>
        </w:rPr>
        <w:t>2</w:t>
      </w:r>
      <w:r w:rsidRPr="004E2B0E">
        <w:t xml:space="preserve"> and the patient’s liver function remained normal thereafter.</w:t>
      </w:r>
    </w:p>
    <w:p w:rsidR="004D5254" w:rsidRDefault="004D5254" w:rsidP="004D5254">
      <w:pPr>
        <w:autoSpaceDE w:val="0"/>
        <w:autoSpaceDN w:val="0"/>
        <w:adjustRightInd w:val="0"/>
        <w:rPr>
          <w:rFonts w:ascii="Times New Roman" w:hAnsi="Times New Roman"/>
          <w:color w:val="000000"/>
          <w:sz w:val="24"/>
        </w:rPr>
      </w:pPr>
      <w:r>
        <w:rPr>
          <w:color w:val="000000"/>
        </w:rPr>
        <w:t>A further 9 patients had concurrent clinically significant elevations in both AST and ALT during treatment with pralatrexate. Most of the clinically significant elevations occurred on a background of repeated elevations in either one or both transaminases throughout treatment on study. Most of these patients did not develop abnormalities of total bilirubin levels. Two of these patients required either dose omission and/or reduction because of the abnormal liver function (patients mentioned above). Four of the patients remained on a dose of 30 mg/m</w:t>
      </w:r>
      <w:r w:rsidRPr="00FE3455">
        <w:rPr>
          <w:color w:val="000000"/>
          <w:vertAlign w:val="superscript"/>
        </w:rPr>
        <w:t>2</w:t>
      </w:r>
      <w:r>
        <w:rPr>
          <w:color w:val="000000"/>
        </w:rPr>
        <w:t xml:space="preserve"> throughout treatment, including one patient whose liver function tests completely normalised – one patient developed significantly elevated AST (80 IU/L) and ALT (213 IU/L) levels at Dose 4 of Cycle 1, which remained elevated through to Dose 6 of Cycle 1 but then subsequently decreased and remained normal until last measured at Dose 4, Cycle 3. The remaining 3 patients underwent dose reductions at some stage during treatment because of toxicities other than abnormal liver function. In one patient the abnormality in liver function coincided with the development of mucositis after Dose 3 of Cycle 1 and essentially normalised after the dose was reduced to 20 mg/m</w:t>
      </w:r>
      <w:r w:rsidRPr="000C0E5E">
        <w:rPr>
          <w:color w:val="000000"/>
          <w:vertAlign w:val="superscript"/>
        </w:rPr>
        <w:t>2</w:t>
      </w:r>
      <w:r>
        <w:rPr>
          <w:color w:val="000000"/>
        </w:rPr>
        <w:t xml:space="preserve">. The second patient  also first developed abnormal transaminases (AST 79 IU/L; ALT 190 IU/L) coincident with the development of mucositis at Dose 4 of Cycle 1 at which </w:t>
      </w:r>
      <w:r>
        <w:rPr>
          <w:color w:val="000000"/>
        </w:rPr>
        <w:lastRenderedPageBreak/>
        <w:t>time the dose was omitted. This patient had had a slightly elevated total bilirubin level but otherwise normal liver function at screening. ALT (303 IU/L) and AST (96 IU/L) became clinically significantly elevated at Dose 1 Cycle 2, whilst total bilirubin levels remained at baseline levels. The derangement in liver function persisted throughout Cycle 2 despite the omission of Doses 3 and 4 because of concurrent mucositis and a dose reduction to 20 mg/m2 for Dose 5. The patient discontinued because of persisting mucositis. The final patient experienced a derangement of liver transaminases from Dose 4 to 6 of Cycle 7, with concurrent clinically significant increases in AST (118 IU/L) and ALT (209 IU/L) at Dose 6 of Cycle 7. Apart from the single occurrence of mildly elevated AST (65 IU/L) and ALT (57 IU/L) in Cycle 3, this patient had no derangement of liver function until Cycle 7. Of note, the liver function had returned to normal by Dose 1 of Cycle 8 and remained normal apart from elevations of both AST and ALT at Dose 3 of Cycle 8. The patient had been receiving 20 mg/m</w:t>
      </w:r>
      <w:r w:rsidRPr="002F1C75">
        <w:rPr>
          <w:color w:val="000000"/>
          <w:vertAlign w:val="superscript"/>
        </w:rPr>
        <w:t>2</w:t>
      </w:r>
      <w:r>
        <w:rPr>
          <w:color w:val="000000"/>
        </w:rPr>
        <w:t xml:space="preserve"> since mid way through cycle 4 when the dose was reduced on account of mucositis.</w:t>
      </w:r>
    </w:p>
    <w:p w:rsidR="004D5254" w:rsidRDefault="004D5254" w:rsidP="004D5254">
      <w:pPr>
        <w:pStyle w:val="Heading5"/>
        <w:numPr>
          <w:ilvl w:val="3"/>
          <w:numId w:val="5"/>
        </w:numPr>
      </w:pPr>
      <w:r>
        <w:rPr>
          <w:rFonts w:ascii="Times New Roman" w:hAnsi="Times New Roman"/>
          <w:color w:val="000000"/>
          <w:sz w:val="24"/>
        </w:rPr>
        <w:t xml:space="preserve"> </w:t>
      </w:r>
      <w:r>
        <w:t>Other studies</w:t>
      </w:r>
    </w:p>
    <w:p w:rsidR="004D5254" w:rsidRDefault="004D5254" w:rsidP="004D5254">
      <w:r w:rsidRPr="001F10F1">
        <w:t>T</w:t>
      </w:r>
      <w:r>
        <w:t xml:space="preserve">he proportion of patients with clinically significant laboratory abnormalities by safety population was tabulated in the study report. </w:t>
      </w:r>
      <w:r>
        <w:rPr>
          <w:rFonts w:eastAsia="TimesNewRoman" w:cs="TimesNewRoman"/>
        </w:rPr>
        <w:t xml:space="preserve">The denominators in the table are based on the number of patients who had a baseline measurement and at least one measurement performed while receiving pralatrexate. The denominators for some of the parameters vary considerably, especially for Population 5. This is because some studies did not routinely measure all laboratory parameters and in some studies, even though parameters were measured they were not measured in all patients. </w:t>
      </w:r>
      <w:r>
        <w:t>The shaded columns represent those patients who received pralatrexate 30 mg/m</w:t>
      </w:r>
      <w:r w:rsidRPr="00CF1453">
        <w:rPr>
          <w:vertAlign w:val="superscript"/>
        </w:rPr>
        <w:t>2</w:t>
      </w:r>
      <w:r>
        <w:t xml:space="preserve"> every 6 of 7 weeks (Population 1 and a subset of patients in Study PDX-02-078). </w:t>
      </w:r>
    </w:p>
    <w:p w:rsidR="004D5254" w:rsidRDefault="004D5254" w:rsidP="004D5254">
      <w:pPr>
        <w:rPr>
          <w:rFonts w:eastAsia="TimesNewRoman" w:cs="TimesNewRoman"/>
        </w:rPr>
      </w:pPr>
      <w:r>
        <w:t>C</w:t>
      </w:r>
      <w:r w:rsidRPr="000505D6">
        <w:rPr>
          <w:rFonts w:eastAsia="TimesNewRoman" w:cs="TimesNewRoman"/>
        </w:rPr>
        <w:t>linically significantly hig</w:t>
      </w:r>
      <w:r>
        <w:rPr>
          <w:rFonts w:eastAsia="TimesNewRoman" w:cs="TimesNewRoman"/>
        </w:rPr>
        <w:t xml:space="preserve">h values of serum </w:t>
      </w:r>
      <w:r w:rsidRPr="000505D6">
        <w:rPr>
          <w:rFonts w:eastAsia="TimesNewRoman" w:cs="TimesNewRoman"/>
        </w:rPr>
        <w:t xml:space="preserve">transaminases </w:t>
      </w:r>
      <w:r>
        <w:rPr>
          <w:rFonts w:eastAsia="TimesNewRoman" w:cs="TimesNewRoman"/>
        </w:rPr>
        <w:t>were reported in</w:t>
      </w:r>
      <w:r w:rsidRPr="000505D6">
        <w:rPr>
          <w:rFonts w:eastAsia="TimesNewRoman" w:cs="TimesNewRoman"/>
        </w:rPr>
        <w:t xml:space="preserve"> </w:t>
      </w:r>
      <w:r>
        <w:rPr>
          <w:rFonts w:eastAsia="TimesNewRoman" w:cs="TimesNewRoman"/>
        </w:rPr>
        <w:t>2</w:t>
      </w:r>
      <w:r w:rsidRPr="000505D6">
        <w:rPr>
          <w:rFonts w:eastAsia="TimesNewRoman" w:cs="TimesNewRoman"/>
        </w:rPr>
        <w:t>-1</w:t>
      </w:r>
      <w:r>
        <w:rPr>
          <w:rFonts w:eastAsia="TimesNewRoman" w:cs="TimesNewRoman"/>
        </w:rPr>
        <w:t>7</w:t>
      </w:r>
      <w:r w:rsidRPr="000505D6">
        <w:rPr>
          <w:rFonts w:eastAsia="TimesNewRoman" w:cs="TimesNewRoman"/>
        </w:rPr>
        <w:t xml:space="preserve">% of patients, </w:t>
      </w:r>
      <w:r>
        <w:rPr>
          <w:rFonts w:eastAsia="TimesNewRoman" w:cs="TimesNewRoman"/>
        </w:rPr>
        <w:t xml:space="preserve">depending on the study population, with numerically higher rates amongst patients with lymphomas. </w:t>
      </w:r>
      <w:r>
        <w:t>C</w:t>
      </w:r>
      <w:r w:rsidRPr="000505D6">
        <w:rPr>
          <w:rFonts w:eastAsia="TimesNewRoman" w:cs="TimesNewRoman"/>
        </w:rPr>
        <w:t>linically significantly hig</w:t>
      </w:r>
      <w:r>
        <w:rPr>
          <w:rFonts w:eastAsia="TimesNewRoman" w:cs="TimesNewRoman"/>
        </w:rPr>
        <w:t xml:space="preserve">h </w:t>
      </w:r>
      <w:r w:rsidRPr="000505D6">
        <w:rPr>
          <w:rFonts w:eastAsia="TimesNewRoman" w:cs="TimesNewRoman"/>
        </w:rPr>
        <w:t xml:space="preserve">bilirubin </w:t>
      </w:r>
      <w:r>
        <w:rPr>
          <w:rFonts w:eastAsia="TimesNewRoman" w:cs="TimesNewRoman"/>
        </w:rPr>
        <w:t xml:space="preserve">levels were observed in </w:t>
      </w:r>
      <w:r w:rsidRPr="000505D6">
        <w:rPr>
          <w:rFonts w:eastAsia="TimesNewRoman" w:cs="TimesNewRoman"/>
        </w:rPr>
        <w:t>2-</w:t>
      </w:r>
      <w:r>
        <w:rPr>
          <w:rFonts w:eastAsia="TimesNewRoman" w:cs="TimesNewRoman"/>
        </w:rPr>
        <w:t>16</w:t>
      </w:r>
      <w:r w:rsidRPr="000505D6">
        <w:rPr>
          <w:rFonts w:eastAsia="TimesNewRoman" w:cs="TimesNewRoman"/>
        </w:rPr>
        <w:t>% of patients.</w:t>
      </w:r>
    </w:p>
    <w:p w:rsidR="004D5254" w:rsidRPr="00F6488A" w:rsidRDefault="004D5254" w:rsidP="004D5254">
      <w:r>
        <w:rPr>
          <w:rFonts w:eastAsia="TimesNewRoman" w:cs="TimesNewRoman"/>
        </w:rPr>
        <w:t xml:space="preserve">A total of 27 patients in Study PDX-02-078 were </w:t>
      </w:r>
      <w:r w:rsidRPr="00F6488A">
        <w:rPr>
          <w:rFonts w:eastAsia="TimesNewRoman" w:cs="TimesNewRoman"/>
        </w:rPr>
        <w:t xml:space="preserve">treated at the same dose/frequency </w:t>
      </w:r>
      <w:r>
        <w:rPr>
          <w:rFonts w:eastAsia="TimesNewRoman" w:cs="TimesNewRoman"/>
        </w:rPr>
        <w:t xml:space="preserve">of </w:t>
      </w:r>
      <w:r w:rsidRPr="00F6488A">
        <w:rPr>
          <w:rFonts w:eastAsia="TimesNewRoman" w:cs="TimesNewRoman"/>
        </w:rPr>
        <w:t>pralatrexate as administered in PDX-008</w:t>
      </w:r>
      <w:r>
        <w:rPr>
          <w:rFonts w:eastAsia="TimesNewRoman" w:cs="TimesNewRoman"/>
        </w:rPr>
        <w:t>. Of these patients, 11 (44%) had at least one clinically significant abnormality on liver function testing. C</w:t>
      </w:r>
      <w:r w:rsidRPr="00F6488A">
        <w:rPr>
          <w:rFonts w:eastAsia="TimesNewRoman" w:cs="TimesNewRoman"/>
        </w:rPr>
        <w:t xml:space="preserve">linically significant abnormalities </w:t>
      </w:r>
      <w:r>
        <w:rPr>
          <w:rFonts w:eastAsia="TimesNewRoman" w:cs="TimesNewRoman"/>
        </w:rPr>
        <w:t xml:space="preserve">of </w:t>
      </w:r>
      <w:r w:rsidRPr="00F6488A">
        <w:rPr>
          <w:rFonts w:eastAsia="TimesNewRoman" w:cs="TimesNewRoman"/>
        </w:rPr>
        <w:t>ALT, AST and bilirubin</w:t>
      </w:r>
      <w:r>
        <w:rPr>
          <w:rFonts w:eastAsia="TimesNewRoman" w:cs="TimesNewRoman"/>
        </w:rPr>
        <w:t xml:space="preserve"> were each observed in </w:t>
      </w:r>
      <w:r w:rsidRPr="00F6488A">
        <w:rPr>
          <w:rFonts w:eastAsia="TimesNewRoman" w:cs="TimesNewRoman"/>
        </w:rPr>
        <w:t>5</w:t>
      </w:r>
      <w:r>
        <w:rPr>
          <w:rFonts w:eastAsia="TimesNewRoman" w:cs="TimesNewRoman"/>
        </w:rPr>
        <w:t xml:space="preserve"> (</w:t>
      </w:r>
      <w:r w:rsidRPr="00F6488A">
        <w:rPr>
          <w:rFonts w:eastAsia="TimesNewRoman" w:cs="TimesNewRoman"/>
        </w:rPr>
        <w:t>19%)</w:t>
      </w:r>
      <w:r>
        <w:rPr>
          <w:rFonts w:eastAsia="TimesNewRoman" w:cs="TimesNewRoman"/>
        </w:rPr>
        <w:t xml:space="preserve"> patients, which is similar to the rates observed in Study PDX-008. Additionally, 4 (15%) patients had clinically significant elevations in </w:t>
      </w:r>
      <w:r w:rsidRPr="00F6488A">
        <w:rPr>
          <w:rFonts w:eastAsia="TimesNewRoman" w:cs="TimesNewRoman"/>
        </w:rPr>
        <w:t xml:space="preserve">alkaline phosphatase </w:t>
      </w:r>
      <w:r>
        <w:rPr>
          <w:rFonts w:eastAsia="TimesNewRoman" w:cs="TimesNewRoman"/>
        </w:rPr>
        <w:t xml:space="preserve">(which was not measured in the pivotal study). Of particular note with this study, all 11 patients who developed clinically significant abnormalities of liver function had at least one abnormal liver function parameter at baseline, suggesting a possible contribution of the underlying disease and/or prior therapy. Only one patient had a dose of pralatrexate omitted because of derangement in liver function. This patient with </w:t>
      </w:r>
      <w:r w:rsidRPr="00601FBD">
        <w:rPr>
          <w:rFonts w:cs="SASMonospace"/>
        </w:rPr>
        <w:t xml:space="preserve">composite B/T cell </w:t>
      </w:r>
      <w:r>
        <w:rPr>
          <w:rFonts w:cs="SASMonospace"/>
        </w:rPr>
        <w:t>NHL entered the study with elevated alkaline phosphatase (207 IU/L; NR 0-115 IU/L) and ALT (62 IU/L; NR 5-37 IU/L) levels, both of which became significantly elevated by Dose 6 of Cycle 2 (Alkaline phosphatase 950; ALT 234) during treatment with a 15 mg/m</w:t>
      </w:r>
      <w:r w:rsidRPr="003969DF">
        <w:rPr>
          <w:rFonts w:cs="SASMonospace"/>
          <w:vertAlign w:val="superscript"/>
        </w:rPr>
        <w:t>2</w:t>
      </w:r>
      <w:r>
        <w:rPr>
          <w:rFonts w:cs="SASMonospace"/>
        </w:rPr>
        <w:t xml:space="preserve"> dose (reduced in Cycle 1 because of thrombocytopaenia). </w:t>
      </w:r>
      <w:r>
        <w:rPr>
          <w:rFonts w:eastAsia="TimesNewRoman" w:cs="TimesNewRoman"/>
        </w:rPr>
        <w:t xml:space="preserve">The dose was omitted and the patient was subsequently withdrawn as a result of “investigator decision”. </w:t>
      </w:r>
    </w:p>
    <w:p w:rsidR="004D5254" w:rsidRDefault="004D5254" w:rsidP="004D5254">
      <w:pPr>
        <w:pStyle w:val="Heading4"/>
        <w:numPr>
          <w:ilvl w:val="2"/>
          <w:numId w:val="5"/>
        </w:numPr>
      </w:pPr>
      <w:bookmarkStart w:id="284" w:name="_Toc272414670"/>
      <w:bookmarkStart w:id="285" w:name="_Toc290846308"/>
      <w:bookmarkStart w:id="286" w:name="_Toc320881467"/>
      <w:r>
        <w:t>Kidney function</w:t>
      </w:r>
      <w:bookmarkEnd w:id="284"/>
      <w:bookmarkEnd w:id="285"/>
      <w:bookmarkEnd w:id="286"/>
    </w:p>
    <w:p w:rsidR="004D5254" w:rsidRDefault="004D5254" w:rsidP="004D5254">
      <w:pPr>
        <w:pStyle w:val="Heading5"/>
        <w:numPr>
          <w:ilvl w:val="3"/>
          <w:numId w:val="5"/>
        </w:numPr>
      </w:pPr>
      <w:r>
        <w:t>Pivotal study</w:t>
      </w:r>
    </w:p>
    <w:p w:rsidR="004D5254" w:rsidRPr="00194C0F" w:rsidRDefault="004D5254" w:rsidP="004D5254">
      <w:pPr>
        <w:autoSpaceDE w:val="0"/>
        <w:autoSpaceDN w:val="0"/>
        <w:adjustRightInd w:val="0"/>
        <w:rPr>
          <w:color w:val="000000"/>
        </w:rPr>
      </w:pPr>
      <w:r w:rsidRPr="00D462B7">
        <w:t>All but 2 patients entered the study with normal serum creatinine levels.</w:t>
      </w:r>
      <w:r>
        <w:t xml:space="preserve"> </w:t>
      </w:r>
      <w:r w:rsidRPr="00D462B7">
        <w:t>The vast majority of these patients had no deterioration in renal function</w:t>
      </w:r>
      <w:r w:rsidRPr="001F10F1">
        <w:t xml:space="preserve"> (Table 20).</w:t>
      </w:r>
      <w:r>
        <w:t xml:space="preserve"> </w:t>
      </w:r>
      <w:r w:rsidRPr="00D462B7">
        <w:rPr>
          <w:color w:val="000000"/>
        </w:rPr>
        <w:t>Clinically significant increase</w:t>
      </w:r>
      <w:r>
        <w:rPr>
          <w:color w:val="000000"/>
        </w:rPr>
        <w:t>s in</w:t>
      </w:r>
      <w:r w:rsidRPr="00D462B7">
        <w:rPr>
          <w:color w:val="000000"/>
        </w:rPr>
        <w:t xml:space="preserve"> creatinine w</w:t>
      </w:r>
      <w:r>
        <w:rPr>
          <w:color w:val="000000"/>
        </w:rPr>
        <w:t>ere</w:t>
      </w:r>
      <w:r w:rsidRPr="00D462B7">
        <w:rPr>
          <w:color w:val="000000"/>
        </w:rPr>
        <w:t xml:space="preserve"> reported </w:t>
      </w:r>
      <w:r>
        <w:rPr>
          <w:color w:val="000000"/>
        </w:rPr>
        <w:t>for</w:t>
      </w:r>
      <w:r w:rsidRPr="00D462B7">
        <w:rPr>
          <w:color w:val="000000"/>
        </w:rPr>
        <w:t xml:space="preserve"> 3 patients</w:t>
      </w:r>
      <w:r>
        <w:rPr>
          <w:color w:val="000000"/>
        </w:rPr>
        <w:t>,</w:t>
      </w:r>
      <w:r w:rsidRPr="00D462B7">
        <w:rPr>
          <w:color w:val="000000"/>
        </w:rPr>
        <w:t xml:space="preserve"> with maximum levels of 2.2 mg/dL</w:t>
      </w:r>
      <w:r>
        <w:rPr>
          <w:color w:val="000000"/>
        </w:rPr>
        <w:t>; ULN 1.3mg/dL</w:t>
      </w:r>
      <w:r w:rsidRPr="00D462B7">
        <w:rPr>
          <w:color w:val="000000"/>
        </w:rPr>
        <w:t xml:space="preserve"> (patient 025)</w:t>
      </w:r>
      <w:r>
        <w:rPr>
          <w:color w:val="000000"/>
        </w:rPr>
        <w:t>,</w:t>
      </w:r>
      <w:r w:rsidRPr="00D462B7">
        <w:rPr>
          <w:color w:val="000000"/>
        </w:rPr>
        <w:t xml:space="preserve"> 6.5 mg/dL</w:t>
      </w:r>
      <w:r>
        <w:rPr>
          <w:color w:val="000000"/>
        </w:rPr>
        <w:t>; ULN 1.5 mg/dL</w:t>
      </w:r>
      <w:r w:rsidRPr="00D462B7">
        <w:rPr>
          <w:color w:val="000000"/>
        </w:rPr>
        <w:t xml:space="preserve"> (</w:t>
      </w:r>
      <w:r>
        <w:rPr>
          <w:color w:val="000000"/>
        </w:rPr>
        <w:t xml:space="preserve">patient </w:t>
      </w:r>
      <w:r w:rsidRPr="00D462B7">
        <w:rPr>
          <w:color w:val="000000"/>
        </w:rPr>
        <w:t>077) and 4.5 mg/dL</w:t>
      </w:r>
      <w:r>
        <w:rPr>
          <w:color w:val="000000"/>
        </w:rPr>
        <w:t>; ULN 1.3mg/dL</w:t>
      </w:r>
      <w:r w:rsidRPr="00D462B7">
        <w:rPr>
          <w:color w:val="000000"/>
        </w:rPr>
        <w:t xml:space="preserve"> (</w:t>
      </w:r>
      <w:r>
        <w:rPr>
          <w:color w:val="000000"/>
        </w:rPr>
        <w:t xml:space="preserve">patient </w:t>
      </w:r>
      <w:r w:rsidRPr="00D462B7">
        <w:rPr>
          <w:color w:val="000000"/>
        </w:rPr>
        <w:t>106), respectively</w:t>
      </w:r>
      <w:r>
        <w:rPr>
          <w:color w:val="000000"/>
        </w:rPr>
        <w:t>. For two of these patients, the underlying disease process played a key role in the development of elevated creatinine levels. One p</w:t>
      </w:r>
      <w:r w:rsidRPr="00194C0F">
        <w:rPr>
          <w:color w:val="000000"/>
        </w:rPr>
        <w:t>atient developed renal failure as a consequence of ureteric obstruction asso</w:t>
      </w:r>
      <w:r>
        <w:rPr>
          <w:color w:val="000000"/>
        </w:rPr>
        <w:t xml:space="preserve">ciated with disease progression, whilst the recent </w:t>
      </w:r>
      <w:r>
        <w:rPr>
          <w:color w:val="000000"/>
        </w:rPr>
        <w:lastRenderedPageBreak/>
        <w:t>medical history of another p</w:t>
      </w:r>
      <w:r w:rsidRPr="00194C0F">
        <w:rPr>
          <w:color w:val="000000"/>
        </w:rPr>
        <w:t xml:space="preserve">atient </w:t>
      </w:r>
      <w:r w:rsidRPr="00194C0F">
        <w:t>included bilateral hydronephrosis</w:t>
      </w:r>
      <w:r>
        <w:t xml:space="preserve"> and </w:t>
      </w:r>
      <w:r w:rsidRPr="00194C0F">
        <w:t>a recent hospitali</w:t>
      </w:r>
      <w:r>
        <w:t>s</w:t>
      </w:r>
      <w:r w:rsidRPr="00194C0F">
        <w:t>ation for acute renal failure secondary to ureteric obstruction requiring bilateral nephrostomy tube placement</w:t>
      </w:r>
      <w:r>
        <w:t xml:space="preserve">. One patient </w:t>
      </w:r>
      <w:r w:rsidRPr="00194C0F">
        <w:rPr>
          <w:color w:val="000000"/>
        </w:rPr>
        <w:t>was withdrawn from pralatrexate treatment when he developed renal failure.</w:t>
      </w:r>
      <w:r>
        <w:rPr>
          <w:color w:val="000000"/>
        </w:rPr>
        <w:t xml:space="preserve"> </w:t>
      </w:r>
      <w:r>
        <w:t>Both patients had sudden marked increases in serum creatinine levels. On the other hand, another p</w:t>
      </w:r>
      <w:r>
        <w:rPr>
          <w:color w:val="000000"/>
        </w:rPr>
        <w:t>atient, had an elevated creatine level at the time of the first dose, which persisted throughout dosing (at 30 mg/m</w:t>
      </w:r>
      <w:r w:rsidRPr="009E2239">
        <w:rPr>
          <w:color w:val="000000"/>
          <w:vertAlign w:val="superscript"/>
        </w:rPr>
        <w:t>2</w:t>
      </w:r>
      <w:r>
        <w:rPr>
          <w:color w:val="000000"/>
        </w:rPr>
        <w:t>) until treatment was withdrawn after Dose 6 of Cycle 3, on account of a concomitant steroid injection. The maximum creatinine level of 2.2 mg/dL occurred at Dose 2 of Cycle 2.</w:t>
      </w:r>
    </w:p>
    <w:p w:rsidR="004D5254" w:rsidRDefault="004D5254" w:rsidP="004D5254">
      <w:pPr>
        <w:pStyle w:val="FigureTitle"/>
        <w:rPr>
          <w:rFonts w:ascii="Times New Roman" w:hAnsi="Times New Roman"/>
          <w:color w:val="000000"/>
          <w:sz w:val="24"/>
        </w:rPr>
      </w:pPr>
      <w:bookmarkStart w:id="287" w:name="_Toc320881543"/>
      <w:r>
        <w:t>Table 20. Study PDX-008 - shifts in serum creatinine levels during treatment with pralatrexate</w:t>
      </w:r>
      <w:bookmarkEnd w:id="287"/>
    </w:p>
    <w:tbl>
      <w:tblPr>
        <w:tblStyle w:val="TableGrid"/>
        <w:tblW w:w="0" w:type="auto"/>
        <w:tblInd w:w="1101" w:type="dxa"/>
        <w:tblLook w:val="04A0"/>
      </w:tblPr>
      <w:tblGrid>
        <w:gridCol w:w="850"/>
        <w:gridCol w:w="1276"/>
        <w:gridCol w:w="992"/>
        <w:gridCol w:w="992"/>
        <w:gridCol w:w="992"/>
        <w:gridCol w:w="992"/>
        <w:gridCol w:w="992"/>
        <w:gridCol w:w="993"/>
      </w:tblGrid>
      <w:tr w:rsidR="004D5254" w:rsidRPr="003929CB" w:rsidTr="003A2EF5">
        <w:trPr>
          <w:tblHeader/>
        </w:trPr>
        <w:tc>
          <w:tcPr>
            <w:tcW w:w="2126" w:type="dxa"/>
            <w:gridSpan w:val="2"/>
            <w:vMerge w:val="restart"/>
            <w:tcBorders>
              <w:top w:val="nil"/>
              <w:left w:val="nil"/>
            </w:tcBorders>
          </w:tcPr>
          <w:p w:rsidR="004D5254" w:rsidRPr="003929CB" w:rsidRDefault="004D5254" w:rsidP="00C80331">
            <w:pPr>
              <w:autoSpaceDE w:val="0"/>
              <w:autoSpaceDN w:val="0"/>
              <w:adjustRightInd w:val="0"/>
              <w:spacing w:before="40" w:after="40"/>
              <w:rPr>
                <w:sz w:val="20"/>
                <w:szCs w:val="20"/>
              </w:rPr>
            </w:pPr>
          </w:p>
        </w:tc>
        <w:tc>
          <w:tcPr>
            <w:tcW w:w="5953" w:type="dxa"/>
            <w:gridSpan w:val="6"/>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Worst on-study grade</w:t>
            </w:r>
          </w:p>
        </w:tc>
      </w:tr>
      <w:tr w:rsidR="004D5254" w:rsidRPr="003929CB" w:rsidTr="003A2EF5">
        <w:trPr>
          <w:tblHeader/>
        </w:trPr>
        <w:tc>
          <w:tcPr>
            <w:tcW w:w="2126" w:type="dxa"/>
            <w:gridSpan w:val="2"/>
            <w:vMerge/>
            <w:tcBorders>
              <w:left w:val="nil"/>
            </w:tcBorders>
          </w:tcPr>
          <w:p w:rsidR="004D5254" w:rsidRPr="003929CB" w:rsidRDefault="004D5254" w:rsidP="00C80331">
            <w:pPr>
              <w:autoSpaceDE w:val="0"/>
              <w:autoSpaceDN w:val="0"/>
              <w:adjustRightInd w:val="0"/>
              <w:spacing w:before="40" w:after="40"/>
              <w:rPr>
                <w:sz w:val="20"/>
                <w:szCs w:val="20"/>
              </w:rPr>
            </w:pPr>
          </w:p>
        </w:tc>
        <w:tc>
          <w:tcPr>
            <w:tcW w:w="992" w:type="dxa"/>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Missing</w:t>
            </w:r>
          </w:p>
        </w:tc>
        <w:tc>
          <w:tcPr>
            <w:tcW w:w="992" w:type="dxa"/>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0</w:t>
            </w:r>
          </w:p>
        </w:tc>
        <w:tc>
          <w:tcPr>
            <w:tcW w:w="992" w:type="dxa"/>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1</w:t>
            </w:r>
          </w:p>
        </w:tc>
        <w:tc>
          <w:tcPr>
            <w:tcW w:w="992" w:type="dxa"/>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2</w:t>
            </w:r>
          </w:p>
        </w:tc>
        <w:tc>
          <w:tcPr>
            <w:tcW w:w="992" w:type="dxa"/>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3</w:t>
            </w:r>
          </w:p>
        </w:tc>
        <w:tc>
          <w:tcPr>
            <w:tcW w:w="993" w:type="dxa"/>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4</w:t>
            </w:r>
          </w:p>
        </w:tc>
      </w:tr>
      <w:tr w:rsidR="004D5254" w:rsidTr="00C80331">
        <w:tc>
          <w:tcPr>
            <w:tcW w:w="850" w:type="dxa"/>
            <w:vMerge w:val="restart"/>
            <w:textDirection w:val="btLr"/>
          </w:tcPr>
          <w:p w:rsidR="004D5254" w:rsidRDefault="004D5254" w:rsidP="00C80331">
            <w:pPr>
              <w:autoSpaceDE w:val="0"/>
              <w:autoSpaceDN w:val="0"/>
              <w:adjustRightInd w:val="0"/>
              <w:spacing w:before="40" w:after="40"/>
              <w:ind w:left="113" w:right="113"/>
              <w:jc w:val="center"/>
              <w:rPr>
                <w:b/>
                <w:sz w:val="20"/>
                <w:szCs w:val="20"/>
              </w:rPr>
            </w:pPr>
            <w:r>
              <w:rPr>
                <w:b/>
                <w:sz w:val="20"/>
                <w:szCs w:val="20"/>
              </w:rPr>
              <w:t>Baseline grade</w:t>
            </w:r>
          </w:p>
        </w:tc>
        <w:tc>
          <w:tcPr>
            <w:tcW w:w="1276" w:type="dxa"/>
          </w:tcPr>
          <w:p w:rsidR="004D5254" w:rsidRDefault="004D5254" w:rsidP="00C80331">
            <w:pPr>
              <w:autoSpaceDE w:val="0"/>
              <w:autoSpaceDN w:val="0"/>
              <w:adjustRightInd w:val="0"/>
              <w:rPr>
                <w:sz w:val="20"/>
                <w:szCs w:val="20"/>
              </w:rPr>
            </w:pPr>
            <w:r>
              <w:rPr>
                <w:sz w:val="20"/>
                <w:szCs w:val="20"/>
              </w:rPr>
              <w:t>Missing</w:t>
            </w:r>
          </w:p>
          <w:p w:rsidR="004D5254" w:rsidRPr="003929CB" w:rsidRDefault="004D5254" w:rsidP="00C80331">
            <w:pPr>
              <w:autoSpaceDE w:val="0"/>
              <w:autoSpaceDN w:val="0"/>
              <w:adjustRightInd w:val="0"/>
              <w:rPr>
                <w:sz w:val="20"/>
                <w:szCs w:val="20"/>
              </w:rPr>
            </w:pPr>
            <w:r>
              <w:rPr>
                <w:sz w:val="20"/>
                <w:szCs w:val="20"/>
              </w:rPr>
              <w:t>(n=1)</w:t>
            </w:r>
          </w:p>
        </w:tc>
        <w:tc>
          <w:tcPr>
            <w:tcW w:w="992" w:type="dxa"/>
          </w:tcPr>
          <w:p w:rsidR="004D5254" w:rsidRDefault="004D5254" w:rsidP="00C80331">
            <w:pPr>
              <w:autoSpaceDE w:val="0"/>
              <w:autoSpaceDN w:val="0"/>
              <w:adjustRightInd w:val="0"/>
              <w:spacing w:before="40" w:after="40"/>
              <w:jc w:val="center"/>
              <w:rPr>
                <w:sz w:val="20"/>
                <w:szCs w:val="20"/>
              </w:rPr>
            </w:pPr>
            <w:r>
              <w:rPr>
                <w:sz w:val="20"/>
                <w:szCs w:val="20"/>
              </w:rPr>
              <w:t>1</w:t>
            </w:r>
          </w:p>
        </w:tc>
        <w:tc>
          <w:tcPr>
            <w:tcW w:w="992" w:type="dxa"/>
          </w:tcPr>
          <w:p w:rsidR="004D5254" w:rsidRDefault="004D5254" w:rsidP="00C80331">
            <w:pPr>
              <w:autoSpaceDE w:val="0"/>
              <w:autoSpaceDN w:val="0"/>
              <w:adjustRightInd w:val="0"/>
              <w:spacing w:before="40" w:after="40"/>
              <w:jc w:val="center"/>
              <w:rPr>
                <w:sz w:val="20"/>
                <w:szCs w:val="20"/>
              </w:rPr>
            </w:pPr>
            <w:r>
              <w:rPr>
                <w:sz w:val="20"/>
                <w:szCs w:val="20"/>
              </w:rPr>
              <w:t>0</w:t>
            </w:r>
          </w:p>
        </w:tc>
        <w:tc>
          <w:tcPr>
            <w:tcW w:w="992" w:type="dxa"/>
          </w:tcPr>
          <w:p w:rsidR="004D5254"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Default="004D5254" w:rsidP="00C80331">
            <w:pPr>
              <w:autoSpaceDE w:val="0"/>
              <w:autoSpaceDN w:val="0"/>
              <w:adjustRightInd w:val="0"/>
              <w:spacing w:before="40" w:after="40"/>
              <w:jc w:val="center"/>
              <w:rPr>
                <w:sz w:val="20"/>
                <w:szCs w:val="20"/>
              </w:rPr>
            </w:pPr>
            <w:r>
              <w:rPr>
                <w:sz w:val="20"/>
                <w:szCs w:val="20"/>
              </w:rPr>
              <w:t>0</w:t>
            </w:r>
          </w:p>
        </w:tc>
        <w:tc>
          <w:tcPr>
            <w:tcW w:w="993" w:type="dxa"/>
            <w:shd w:val="clear" w:color="auto" w:fill="FFFFFF" w:themeFill="background1"/>
          </w:tcPr>
          <w:p w:rsidR="004D5254" w:rsidRDefault="004D5254" w:rsidP="00C80331">
            <w:pPr>
              <w:autoSpaceDE w:val="0"/>
              <w:autoSpaceDN w:val="0"/>
              <w:adjustRightInd w:val="0"/>
              <w:spacing w:before="40" w:after="40"/>
              <w:jc w:val="center"/>
              <w:rPr>
                <w:sz w:val="20"/>
                <w:szCs w:val="20"/>
              </w:rPr>
            </w:pPr>
            <w:r>
              <w:rPr>
                <w:sz w:val="20"/>
                <w:szCs w:val="20"/>
              </w:rPr>
              <w:t>0</w:t>
            </w:r>
          </w:p>
        </w:tc>
      </w:tr>
      <w:tr w:rsidR="004D5254" w:rsidRPr="003929CB" w:rsidTr="00C80331">
        <w:tc>
          <w:tcPr>
            <w:tcW w:w="850" w:type="dxa"/>
            <w:vMerge/>
            <w:textDirection w:val="btLr"/>
          </w:tcPr>
          <w:p w:rsidR="004D5254" w:rsidRPr="009F6F94" w:rsidRDefault="004D5254" w:rsidP="00C80331">
            <w:pPr>
              <w:autoSpaceDE w:val="0"/>
              <w:autoSpaceDN w:val="0"/>
              <w:adjustRightInd w:val="0"/>
              <w:spacing w:before="40" w:after="40"/>
              <w:ind w:left="113" w:right="113"/>
              <w:jc w:val="center"/>
              <w:rPr>
                <w:b/>
                <w:sz w:val="20"/>
                <w:szCs w:val="20"/>
              </w:rPr>
            </w:pPr>
          </w:p>
        </w:tc>
        <w:tc>
          <w:tcPr>
            <w:tcW w:w="1276" w:type="dxa"/>
          </w:tcPr>
          <w:p w:rsidR="004D5254" w:rsidRDefault="004D5254" w:rsidP="00C80331">
            <w:pPr>
              <w:autoSpaceDE w:val="0"/>
              <w:autoSpaceDN w:val="0"/>
              <w:adjustRightInd w:val="0"/>
              <w:rPr>
                <w:sz w:val="20"/>
                <w:szCs w:val="20"/>
              </w:rPr>
            </w:pPr>
            <w:r w:rsidRPr="003929CB">
              <w:rPr>
                <w:sz w:val="20"/>
                <w:szCs w:val="20"/>
              </w:rPr>
              <w:t xml:space="preserve">Grade 0 </w:t>
            </w:r>
          </w:p>
          <w:p w:rsidR="004D5254" w:rsidRPr="003929CB" w:rsidRDefault="004D5254" w:rsidP="00C80331">
            <w:pPr>
              <w:autoSpaceDE w:val="0"/>
              <w:autoSpaceDN w:val="0"/>
              <w:adjustRightInd w:val="0"/>
              <w:rPr>
                <w:sz w:val="20"/>
                <w:szCs w:val="20"/>
              </w:rPr>
            </w:pPr>
            <w:r w:rsidRPr="003929CB">
              <w:rPr>
                <w:sz w:val="20"/>
                <w:szCs w:val="20"/>
              </w:rPr>
              <w:t>(n=</w:t>
            </w:r>
            <w:r>
              <w:rPr>
                <w:sz w:val="20"/>
                <w:szCs w:val="20"/>
              </w:rPr>
              <w:t>98</w:t>
            </w:r>
            <w:r w:rsidRPr="003929CB">
              <w:rPr>
                <w:sz w:val="20"/>
                <w:szCs w:val="20"/>
              </w:rPr>
              <w:t>)</w:t>
            </w:r>
          </w:p>
        </w:tc>
        <w:tc>
          <w:tcPr>
            <w:tcW w:w="992" w:type="dxa"/>
          </w:tcPr>
          <w:p w:rsidR="004D5254" w:rsidRDefault="004D5254" w:rsidP="00C80331">
            <w:pPr>
              <w:autoSpaceDE w:val="0"/>
              <w:autoSpaceDN w:val="0"/>
              <w:adjustRightInd w:val="0"/>
              <w:spacing w:before="40" w:after="40"/>
              <w:jc w:val="center"/>
              <w:rPr>
                <w:sz w:val="20"/>
                <w:szCs w:val="20"/>
              </w:rPr>
            </w:pPr>
            <w:r>
              <w:rPr>
                <w:sz w:val="20"/>
                <w:szCs w:val="20"/>
              </w:rPr>
              <w:t>0</w:t>
            </w:r>
          </w:p>
        </w:tc>
        <w:tc>
          <w:tcPr>
            <w:tcW w:w="992" w:type="dxa"/>
          </w:tcPr>
          <w:p w:rsidR="004D5254" w:rsidRPr="003929CB" w:rsidRDefault="004D5254" w:rsidP="00C80331">
            <w:pPr>
              <w:autoSpaceDE w:val="0"/>
              <w:autoSpaceDN w:val="0"/>
              <w:adjustRightInd w:val="0"/>
              <w:spacing w:before="40" w:after="40"/>
              <w:jc w:val="center"/>
              <w:rPr>
                <w:sz w:val="20"/>
                <w:szCs w:val="20"/>
              </w:rPr>
            </w:pPr>
            <w:r>
              <w:rPr>
                <w:sz w:val="20"/>
                <w:szCs w:val="20"/>
              </w:rPr>
              <w:t>79</w:t>
            </w:r>
          </w:p>
        </w:tc>
        <w:tc>
          <w:tcPr>
            <w:tcW w:w="992" w:type="dxa"/>
          </w:tcPr>
          <w:p w:rsidR="004D5254" w:rsidRPr="003929CB" w:rsidRDefault="004D5254" w:rsidP="00C80331">
            <w:pPr>
              <w:autoSpaceDE w:val="0"/>
              <w:autoSpaceDN w:val="0"/>
              <w:adjustRightInd w:val="0"/>
              <w:spacing w:before="40" w:after="40"/>
              <w:jc w:val="center"/>
              <w:rPr>
                <w:sz w:val="20"/>
                <w:szCs w:val="20"/>
              </w:rPr>
            </w:pPr>
            <w:r>
              <w:rPr>
                <w:sz w:val="20"/>
                <w:szCs w:val="20"/>
              </w:rPr>
              <w:t>17</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2</w:t>
            </w:r>
          </w:p>
        </w:tc>
        <w:tc>
          <w:tcPr>
            <w:tcW w:w="993"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r>
      <w:tr w:rsidR="004D5254" w:rsidRPr="003929CB" w:rsidTr="00C80331">
        <w:tc>
          <w:tcPr>
            <w:tcW w:w="850" w:type="dxa"/>
            <w:vMerge/>
          </w:tcPr>
          <w:p w:rsidR="004D5254" w:rsidRPr="003929CB" w:rsidRDefault="004D5254" w:rsidP="00C80331">
            <w:pPr>
              <w:autoSpaceDE w:val="0"/>
              <w:autoSpaceDN w:val="0"/>
              <w:adjustRightInd w:val="0"/>
              <w:spacing w:before="40" w:after="40"/>
              <w:rPr>
                <w:sz w:val="20"/>
                <w:szCs w:val="20"/>
              </w:rPr>
            </w:pPr>
          </w:p>
        </w:tc>
        <w:tc>
          <w:tcPr>
            <w:tcW w:w="1276" w:type="dxa"/>
          </w:tcPr>
          <w:p w:rsidR="004D5254" w:rsidRDefault="004D5254" w:rsidP="00C80331">
            <w:pPr>
              <w:autoSpaceDE w:val="0"/>
              <w:autoSpaceDN w:val="0"/>
              <w:adjustRightInd w:val="0"/>
              <w:rPr>
                <w:sz w:val="20"/>
                <w:szCs w:val="20"/>
              </w:rPr>
            </w:pPr>
            <w:r w:rsidRPr="003929CB">
              <w:rPr>
                <w:sz w:val="20"/>
                <w:szCs w:val="20"/>
              </w:rPr>
              <w:t xml:space="preserve">Grade 1 </w:t>
            </w:r>
          </w:p>
          <w:p w:rsidR="004D5254" w:rsidRPr="003929CB" w:rsidRDefault="004D5254" w:rsidP="00C80331">
            <w:pPr>
              <w:autoSpaceDE w:val="0"/>
              <w:autoSpaceDN w:val="0"/>
              <w:adjustRightInd w:val="0"/>
              <w:rPr>
                <w:sz w:val="20"/>
                <w:szCs w:val="20"/>
              </w:rPr>
            </w:pPr>
            <w:r>
              <w:rPr>
                <w:sz w:val="20"/>
                <w:szCs w:val="20"/>
              </w:rPr>
              <w:t>(</w:t>
            </w:r>
            <w:r w:rsidRPr="003929CB">
              <w:rPr>
                <w:sz w:val="20"/>
                <w:szCs w:val="20"/>
              </w:rPr>
              <w:t>n=</w:t>
            </w:r>
            <w:r>
              <w:rPr>
                <w:sz w:val="20"/>
                <w:szCs w:val="20"/>
              </w:rPr>
              <w:t>11)</w:t>
            </w:r>
          </w:p>
        </w:tc>
        <w:tc>
          <w:tcPr>
            <w:tcW w:w="992" w:type="dxa"/>
            <w:shd w:val="clear" w:color="auto" w:fill="FFFFFF" w:themeFill="background1"/>
          </w:tcPr>
          <w:p w:rsidR="004D5254"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2</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8</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1</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c>
          <w:tcPr>
            <w:tcW w:w="993"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r>
      <w:tr w:rsidR="004D5254" w:rsidRPr="003929CB" w:rsidTr="00C80331">
        <w:tc>
          <w:tcPr>
            <w:tcW w:w="850" w:type="dxa"/>
            <w:vMerge/>
          </w:tcPr>
          <w:p w:rsidR="004D5254" w:rsidRPr="003929CB" w:rsidRDefault="004D5254" w:rsidP="00C80331">
            <w:pPr>
              <w:autoSpaceDE w:val="0"/>
              <w:autoSpaceDN w:val="0"/>
              <w:adjustRightInd w:val="0"/>
              <w:spacing w:before="40" w:after="40"/>
              <w:rPr>
                <w:sz w:val="20"/>
                <w:szCs w:val="20"/>
              </w:rPr>
            </w:pPr>
          </w:p>
        </w:tc>
        <w:tc>
          <w:tcPr>
            <w:tcW w:w="1276" w:type="dxa"/>
          </w:tcPr>
          <w:p w:rsidR="004D5254" w:rsidRDefault="004D5254" w:rsidP="00C80331">
            <w:pPr>
              <w:autoSpaceDE w:val="0"/>
              <w:autoSpaceDN w:val="0"/>
              <w:adjustRightInd w:val="0"/>
              <w:rPr>
                <w:sz w:val="20"/>
                <w:szCs w:val="20"/>
              </w:rPr>
            </w:pPr>
            <w:r w:rsidRPr="003929CB">
              <w:rPr>
                <w:sz w:val="20"/>
                <w:szCs w:val="20"/>
              </w:rPr>
              <w:t xml:space="preserve">Grade 2 </w:t>
            </w:r>
          </w:p>
          <w:p w:rsidR="004D5254" w:rsidRPr="003929CB" w:rsidRDefault="004D5254" w:rsidP="00C80331">
            <w:pPr>
              <w:autoSpaceDE w:val="0"/>
              <w:autoSpaceDN w:val="0"/>
              <w:adjustRightInd w:val="0"/>
              <w:rPr>
                <w:sz w:val="20"/>
                <w:szCs w:val="20"/>
              </w:rPr>
            </w:pPr>
            <w:r>
              <w:rPr>
                <w:sz w:val="20"/>
                <w:szCs w:val="20"/>
              </w:rPr>
              <w:t>(</w:t>
            </w:r>
            <w:r w:rsidRPr="003929CB">
              <w:rPr>
                <w:sz w:val="20"/>
                <w:szCs w:val="20"/>
              </w:rPr>
              <w:t>n=</w:t>
            </w:r>
            <w:r>
              <w:rPr>
                <w:sz w:val="20"/>
                <w:szCs w:val="20"/>
              </w:rPr>
              <w:t>1)</w:t>
            </w:r>
          </w:p>
        </w:tc>
        <w:tc>
          <w:tcPr>
            <w:tcW w:w="992" w:type="dxa"/>
            <w:shd w:val="clear" w:color="auto" w:fill="FFFFFF" w:themeFill="background1"/>
          </w:tcPr>
          <w:p w:rsidR="004D5254"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1</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c>
          <w:tcPr>
            <w:tcW w:w="993"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r>
    </w:tbl>
    <w:p w:rsidR="004D5254" w:rsidRDefault="004D5254" w:rsidP="004D5254">
      <w:pPr>
        <w:pStyle w:val="Heading5"/>
        <w:numPr>
          <w:ilvl w:val="3"/>
          <w:numId w:val="5"/>
        </w:numPr>
      </w:pPr>
      <w:r>
        <w:t>Other studies</w:t>
      </w:r>
    </w:p>
    <w:p w:rsidR="004D5254" w:rsidRDefault="004D5254" w:rsidP="004D5254">
      <w:pPr>
        <w:autoSpaceDE w:val="0"/>
        <w:autoSpaceDN w:val="0"/>
        <w:adjustRightInd w:val="0"/>
        <w:rPr>
          <w:rFonts w:eastAsia="TimesNewRoman" w:cs="TimesNewRoman"/>
        </w:rPr>
      </w:pPr>
      <w:r>
        <w:rPr>
          <w:rFonts w:eastAsia="TimesNewRoman" w:cs="TimesNewRoman"/>
        </w:rPr>
        <w:t xml:space="preserve">Clinically significant decreases in renal function, as measured by increases in </w:t>
      </w:r>
      <w:r w:rsidRPr="000505D6">
        <w:rPr>
          <w:rFonts w:eastAsia="TimesNewRoman" w:cs="TimesNewRoman"/>
        </w:rPr>
        <w:t xml:space="preserve">serum creatinine </w:t>
      </w:r>
      <w:r>
        <w:rPr>
          <w:rFonts w:eastAsia="TimesNewRoman" w:cs="TimesNewRoman"/>
        </w:rPr>
        <w:t>levels to &gt;1.5 x ULN, occurred in 1%-6</w:t>
      </w:r>
      <w:r w:rsidRPr="000505D6">
        <w:rPr>
          <w:rFonts w:eastAsia="TimesNewRoman" w:cs="TimesNewRoman"/>
        </w:rPr>
        <w:t>% of</w:t>
      </w:r>
      <w:r>
        <w:rPr>
          <w:rFonts w:eastAsia="TimesNewRoman" w:cs="TimesNewRoman"/>
        </w:rPr>
        <w:t xml:space="preserve"> </w:t>
      </w:r>
      <w:r w:rsidRPr="000505D6">
        <w:rPr>
          <w:rFonts w:eastAsia="TimesNewRoman" w:cs="TimesNewRoman"/>
        </w:rPr>
        <w:t>patients</w:t>
      </w:r>
      <w:r>
        <w:rPr>
          <w:rFonts w:eastAsia="TimesNewRoman" w:cs="TimesNewRoman"/>
        </w:rPr>
        <w:t xml:space="preserve"> across the development program, depending on study population. </w:t>
      </w:r>
    </w:p>
    <w:p w:rsidR="004D5254" w:rsidRDefault="004D5254" w:rsidP="004D5254">
      <w:pPr>
        <w:autoSpaceDE w:val="0"/>
        <w:autoSpaceDN w:val="0"/>
        <w:adjustRightInd w:val="0"/>
        <w:rPr>
          <w:rFonts w:cs="SASMonospace"/>
        </w:rPr>
      </w:pPr>
      <w:r>
        <w:rPr>
          <w:rFonts w:eastAsia="TimesNewRoman" w:cs="TimesNewRoman"/>
        </w:rPr>
        <w:t xml:space="preserve">Clinically significant renal impairment occurred in 1 (4%) of 27 patients in Study PDX-02-078 who received the proposed regimen </w:t>
      </w:r>
      <w:r w:rsidRPr="00F6488A">
        <w:rPr>
          <w:rFonts w:eastAsia="TimesNewRoman" w:cs="TimesNewRoman"/>
        </w:rPr>
        <w:t>(30 mg/m</w:t>
      </w:r>
      <w:r w:rsidRPr="00F6488A">
        <w:rPr>
          <w:rFonts w:eastAsia="TimesNewRoman" w:cs="TimesNewRoman"/>
          <w:vertAlign w:val="superscript"/>
        </w:rPr>
        <w:t>2</w:t>
      </w:r>
      <w:r w:rsidRPr="00F6488A">
        <w:rPr>
          <w:rFonts w:eastAsia="TimesNewRoman" w:cs="TimesNewRoman"/>
        </w:rPr>
        <w:t xml:space="preserve"> once every 6 of 7 weeks)</w:t>
      </w:r>
      <w:r>
        <w:rPr>
          <w:rFonts w:eastAsia="TimesNewRoman" w:cs="TimesNewRoman"/>
        </w:rPr>
        <w:t xml:space="preserve">. This patient had </w:t>
      </w:r>
      <w:r>
        <w:rPr>
          <w:rFonts w:cs="SASMonospace"/>
        </w:rPr>
        <w:t>a</w:t>
      </w:r>
      <w:r w:rsidRPr="008A0CFC">
        <w:rPr>
          <w:rFonts w:cs="SASMonospace"/>
        </w:rPr>
        <w:t>ngioimmunoblastic T-cell lymphoma</w:t>
      </w:r>
      <w:r>
        <w:rPr>
          <w:rFonts w:cs="SASMonospace"/>
        </w:rPr>
        <w:t xml:space="preserve"> and developed clinically significant renal impairment (serum creatinine 2.3 mg/dL; NR 0.6 – 1.3 mg/dL) approximately 2 weeks after discontinuing pralatrexate because of disease progression. </w:t>
      </w:r>
      <w:r w:rsidRPr="00F52E38">
        <w:rPr>
          <w:rFonts w:cs="SASMonospace"/>
        </w:rPr>
        <w:t>E</w:t>
      </w:r>
      <w:r>
        <w:rPr>
          <w:rFonts w:cs="SASMonospace"/>
        </w:rPr>
        <w:t>arlier, whilst on treatment, the</w:t>
      </w:r>
      <w:r w:rsidRPr="00F52E38">
        <w:rPr>
          <w:rFonts w:cs="SASMonospace"/>
        </w:rPr>
        <w:t xml:space="preserve"> patient was found to have elevated serum creatinine (1.9</w:t>
      </w:r>
      <w:r>
        <w:rPr>
          <w:rFonts w:cs="SASMonospace"/>
        </w:rPr>
        <w:t xml:space="preserve"> </w:t>
      </w:r>
      <w:r w:rsidRPr="00F52E38">
        <w:rPr>
          <w:rFonts w:cs="SASMonospace"/>
        </w:rPr>
        <w:t>mg/dL) and BUN (4</w:t>
      </w:r>
      <w:r>
        <w:rPr>
          <w:rFonts w:cs="SASMonospace"/>
        </w:rPr>
        <w:t>0 mg</w:t>
      </w:r>
      <w:r w:rsidRPr="00F52E38">
        <w:rPr>
          <w:rFonts w:cs="SASMonospace"/>
        </w:rPr>
        <w:t>/dL</w:t>
      </w:r>
      <w:r>
        <w:rPr>
          <w:rFonts w:cs="SASMonospace"/>
        </w:rPr>
        <w:t>; NR 6-20 mg/dL</w:t>
      </w:r>
      <w:r w:rsidRPr="00F52E38">
        <w:rPr>
          <w:rFonts w:cs="SASMonospace"/>
        </w:rPr>
        <w:t xml:space="preserve">) levels during investigation of an </w:t>
      </w:r>
      <w:r>
        <w:rPr>
          <w:rFonts w:cs="SASMonospace"/>
        </w:rPr>
        <w:t xml:space="preserve">acute </w:t>
      </w:r>
      <w:r w:rsidRPr="00F52E38">
        <w:rPr>
          <w:rFonts w:cs="SASMonospace"/>
        </w:rPr>
        <w:t>episode of confusion.</w:t>
      </w:r>
      <w:r>
        <w:rPr>
          <w:rFonts w:cs="SASMonospace"/>
        </w:rPr>
        <w:t xml:space="preserve"> </w:t>
      </w:r>
      <w:r w:rsidRPr="00F52E38">
        <w:rPr>
          <w:rFonts w:cs="SASMonospace"/>
        </w:rPr>
        <w:t xml:space="preserve">Other metabolic abnormalities identified at that time were hyperphosphataemia </w:t>
      </w:r>
      <w:r>
        <w:rPr>
          <w:rFonts w:cs="SASMonospace"/>
        </w:rPr>
        <w:t xml:space="preserve">(5.2 mg/dL; NR2.5 – 4.2 mg/dL) </w:t>
      </w:r>
      <w:r w:rsidRPr="00F52E38">
        <w:rPr>
          <w:rFonts w:cs="SASMonospace"/>
        </w:rPr>
        <w:t>and hypercalcaemia</w:t>
      </w:r>
      <w:r>
        <w:rPr>
          <w:rFonts w:cs="SASMonospace"/>
        </w:rPr>
        <w:t xml:space="preserve"> (12.3 mg/dL; NR 8.5 – 10.5 mg/dL).</w:t>
      </w:r>
    </w:p>
    <w:p w:rsidR="004D5254" w:rsidRDefault="004D5254" w:rsidP="004D5254">
      <w:pPr>
        <w:pStyle w:val="Heading4"/>
        <w:numPr>
          <w:ilvl w:val="2"/>
          <w:numId w:val="5"/>
        </w:numPr>
      </w:pPr>
      <w:bookmarkStart w:id="288" w:name="_Toc272414671"/>
      <w:bookmarkStart w:id="289" w:name="_Toc290846309"/>
      <w:bookmarkStart w:id="290" w:name="_Toc320881468"/>
      <w:r>
        <w:t>Other clinical chemistry</w:t>
      </w:r>
      <w:bookmarkEnd w:id="288"/>
      <w:bookmarkEnd w:id="289"/>
      <w:bookmarkEnd w:id="290"/>
    </w:p>
    <w:p w:rsidR="004D5254" w:rsidRDefault="004D5254" w:rsidP="004D5254">
      <w:pPr>
        <w:pStyle w:val="Heading5"/>
        <w:numPr>
          <w:ilvl w:val="3"/>
          <w:numId w:val="5"/>
        </w:numPr>
      </w:pPr>
      <w:r>
        <w:t>Pivotal study</w:t>
      </w:r>
    </w:p>
    <w:p w:rsidR="004D5254" w:rsidRDefault="004D5254" w:rsidP="004D5254">
      <w:r>
        <w:t>There was no routine monitoring of other clinical chemistry parameters in the pivotal study.</w:t>
      </w:r>
    </w:p>
    <w:p w:rsidR="004D5254" w:rsidRDefault="004D5254" w:rsidP="004D5254">
      <w:pPr>
        <w:pStyle w:val="Heading5"/>
        <w:numPr>
          <w:ilvl w:val="3"/>
          <w:numId w:val="5"/>
        </w:numPr>
      </w:pPr>
      <w:r>
        <w:t>Other studies</w:t>
      </w:r>
    </w:p>
    <w:p w:rsidR="004D5254" w:rsidRDefault="004D5254" w:rsidP="004D5254">
      <w:r w:rsidRPr="003773D7">
        <w:t>Other serum chemistry</w:t>
      </w:r>
      <w:r>
        <w:t xml:space="preserve"> </w:t>
      </w:r>
      <w:r w:rsidRPr="003773D7">
        <w:t>abnormalities that were observed in at least 1 clinical study with pralatrexate included low</w:t>
      </w:r>
      <w:r>
        <w:t xml:space="preserve"> </w:t>
      </w:r>
      <w:r w:rsidRPr="003773D7">
        <w:t>serum albumin, low and high serum calcium, low and</w:t>
      </w:r>
      <w:r>
        <w:t xml:space="preserve"> </w:t>
      </w:r>
      <w:r w:rsidRPr="003773D7">
        <w:t>high blood glucose, low serum magnesium, low serum phosphorus, low and high serum</w:t>
      </w:r>
      <w:r>
        <w:t xml:space="preserve"> </w:t>
      </w:r>
      <w:r w:rsidRPr="003773D7">
        <w:t>potassium, and low and high serum sodium</w:t>
      </w:r>
      <w:r>
        <w:t>. Of particular note, hypoalbuminaemia, hyperglycaemia and hypocalcaemia were frequently recorded as clinically significant abnormalities across the various safety populations.</w:t>
      </w:r>
    </w:p>
    <w:p w:rsidR="004D5254" w:rsidRDefault="004D5254" w:rsidP="004D5254">
      <w:pPr>
        <w:pStyle w:val="Heading4"/>
        <w:numPr>
          <w:ilvl w:val="2"/>
          <w:numId w:val="5"/>
        </w:numPr>
      </w:pPr>
      <w:bookmarkStart w:id="291" w:name="_Toc272414672"/>
      <w:bookmarkStart w:id="292" w:name="_Toc290846310"/>
      <w:bookmarkStart w:id="293" w:name="_Toc320881469"/>
      <w:r>
        <w:lastRenderedPageBreak/>
        <w:t>Haematology</w:t>
      </w:r>
      <w:bookmarkEnd w:id="291"/>
      <w:bookmarkEnd w:id="292"/>
      <w:bookmarkEnd w:id="293"/>
    </w:p>
    <w:p w:rsidR="004D5254" w:rsidRDefault="004D5254" w:rsidP="004D5254">
      <w:pPr>
        <w:pStyle w:val="Heading5"/>
        <w:numPr>
          <w:ilvl w:val="3"/>
          <w:numId w:val="5"/>
        </w:numPr>
      </w:pPr>
      <w:r>
        <w:t>Pivotal study</w:t>
      </w:r>
    </w:p>
    <w:p w:rsidR="004D5254" w:rsidRPr="00F20B4E" w:rsidRDefault="004D5254" w:rsidP="004D5254">
      <w:r w:rsidRPr="00F20B4E">
        <w:t xml:space="preserve">Clinically significant myelotoxicity occurred in </w:t>
      </w:r>
      <w:r>
        <w:t xml:space="preserve">approximately </w:t>
      </w:r>
      <w:r w:rsidRPr="00F20B4E">
        <w:t>40-50% patients depending on the parameter measured:</w:t>
      </w:r>
    </w:p>
    <w:p w:rsidR="004D5254" w:rsidRPr="00F20B4E" w:rsidRDefault="004D5254" w:rsidP="004D5254">
      <w:pPr>
        <w:pStyle w:val="ListBullet"/>
        <w:numPr>
          <w:ilvl w:val="0"/>
          <w:numId w:val="1"/>
        </w:numPr>
      </w:pPr>
      <w:r w:rsidRPr="00F20B4E">
        <w:t>decreased platelet counts were the predominant laboratory abnormality of clinical significance, occurring in 53 (48%) patients. Overall, 17 patients (15%) had</w:t>
      </w:r>
      <w:r>
        <w:t xml:space="preserve"> Grade 3</w:t>
      </w:r>
      <w:r w:rsidRPr="00F20B4E">
        <w:t xml:space="preserve"> platelet counts and 25 patients (23%) had</w:t>
      </w:r>
      <w:r>
        <w:t xml:space="preserve"> Grade 4</w:t>
      </w:r>
      <w:r w:rsidRPr="00F20B4E">
        <w:t xml:space="preserve"> severity at some time during the study</w:t>
      </w:r>
      <w:r>
        <w:t xml:space="preserve"> and 4 patients had treatment discontinued because of thrombocytopaenia. The </w:t>
      </w:r>
      <w:r w:rsidRPr="00F20B4E">
        <w:t xml:space="preserve">shifts in platelet levels are shown in </w:t>
      </w:r>
      <w:r w:rsidRPr="001F10F1">
        <w:t>Table 21, b</w:t>
      </w:r>
      <w:r w:rsidRPr="00F20B4E">
        <w:t>elow</w:t>
      </w:r>
      <w:r>
        <w:t xml:space="preserve"> (clinically significant changes are highlighted by shading).</w:t>
      </w:r>
    </w:p>
    <w:p w:rsidR="004D5254" w:rsidRDefault="004D5254" w:rsidP="004D5254">
      <w:pPr>
        <w:pStyle w:val="FigureTitle"/>
      </w:pPr>
      <w:bookmarkStart w:id="294" w:name="_Toc320881544"/>
      <w:r>
        <w:t>Table 21. Study PDX-008 - shifts in platelet counts during treatment with pralatrexate</w:t>
      </w:r>
      <w:bookmarkEnd w:id="294"/>
    </w:p>
    <w:tbl>
      <w:tblPr>
        <w:tblStyle w:val="TableGrid"/>
        <w:tblW w:w="0" w:type="auto"/>
        <w:tblInd w:w="1101" w:type="dxa"/>
        <w:tblLook w:val="04A0"/>
      </w:tblPr>
      <w:tblGrid>
        <w:gridCol w:w="850"/>
        <w:gridCol w:w="1276"/>
        <w:gridCol w:w="992"/>
        <w:gridCol w:w="992"/>
        <w:gridCol w:w="992"/>
        <w:gridCol w:w="992"/>
        <w:gridCol w:w="993"/>
      </w:tblGrid>
      <w:tr w:rsidR="004D5254" w:rsidRPr="003929CB" w:rsidTr="003A2EF5">
        <w:trPr>
          <w:tblHeader/>
        </w:trPr>
        <w:tc>
          <w:tcPr>
            <w:tcW w:w="2126" w:type="dxa"/>
            <w:gridSpan w:val="2"/>
            <w:vMerge w:val="restart"/>
            <w:tcBorders>
              <w:top w:val="nil"/>
              <w:left w:val="nil"/>
            </w:tcBorders>
          </w:tcPr>
          <w:p w:rsidR="004D5254" w:rsidRPr="003929CB" w:rsidRDefault="004D5254" w:rsidP="00C80331">
            <w:pPr>
              <w:autoSpaceDE w:val="0"/>
              <w:autoSpaceDN w:val="0"/>
              <w:adjustRightInd w:val="0"/>
              <w:spacing w:before="40" w:after="40"/>
              <w:rPr>
                <w:sz w:val="20"/>
                <w:szCs w:val="20"/>
              </w:rPr>
            </w:pPr>
          </w:p>
        </w:tc>
        <w:tc>
          <w:tcPr>
            <w:tcW w:w="4961" w:type="dxa"/>
            <w:gridSpan w:val="5"/>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Worst on-study grade</w:t>
            </w:r>
          </w:p>
        </w:tc>
      </w:tr>
      <w:tr w:rsidR="004D5254" w:rsidRPr="003929CB" w:rsidTr="003A2EF5">
        <w:trPr>
          <w:tblHeader/>
        </w:trPr>
        <w:tc>
          <w:tcPr>
            <w:tcW w:w="2126" w:type="dxa"/>
            <w:gridSpan w:val="2"/>
            <w:vMerge/>
            <w:tcBorders>
              <w:left w:val="nil"/>
            </w:tcBorders>
          </w:tcPr>
          <w:p w:rsidR="004D5254" w:rsidRPr="003929CB" w:rsidRDefault="004D5254" w:rsidP="00C80331">
            <w:pPr>
              <w:autoSpaceDE w:val="0"/>
              <w:autoSpaceDN w:val="0"/>
              <w:adjustRightInd w:val="0"/>
              <w:spacing w:before="40" w:after="40"/>
              <w:rPr>
                <w:sz w:val="20"/>
                <w:szCs w:val="20"/>
              </w:rPr>
            </w:pPr>
          </w:p>
        </w:tc>
        <w:tc>
          <w:tcPr>
            <w:tcW w:w="992" w:type="dxa"/>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0</w:t>
            </w:r>
          </w:p>
        </w:tc>
        <w:tc>
          <w:tcPr>
            <w:tcW w:w="992" w:type="dxa"/>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1</w:t>
            </w:r>
          </w:p>
        </w:tc>
        <w:tc>
          <w:tcPr>
            <w:tcW w:w="992" w:type="dxa"/>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2</w:t>
            </w:r>
          </w:p>
        </w:tc>
        <w:tc>
          <w:tcPr>
            <w:tcW w:w="992" w:type="dxa"/>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3</w:t>
            </w:r>
          </w:p>
        </w:tc>
        <w:tc>
          <w:tcPr>
            <w:tcW w:w="993" w:type="dxa"/>
            <w:shd w:val="clear" w:color="auto" w:fill="0070C0"/>
          </w:tcPr>
          <w:p w:rsidR="004D5254" w:rsidRPr="001F10F1" w:rsidRDefault="004D5254" w:rsidP="00C80331">
            <w:pPr>
              <w:autoSpaceDE w:val="0"/>
              <w:autoSpaceDN w:val="0"/>
              <w:adjustRightInd w:val="0"/>
              <w:spacing w:before="40" w:after="40"/>
              <w:jc w:val="center"/>
              <w:rPr>
                <w:b/>
                <w:color w:val="FFFFFF" w:themeColor="background1"/>
                <w:sz w:val="20"/>
                <w:szCs w:val="20"/>
              </w:rPr>
            </w:pPr>
            <w:r w:rsidRPr="001F10F1">
              <w:rPr>
                <w:b/>
                <w:color w:val="FFFFFF" w:themeColor="background1"/>
                <w:sz w:val="20"/>
                <w:szCs w:val="20"/>
              </w:rPr>
              <w:t>4</w:t>
            </w:r>
          </w:p>
        </w:tc>
      </w:tr>
      <w:tr w:rsidR="004D5254" w:rsidTr="00C80331">
        <w:tc>
          <w:tcPr>
            <w:tcW w:w="850" w:type="dxa"/>
            <w:vMerge w:val="restart"/>
            <w:textDirection w:val="btLr"/>
          </w:tcPr>
          <w:p w:rsidR="004D5254" w:rsidRPr="009F6F94" w:rsidRDefault="004D5254" w:rsidP="00C80331">
            <w:pPr>
              <w:autoSpaceDE w:val="0"/>
              <w:autoSpaceDN w:val="0"/>
              <w:adjustRightInd w:val="0"/>
              <w:spacing w:before="40" w:after="40"/>
              <w:ind w:left="113" w:right="113"/>
              <w:jc w:val="center"/>
              <w:rPr>
                <w:b/>
                <w:sz w:val="20"/>
                <w:szCs w:val="20"/>
              </w:rPr>
            </w:pPr>
            <w:r>
              <w:rPr>
                <w:b/>
                <w:sz w:val="20"/>
                <w:szCs w:val="20"/>
              </w:rPr>
              <w:t>Baseline grade</w:t>
            </w:r>
          </w:p>
        </w:tc>
        <w:tc>
          <w:tcPr>
            <w:tcW w:w="1276" w:type="dxa"/>
          </w:tcPr>
          <w:p w:rsidR="004D5254" w:rsidRDefault="004D5254" w:rsidP="00C80331">
            <w:pPr>
              <w:autoSpaceDE w:val="0"/>
              <w:autoSpaceDN w:val="0"/>
              <w:adjustRightInd w:val="0"/>
              <w:rPr>
                <w:sz w:val="20"/>
                <w:szCs w:val="20"/>
              </w:rPr>
            </w:pPr>
            <w:r w:rsidRPr="003929CB">
              <w:rPr>
                <w:sz w:val="20"/>
                <w:szCs w:val="20"/>
              </w:rPr>
              <w:t xml:space="preserve">Grade 0 </w:t>
            </w:r>
          </w:p>
          <w:p w:rsidR="004D5254" w:rsidRPr="003929CB" w:rsidRDefault="004D5254" w:rsidP="00C80331">
            <w:pPr>
              <w:autoSpaceDE w:val="0"/>
              <w:autoSpaceDN w:val="0"/>
              <w:adjustRightInd w:val="0"/>
              <w:rPr>
                <w:sz w:val="20"/>
                <w:szCs w:val="20"/>
              </w:rPr>
            </w:pPr>
            <w:r w:rsidRPr="003929CB">
              <w:rPr>
                <w:sz w:val="20"/>
                <w:szCs w:val="20"/>
              </w:rPr>
              <w:t>(n=80)</w:t>
            </w:r>
          </w:p>
        </w:tc>
        <w:tc>
          <w:tcPr>
            <w:tcW w:w="992" w:type="dxa"/>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30</w:t>
            </w:r>
          </w:p>
        </w:tc>
        <w:tc>
          <w:tcPr>
            <w:tcW w:w="992" w:type="dxa"/>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25</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6</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7</w:t>
            </w:r>
          </w:p>
        </w:tc>
        <w:tc>
          <w:tcPr>
            <w:tcW w:w="993"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12</w:t>
            </w:r>
          </w:p>
        </w:tc>
      </w:tr>
      <w:tr w:rsidR="004D5254" w:rsidTr="00C80331">
        <w:tc>
          <w:tcPr>
            <w:tcW w:w="850" w:type="dxa"/>
            <w:vMerge/>
          </w:tcPr>
          <w:p w:rsidR="004D5254" w:rsidRPr="003929CB" w:rsidRDefault="004D5254" w:rsidP="00C80331">
            <w:pPr>
              <w:autoSpaceDE w:val="0"/>
              <w:autoSpaceDN w:val="0"/>
              <w:adjustRightInd w:val="0"/>
              <w:spacing w:before="40" w:after="40"/>
              <w:rPr>
                <w:sz w:val="20"/>
                <w:szCs w:val="20"/>
              </w:rPr>
            </w:pPr>
          </w:p>
        </w:tc>
        <w:tc>
          <w:tcPr>
            <w:tcW w:w="1276" w:type="dxa"/>
          </w:tcPr>
          <w:p w:rsidR="004D5254" w:rsidRDefault="004D5254" w:rsidP="00C80331">
            <w:pPr>
              <w:autoSpaceDE w:val="0"/>
              <w:autoSpaceDN w:val="0"/>
              <w:adjustRightInd w:val="0"/>
              <w:rPr>
                <w:sz w:val="20"/>
                <w:szCs w:val="20"/>
              </w:rPr>
            </w:pPr>
            <w:r w:rsidRPr="003929CB">
              <w:rPr>
                <w:sz w:val="20"/>
                <w:szCs w:val="20"/>
              </w:rPr>
              <w:t xml:space="preserve">Grade 1 </w:t>
            </w:r>
          </w:p>
          <w:p w:rsidR="004D5254" w:rsidRPr="003929CB" w:rsidRDefault="004D5254" w:rsidP="00C80331">
            <w:pPr>
              <w:autoSpaceDE w:val="0"/>
              <w:autoSpaceDN w:val="0"/>
              <w:adjustRightInd w:val="0"/>
              <w:rPr>
                <w:sz w:val="20"/>
                <w:szCs w:val="20"/>
              </w:rPr>
            </w:pPr>
            <w:r>
              <w:rPr>
                <w:sz w:val="20"/>
                <w:szCs w:val="20"/>
              </w:rPr>
              <w:t>(</w:t>
            </w:r>
            <w:r w:rsidRPr="003929CB">
              <w:rPr>
                <w:sz w:val="20"/>
                <w:szCs w:val="20"/>
              </w:rPr>
              <w:t>n=29</w:t>
            </w:r>
            <w:r>
              <w:rPr>
                <w:sz w:val="20"/>
                <w:szCs w:val="20"/>
              </w:rPr>
              <w:t>)</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3</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5</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10</w:t>
            </w:r>
          </w:p>
        </w:tc>
        <w:tc>
          <w:tcPr>
            <w:tcW w:w="993"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11</w:t>
            </w:r>
          </w:p>
        </w:tc>
      </w:tr>
      <w:tr w:rsidR="004D5254" w:rsidTr="00C80331">
        <w:tc>
          <w:tcPr>
            <w:tcW w:w="850" w:type="dxa"/>
            <w:vMerge/>
          </w:tcPr>
          <w:p w:rsidR="004D5254" w:rsidRPr="003929CB" w:rsidRDefault="004D5254" w:rsidP="00C80331">
            <w:pPr>
              <w:autoSpaceDE w:val="0"/>
              <w:autoSpaceDN w:val="0"/>
              <w:adjustRightInd w:val="0"/>
              <w:spacing w:before="40" w:after="40"/>
              <w:rPr>
                <w:sz w:val="20"/>
                <w:szCs w:val="20"/>
              </w:rPr>
            </w:pPr>
          </w:p>
        </w:tc>
        <w:tc>
          <w:tcPr>
            <w:tcW w:w="1276" w:type="dxa"/>
          </w:tcPr>
          <w:p w:rsidR="004D5254" w:rsidRDefault="004D5254" w:rsidP="00C80331">
            <w:pPr>
              <w:autoSpaceDE w:val="0"/>
              <w:autoSpaceDN w:val="0"/>
              <w:adjustRightInd w:val="0"/>
              <w:rPr>
                <w:sz w:val="20"/>
                <w:szCs w:val="20"/>
              </w:rPr>
            </w:pPr>
            <w:r w:rsidRPr="003929CB">
              <w:rPr>
                <w:sz w:val="20"/>
                <w:szCs w:val="20"/>
              </w:rPr>
              <w:t xml:space="preserve">Grade 2 </w:t>
            </w:r>
          </w:p>
          <w:p w:rsidR="004D5254" w:rsidRPr="003929CB" w:rsidRDefault="004D5254" w:rsidP="00C80331">
            <w:pPr>
              <w:autoSpaceDE w:val="0"/>
              <w:autoSpaceDN w:val="0"/>
              <w:adjustRightInd w:val="0"/>
              <w:rPr>
                <w:sz w:val="20"/>
                <w:szCs w:val="20"/>
              </w:rPr>
            </w:pPr>
            <w:r>
              <w:rPr>
                <w:sz w:val="20"/>
                <w:szCs w:val="20"/>
              </w:rPr>
              <w:t>(</w:t>
            </w:r>
            <w:r w:rsidRPr="003929CB">
              <w:rPr>
                <w:sz w:val="20"/>
                <w:szCs w:val="20"/>
              </w:rPr>
              <w:t>n=2</w:t>
            </w:r>
            <w:r>
              <w:rPr>
                <w:sz w:val="20"/>
                <w:szCs w:val="20"/>
              </w:rPr>
              <w:t>)</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c>
          <w:tcPr>
            <w:tcW w:w="992" w:type="dxa"/>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0</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0</w:t>
            </w:r>
          </w:p>
        </w:tc>
        <w:tc>
          <w:tcPr>
            <w:tcW w:w="993"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sidRPr="003929CB">
              <w:rPr>
                <w:sz w:val="20"/>
                <w:szCs w:val="20"/>
              </w:rPr>
              <w:t>2</w:t>
            </w:r>
          </w:p>
        </w:tc>
      </w:tr>
    </w:tbl>
    <w:p w:rsidR="004D5254" w:rsidRPr="00F20B4E" w:rsidRDefault="004D5254" w:rsidP="004D5254">
      <w:pPr>
        <w:pStyle w:val="ListBullet"/>
        <w:numPr>
          <w:ilvl w:val="0"/>
          <w:numId w:val="0"/>
        </w:numPr>
        <w:ind w:left="360"/>
      </w:pPr>
      <w:r w:rsidRPr="00F20B4E">
        <w:t xml:space="preserve">A total of 5 (5%) patients had a platelet count at some point on study of &lt; 10,000/μL and all received platelet transfusions. </w:t>
      </w:r>
      <w:r>
        <w:t>Three</w:t>
      </w:r>
      <w:r w:rsidRPr="00F20B4E">
        <w:t xml:space="preserve"> patients</w:t>
      </w:r>
      <w:r>
        <w:t xml:space="preserve"> </w:t>
      </w:r>
      <w:r w:rsidRPr="00291585">
        <w:t xml:space="preserve">discontinued study treatment </w:t>
      </w:r>
      <w:r>
        <w:t>because of the</w:t>
      </w:r>
      <w:r w:rsidRPr="00291585">
        <w:t xml:space="preserve"> thrombocytop</w:t>
      </w:r>
      <w:r>
        <w:t>a</w:t>
      </w:r>
      <w:r w:rsidRPr="00291585">
        <w:t>enia</w:t>
      </w:r>
      <w:r>
        <w:t>, 2 of whom had</w:t>
      </w:r>
      <w:r w:rsidRPr="00F20B4E">
        <w:t xml:space="preserve"> persisting</w:t>
      </w:r>
      <w:r>
        <w:t xml:space="preserve"> Grade 3</w:t>
      </w:r>
      <w:r w:rsidRPr="00F20B4E">
        <w:t>-4 thrombocytop</w:t>
      </w:r>
      <w:r>
        <w:t>a</w:t>
      </w:r>
      <w:r w:rsidRPr="00F20B4E">
        <w:t>enia despite dose reductions to 20 mg/m</w:t>
      </w:r>
      <w:r w:rsidRPr="00F20B4E">
        <w:rPr>
          <w:vertAlign w:val="superscript"/>
        </w:rPr>
        <w:t>2</w:t>
      </w:r>
      <w:r w:rsidRPr="00F20B4E">
        <w:t>.</w:t>
      </w:r>
      <w:r>
        <w:t xml:space="preserve"> </w:t>
      </w:r>
      <w:r w:rsidRPr="00F20B4E">
        <w:t>Another patient had his dose reduced to 20 mg/m</w:t>
      </w:r>
      <w:r w:rsidRPr="00451F2A">
        <w:rPr>
          <w:vertAlign w:val="superscript"/>
        </w:rPr>
        <w:t>2</w:t>
      </w:r>
      <w:r w:rsidRPr="00F20B4E">
        <w:t xml:space="preserve"> and never experienced &gt;</w:t>
      </w:r>
      <w:r>
        <w:t xml:space="preserve"> Grade 2</w:t>
      </w:r>
      <w:r w:rsidRPr="00F20B4E">
        <w:t xml:space="preserve"> thrombocytop</w:t>
      </w:r>
      <w:r>
        <w:t>a</w:t>
      </w:r>
      <w:r w:rsidRPr="00F20B4E">
        <w:t>enia with subsequent dosing.</w:t>
      </w:r>
      <w:r>
        <w:t xml:space="preserve"> The final p</w:t>
      </w:r>
      <w:r w:rsidRPr="00F20B4E">
        <w:t>atient discontinued study treatment due to</w:t>
      </w:r>
      <w:r>
        <w:t xml:space="preserve"> disease progression at the time of the </w:t>
      </w:r>
      <w:r w:rsidRPr="00F20B4E">
        <w:t>thrombocytopenia.</w:t>
      </w:r>
    </w:p>
    <w:p w:rsidR="004D5254" w:rsidRDefault="004D5254" w:rsidP="004D5254">
      <w:pPr>
        <w:numPr>
          <w:ilvl w:val="0"/>
          <w:numId w:val="19"/>
        </w:numPr>
        <w:autoSpaceDE w:val="0"/>
        <w:autoSpaceDN w:val="0"/>
        <w:adjustRightInd w:val="0"/>
        <w:spacing w:after="0" w:line="240" w:lineRule="auto"/>
        <w:ind w:left="425" w:hanging="425"/>
        <w:rPr>
          <w:color w:val="000000"/>
        </w:rPr>
      </w:pPr>
      <w:r w:rsidRPr="00291585">
        <w:rPr>
          <w:color w:val="000000"/>
        </w:rPr>
        <w:t>clinically significant low neutrophil counts were reported for 49 (44%)</w:t>
      </w:r>
      <w:r>
        <w:rPr>
          <w:color w:val="000000"/>
        </w:rPr>
        <w:t xml:space="preserve"> </w:t>
      </w:r>
      <w:r w:rsidRPr="00291585">
        <w:rPr>
          <w:color w:val="000000"/>
        </w:rPr>
        <w:t>patients</w:t>
      </w:r>
      <w:r>
        <w:rPr>
          <w:color w:val="000000"/>
        </w:rPr>
        <w:t xml:space="preserve">, with 21 developing Grade 3 and 10 developing Grade 4 neutropaenia </w:t>
      </w:r>
      <w:r w:rsidRPr="00DC5E4A">
        <w:rPr>
          <w:color w:val="000000"/>
        </w:rPr>
        <w:t>(Table 22,</w:t>
      </w:r>
      <w:r>
        <w:rPr>
          <w:color w:val="000000"/>
        </w:rPr>
        <w:t xml:space="preserve"> below). Two patients had treatment withdrawn primarily because of neutropaenia</w:t>
      </w:r>
      <w:r w:rsidRPr="00291585">
        <w:rPr>
          <w:color w:val="000000"/>
        </w:rPr>
        <w:t>;</w:t>
      </w:r>
    </w:p>
    <w:p w:rsidR="004D5254" w:rsidRDefault="004D5254" w:rsidP="004D5254">
      <w:pPr>
        <w:pStyle w:val="FigureTitle"/>
        <w:keepNext/>
        <w:rPr>
          <w:color w:val="000000"/>
        </w:rPr>
      </w:pPr>
      <w:bookmarkStart w:id="295" w:name="_Toc320881545"/>
      <w:r>
        <w:lastRenderedPageBreak/>
        <w:t>Table 22. Study PDX-008 - shifts in neutrophil counts</w:t>
      </w:r>
      <w:r w:rsidRPr="00C865B6">
        <w:t xml:space="preserve"> </w:t>
      </w:r>
      <w:r>
        <w:t>during treatment with pralatrexate</w:t>
      </w:r>
      <w:bookmarkEnd w:id="295"/>
    </w:p>
    <w:tbl>
      <w:tblPr>
        <w:tblStyle w:val="TableGrid"/>
        <w:tblW w:w="0" w:type="auto"/>
        <w:tblInd w:w="1101" w:type="dxa"/>
        <w:tblLook w:val="04A0"/>
      </w:tblPr>
      <w:tblGrid>
        <w:gridCol w:w="850"/>
        <w:gridCol w:w="1276"/>
        <w:gridCol w:w="992"/>
        <w:gridCol w:w="992"/>
        <w:gridCol w:w="992"/>
        <w:gridCol w:w="992"/>
        <w:gridCol w:w="993"/>
      </w:tblGrid>
      <w:tr w:rsidR="004D5254" w:rsidRPr="003929CB" w:rsidTr="003A2EF5">
        <w:trPr>
          <w:tblHeader/>
        </w:trPr>
        <w:tc>
          <w:tcPr>
            <w:tcW w:w="2126" w:type="dxa"/>
            <w:gridSpan w:val="2"/>
            <w:vMerge w:val="restart"/>
            <w:tcBorders>
              <w:top w:val="nil"/>
              <w:left w:val="nil"/>
            </w:tcBorders>
          </w:tcPr>
          <w:p w:rsidR="004D5254" w:rsidRPr="003929CB" w:rsidRDefault="004D5254" w:rsidP="00C80331">
            <w:pPr>
              <w:keepNext/>
              <w:autoSpaceDE w:val="0"/>
              <w:autoSpaceDN w:val="0"/>
              <w:adjustRightInd w:val="0"/>
              <w:spacing w:before="40" w:after="40"/>
              <w:rPr>
                <w:sz w:val="20"/>
                <w:szCs w:val="20"/>
              </w:rPr>
            </w:pPr>
          </w:p>
        </w:tc>
        <w:tc>
          <w:tcPr>
            <w:tcW w:w="4961" w:type="dxa"/>
            <w:gridSpan w:val="5"/>
            <w:shd w:val="clear" w:color="auto" w:fill="0070C0"/>
          </w:tcPr>
          <w:p w:rsidR="004D5254" w:rsidRPr="00DC5E4A" w:rsidRDefault="004D5254" w:rsidP="00C80331">
            <w:pPr>
              <w:keepNext/>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Worst on-study grade</w:t>
            </w:r>
          </w:p>
        </w:tc>
      </w:tr>
      <w:tr w:rsidR="004D5254" w:rsidRPr="003929CB" w:rsidTr="003A2EF5">
        <w:trPr>
          <w:tblHeader/>
        </w:trPr>
        <w:tc>
          <w:tcPr>
            <w:tcW w:w="2126" w:type="dxa"/>
            <w:gridSpan w:val="2"/>
            <w:vMerge/>
            <w:tcBorders>
              <w:left w:val="nil"/>
            </w:tcBorders>
          </w:tcPr>
          <w:p w:rsidR="004D5254" w:rsidRPr="003929CB" w:rsidRDefault="004D5254" w:rsidP="00C80331">
            <w:pPr>
              <w:keepNext/>
              <w:autoSpaceDE w:val="0"/>
              <w:autoSpaceDN w:val="0"/>
              <w:adjustRightInd w:val="0"/>
              <w:spacing w:before="40" w:after="40"/>
              <w:rPr>
                <w:sz w:val="20"/>
                <w:szCs w:val="20"/>
              </w:rPr>
            </w:pPr>
          </w:p>
        </w:tc>
        <w:tc>
          <w:tcPr>
            <w:tcW w:w="992" w:type="dxa"/>
            <w:shd w:val="clear" w:color="auto" w:fill="0070C0"/>
          </w:tcPr>
          <w:p w:rsidR="004D5254" w:rsidRPr="00DC5E4A" w:rsidRDefault="004D5254" w:rsidP="00C80331">
            <w:pPr>
              <w:keepNext/>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0</w:t>
            </w:r>
          </w:p>
        </w:tc>
        <w:tc>
          <w:tcPr>
            <w:tcW w:w="992" w:type="dxa"/>
            <w:shd w:val="clear" w:color="auto" w:fill="0070C0"/>
          </w:tcPr>
          <w:p w:rsidR="004D5254" w:rsidRPr="00DC5E4A" w:rsidRDefault="004D5254" w:rsidP="00C80331">
            <w:pPr>
              <w:keepNext/>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1</w:t>
            </w:r>
          </w:p>
        </w:tc>
        <w:tc>
          <w:tcPr>
            <w:tcW w:w="992" w:type="dxa"/>
            <w:shd w:val="clear" w:color="auto" w:fill="0070C0"/>
          </w:tcPr>
          <w:p w:rsidR="004D5254" w:rsidRPr="00DC5E4A" w:rsidRDefault="004D5254" w:rsidP="00C80331">
            <w:pPr>
              <w:keepNext/>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2</w:t>
            </w:r>
          </w:p>
        </w:tc>
        <w:tc>
          <w:tcPr>
            <w:tcW w:w="992" w:type="dxa"/>
            <w:shd w:val="clear" w:color="auto" w:fill="0070C0"/>
          </w:tcPr>
          <w:p w:rsidR="004D5254" w:rsidRPr="00DC5E4A" w:rsidRDefault="004D5254" w:rsidP="00C80331">
            <w:pPr>
              <w:keepNext/>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3</w:t>
            </w:r>
          </w:p>
        </w:tc>
        <w:tc>
          <w:tcPr>
            <w:tcW w:w="993" w:type="dxa"/>
            <w:shd w:val="clear" w:color="auto" w:fill="0070C0"/>
          </w:tcPr>
          <w:p w:rsidR="004D5254" w:rsidRPr="00DC5E4A" w:rsidRDefault="004D5254" w:rsidP="00C80331">
            <w:pPr>
              <w:keepNext/>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4</w:t>
            </w:r>
          </w:p>
        </w:tc>
      </w:tr>
      <w:tr w:rsidR="004D5254" w:rsidTr="00C80331">
        <w:tc>
          <w:tcPr>
            <w:tcW w:w="850" w:type="dxa"/>
            <w:vMerge w:val="restart"/>
            <w:textDirection w:val="btLr"/>
          </w:tcPr>
          <w:p w:rsidR="004D5254" w:rsidRDefault="004D5254" w:rsidP="00C80331">
            <w:pPr>
              <w:keepNext/>
              <w:autoSpaceDE w:val="0"/>
              <w:autoSpaceDN w:val="0"/>
              <w:adjustRightInd w:val="0"/>
              <w:spacing w:before="40" w:after="40"/>
              <w:ind w:left="113" w:right="113"/>
              <w:jc w:val="center"/>
              <w:rPr>
                <w:b/>
                <w:sz w:val="20"/>
                <w:szCs w:val="20"/>
              </w:rPr>
            </w:pPr>
            <w:r>
              <w:rPr>
                <w:b/>
                <w:sz w:val="20"/>
                <w:szCs w:val="20"/>
              </w:rPr>
              <w:t>Baseline grade</w:t>
            </w:r>
          </w:p>
        </w:tc>
        <w:tc>
          <w:tcPr>
            <w:tcW w:w="1276" w:type="dxa"/>
          </w:tcPr>
          <w:p w:rsidR="004D5254" w:rsidRDefault="004D5254" w:rsidP="00C80331">
            <w:pPr>
              <w:keepNext/>
              <w:autoSpaceDE w:val="0"/>
              <w:autoSpaceDN w:val="0"/>
              <w:adjustRightInd w:val="0"/>
              <w:rPr>
                <w:sz w:val="20"/>
                <w:szCs w:val="20"/>
              </w:rPr>
            </w:pPr>
            <w:r>
              <w:rPr>
                <w:sz w:val="20"/>
                <w:szCs w:val="20"/>
              </w:rPr>
              <w:t>Missing</w:t>
            </w:r>
          </w:p>
          <w:p w:rsidR="004D5254" w:rsidRPr="003929CB" w:rsidRDefault="004D5254" w:rsidP="00C80331">
            <w:pPr>
              <w:keepNext/>
              <w:autoSpaceDE w:val="0"/>
              <w:autoSpaceDN w:val="0"/>
              <w:adjustRightInd w:val="0"/>
              <w:rPr>
                <w:sz w:val="20"/>
                <w:szCs w:val="20"/>
              </w:rPr>
            </w:pPr>
            <w:r>
              <w:rPr>
                <w:sz w:val="20"/>
                <w:szCs w:val="20"/>
              </w:rPr>
              <w:t>(n=2)</w:t>
            </w:r>
          </w:p>
        </w:tc>
        <w:tc>
          <w:tcPr>
            <w:tcW w:w="992" w:type="dxa"/>
          </w:tcPr>
          <w:p w:rsidR="004D5254" w:rsidRDefault="004D5254" w:rsidP="00C80331">
            <w:pPr>
              <w:keepNext/>
              <w:autoSpaceDE w:val="0"/>
              <w:autoSpaceDN w:val="0"/>
              <w:adjustRightInd w:val="0"/>
              <w:spacing w:before="40" w:after="40"/>
              <w:jc w:val="center"/>
              <w:rPr>
                <w:sz w:val="20"/>
                <w:szCs w:val="20"/>
              </w:rPr>
            </w:pPr>
            <w:r>
              <w:rPr>
                <w:sz w:val="20"/>
                <w:szCs w:val="20"/>
              </w:rPr>
              <w:t>2</w:t>
            </w:r>
          </w:p>
        </w:tc>
        <w:tc>
          <w:tcPr>
            <w:tcW w:w="992" w:type="dxa"/>
          </w:tcPr>
          <w:p w:rsidR="004D5254" w:rsidRDefault="004D5254" w:rsidP="00C80331">
            <w:pPr>
              <w:keepNext/>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Default="004D5254" w:rsidP="00C80331">
            <w:pPr>
              <w:keepNext/>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Default="004D5254" w:rsidP="00C80331">
            <w:pPr>
              <w:keepNext/>
              <w:autoSpaceDE w:val="0"/>
              <w:autoSpaceDN w:val="0"/>
              <w:adjustRightInd w:val="0"/>
              <w:spacing w:before="40" w:after="40"/>
              <w:jc w:val="center"/>
              <w:rPr>
                <w:sz w:val="20"/>
                <w:szCs w:val="20"/>
              </w:rPr>
            </w:pPr>
            <w:r>
              <w:rPr>
                <w:sz w:val="20"/>
                <w:szCs w:val="20"/>
              </w:rPr>
              <w:t>0</w:t>
            </w:r>
          </w:p>
        </w:tc>
        <w:tc>
          <w:tcPr>
            <w:tcW w:w="993" w:type="dxa"/>
            <w:shd w:val="clear" w:color="auto" w:fill="FFFFFF" w:themeFill="background1"/>
          </w:tcPr>
          <w:p w:rsidR="004D5254" w:rsidRDefault="004D5254" w:rsidP="00C80331">
            <w:pPr>
              <w:keepNext/>
              <w:autoSpaceDE w:val="0"/>
              <w:autoSpaceDN w:val="0"/>
              <w:adjustRightInd w:val="0"/>
              <w:spacing w:before="40" w:after="40"/>
              <w:jc w:val="center"/>
              <w:rPr>
                <w:sz w:val="20"/>
                <w:szCs w:val="20"/>
              </w:rPr>
            </w:pPr>
            <w:r>
              <w:rPr>
                <w:sz w:val="20"/>
                <w:szCs w:val="20"/>
              </w:rPr>
              <w:t>0</w:t>
            </w:r>
          </w:p>
        </w:tc>
      </w:tr>
      <w:tr w:rsidR="004D5254" w:rsidTr="00C80331">
        <w:tc>
          <w:tcPr>
            <w:tcW w:w="850" w:type="dxa"/>
            <w:vMerge/>
            <w:textDirection w:val="btLr"/>
          </w:tcPr>
          <w:p w:rsidR="004D5254" w:rsidRPr="009F6F94" w:rsidRDefault="004D5254" w:rsidP="00C80331">
            <w:pPr>
              <w:keepNext/>
              <w:autoSpaceDE w:val="0"/>
              <w:autoSpaceDN w:val="0"/>
              <w:adjustRightInd w:val="0"/>
              <w:spacing w:before="40" w:after="40"/>
              <w:ind w:left="113" w:right="113"/>
              <w:jc w:val="center"/>
              <w:rPr>
                <w:b/>
                <w:sz w:val="20"/>
                <w:szCs w:val="20"/>
              </w:rPr>
            </w:pPr>
          </w:p>
        </w:tc>
        <w:tc>
          <w:tcPr>
            <w:tcW w:w="1276" w:type="dxa"/>
          </w:tcPr>
          <w:p w:rsidR="004D5254" w:rsidRDefault="004D5254" w:rsidP="00C80331">
            <w:pPr>
              <w:keepNext/>
              <w:autoSpaceDE w:val="0"/>
              <w:autoSpaceDN w:val="0"/>
              <w:adjustRightInd w:val="0"/>
              <w:rPr>
                <w:sz w:val="20"/>
                <w:szCs w:val="20"/>
              </w:rPr>
            </w:pPr>
            <w:r w:rsidRPr="003929CB">
              <w:rPr>
                <w:sz w:val="20"/>
                <w:szCs w:val="20"/>
              </w:rPr>
              <w:t xml:space="preserve">Grade 0 </w:t>
            </w:r>
          </w:p>
          <w:p w:rsidR="004D5254" w:rsidRPr="003929CB" w:rsidRDefault="004D5254" w:rsidP="00C80331">
            <w:pPr>
              <w:keepNext/>
              <w:autoSpaceDE w:val="0"/>
              <w:autoSpaceDN w:val="0"/>
              <w:adjustRightInd w:val="0"/>
              <w:rPr>
                <w:sz w:val="20"/>
                <w:szCs w:val="20"/>
              </w:rPr>
            </w:pPr>
            <w:r w:rsidRPr="003929CB">
              <w:rPr>
                <w:sz w:val="20"/>
                <w:szCs w:val="20"/>
              </w:rPr>
              <w:t>(n=</w:t>
            </w:r>
            <w:r>
              <w:rPr>
                <w:sz w:val="20"/>
                <w:szCs w:val="20"/>
              </w:rPr>
              <w:t>97</w:t>
            </w:r>
            <w:r w:rsidRPr="003929CB">
              <w:rPr>
                <w:sz w:val="20"/>
                <w:szCs w:val="20"/>
              </w:rPr>
              <w:t>)</w:t>
            </w:r>
          </w:p>
        </w:tc>
        <w:tc>
          <w:tcPr>
            <w:tcW w:w="992" w:type="dxa"/>
          </w:tcPr>
          <w:p w:rsidR="004D5254" w:rsidRPr="003929CB" w:rsidRDefault="004D5254" w:rsidP="00C80331">
            <w:pPr>
              <w:keepNext/>
              <w:autoSpaceDE w:val="0"/>
              <w:autoSpaceDN w:val="0"/>
              <w:adjustRightInd w:val="0"/>
              <w:spacing w:before="40" w:after="40"/>
              <w:jc w:val="center"/>
              <w:rPr>
                <w:sz w:val="20"/>
                <w:szCs w:val="20"/>
              </w:rPr>
            </w:pPr>
            <w:r>
              <w:rPr>
                <w:sz w:val="20"/>
                <w:szCs w:val="20"/>
              </w:rPr>
              <w:t>50</w:t>
            </w:r>
          </w:p>
        </w:tc>
        <w:tc>
          <w:tcPr>
            <w:tcW w:w="992" w:type="dxa"/>
          </w:tcPr>
          <w:p w:rsidR="004D5254" w:rsidRPr="003929CB" w:rsidRDefault="004D5254" w:rsidP="00C80331">
            <w:pPr>
              <w:keepNext/>
              <w:autoSpaceDE w:val="0"/>
              <w:autoSpaceDN w:val="0"/>
              <w:adjustRightInd w:val="0"/>
              <w:spacing w:before="40" w:after="40"/>
              <w:jc w:val="center"/>
              <w:rPr>
                <w:sz w:val="20"/>
                <w:szCs w:val="20"/>
              </w:rPr>
            </w:pPr>
            <w:r>
              <w:rPr>
                <w:sz w:val="20"/>
                <w:szCs w:val="20"/>
              </w:rPr>
              <w:t>7</w:t>
            </w:r>
          </w:p>
        </w:tc>
        <w:tc>
          <w:tcPr>
            <w:tcW w:w="992" w:type="dxa"/>
            <w:shd w:val="clear" w:color="auto" w:fill="D9D9D9" w:themeFill="background1" w:themeFillShade="D9"/>
          </w:tcPr>
          <w:p w:rsidR="004D5254" w:rsidRPr="003929CB" w:rsidRDefault="004D5254" w:rsidP="00C80331">
            <w:pPr>
              <w:keepNext/>
              <w:autoSpaceDE w:val="0"/>
              <w:autoSpaceDN w:val="0"/>
              <w:adjustRightInd w:val="0"/>
              <w:spacing w:before="40" w:after="40"/>
              <w:jc w:val="center"/>
              <w:rPr>
                <w:sz w:val="20"/>
                <w:szCs w:val="20"/>
              </w:rPr>
            </w:pPr>
            <w:r>
              <w:rPr>
                <w:sz w:val="20"/>
                <w:szCs w:val="20"/>
              </w:rPr>
              <w:t>16</w:t>
            </w:r>
          </w:p>
        </w:tc>
        <w:tc>
          <w:tcPr>
            <w:tcW w:w="992" w:type="dxa"/>
            <w:shd w:val="clear" w:color="auto" w:fill="D9D9D9" w:themeFill="background1" w:themeFillShade="D9"/>
          </w:tcPr>
          <w:p w:rsidR="004D5254" w:rsidRPr="003929CB" w:rsidRDefault="004D5254" w:rsidP="00C80331">
            <w:pPr>
              <w:keepNext/>
              <w:autoSpaceDE w:val="0"/>
              <w:autoSpaceDN w:val="0"/>
              <w:adjustRightInd w:val="0"/>
              <w:spacing w:before="40" w:after="40"/>
              <w:jc w:val="center"/>
              <w:rPr>
                <w:sz w:val="20"/>
                <w:szCs w:val="20"/>
              </w:rPr>
            </w:pPr>
            <w:r>
              <w:rPr>
                <w:sz w:val="20"/>
                <w:szCs w:val="20"/>
              </w:rPr>
              <w:t>17</w:t>
            </w:r>
          </w:p>
        </w:tc>
        <w:tc>
          <w:tcPr>
            <w:tcW w:w="993" w:type="dxa"/>
            <w:shd w:val="clear" w:color="auto" w:fill="D9D9D9" w:themeFill="background1" w:themeFillShade="D9"/>
          </w:tcPr>
          <w:p w:rsidR="004D5254" w:rsidRPr="003929CB" w:rsidRDefault="004D5254" w:rsidP="00C80331">
            <w:pPr>
              <w:keepNext/>
              <w:autoSpaceDE w:val="0"/>
              <w:autoSpaceDN w:val="0"/>
              <w:adjustRightInd w:val="0"/>
              <w:spacing w:before="40" w:after="40"/>
              <w:jc w:val="center"/>
              <w:rPr>
                <w:sz w:val="20"/>
                <w:szCs w:val="20"/>
              </w:rPr>
            </w:pPr>
            <w:r>
              <w:rPr>
                <w:sz w:val="20"/>
                <w:szCs w:val="20"/>
              </w:rPr>
              <w:t>7</w:t>
            </w:r>
          </w:p>
        </w:tc>
      </w:tr>
      <w:tr w:rsidR="004D5254" w:rsidTr="00C80331">
        <w:tc>
          <w:tcPr>
            <w:tcW w:w="850" w:type="dxa"/>
            <w:vMerge/>
          </w:tcPr>
          <w:p w:rsidR="004D5254" w:rsidRPr="003929CB" w:rsidRDefault="004D5254" w:rsidP="00C80331">
            <w:pPr>
              <w:keepNext/>
              <w:autoSpaceDE w:val="0"/>
              <w:autoSpaceDN w:val="0"/>
              <w:adjustRightInd w:val="0"/>
              <w:spacing w:before="40" w:after="40"/>
              <w:rPr>
                <w:sz w:val="20"/>
                <w:szCs w:val="20"/>
              </w:rPr>
            </w:pPr>
          </w:p>
        </w:tc>
        <w:tc>
          <w:tcPr>
            <w:tcW w:w="1276" w:type="dxa"/>
          </w:tcPr>
          <w:p w:rsidR="004D5254" w:rsidRDefault="004D5254" w:rsidP="00C80331">
            <w:pPr>
              <w:keepNext/>
              <w:autoSpaceDE w:val="0"/>
              <w:autoSpaceDN w:val="0"/>
              <w:adjustRightInd w:val="0"/>
              <w:rPr>
                <w:sz w:val="20"/>
                <w:szCs w:val="20"/>
              </w:rPr>
            </w:pPr>
            <w:r w:rsidRPr="003929CB">
              <w:rPr>
                <w:sz w:val="20"/>
                <w:szCs w:val="20"/>
              </w:rPr>
              <w:t xml:space="preserve">Grade 1 </w:t>
            </w:r>
          </w:p>
          <w:p w:rsidR="004D5254" w:rsidRPr="003929CB" w:rsidRDefault="004D5254" w:rsidP="00C80331">
            <w:pPr>
              <w:keepNext/>
              <w:autoSpaceDE w:val="0"/>
              <w:autoSpaceDN w:val="0"/>
              <w:adjustRightInd w:val="0"/>
              <w:rPr>
                <w:sz w:val="20"/>
                <w:szCs w:val="20"/>
              </w:rPr>
            </w:pPr>
            <w:r>
              <w:rPr>
                <w:sz w:val="20"/>
                <w:szCs w:val="20"/>
              </w:rPr>
              <w:t>(</w:t>
            </w:r>
            <w:r w:rsidRPr="003929CB">
              <w:rPr>
                <w:sz w:val="20"/>
                <w:szCs w:val="20"/>
              </w:rPr>
              <w:t>n=</w:t>
            </w:r>
            <w:r>
              <w:rPr>
                <w:sz w:val="20"/>
                <w:szCs w:val="20"/>
              </w:rPr>
              <w:t>4)</w:t>
            </w:r>
          </w:p>
        </w:tc>
        <w:tc>
          <w:tcPr>
            <w:tcW w:w="992" w:type="dxa"/>
            <w:shd w:val="clear" w:color="auto" w:fill="FFFFFF" w:themeFill="background1"/>
          </w:tcPr>
          <w:p w:rsidR="004D5254" w:rsidRPr="003929CB" w:rsidRDefault="004D5254" w:rsidP="00C80331">
            <w:pPr>
              <w:keepNext/>
              <w:autoSpaceDE w:val="0"/>
              <w:autoSpaceDN w:val="0"/>
              <w:adjustRightInd w:val="0"/>
              <w:spacing w:before="40" w:after="40"/>
              <w:jc w:val="center"/>
              <w:rPr>
                <w:sz w:val="20"/>
                <w:szCs w:val="20"/>
              </w:rPr>
            </w:pPr>
            <w:r>
              <w:rPr>
                <w:sz w:val="20"/>
                <w:szCs w:val="20"/>
              </w:rPr>
              <w:t>1</w:t>
            </w:r>
          </w:p>
        </w:tc>
        <w:tc>
          <w:tcPr>
            <w:tcW w:w="992" w:type="dxa"/>
            <w:shd w:val="clear" w:color="auto" w:fill="FFFFFF" w:themeFill="background1"/>
          </w:tcPr>
          <w:p w:rsidR="004D5254" w:rsidRPr="003929CB" w:rsidRDefault="004D5254" w:rsidP="00C80331">
            <w:pPr>
              <w:keepNext/>
              <w:autoSpaceDE w:val="0"/>
              <w:autoSpaceDN w:val="0"/>
              <w:adjustRightInd w:val="0"/>
              <w:spacing w:before="40" w:after="40"/>
              <w:jc w:val="center"/>
              <w:rPr>
                <w:sz w:val="20"/>
                <w:szCs w:val="20"/>
              </w:rPr>
            </w:pPr>
            <w:r>
              <w:rPr>
                <w:sz w:val="20"/>
                <w:szCs w:val="20"/>
              </w:rPr>
              <w:t>0</w:t>
            </w:r>
          </w:p>
        </w:tc>
        <w:tc>
          <w:tcPr>
            <w:tcW w:w="992" w:type="dxa"/>
            <w:shd w:val="clear" w:color="auto" w:fill="D9D9D9" w:themeFill="background1" w:themeFillShade="D9"/>
          </w:tcPr>
          <w:p w:rsidR="004D5254" w:rsidRPr="003929CB" w:rsidRDefault="004D5254" w:rsidP="00C80331">
            <w:pPr>
              <w:keepNext/>
              <w:autoSpaceDE w:val="0"/>
              <w:autoSpaceDN w:val="0"/>
              <w:adjustRightInd w:val="0"/>
              <w:spacing w:before="40" w:after="40"/>
              <w:jc w:val="center"/>
              <w:rPr>
                <w:sz w:val="20"/>
                <w:szCs w:val="20"/>
              </w:rPr>
            </w:pPr>
            <w:r>
              <w:rPr>
                <w:sz w:val="20"/>
                <w:szCs w:val="20"/>
              </w:rPr>
              <w:t>2</w:t>
            </w:r>
          </w:p>
        </w:tc>
        <w:tc>
          <w:tcPr>
            <w:tcW w:w="992" w:type="dxa"/>
            <w:shd w:val="clear" w:color="auto" w:fill="D9D9D9" w:themeFill="background1" w:themeFillShade="D9"/>
          </w:tcPr>
          <w:p w:rsidR="004D5254" w:rsidRPr="003929CB" w:rsidRDefault="004D5254" w:rsidP="00C80331">
            <w:pPr>
              <w:keepNext/>
              <w:autoSpaceDE w:val="0"/>
              <w:autoSpaceDN w:val="0"/>
              <w:adjustRightInd w:val="0"/>
              <w:spacing w:before="40" w:after="40"/>
              <w:jc w:val="center"/>
              <w:rPr>
                <w:sz w:val="20"/>
                <w:szCs w:val="20"/>
              </w:rPr>
            </w:pPr>
            <w:r>
              <w:rPr>
                <w:sz w:val="20"/>
                <w:szCs w:val="20"/>
              </w:rPr>
              <w:t>1</w:t>
            </w:r>
          </w:p>
        </w:tc>
        <w:tc>
          <w:tcPr>
            <w:tcW w:w="993" w:type="dxa"/>
            <w:shd w:val="clear" w:color="auto" w:fill="D9D9D9" w:themeFill="background1" w:themeFillShade="D9"/>
          </w:tcPr>
          <w:p w:rsidR="004D5254" w:rsidRPr="003929CB" w:rsidRDefault="004D5254" w:rsidP="00C80331">
            <w:pPr>
              <w:keepNext/>
              <w:autoSpaceDE w:val="0"/>
              <w:autoSpaceDN w:val="0"/>
              <w:adjustRightInd w:val="0"/>
              <w:spacing w:before="40" w:after="40"/>
              <w:jc w:val="center"/>
              <w:rPr>
                <w:sz w:val="20"/>
                <w:szCs w:val="20"/>
              </w:rPr>
            </w:pPr>
            <w:r>
              <w:rPr>
                <w:sz w:val="20"/>
                <w:szCs w:val="20"/>
              </w:rPr>
              <w:t>0</w:t>
            </w:r>
          </w:p>
        </w:tc>
      </w:tr>
      <w:tr w:rsidR="004D5254" w:rsidTr="00C80331">
        <w:tc>
          <w:tcPr>
            <w:tcW w:w="850" w:type="dxa"/>
            <w:vMerge/>
          </w:tcPr>
          <w:p w:rsidR="004D5254" w:rsidRPr="003929CB" w:rsidRDefault="004D5254" w:rsidP="00C80331">
            <w:pPr>
              <w:keepNext/>
              <w:autoSpaceDE w:val="0"/>
              <w:autoSpaceDN w:val="0"/>
              <w:adjustRightInd w:val="0"/>
              <w:spacing w:before="40" w:after="40"/>
              <w:rPr>
                <w:sz w:val="20"/>
                <w:szCs w:val="20"/>
              </w:rPr>
            </w:pPr>
          </w:p>
        </w:tc>
        <w:tc>
          <w:tcPr>
            <w:tcW w:w="1276" w:type="dxa"/>
          </w:tcPr>
          <w:p w:rsidR="004D5254" w:rsidRDefault="004D5254" w:rsidP="00C80331">
            <w:pPr>
              <w:keepNext/>
              <w:autoSpaceDE w:val="0"/>
              <w:autoSpaceDN w:val="0"/>
              <w:adjustRightInd w:val="0"/>
              <w:rPr>
                <w:sz w:val="20"/>
                <w:szCs w:val="20"/>
              </w:rPr>
            </w:pPr>
            <w:r w:rsidRPr="003929CB">
              <w:rPr>
                <w:sz w:val="20"/>
                <w:szCs w:val="20"/>
              </w:rPr>
              <w:t xml:space="preserve">Grade 2 </w:t>
            </w:r>
          </w:p>
          <w:p w:rsidR="004D5254" w:rsidRPr="003929CB" w:rsidRDefault="004D5254" w:rsidP="00C80331">
            <w:pPr>
              <w:keepNext/>
              <w:autoSpaceDE w:val="0"/>
              <w:autoSpaceDN w:val="0"/>
              <w:adjustRightInd w:val="0"/>
              <w:rPr>
                <w:sz w:val="20"/>
                <w:szCs w:val="20"/>
              </w:rPr>
            </w:pPr>
            <w:r>
              <w:rPr>
                <w:sz w:val="20"/>
                <w:szCs w:val="20"/>
              </w:rPr>
              <w:t>(</w:t>
            </w:r>
            <w:r w:rsidRPr="003929CB">
              <w:rPr>
                <w:sz w:val="20"/>
                <w:szCs w:val="20"/>
              </w:rPr>
              <w:t>n=</w:t>
            </w:r>
            <w:r>
              <w:rPr>
                <w:sz w:val="20"/>
                <w:szCs w:val="20"/>
              </w:rPr>
              <w:t>7)</w:t>
            </w:r>
          </w:p>
        </w:tc>
        <w:tc>
          <w:tcPr>
            <w:tcW w:w="992" w:type="dxa"/>
            <w:shd w:val="clear" w:color="auto" w:fill="FFFFFF" w:themeFill="background1"/>
          </w:tcPr>
          <w:p w:rsidR="004D5254" w:rsidRPr="003929CB" w:rsidRDefault="004D5254" w:rsidP="00C80331">
            <w:pPr>
              <w:keepNext/>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keepNext/>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keepNext/>
              <w:autoSpaceDE w:val="0"/>
              <w:autoSpaceDN w:val="0"/>
              <w:adjustRightInd w:val="0"/>
              <w:spacing w:before="40" w:after="40"/>
              <w:jc w:val="center"/>
              <w:rPr>
                <w:sz w:val="20"/>
                <w:szCs w:val="20"/>
              </w:rPr>
            </w:pPr>
            <w:r>
              <w:rPr>
                <w:sz w:val="20"/>
                <w:szCs w:val="20"/>
              </w:rPr>
              <w:t>2</w:t>
            </w:r>
          </w:p>
        </w:tc>
        <w:tc>
          <w:tcPr>
            <w:tcW w:w="992" w:type="dxa"/>
            <w:shd w:val="clear" w:color="auto" w:fill="D9D9D9" w:themeFill="background1" w:themeFillShade="D9"/>
          </w:tcPr>
          <w:p w:rsidR="004D5254" w:rsidRPr="003929CB" w:rsidRDefault="004D5254" w:rsidP="00C80331">
            <w:pPr>
              <w:keepNext/>
              <w:autoSpaceDE w:val="0"/>
              <w:autoSpaceDN w:val="0"/>
              <w:adjustRightInd w:val="0"/>
              <w:spacing w:before="40" w:after="40"/>
              <w:jc w:val="center"/>
              <w:rPr>
                <w:sz w:val="20"/>
                <w:szCs w:val="20"/>
              </w:rPr>
            </w:pPr>
            <w:r>
              <w:rPr>
                <w:sz w:val="20"/>
                <w:szCs w:val="20"/>
              </w:rPr>
              <w:t>3</w:t>
            </w:r>
          </w:p>
        </w:tc>
        <w:tc>
          <w:tcPr>
            <w:tcW w:w="993" w:type="dxa"/>
            <w:shd w:val="clear" w:color="auto" w:fill="D9D9D9" w:themeFill="background1" w:themeFillShade="D9"/>
          </w:tcPr>
          <w:p w:rsidR="004D5254" w:rsidRPr="003929CB" w:rsidRDefault="004D5254" w:rsidP="00C80331">
            <w:pPr>
              <w:keepNext/>
              <w:autoSpaceDE w:val="0"/>
              <w:autoSpaceDN w:val="0"/>
              <w:adjustRightInd w:val="0"/>
              <w:spacing w:before="40" w:after="40"/>
              <w:jc w:val="center"/>
              <w:rPr>
                <w:sz w:val="20"/>
                <w:szCs w:val="20"/>
              </w:rPr>
            </w:pPr>
            <w:r>
              <w:rPr>
                <w:sz w:val="20"/>
                <w:szCs w:val="20"/>
              </w:rPr>
              <w:t>2</w:t>
            </w:r>
          </w:p>
        </w:tc>
      </w:tr>
      <w:tr w:rsidR="004D5254" w:rsidTr="00C80331">
        <w:tc>
          <w:tcPr>
            <w:tcW w:w="850" w:type="dxa"/>
            <w:vMerge/>
          </w:tcPr>
          <w:p w:rsidR="004D5254" w:rsidRPr="003929CB" w:rsidRDefault="004D5254" w:rsidP="00C80331">
            <w:pPr>
              <w:keepNext/>
              <w:autoSpaceDE w:val="0"/>
              <w:autoSpaceDN w:val="0"/>
              <w:adjustRightInd w:val="0"/>
              <w:spacing w:before="40" w:after="40"/>
              <w:rPr>
                <w:sz w:val="20"/>
                <w:szCs w:val="20"/>
              </w:rPr>
            </w:pPr>
          </w:p>
        </w:tc>
        <w:tc>
          <w:tcPr>
            <w:tcW w:w="1276" w:type="dxa"/>
          </w:tcPr>
          <w:p w:rsidR="004D5254" w:rsidRDefault="004D5254" w:rsidP="00C80331">
            <w:pPr>
              <w:keepNext/>
              <w:autoSpaceDE w:val="0"/>
              <w:autoSpaceDN w:val="0"/>
              <w:adjustRightInd w:val="0"/>
              <w:rPr>
                <w:sz w:val="20"/>
                <w:szCs w:val="20"/>
              </w:rPr>
            </w:pPr>
            <w:r>
              <w:rPr>
                <w:sz w:val="20"/>
                <w:szCs w:val="20"/>
              </w:rPr>
              <w:t>Grade 3</w:t>
            </w:r>
          </w:p>
          <w:p w:rsidR="004D5254" w:rsidRPr="003929CB" w:rsidRDefault="004D5254" w:rsidP="00C80331">
            <w:pPr>
              <w:keepNext/>
              <w:autoSpaceDE w:val="0"/>
              <w:autoSpaceDN w:val="0"/>
              <w:adjustRightInd w:val="0"/>
              <w:rPr>
                <w:sz w:val="20"/>
                <w:szCs w:val="20"/>
              </w:rPr>
            </w:pPr>
            <w:r>
              <w:rPr>
                <w:sz w:val="20"/>
                <w:szCs w:val="20"/>
              </w:rPr>
              <w:t>(n=1)</w:t>
            </w:r>
          </w:p>
        </w:tc>
        <w:tc>
          <w:tcPr>
            <w:tcW w:w="992" w:type="dxa"/>
            <w:shd w:val="clear" w:color="auto" w:fill="FFFFFF" w:themeFill="background1"/>
          </w:tcPr>
          <w:p w:rsidR="004D5254" w:rsidRPr="003929CB" w:rsidRDefault="004D5254" w:rsidP="00C80331">
            <w:pPr>
              <w:keepNext/>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keepNext/>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Default="004D5254" w:rsidP="00C80331">
            <w:pPr>
              <w:keepNext/>
              <w:autoSpaceDE w:val="0"/>
              <w:autoSpaceDN w:val="0"/>
              <w:adjustRightInd w:val="0"/>
              <w:spacing w:before="40" w:after="40"/>
              <w:jc w:val="center"/>
              <w:rPr>
                <w:sz w:val="20"/>
                <w:szCs w:val="20"/>
              </w:rPr>
            </w:pPr>
            <w:r>
              <w:rPr>
                <w:sz w:val="20"/>
                <w:szCs w:val="20"/>
              </w:rPr>
              <w:t>0</w:t>
            </w:r>
          </w:p>
        </w:tc>
        <w:tc>
          <w:tcPr>
            <w:tcW w:w="992" w:type="dxa"/>
          </w:tcPr>
          <w:p w:rsidR="004D5254" w:rsidRDefault="004D5254" w:rsidP="00C80331">
            <w:pPr>
              <w:keepNext/>
              <w:autoSpaceDE w:val="0"/>
              <w:autoSpaceDN w:val="0"/>
              <w:adjustRightInd w:val="0"/>
              <w:spacing w:before="40" w:after="40"/>
              <w:jc w:val="center"/>
              <w:rPr>
                <w:sz w:val="20"/>
                <w:szCs w:val="20"/>
              </w:rPr>
            </w:pPr>
            <w:r>
              <w:rPr>
                <w:sz w:val="20"/>
                <w:szCs w:val="20"/>
              </w:rPr>
              <w:t>0</w:t>
            </w:r>
          </w:p>
        </w:tc>
        <w:tc>
          <w:tcPr>
            <w:tcW w:w="993" w:type="dxa"/>
            <w:shd w:val="clear" w:color="auto" w:fill="D9D9D9" w:themeFill="background1" w:themeFillShade="D9"/>
          </w:tcPr>
          <w:p w:rsidR="004D5254" w:rsidRDefault="004D5254" w:rsidP="00C80331">
            <w:pPr>
              <w:keepNext/>
              <w:autoSpaceDE w:val="0"/>
              <w:autoSpaceDN w:val="0"/>
              <w:adjustRightInd w:val="0"/>
              <w:spacing w:before="40" w:after="40"/>
              <w:jc w:val="center"/>
              <w:rPr>
                <w:sz w:val="20"/>
                <w:szCs w:val="20"/>
              </w:rPr>
            </w:pPr>
            <w:r>
              <w:rPr>
                <w:sz w:val="20"/>
                <w:szCs w:val="20"/>
              </w:rPr>
              <w:t>1</w:t>
            </w:r>
          </w:p>
        </w:tc>
      </w:tr>
    </w:tbl>
    <w:p w:rsidR="004D5254" w:rsidRDefault="004D5254" w:rsidP="004D5254">
      <w:pPr>
        <w:pStyle w:val="ListBullet"/>
        <w:numPr>
          <w:ilvl w:val="0"/>
          <w:numId w:val="1"/>
        </w:numPr>
      </w:pPr>
      <w:r w:rsidRPr="00291585">
        <w:t xml:space="preserve">low WBC counts were </w:t>
      </w:r>
      <w:r>
        <w:t>reported for 47 patients (42%);</w:t>
      </w:r>
    </w:p>
    <w:p w:rsidR="004D5254" w:rsidRPr="00DC5E4A" w:rsidRDefault="004D5254" w:rsidP="004D5254">
      <w:pPr>
        <w:pStyle w:val="ListBullet"/>
        <w:numPr>
          <w:ilvl w:val="0"/>
          <w:numId w:val="1"/>
        </w:numPr>
      </w:pPr>
      <w:r>
        <w:t xml:space="preserve">Most patients (n=58; 52%) entered the study with Grade 1 anaemia. Overall </w:t>
      </w:r>
      <w:r w:rsidRPr="00291585">
        <w:t>46 (41%) patients experienced clinically significant low haemoglobin</w:t>
      </w:r>
      <w:r>
        <w:t>; 16 patients developed Grade 3 anaemia and 1 developed Grade 4 anaem</w:t>
      </w:r>
      <w:r w:rsidRPr="00DC5E4A">
        <w:t>ia (Table 23, below).</w:t>
      </w:r>
    </w:p>
    <w:p w:rsidR="004D5254" w:rsidRDefault="004D5254" w:rsidP="004D5254">
      <w:pPr>
        <w:pStyle w:val="FigureTitle"/>
        <w:rPr>
          <w:rFonts w:ascii="Times New Roman" w:hAnsi="Times New Roman"/>
          <w:sz w:val="24"/>
        </w:rPr>
      </w:pPr>
      <w:bookmarkStart w:id="296" w:name="_Toc320881546"/>
      <w:r>
        <w:t>Table 23. Study PDX-008 - in haemoglobin levels</w:t>
      </w:r>
      <w:r w:rsidRPr="00C865B6">
        <w:t xml:space="preserve"> </w:t>
      </w:r>
      <w:r>
        <w:t>during treatment with pralatrexate</w:t>
      </w:r>
      <w:bookmarkEnd w:id="296"/>
    </w:p>
    <w:tbl>
      <w:tblPr>
        <w:tblStyle w:val="TableGrid"/>
        <w:tblW w:w="0" w:type="auto"/>
        <w:tblInd w:w="1101" w:type="dxa"/>
        <w:tblLook w:val="04A0"/>
      </w:tblPr>
      <w:tblGrid>
        <w:gridCol w:w="850"/>
        <w:gridCol w:w="1276"/>
        <w:gridCol w:w="992"/>
        <w:gridCol w:w="992"/>
        <w:gridCol w:w="992"/>
        <w:gridCol w:w="992"/>
        <w:gridCol w:w="993"/>
      </w:tblGrid>
      <w:tr w:rsidR="004D5254" w:rsidRPr="003929CB" w:rsidTr="003A2EF5">
        <w:trPr>
          <w:tblHeader/>
        </w:trPr>
        <w:tc>
          <w:tcPr>
            <w:tcW w:w="2126" w:type="dxa"/>
            <w:gridSpan w:val="2"/>
            <w:vMerge w:val="restart"/>
            <w:tcBorders>
              <w:top w:val="nil"/>
              <w:left w:val="nil"/>
            </w:tcBorders>
          </w:tcPr>
          <w:p w:rsidR="004D5254" w:rsidRPr="003929CB" w:rsidRDefault="004D5254" w:rsidP="00C80331">
            <w:pPr>
              <w:autoSpaceDE w:val="0"/>
              <w:autoSpaceDN w:val="0"/>
              <w:adjustRightInd w:val="0"/>
              <w:spacing w:before="40" w:after="40"/>
              <w:rPr>
                <w:sz w:val="20"/>
                <w:szCs w:val="20"/>
              </w:rPr>
            </w:pPr>
          </w:p>
        </w:tc>
        <w:tc>
          <w:tcPr>
            <w:tcW w:w="4961" w:type="dxa"/>
            <w:gridSpan w:val="5"/>
            <w:shd w:val="clear" w:color="auto" w:fill="0070C0"/>
          </w:tcPr>
          <w:p w:rsidR="004D5254" w:rsidRPr="00DC5E4A" w:rsidRDefault="004D5254" w:rsidP="00C80331">
            <w:pPr>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Worst on-study grade</w:t>
            </w:r>
          </w:p>
        </w:tc>
      </w:tr>
      <w:tr w:rsidR="004D5254" w:rsidRPr="003929CB" w:rsidTr="003A2EF5">
        <w:trPr>
          <w:tblHeader/>
        </w:trPr>
        <w:tc>
          <w:tcPr>
            <w:tcW w:w="2126" w:type="dxa"/>
            <w:gridSpan w:val="2"/>
            <w:vMerge/>
            <w:tcBorders>
              <w:left w:val="nil"/>
            </w:tcBorders>
          </w:tcPr>
          <w:p w:rsidR="004D5254" w:rsidRPr="003929CB" w:rsidRDefault="004D5254" w:rsidP="00C80331">
            <w:pPr>
              <w:autoSpaceDE w:val="0"/>
              <w:autoSpaceDN w:val="0"/>
              <w:adjustRightInd w:val="0"/>
              <w:spacing w:before="40" w:after="40"/>
              <w:rPr>
                <w:sz w:val="20"/>
                <w:szCs w:val="20"/>
              </w:rPr>
            </w:pPr>
          </w:p>
        </w:tc>
        <w:tc>
          <w:tcPr>
            <w:tcW w:w="992" w:type="dxa"/>
            <w:shd w:val="clear" w:color="auto" w:fill="0070C0"/>
          </w:tcPr>
          <w:p w:rsidR="004D5254" w:rsidRPr="00DC5E4A" w:rsidRDefault="004D5254" w:rsidP="00C80331">
            <w:pPr>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0</w:t>
            </w:r>
          </w:p>
        </w:tc>
        <w:tc>
          <w:tcPr>
            <w:tcW w:w="992" w:type="dxa"/>
            <w:shd w:val="clear" w:color="auto" w:fill="0070C0"/>
          </w:tcPr>
          <w:p w:rsidR="004D5254" w:rsidRPr="00DC5E4A" w:rsidRDefault="004D5254" w:rsidP="00C80331">
            <w:pPr>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1</w:t>
            </w:r>
          </w:p>
        </w:tc>
        <w:tc>
          <w:tcPr>
            <w:tcW w:w="992" w:type="dxa"/>
            <w:shd w:val="clear" w:color="auto" w:fill="0070C0"/>
          </w:tcPr>
          <w:p w:rsidR="004D5254" w:rsidRPr="00DC5E4A" w:rsidRDefault="004D5254" w:rsidP="00C80331">
            <w:pPr>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2</w:t>
            </w:r>
          </w:p>
        </w:tc>
        <w:tc>
          <w:tcPr>
            <w:tcW w:w="992" w:type="dxa"/>
            <w:shd w:val="clear" w:color="auto" w:fill="0070C0"/>
          </w:tcPr>
          <w:p w:rsidR="004D5254" w:rsidRPr="00DC5E4A" w:rsidRDefault="004D5254" w:rsidP="00C80331">
            <w:pPr>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3</w:t>
            </w:r>
          </w:p>
        </w:tc>
        <w:tc>
          <w:tcPr>
            <w:tcW w:w="993" w:type="dxa"/>
            <w:shd w:val="clear" w:color="auto" w:fill="0070C0"/>
          </w:tcPr>
          <w:p w:rsidR="004D5254" w:rsidRPr="00DC5E4A" w:rsidRDefault="004D5254" w:rsidP="00C80331">
            <w:pPr>
              <w:autoSpaceDE w:val="0"/>
              <w:autoSpaceDN w:val="0"/>
              <w:adjustRightInd w:val="0"/>
              <w:spacing w:before="40" w:after="40"/>
              <w:jc w:val="center"/>
              <w:rPr>
                <w:b/>
                <w:color w:val="FFFFFF" w:themeColor="background1"/>
                <w:sz w:val="20"/>
                <w:szCs w:val="20"/>
              </w:rPr>
            </w:pPr>
            <w:r w:rsidRPr="00DC5E4A">
              <w:rPr>
                <w:b/>
                <w:color w:val="FFFFFF" w:themeColor="background1"/>
                <w:sz w:val="20"/>
                <w:szCs w:val="20"/>
              </w:rPr>
              <w:t>4</w:t>
            </w:r>
          </w:p>
        </w:tc>
      </w:tr>
      <w:tr w:rsidR="004D5254" w:rsidTr="00C80331">
        <w:tc>
          <w:tcPr>
            <w:tcW w:w="850" w:type="dxa"/>
            <w:vMerge w:val="restart"/>
            <w:textDirection w:val="btLr"/>
          </w:tcPr>
          <w:p w:rsidR="004D5254" w:rsidRPr="009F6F94" w:rsidRDefault="004D5254" w:rsidP="00C80331">
            <w:pPr>
              <w:autoSpaceDE w:val="0"/>
              <w:autoSpaceDN w:val="0"/>
              <w:adjustRightInd w:val="0"/>
              <w:spacing w:before="40" w:after="40"/>
              <w:ind w:left="113" w:right="113"/>
              <w:jc w:val="center"/>
              <w:rPr>
                <w:b/>
                <w:sz w:val="20"/>
                <w:szCs w:val="20"/>
              </w:rPr>
            </w:pPr>
            <w:r>
              <w:rPr>
                <w:b/>
                <w:sz w:val="20"/>
                <w:szCs w:val="20"/>
              </w:rPr>
              <w:t>Baseline grade</w:t>
            </w:r>
          </w:p>
        </w:tc>
        <w:tc>
          <w:tcPr>
            <w:tcW w:w="1276" w:type="dxa"/>
          </w:tcPr>
          <w:p w:rsidR="004D5254" w:rsidRDefault="004D5254" w:rsidP="00C80331">
            <w:pPr>
              <w:autoSpaceDE w:val="0"/>
              <w:autoSpaceDN w:val="0"/>
              <w:adjustRightInd w:val="0"/>
              <w:rPr>
                <w:sz w:val="20"/>
                <w:szCs w:val="20"/>
              </w:rPr>
            </w:pPr>
            <w:r w:rsidRPr="003929CB">
              <w:rPr>
                <w:sz w:val="20"/>
                <w:szCs w:val="20"/>
              </w:rPr>
              <w:t xml:space="preserve">Grade 0 </w:t>
            </w:r>
          </w:p>
          <w:p w:rsidR="004D5254" w:rsidRPr="003929CB" w:rsidRDefault="004D5254" w:rsidP="00C80331">
            <w:pPr>
              <w:autoSpaceDE w:val="0"/>
              <w:autoSpaceDN w:val="0"/>
              <w:adjustRightInd w:val="0"/>
              <w:rPr>
                <w:sz w:val="20"/>
                <w:szCs w:val="20"/>
              </w:rPr>
            </w:pPr>
            <w:r w:rsidRPr="003929CB">
              <w:rPr>
                <w:sz w:val="20"/>
                <w:szCs w:val="20"/>
              </w:rPr>
              <w:t>(n=</w:t>
            </w:r>
            <w:r>
              <w:rPr>
                <w:sz w:val="20"/>
                <w:szCs w:val="20"/>
              </w:rPr>
              <w:t>37</w:t>
            </w:r>
            <w:r w:rsidRPr="003929CB">
              <w:rPr>
                <w:sz w:val="20"/>
                <w:szCs w:val="20"/>
              </w:rPr>
              <w:t>)</w:t>
            </w:r>
          </w:p>
        </w:tc>
        <w:tc>
          <w:tcPr>
            <w:tcW w:w="992" w:type="dxa"/>
          </w:tcPr>
          <w:p w:rsidR="004D5254" w:rsidRPr="003929CB" w:rsidRDefault="004D5254" w:rsidP="00C80331">
            <w:pPr>
              <w:autoSpaceDE w:val="0"/>
              <w:autoSpaceDN w:val="0"/>
              <w:adjustRightInd w:val="0"/>
              <w:spacing w:before="40" w:after="40"/>
              <w:jc w:val="center"/>
              <w:rPr>
                <w:sz w:val="20"/>
                <w:szCs w:val="20"/>
              </w:rPr>
            </w:pPr>
            <w:r>
              <w:rPr>
                <w:sz w:val="20"/>
                <w:szCs w:val="20"/>
              </w:rPr>
              <w:t>7</w:t>
            </w:r>
          </w:p>
        </w:tc>
        <w:tc>
          <w:tcPr>
            <w:tcW w:w="992" w:type="dxa"/>
          </w:tcPr>
          <w:p w:rsidR="004D5254" w:rsidRPr="003929CB" w:rsidRDefault="004D5254" w:rsidP="00C80331">
            <w:pPr>
              <w:autoSpaceDE w:val="0"/>
              <w:autoSpaceDN w:val="0"/>
              <w:adjustRightInd w:val="0"/>
              <w:spacing w:before="40" w:after="40"/>
              <w:jc w:val="center"/>
              <w:rPr>
                <w:sz w:val="20"/>
                <w:szCs w:val="20"/>
              </w:rPr>
            </w:pPr>
            <w:r>
              <w:rPr>
                <w:sz w:val="20"/>
                <w:szCs w:val="20"/>
              </w:rPr>
              <w:t>19</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8</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3</w:t>
            </w:r>
          </w:p>
        </w:tc>
        <w:tc>
          <w:tcPr>
            <w:tcW w:w="993"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r>
      <w:tr w:rsidR="004D5254" w:rsidTr="00C80331">
        <w:tc>
          <w:tcPr>
            <w:tcW w:w="850" w:type="dxa"/>
            <w:vMerge/>
          </w:tcPr>
          <w:p w:rsidR="004D5254" w:rsidRPr="003929CB" w:rsidRDefault="004D5254" w:rsidP="00C80331">
            <w:pPr>
              <w:autoSpaceDE w:val="0"/>
              <w:autoSpaceDN w:val="0"/>
              <w:adjustRightInd w:val="0"/>
              <w:spacing w:before="40" w:after="40"/>
              <w:rPr>
                <w:sz w:val="20"/>
                <w:szCs w:val="20"/>
              </w:rPr>
            </w:pPr>
          </w:p>
        </w:tc>
        <w:tc>
          <w:tcPr>
            <w:tcW w:w="1276" w:type="dxa"/>
          </w:tcPr>
          <w:p w:rsidR="004D5254" w:rsidRDefault="004D5254" w:rsidP="00C80331">
            <w:pPr>
              <w:autoSpaceDE w:val="0"/>
              <w:autoSpaceDN w:val="0"/>
              <w:adjustRightInd w:val="0"/>
              <w:rPr>
                <w:sz w:val="20"/>
                <w:szCs w:val="20"/>
              </w:rPr>
            </w:pPr>
            <w:r w:rsidRPr="003929CB">
              <w:rPr>
                <w:sz w:val="20"/>
                <w:szCs w:val="20"/>
              </w:rPr>
              <w:t xml:space="preserve">Grade 1 </w:t>
            </w:r>
          </w:p>
          <w:p w:rsidR="004D5254" w:rsidRPr="003929CB" w:rsidRDefault="004D5254" w:rsidP="00C80331">
            <w:pPr>
              <w:autoSpaceDE w:val="0"/>
              <w:autoSpaceDN w:val="0"/>
              <w:adjustRightInd w:val="0"/>
              <w:rPr>
                <w:sz w:val="20"/>
                <w:szCs w:val="20"/>
              </w:rPr>
            </w:pPr>
            <w:r>
              <w:rPr>
                <w:sz w:val="20"/>
                <w:szCs w:val="20"/>
              </w:rPr>
              <w:t>(</w:t>
            </w:r>
            <w:r w:rsidRPr="003929CB">
              <w:rPr>
                <w:sz w:val="20"/>
                <w:szCs w:val="20"/>
              </w:rPr>
              <w:t>n=</w:t>
            </w:r>
            <w:r>
              <w:rPr>
                <w:sz w:val="20"/>
                <w:szCs w:val="20"/>
              </w:rPr>
              <w:t>58)</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30</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21</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6</w:t>
            </w:r>
          </w:p>
        </w:tc>
        <w:tc>
          <w:tcPr>
            <w:tcW w:w="993"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1</w:t>
            </w:r>
          </w:p>
        </w:tc>
      </w:tr>
      <w:tr w:rsidR="004D5254" w:rsidTr="00C80331">
        <w:tc>
          <w:tcPr>
            <w:tcW w:w="850" w:type="dxa"/>
            <w:vMerge/>
          </w:tcPr>
          <w:p w:rsidR="004D5254" w:rsidRPr="003929CB" w:rsidRDefault="004D5254" w:rsidP="00C80331">
            <w:pPr>
              <w:autoSpaceDE w:val="0"/>
              <w:autoSpaceDN w:val="0"/>
              <w:adjustRightInd w:val="0"/>
              <w:spacing w:before="40" w:after="40"/>
              <w:rPr>
                <w:sz w:val="20"/>
                <w:szCs w:val="20"/>
              </w:rPr>
            </w:pPr>
          </w:p>
        </w:tc>
        <w:tc>
          <w:tcPr>
            <w:tcW w:w="1276" w:type="dxa"/>
          </w:tcPr>
          <w:p w:rsidR="004D5254" w:rsidRDefault="004D5254" w:rsidP="00C80331">
            <w:pPr>
              <w:autoSpaceDE w:val="0"/>
              <w:autoSpaceDN w:val="0"/>
              <w:adjustRightInd w:val="0"/>
              <w:rPr>
                <w:sz w:val="20"/>
                <w:szCs w:val="20"/>
              </w:rPr>
            </w:pPr>
            <w:r w:rsidRPr="003929CB">
              <w:rPr>
                <w:sz w:val="20"/>
                <w:szCs w:val="20"/>
              </w:rPr>
              <w:t xml:space="preserve">Grade 2 </w:t>
            </w:r>
          </w:p>
          <w:p w:rsidR="004D5254" w:rsidRPr="003929CB" w:rsidRDefault="004D5254" w:rsidP="00C80331">
            <w:pPr>
              <w:autoSpaceDE w:val="0"/>
              <w:autoSpaceDN w:val="0"/>
              <w:adjustRightInd w:val="0"/>
              <w:rPr>
                <w:sz w:val="20"/>
                <w:szCs w:val="20"/>
              </w:rPr>
            </w:pPr>
            <w:r>
              <w:rPr>
                <w:sz w:val="20"/>
                <w:szCs w:val="20"/>
              </w:rPr>
              <w:t>(</w:t>
            </w:r>
            <w:r w:rsidRPr="003929CB">
              <w:rPr>
                <w:sz w:val="20"/>
                <w:szCs w:val="20"/>
              </w:rPr>
              <w:t>n=</w:t>
            </w:r>
            <w:r>
              <w:rPr>
                <w:sz w:val="20"/>
                <w:szCs w:val="20"/>
              </w:rPr>
              <w:t>16)</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c>
          <w:tcPr>
            <w:tcW w:w="992" w:type="dxa"/>
            <w:shd w:val="clear" w:color="auto" w:fill="FFFFFF" w:themeFill="background1"/>
          </w:tcPr>
          <w:p w:rsidR="004D5254" w:rsidRPr="003929CB" w:rsidRDefault="004D5254" w:rsidP="00C80331">
            <w:pPr>
              <w:autoSpaceDE w:val="0"/>
              <w:autoSpaceDN w:val="0"/>
              <w:adjustRightInd w:val="0"/>
              <w:spacing w:before="40" w:after="40"/>
              <w:jc w:val="center"/>
              <w:rPr>
                <w:sz w:val="20"/>
                <w:szCs w:val="20"/>
              </w:rPr>
            </w:pPr>
            <w:r>
              <w:rPr>
                <w:sz w:val="20"/>
                <w:szCs w:val="20"/>
              </w:rPr>
              <w:t>9</w:t>
            </w:r>
          </w:p>
        </w:tc>
        <w:tc>
          <w:tcPr>
            <w:tcW w:w="992"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7</w:t>
            </w:r>
          </w:p>
        </w:tc>
        <w:tc>
          <w:tcPr>
            <w:tcW w:w="993" w:type="dxa"/>
            <w:shd w:val="clear" w:color="auto" w:fill="D9D9D9" w:themeFill="background1" w:themeFillShade="D9"/>
          </w:tcPr>
          <w:p w:rsidR="004D5254" w:rsidRPr="003929CB" w:rsidRDefault="004D5254" w:rsidP="00C80331">
            <w:pPr>
              <w:autoSpaceDE w:val="0"/>
              <w:autoSpaceDN w:val="0"/>
              <w:adjustRightInd w:val="0"/>
              <w:spacing w:before="40" w:after="40"/>
              <w:jc w:val="center"/>
              <w:rPr>
                <w:sz w:val="20"/>
                <w:szCs w:val="20"/>
              </w:rPr>
            </w:pPr>
            <w:r>
              <w:rPr>
                <w:sz w:val="20"/>
                <w:szCs w:val="20"/>
              </w:rPr>
              <w:t>0</w:t>
            </w:r>
          </w:p>
        </w:tc>
      </w:tr>
    </w:tbl>
    <w:p w:rsidR="004D5254" w:rsidRDefault="004D5254" w:rsidP="004D5254">
      <w:pPr>
        <w:pStyle w:val="Heading5"/>
        <w:numPr>
          <w:ilvl w:val="3"/>
          <w:numId w:val="5"/>
        </w:numPr>
        <w:spacing w:before="240"/>
      </w:pPr>
      <w:r>
        <w:t>Other studies</w:t>
      </w:r>
    </w:p>
    <w:p w:rsidR="004D5254" w:rsidRDefault="004D5254" w:rsidP="004D5254">
      <w:pPr>
        <w:autoSpaceDE w:val="0"/>
        <w:autoSpaceDN w:val="0"/>
        <w:adjustRightInd w:val="0"/>
      </w:pPr>
      <w:r w:rsidRPr="00DC5E4A">
        <w:rPr>
          <w:rFonts w:eastAsia="TimesNewRoman" w:cs="TimesNewRoman"/>
        </w:rPr>
        <w:t>T</w:t>
      </w:r>
      <w:r>
        <w:rPr>
          <w:rFonts w:eastAsia="TimesNewRoman" w:cs="TimesNewRoman"/>
        </w:rPr>
        <w:t>he</w:t>
      </w:r>
      <w:r w:rsidRPr="00326559">
        <w:rPr>
          <w:rFonts w:eastAsia="TimesNewRoman" w:cs="TimesNewRoman"/>
          <w:color w:val="000000"/>
        </w:rPr>
        <w:t xml:space="preserve"> </w:t>
      </w:r>
      <w:r>
        <w:rPr>
          <w:rFonts w:eastAsia="TimesNewRoman" w:cs="TimesNewRoman"/>
          <w:color w:val="000000"/>
        </w:rPr>
        <w:t xml:space="preserve">frequency of clinically significant abnormalities across each of the safety populations was summarised in a table in the study report. From this table it can be appreciated that </w:t>
      </w:r>
      <w:r w:rsidRPr="00326559">
        <w:rPr>
          <w:rFonts w:eastAsia="TimesNewRoman" w:cs="TimesNewRoman"/>
          <w:color w:val="000000"/>
        </w:rPr>
        <w:t xml:space="preserve">there </w:t>
      </w:r>
      <w:r>
        <w:rPr>
          <w:rFonts w:eastAsia="TimesNewRoman" w:cs="TimesNewRoman"/>
          <w:color w:val="000000"/>
        </w:rPr>
        <w:t>wa</w:t>
      </w:r>
      <w:r w:rsidRPr="00326559">
        <w:rPr>
          <w:rFonts w:eastAsia="TimesNewRoman" w:cs="TimesNewRoman"/>
          <w:color w:val="000000"/>
        </w:rPr>
        <w:t>s generally a higher</w:t>
      </w:r>
      <w:r>
        <w:rPr>
          <w:rFonts w:eastAsia="TimesNewRoman" w:cs="TimesNewRoman"/>
          <w:color w:val="000000"/>
        </w:rPr>
        <w:t xml:space="preserve"> </w:t>
      </w:r>
      <w:r w:rsidRPr="00326559">
        <w:rPr>
          <w:rFonts w:eastAsia="TimesNewRoman" w:cs="TimesNewRoman"/>
          <w:color w:val="000000"/>
        </w:rPr>
        <w:t xml:space="preserve">frequency of </w:t>
      </w:r>
      <w:r>
        <w:rPr>
          <w:rFonts w:eastAsia="TimesNewRoman" w:cs="TimesNewRoman"/>
          <w:color w:val="000000"/>
        </w:rPr>
        <w:t>clinically significant</w:t>
      </w:r>
      <w:r w:rsidRPr="00326559">
        <w:rPr>
          <w:rFonts w:eastAsia="TimesNewRoman" w:cs="TimesNewRoman"/>
          <w:color w:val="000000"/>
        </w:rPr>
        <w:t xml:space="preserve"> low h</w:t>
      </w:r>
      <w:r>
        <w:rPr>
          <w:rFonts w:eastAsia="TimesNewRoman" w:cs="TimesNewRoman"/>
          <w:color w:val="000000"/>
        </w:rPr>
        <w:t>a</w:t>
      </w:r>
      <w:r w:rsidRPr="00326559">
        <w:rPr>
          <w:rFonts w:eastAsia="TimesNewRoman" w:cs="TimesNewRoman"/>
          <w:color w:val="000000"/>
        </w:rPr>
        <w:t>emoglobin values, and neutrophil, leu</w:t>
      </w:r>
      <w:r>
        <w:rPr>
          <w:rFonts w:eastAsia="TimesNewRoman" w:cs="TimesNewRoman"/>
          <w:color w:val="000000"/>
        </w:rPr>
        <w:t>c</w:t>
      </w:r>
      <w:r w:rsidRPr="00326559">
        <w:rPr>
          <w:rFonts w:eastAsia="TimesNewRoman" w:cs="TimesNewRoman"/>
          <w:color w:val="000000"/>
        </w:rPr>
        <w:t>ocyte</w:t>
      </w:r>
      <w:r>
        <w:rPr>
          <w:rFonts w:eastAsia="TimesNewRoman" w:cs="TimesNewRoman"/>
          <w:color w:val="000000"/>
        </w:rPr>
        <w:t xml:space="preserve"> </w:t>
      </w:r>
      <w:r w:rsidRPr="00326559">
        <w:rPr>
          <w:rFonts w:eastAsia="TimesNewRoman" w:cs="TimesNewRoman"/>
          <w:color w:val="000000"/>
        </w:rPr>
        <w:t xml:space="preserve">and platelet counts </w:t>
      </w:r>
      <w:r>
        <w:rPr>
          <w:rFonts w:eastAsia="TimesNewRoman" w:cs="TimesNewRoman"/>
          <w:color w:val="000000"/>
        </w:rPr>
        <w:t xml:space="preserve">in patients with lymphoproliferative disorders (Populations 1, 2 and 4) who received pralatrexate </w:t>
      </w:r>
      <w:r w:rsidRPr="00326559">
        <w:rPr>
          <w:rFonts w:eastAsia="TimesNewRoman" w:cs="TimesNewRoman"/>
          <w:color w:val="000000"/>
        </w:rPr>
        <w:t xml:space="preserve">compared with patients </w:t>
      </w:r>
      <w:r>
        <w:rPr>
          <w:rFonts w:eastAsia="TimesNewRoman" w:cs="TimesNewRoman"/>
          <w:color w:val="000000"/>
        </w:rPr>
        <w:t xml:space="preserve">with </w:t>
      </w:r>
      <w:r w:rsidRPr="00326559">
        <w:rPr>
          <w:rFonts w:eastAsia="TimesNewRoman" w:cs="TimesNewRoman"/>
          <w:color w:val="000000"/>
        </w:rPr>
        <w:t>solid tumo</w:t>
      </w:r>
      <w:r>
        <w:rPr>
          <w:rFonts w:eastAsia="TimesNewRoman" w:cs="TimesNewRoman"/>
          <w:color w:val="000000"/>
        </w:rPr>
        <w:t>u</w:t>
      </w:r>
      <w:r w:rsidRPr="00326559">
        <w:rPr>
          <w:rFonts w:eastAsia="TimesNewRoman" w:cs="TimesNewRoman"/>
          <w:color w:val="000000"/>
        </w:rPr>
        <w:t>r</w:t>
      </w:r>
      <w:r>
        <w:rPr>
          <w:rFonts w:eastAsia="TimesNewRoman" w:cs="TimesNewRoman"/>
          <w:color w:val="000000"/>
        </w:rPr>
        <w:t xml:space="preserve">s. This is likely to be due to </w:t>
      </w:r>
      <w:r w:rsidRPr="00326559">
        <w:rPr>
          <w:rFonts w:eastAsia="TimesNewRoman" w:cs="TimesNewRoman"/>
          <w:color w:val="000000"/>
        </w:rPr>
        <w:t>bone marrow</w:t>
      </w:r>
      <w:r>
        <w:rPr>
          <w:rFonts w:eastAsia="TimesNewRoman" w:cs="TimesNewRoman"/>
          <w:color w:val="000000"/>
        </w:rPr>
        <w:t xml:space="preserve"> involvement </w:t>
      </w:r>
      <w:r w:rsidRPr="00326559">
        <w:rPr>
          <w:rFonts w:eastAsia="TimesNewRoman" w:cs="TimesNewRoman"/>
          <w:color w:val="000000"/>
        </w:rPr>
        <w:t>with lymphoproliferative malignancies</w:t>
      </w:r>
      <w:r>
        <w:rPr>
          <w:rFonts w:eastAsia="TimesNewRoman" w:cs="TimesNewRoman"/>
          <w:color w:val="000000"/>
        </w:rPr>
        <w:t xml:space="preserve"> and possible</w:t>
      </w:r>
      <w:r w:rsidRPr="00326559">
        <w:rPr>
          <w:rFonts w:eastAsia="TimesNewRoman" w:cs="TimesNewRoman"/>
          <w:color w:val="000000"/>
        </w:rPr>
        <w:t xml:space="preserve"> myelotoxic effects of prior chemotherapies for these indications.</w:t>
      </w:r>
    </w:p>
    <w:p w:rsidR="004D5254" w:rsidRPr="009572BB" w:rsidRDefault="004D5254" w:rsidP="004D5254">
      <w:pPr>
        <w:pStyle w:val="Heading4"/>
        <w:numPr>
          <w:ilvl w:val="2"/>
          <w:numId w:val="5"/>
        </w:numPr>
      </w:pPr>
      <w:bookmarkStart w:id="297" w:name="_Toc272414675"/>
      <w:bookmarkStart w:id="298" w:name="_Toc290846313"/>
      <w:bookmarkStart w:id="299" w:name="_Toc320881470"/>
      <w:r w:rsidRPr="009572BB">
        <w:lastRenderedPageBreak/>
        <w:t>Electrocardiograph</w:t>
      </w:r>
      <w:bookmarkEnd w:id="297"/>
      <w:bookmarkEnd w:id="298"/>
      <w:bookmarkEnd w:id="299"/>
    </w:p>
    <w:p w:rsidR="004D5254" w:rsidRPr="009572BB" w:rsidRDefault="004D5254" w:rsidP="004D5254">
      <w:pPr>
        <w:pStyle w:val="Heading5"/>
        <w:numPr>
          <w:ilvl w:val="3"/>
          <w:numId w:val="5"/>
        </w:numPr>
      </w:pPr>
      <w:r>
        <w:t>Pivotal study</w:t>
      </w:r>
    </w:p>
    <w:p w:rsidR="004D5254" w:rsidRPr="00474B88" w:rsidRDefault="004D5254" w:rsidP="004D5254">
      <w:pPr>
        <w:autoSpaceDE w:val="0"/>
        <w:autoSpaceDN w:val="0"/>
        <w:adjustRightInd w:val="0"/>
      </w:pPr>
      <w:r w:rsidRPr="00474B88">
        <w:t>All patients had an electrocardiogram (ECG) within 21 days prior to the projected start of pralatrexate administration.</w:t>
      </w:r>
      <w:r>
        <w:t xml:space="preserve"> </w:t>
      </w:r>
      <w:r w:rsidRPr="00474B88">
        <w:t>Thereafter, ECGs could be obtained at anytime during the study if clinically indicated but the results were not recorded on the CRFs and therefore, no useful information was available for evaluation.</w:t>
      </w:r>
      <w:r>
        <w:t xml:space="preserve"> </w:t>
      </w:r>
      <w:r w:rsidRPr="00474B88">
        <w:t>In particular, none of the reports of death or serious adverse events had any ECG recordings</w:t>
      </w:r>
      <w:r>
        <w:t>/reports</w:t>
      </w:r>
      <w:r w:rsidRPr="00474B88">
        <w:t xml:space="preserve"> available.</w:t>
      </w:r>
    </w:p>
    <w:p w:rsidR="004D5254" w:rsidRPr="00474B88" w:rsidRDefault="004D5254" w:rsidP="004D5254">
      <w:pPr>
        <w:autoSpaceDE w:val="0"/>
        <w:autoSpaceDN w:val="0"/>
        <w:adjustRightInd w:val="0"/>
      </w:pPr>
      <w:r w:rsidRPr="00474B88">
        <w:rPr>
          <w:rFonts w:eastAsia="TimesNewRoman" w:cs="TimesNewRoman"/>
        </w:rPr>
        <w:t>Two patients</w:t>
      </w:r>
      <w:r>
        <w:rPr>
          <w:rFonts w:eastAsia="TimesNewRoman" w:cs="TimesNewRoman"/>
        </w:rPr>
        <w:t xml:space="preserve"> </w:t>
      </w:r>
      <w:r w:rsidRPr="00474B88">
        <w:rPr>
          <w:rFonts w:eastAsia="TimesNewRoman" w:cs="TimesNewRoman"/>
        </w:rPr>
        <w:t>had an abnormal ECG at screening considered by the investigator to be a significant</w:t>
      </w:r>
      <w:r>
        <w:rPr>
          <w:rFonts w:eastAsia="TimesNewRoman" w:cs="TimesNewRoman"/>
        </w:rPr>
        <w:t xml:space="preserve"> </w:t>
      </w:r>
      <w:r w:rsidRPr="00474B88">
        <w:rPr>
          <w:rFonts w:eastAsia="TimesNewRoman" w:cs="TimesNewRoman"/>
        </w:rPr>
        <w:t>abnormality.</w:t>
      </w:r>
      <w:r>
        <w:rPr>
          <w:rFonts w:eastAsia="TimesNewRoman" w:cs="TimesNewRoman"/>
        </w:rPr>
        <w:t xml:space="preserve"> One p</w:t>
      </w:r>
      <w:r w:rsidRPr="00474B88">
        <w:rPr>
          <w:rFonts w:eastAsia="TimesNewRoman" w:cs="TimesNewRoman"/>
        </w:rPr>
        <w:t>atient had sinus tachycardia with probable left atrial abnormality</w:t>
      </w:r>
      <w:r>
        <w:rPr>
          <w:rFonts w:eastAsia="TimesNewRoman" w:cs="TimesNewRoman"/>
        </w:rPr>
        <w:t xml:space="preserve"> but </w:t>
      </w:r>
      <w:r w:rsidRPr="00474B88">
        <w:rPr>
          <w:rFonts w:eastAsia="TimesNewRoman" w:cs="TimesNewRoman"/>
        </w:rPr>
        <w:t>did</w:t>
      </w:r>
      <w:r>
        <w:rPr>
          <w:rFonts w:eastAsia="TimesNewRoman" w:cs="TimesNewRoman"/>
        </w:rPr>
        <w:t xml:space="preserve"> </w:t>
      </w:r>
      <w:r w:rsidRPr="00474B88">
        <w:rPr>
          <w:rFonts w:eastAsia="TimesNewRoman" w:cs="TimesNewRoman"/>
        </w:rPr>
        <w:t>not experience any cardiac-related AEs while on study.</w:t>
      </w:r>
      <w:r>
        <w:rPr>
          <w:rFonts w:eastAsia="TimesNewRoman" w:cs="TimesNewRoman"/>
        </w:rPr>
        <w:t xml:space="preserve"> The second patient</w:t>
      </w:r>
      <w:r w:rsidRPr="00474B88">
        <w:rPr>
          <w:rFonts w:eastAsia="TimesNewRoman" w:cs="TimesNewRoman"/>
        </w:rPr>
        <w:t xml:space="preserve"> had sinus tachycardia</w:t>
      </w:r>
      <w:r>
        <w:rPr>
          <w:rFonts w:eastAsia="TimesNewRoman" w:cs="TimesNewRoman"/>
        </w:rPr>
        <w:t xml:space="preserve"> </w:t>
      </w:r>
      <w:r w:rsidRPr="00474B88">
        <w:rPr>
          <w:rFonts w:eastAsia="TimesNewRoman" w:cs="TimesNewRoman"/>
        </w:rPr>
        <w:t>with left anterior fascicular block</w:t>
      </w:r>
      <w:r>
        <w:rPr>
          <w:rFonts w:eastAsia="TimesNewRoman" w:cs="TimesNewRoman"/>
        </w:rPr>
        <w:t xml:space="preserve"> at screening and experienced </w:t>
      </w:r>
      <w:r w:rsidRPr="00474B88">
        <w:rPr>
          <w:rFonts w:eastAsia="TimesNewRoman" w:cs="TimesNewRoman"/>
        </w:rPr>
        <w:t>syncope, tachycardia, carotid sinus</w:t>
      </w:r>
      <w:r>
        <w:rPr>
          <w:rFonts w:eastAsia="TimesNewRoman" w:cs="TimesNewRoman"/>
        </w:rPr>
        <w:t xml:space="preserve"> </w:t>
      </w:r>
      <w:r w:rsidRPr="00474B88">
        <w:rPr>
          <w:rFonts w:eastAsia="TimesNewRoman" w:cs="TimesNewRoman"/>
        </w:rPr>
        <w:t>syndrome, hypotension, and orthostatic hypotension while on study.</w:t>
      </w:r>
    </w:p>
    <w:p w:rsidR="004D5254" w:rsidRPr="00474B88" w:rsidRDefault="004D5254" w:rsidP="004D5254">
      <w:pPr>
        <w:pStyle w:val="Heading5"/>
        <w:numPr>
          <w:ilvl w:val="3"/>
          <w:numId w:val="5"/>
        </w:numPr>
      </w:pPr>
      <w:r w:rsidRPr="00474B88">
        <w:t>Other studies</w:t>
      </w:r>
    </w:p>
    <w:p w:rsidR="004D5254" w:rsidRPr="00551987" w:rsidRDefault="004D5254" w:rsidP="004D5254">
      <w:r w:rsidRPr="00551987">
        <w:t>Screening ECGs were performed as a clinical safety measure prior to dosing with</w:t>
      </w:r>
      <w:r>
        <w:t xml:space="preserve"> </w:t>
      </w:r>
      <w:r w:rsidRPr="00551987">
        <w:t xml:space="preserve">pralatrexate in </w:t>
      </w:r>
      <w:r>
        <w:t>all but 4 of the studies (PDX-01-076, PDX-99-053, PDX-99-083 and PDX-015) in the clinical development program</w:t>
      </w:r>
      <w:r w:rsidRPr="00551987">
        <w:t>.</w:t>
      </w:r>
      <w:r>
        <w:t xml:space="preserve"> </w:t>
      </w:r>
      <w:r w:rsidRPr="00551987">
        <w:t xml:space="preserve">However, </w:t>
      </w:r>
      <w:r>
        <w:t xml:space="preserve">other than in the completed Study PDX-007 and the recently commenced Study PDX-014 (where it is proposed that 12-lead ECGs will be obtained prior to and within 30 minutes post end of the pralatrexate infusion) </w:t>
      </w:r>
      <w:r w:rsidRPr="00551987">
        <w:t>no ECGs were performed post</w:t>
      </w:r>
      <w:r>
        <w:t>-</w:t>
      </w:r>
      <w:r w:rsidRPr="00551987">
        <w:t xml:space="preserve">dose </w:t>
      </w:r>
      <w:r>
        <w:t>in the studies unless</w:t>
      </w:r>
      <w:r w:rsidRPr="00551987">
        <w:t xml:space="preserve"> clinically indicated</w:t>
      </w:r>
      <w:r>
        <w:t xml:space="preserve">. Consequently, the only presentation of ECG data from these studies occurred in the context of the discussion of deaths and adverse events. The most comprehensive data are those from Study PDX-007, which were the subject of a separate, dedicated company report summarised under Pharmacodynamics above. </w:t>
      </w:r>
    </w:p>
    <w:p w:rsidR="004D5254" w:rsidRDefault="004D5254" w:rsidP="004D5254">
      <w:pPr>
        <w:pStyle w:val="Heading3"/>
        <w:numPr>
          <w:ilvl w:val="1"/>
          <w:numId w:val="5"/>
        </w:numPr>
      </w:pPr>
      <w:bookmarkStart w:id="300" w:name="_Toc241374326"/>
      <w:bookmarkStart w:id="301" w:name="_Ref272333048"/>
      <w:bookmarkStart w:id="302" w:name="_Toc272414679"/>
      <w:bookmarkStart w:id="303" w:name="_Toc290846317"/>
      <w:bookmarkStart w:id="304" w:name="_Toc320881471"/>
      <w:bookmarkStart w:id="305" w:name="_Toc359930737"/>
      <w:bookmarkStart w:id="306" w:name="_Toc364764911"/>
      <w:r>
        <w:t>Post-marketing experience</w:t>
      </w:r>
      <w:bookmarkEnd w:id="300"/>
      <w:bookmarkEnd w:id="301"/>
      <w:bookmarkEnd w:id="302"/>
      <w:bookmarkEnd w:id="303"/>
      <w:bookmarkEnd w:id="304"/>
      <w:bookmarkEnd w:id="305"/>
      <w:bookmarkEnd w:id="306"/>
    </w:p>
    <w:p w:rsidR="004D5254" w:rsidRDefault="004D5254" w:rsidP="004D5254">
      <w:r w:rsidRPr="00B3332C">
        <w:t xml:space="preserve">Seven PSURs covering the period 24 September 2009 to 23 June 2011, and written in accordance with the 2001 Draft </w:t>
      </w:r>
      <w:r w:rsidRPr="00DC5E4A">
        <w:rPr>
          <w:i/>
        </w:rPr>
        <w:t>Food and Drug Administration (FDA) Guidance for Industry: Postmarketing Safety Reporting for Human Drug and Biological Products Including Vaccines</w:t>
      </w:r>
      <w:r>
        <w:t>,</w:t>
      </w:r>
      <w:r w:rsidRPr="00B3332C">
        <w:t xml:space="preserve"> were submitted by the sponsor.</w:t>
      </w:r>
      <w:r>
        <w:t xml:space="preserve"> </w:t>
      </w:r>
    </w:p>
    <w:p w:rsidR="004D5254" w:rsidRDefault="004D5254" w:rsidP="004D5254">
      <w:r>
        <w:t>The most common events spontaneously reported to the sponsor have been mucosal inflammation; stomatitis and neutropaenia. Other events reported in 3 or more patients include erythema, rash, febrile neutropaenia, pancytopaenia, absolute neutrophil count decreased, pain in extremity, skin ulcer and toxic epidermal necrolysis (TEN). The majority of these events were assessed as being serious. Most of these types of events had been identified as c</w:t>
      </w:r>
      <w:r w:rsidRPr="0046361D">
        <w:rPr>
          <w:rFonts w:eastAsia="TimesNewRoman" w:cs="TimesNewRoman"/>
        </w:rPr>
        <w:t xml:space="preserve">linically significant adverse reactions </w:t>
      </w:r>
      <w:r>
        <w:rPr>
          <w:rFonts w:eastAsia="TimesNewRoman" w:cs="TimesNewRoman"/>
        </w:rPr>
        <w:t xml:space="preserve">during the clinical development program. However, the identification of 4 spontaneous post marketing reports of severe dermatological reactions with a fatal outcome, including the 3 cases of TEN, a reaction not observed during the clinical development program, prompted a review of the dermatological safety of pralatrexate by the sponsor. Other dermatological reactions reported during the post marketing phase included skin exfoliation; skin ulceration; </w:t>
      </w:r>
      <w:r>
        <w:t xml:space="preserve">Steven’s Johnson Syndrome; bullous dermatitis and skin necrosis. </w:t>
      </w:r>
      <w:r>
        <w:rPr>
          <w:rFonts w:eastAsia="TimesNewRoman" w:cs="TimesNewRoman"/>
          <w:color w:val="000000"/>
        </w:rPr>
        <w:t xml:space="preserve">The sponsor implemented a labelling change in the US in May 2010 to include warning statements about dermatological reactions. Dermatological safety </w:t>
      </w:r>
      <w:r w:rsidRPr="000535B5">
        <w:rPr>
          <w:rFonts w:eastAsia="TimesNewRoman" w:cs="TimesNewRoman"/>
          <w:color w:val="000000"/>
        </w:rPr>
        <w:t xml:space="preserve">is appraised further </w:t>
      </w:r>
      <w:r>
        <w:rPr>
          <w:rFonts w:eastAsia="TimesNewRoman" w:cs="TimesNewRoman"/>
          <w:color w:val="000000"/>
        </w:rPr>
        <w:t>below.</w:t>
      </w:r>
    </w:p>
    <w:p w:rsidR="004D5254" w:rsidRPr="00EE249E" w:rsidRDefault="004D5254" w:rsidP="004D5254">
      <w:pPr>
        <w:pStyle w:val="Heading3"/>
        <w:numPr>
          <w:ilvl w:val="1"/>
          <w:numId w:val="5"/>
        </w:numPr>
      </w:pPr>
      <w:bookmarkStart w:id="307" w:name="_Ref272333005"/>
      <w:bookmarkStart w:id="308" w:name="_Toc272414680"/>
      <w:bookmarkStart w:id="309" w:name="_Toc290846318"/>
      <w:bookmarkStart w:id="310" w:name="_Toc320881472"/>
      <w:bookmarkStart w:id="311" w:name="_Toc359930738"/>
      <w:bookmarkStart w:id="312" w:name="_Toc364764912"/>
      <w:r w:rsidRPr="00EE249E">
        <w:t>Safety issues with the potential for major regulatory imp</w:t>
      </w:r>
      <w:bookmarkEnd w:id="307"/>
      <w:bookmarkEnd w:id="308"/>
      <w:r w:rsidRPr="00EE249E">
        <w:t>act</w:t>
      </w:r>
      <w:bookmarkEnd w:id="309"/>
      <w:bookmarkEnd w:id="310"/>
      <w:bookmarkEnd w:id="311"/>
      <w:bookmarkEnd w:id="312"/>
    </w:p>
    <w:p w:rsidR="004D5254" w:rsidRPr="00EE249E" w:rsidRDefault="004D5254" w:rsidP="004D5254">
      <w:pPr>
        <w:pStyle w:val="Heading4"/>
        <w:numPr>
          <w:ilvl w:val="2"/>
          <w:numId w:val="5"/>
        </w:numPr>
      </w:pPr>
      <w:bookmarkStart w:id="313" w:name="_Toc272414681"/>
      <w:bookmarkStart w:id="314" w:name="_Toc290846319"/>
      <w:bookmarkStart w:id="315" w:name="_Toc320881473"/>
      <w:r w:rsidRPr="00EE249E">
        <w:t>Liver toxicity</w:t>
      </w:r>
      <w:bookmarkEnd w:id="313"/>
      <w:bookmarkEnd w:id="314"/>
      <w:bookmarkEnd w:id="315"/>
    </w:p>
    <w:p w:rsidR="004D5254" w:rsidRPr="00CF61EE" w:rsidRDefault="004D5254" w:rsidP="004D5254">
      <w:pPr>
        <w:autoSpaceDE w:val="0"/>
        <w:autoSpaceDN w:val="0"/>
        <w:adjustRightInd w:val="0"/>
        <w:rPr>
          <w:color w:val="000000"/>
        </w:rPr>
      </w:pPr>
      <w:r>
        <w:t>See below.</w:t>
      </w:r>
    </w:p>
    <w:p w:rsidR="004D5254" w:rsidRPr="00EE249E" w:rsidRDefault="004D5254" w:rsidP="004D5254">
      <w:pPr>
        <w:pStyle w:val="Heading4"/>
        <w:numPr>
          <w:ilvl w:val="2"/>
          <w:numId w:val="5"/>
        </w:numPr>
      </w:pPr>
      <w:bookmarkStart w:id="316" w:name="_Toc272414682"/>
      <w:bookmarkStart w:id="317" w:name="_Toc290846320"/>
      <w:bookmarkStart w:id="318" w:name="_Toc320881474"/>
      <w:r w:rsidRPr="00EE249E">
        <w:t>Haematological toxicity</w:t>
      </w:r>
      <w:bookmarkEnd w:id="316"/>
      <w:bookmarkEnd w:id="317"/>
      <w:bookmarkEnd w:id="318"/>
    </w:p>
    <w:p w:rsidR="004D5254" w:rsidRPr="00EE249E" w:rsidRDefault="004D5254" w:rsidP="004D5254">
      <w:pPr>
        <w:autoSpaceDE w:val="0"/>
        <w:autoSpaceDN w:val="0"/>
        <w:adjustRightInd w:val="0"/>
      </w:pPr>
      <w:r>
        <w:t>See below.</w:t>
      </w:r>
      <w:r>
        <w:rPr>
          <w:rFonts w:eastAsia="TimesNewRoman" w:cs="TimesNewRoman"/>
          <w:color w:val="000000"/>
        </w:rPr>
        <w:t xml:space="preserve"> </w:t>
      </w:r>
    </w:p>
    <w:p w:rsidR="004D5254" w:rsidRPr="00EE249E" w:rsidRDefault="004D5254" w:rsidP="004D5254">
      <w:pPr>
        <w:pStyle w:val="Heading4"/>
        <w:numPr>
          <w:ilvl w:val="2"/>
          <w:numId w:val="5"/>
        </w:numPr>
      </w:pPr>
      <w:bookmarkStart w:id="319" w:name="_Toc272414683"/>
      <w:bookmarkStart w:id="320" w:name="_Toc290846321"/>
      <w:bookmarkStart w:id="321" w:name="_Toc320881475"/>
      <w:r w:rsidRPr="00EE249E">
        <w:lastRenderedPageBreak/>
        <w:t>Serious skin reactions</w:t>
      </w:r>
      <w:bookmarkEnd w:id="319"/>
      <w:bookmarkEnd w:id="320"/>
      <w:bookmarkEnd w:id="321"/>
    </w:p>
    <w:p w:rsidR="004D5254" w:rsidRDefault="004D5254" w:rsidP="004D5254">
      <w:pPr>
        <w:rPr>
          <w:rFonts w:eastAsia="TimesNewRoman" w:cs="TimesNewRoman"/>
        </w:rPr>
      </w:pPr>
      <w:r>
        <w:t xml:space="preserve">The sponsor provided a comprehensive and detailed compilation and review of all severe dermatological reactions reported with pralatrexate during the clinical development program as well as those reported spontaneously in the post marketing phase. </w:t>
      </w:r>
      <w:r>
        <w:rPr>
          <w:rFonts w:eastAsia="TimesNewRoman" w:cs="TimesNewRoman"/>
        </w:rPr>
        <w:t>This additional analysis post dated the labelling change in the US (see below) and captured all data obtained up to 31 January 2011, at which time,</w:t>
      </w:r>
      <w:r w:rsidRPr="00197E15">
        <w:rPr>
          <w:rFonts w:eastAsia="TimesNewRoman" w:cs="TimesNewRoman"/>
        </w:rPr>
        <w:t xml:space="preserve"> </w:t>
      </w:r>
      <w:r>
        <w:rPr>
          <w:rFonts w:eastAsia="TimesNewRoman" w:cs="TimesNewRoman"/>
        </w:rPr>
        <w:t xml:space="preserve">a total of </w:t>
      </w:r>
      <w:r w:rsidRPr="00197E15">
        <w:rPr>
          <w:rFonts w:eastAsia="TimesNewRoman" w:cs="TimesNewRoman"/>
        </w:rPr>
        <w:t xml:space="preserve">689 patients </w:t>
      </w:r>
      <w:r>
        <w:rPr>
          <w:rFonts w:eastAsia="TimesNewRoman" w:cs="TimesNewRoman"/>
        </w:rPr>
        <w:t>had</w:t>
      </w:r>
      <w:r w:rsidRPr="00197E15">
        <w:rPr>
          <w:rFonts w:eastAsia="TimesNewRoman" w:cs="TimesNewRoman"/>
        </w:rPr>
        <w:t xml:space="preserve"> received at least 1 dose of pralatrexate across all clinical studies</w:t>
      </w:r>
      <w:r>
        <w:rPr>
          <w:rFonts w:eastAsia="TimesNewRoman" w:cs="TimesNewRoman"/>
        </w:rPr>
        <w:t xml:space="preserve">. The key findings of the analysis presented in the </w:t>
      </w:r>
      <w:r w:rsidRPr="000535B5">
        <w:rPr>
          <w:rFonts w:eastAsia="TimesNewRoman" w:cs="TimesNewRoman"/>
          <w:i/>
          <w:color w:val="000000"/>
        </w:rPr>
        <w:t>Summary of Clinical Safety Addendum</w:t>
      </w:r>
      <w:r>
        <w:rPr>
          <w:rFonts w:eastAsia="TimesNewRoman" w:cs="TimesNewRoman"/>
        </w:rPr>
        <w:t xml:space="preserve"> were:</w:t>
      </w:r>
    </w:p>
    <w:p w:rsidR="004D5254" w:rsidRDefault="004D5254" w:rsidP="004D5254">
      <w:pPr>
        <w:pStyle w:val="ListBullet"/>
        <w:numPr>
          <w:ilvl w:val="0"/>
          <w:numId w:val="1"/>
        </w:numPr>
      </w:pPr>
      <w:r>
        <w:t xml:space="preserve">A total of </w:t>
      </w:r>
      <w:r w:rsidRPr="0040081A">
        <w:t>346 patien</w:t>
      </w:r>
      <w:r>
        <w:t xml:space="preserve">ts (50%) had experienced at least one dermatological </w:t>
      </w:r>
      <w:r w:rsidRPr="0040081A">
        <w:t>AE regardless of causality</w:t>
      </w:r>
      <w:r>
        <w:t>, with the most common events being</w:t>
      </w:r>
      <w:r w:rsidRPr="0040081A">
        <w:t xml:space="preserve"> alopecia (12%),</w:t>
      </w:r>
      <w:r>
        <w:t xml:space="preserve"> </w:t>
      </w:r>
      <w:r w:rsidRPr="0040081A">
        <w:t>pruritus (7%), and rash (7%).</w:t>
      </w:r>
      <w:r>
        <w:t xml:space="preserve"> </w:t>
      </w:r>
      <w:r w:rsidRPr="0040081A">
        <w:t>Most patients who reported a</w:t>
      </w:r>
      <w:r>
        <w:t xml:space="preserve"> dermatological</w:t>
      </w:r>
      <w:r w:rsidRPr="0040081A">
        <w:t xml:space="preserve"> AE experienced</w:t>
      </w:r>
      <w:r>
        <w:t xml:space="preserve"> </w:t>
      </w:r>
      <w:r w:rsidRPr="0040081A">
        <w:t xml:space="preserve">mild to moderate </w:t>
      </w:r>
      <w:r>
        <w:t>(</w:t>
      </w:r>
      <w:r w:rsidRPr="00990CA1">
        <w:t>that is,</w:t>
      </w:r>
      <w:r>
        <w:t xml:space="preserve"> Grade 1-2) </w:t>
      </w:r>
      <w:r w:rsidRPr="0040081A">
        <w:t>events</w:t>
      </w:r>
      <w:r>
        <w:t>;</w:t>
      </w:r>
    </w:p>
    <w:p w:rsidR="004D5254" w:rsidRPr="00197E15" w:rsidRDefault="004D5254" w:rsidP="004D5254">
      <w:pPr>
        <w:pStyle w:val="ListBullet"/>
        <w:numPr>
          <w:ilvl w:val="0"/>
          <w:numId w:val="1"/>
        </w:numPr>
      </w:pPr>
      <w:r w:rsidRPr="00197E15">
        <w:t xml:space="preserve">245 (36%) </w:t>
      </w:r>
      <w:r>
        <w:t xml:space="preserve">patients in the clinical development program had </w:t>
      </w:r>
      <w:r w:rsidRPr="00197E15">
        <w:t>experienced treatment-related dermatological AEs</w:t>
      </w:r>
      <w:r>
        <w:t xml:space="preserve">. </w:t>
      </w:r>
      <w:r w:rsidRPr="00197E15">
        <w:t xml:space="preserve">Grade 3-5 treatment-related dermatological </w:t>
      </w:r>
      <w:r>
        <w:t>events</w:t>
      </w:r>
      <w:r w:rsidRPr="00197E15">
        <w:t xml:space="preserve"> occurred in</w:t>
      </w:r>
      <w:r>
        <w:t xml:space="preserve"> </w:t>
      </w:r>
      <w:r w:rsidRPr="00197E15">
        <w:t xml:space="preserve">23 </w:t>
      </w:r>
      <w:r>
        <w:t xml:space="preserve">(3%) </w:t>
      </w:r>
      <w:r w:rsidRPr="00197E15">
        <w:t>patients overall</w:t>
      </w:r>
      <w:r>
        <w:t>, with the most common ADRs</w:t>
      </w:r>
      <w:r w:rsidRPr="00197E15">
        <w:t xml:space="preserve"> </w:t>
      </w:r>
      <w:r>
        <w:t>being</w:t>
      </w:r>
      <w:r w:rsidRPr="00197E15">
        <w:t xml:space="preserve"> pain of skin</w:t>
      </w:r>
      <w:r>
        <w:t>,</w:t>
      </w:r>
      <w:r w:rsidRPr="00197E15">
        <w:t xml:space="preserve"> pruritus</w:t>
      </w:r>
      <w:r>
        <w:t xml:space="preserve"> </w:t>
      </w:r>
      <w:r w:rsidRPr="00197E15">
        <w:t xml:space="preserve">and skin ulcer </w:t>
      </w:r>
      <w:r>
        <w:t>(all n=3);</w:t>
      </w:r>
      <w:r w:rsidRPr="00197E15">
        <w:t xml:space="preserve"> and exfoliative rash, palmar-plantar</w:t>
      </w:r>
      <w:r>
        <w:t xml:space="preserve"> </w:t>
      </w:r>
      <w:r w:rsidRPr="00197E15">
        <w:t xml:space="preserve">erythrodysaesthesia syndrome, skin lesion, and toxic skin eruption </w:t>
      </w:r>
      <w:r>
        <w:t xml:space="preserve">(n=2); see </w:t>
      </w:r>
      <w:r w:rsidRPr="0040081A">
        <w:rPr>
          <w:b/>
        </w:rPr>
        <w:t xml:space="preserve">Table </w:t>
      </w:r>
      <w:r>
        <w:rPr>
          <w:b/>
        </w:rPr>
        <w:t>24</w:t>
      </w:r>
      <w:r>
        <w:t xml:space="preserve">, below. </w:t>
      </w:r>
    </w:p>
    <w:p w:rsidR="004D5254" w:rsidRDefault="004D5254" w:rsidP="004D5254">
      <w:pPr>
        <w:pStyle w:val="FigureTitle"/>
        <w:keepNext/>
      </w:pPr>
      <w:bookmarkStart w:id="322" w:name="_Toc320881547"/>
      <w:r>
        <w:t>Table 24. Grade 3-5 dermatological ADRs</w:t>
      </w:r>
      <w:bookmarkEnd w:id="322"/>
    </w:p>
    <w:p w:rsidR="004D5254" w:rsidRDefault="004D5254" w:rsidP="004D5254">
      <w:pPr>
        <w:keepNext/>
        <w:autoSpaceDE w:val="0"/>
        <w:autoSpaceDN w:val="0"/>
        <w:adjustRightInd w:val="0"/>
      </w:pPr>
      <w:r>
        <w:rPr>
          <w:noProof/>
          <w:lang w:eastAsia="en-AU"/>
        </w:rPr>
        <w:drawing>
          <wp:inline distT="0" distB="0" distL="0" distR="0">
            <wp:extent cx="5438775" cy="4086225"/>
            <wp:effectExtent l="19050" t="0" r="9525" b="0"/>
            <wp:docPr id="33" name="Picture 33" descr="Table 24. Grade 3-5 dermatological AD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lum bright="-10000" contrast="40000"/>
                    </a:blip>
                    <a:srcRect t="6619" b="16637"/>
                    <a:stretch>
                      <a:fillRect/>
                    </a:stretch>
                  </pic:blipFill>
                  <pic:spPr bwMode="auto">
                    <a:xfrm>
                      <a:off x="0" y="0"/>
                      <a:ext cx="5438775" cy="4086225"/>
                    </a:xfrm>
                    <a:prstGeom prst="rect">
                      <a:avLst/>
                    </a:prstGeom>
                    <a:noFill/>
                    <a:ln w="9525">
                      <a:noFill/>
                      <a:miter lim="800000"/>
                      <a:headEnd/>
                      <a:tailEnd/>
                    </a:ln>
                  </pic:spPr>
                </pic:pic>
              </a:graphicData>
            </a:graphic>
          </wp:inline>
        </w:drawing>
      </w:r>
    </w:p>
    <w:p w:rsidR="004D5254" w:rsidRDefault="004D5254" w:rsidP="004D5254">
      <w:pPr>
        <w:pStyle w:val="ListBullet"/>
        <w:numPr>
          <w:ilvl w:val="0"/>
          <w:numId w:val="1"/>
        </w:numPr>
      </w:pPr>
      <w:r>
        <w:t xml:space="preserve">Across the clinical studies there were 17 clinically significant dermatological reactions reported, 2 of which were associated with a fatal outcome. The 2 fatalities occurring during the clinical development program have been discussed in Section 8.4.3.21.2 of this CER. A further 7 clinically significant reactions had been reported in the post marketing setting and of these 4 had a fatal outcome. A complete tabulation of all the clinically significant reactions was included in the study report. From this table it can be appreciated that the clinically important dermatological reactions included </w:t>
      </w:r>
      <w:r>
        <w:rPr>
          <w:rFonts w:eastAsia="TimesNewRoman" w:cs="TimesNewRoman"/>
        </w:rPr>
        <w:t xml:space="preserve">skin necrosis, exfoliation and ulceration, TEN </w:t>
      </w:r>
      <w:r>
        <w:rPr>
          <w:rFonts w:eastAsia="TimesNewRoman" w:cs="TimesNewRoman"/>
        </w:rPr>
        <w:lastRenderedPageBreak/>
        <w:t>and bullous eruptions. T</w:t>
      </w:r>
      <w:r>
        <w:t>he onset of these reactions was generally within 1 to 2 weeks of the first dose of pralatrexate. In the clinical trials the clinically significant skin reactions were distributed evenly between males and females (n=10; 2.4% versus n=7; 2.5%). The rate of important skin reactions were higher in patients aged ≥65 years compared to &lt;65 years and (n=8; 3.1%</w:t>
      </w:r>
      <w:r w:rsidRPr="00104B4F">
        <w:t xml:space="preserve"> </w:t>
      </w:r>
      <w:r>
        <w:t>versus n=9; 2.1%).</w:t>
      </w:r>
    </w:p>
    <w:p w:rsidR="004D5254" w:rsidRDefault="004D5254" w:rsidP="004D5254">
      <w:pPr>
        <w:pStyle w:val="ListBullet"/>
        <w:numPr>
          <w:ilvl w:val="0"/>
          <w:numId w:val="1"/>
        </w:numPr>
      </w:pPr>
      <w:r>
        <w:t>The 4 post marketing dermatological fatalities were as follows:</w:t>
      </w:r>
    </w:p>
    <w:p w:rsidR="004D5254" w:rsidRDefault="004D5254" w:rsidP="004D5254">
      <w:pPr>
        <w:pStyle w:val="ListBullet2"/>
        <w:numPr>
          <w:ilvl w:val="1"/>
          <w:numId w:val="1"/>
        </w:numPr>
      </w:pPr>
      <w:r>
        <w:t xml:space="preserve">Case MCN 1; </w:t>
      </w:r>
      <w:r w:rsidRPr="009A00C3">
        <w:t>a 59F with transformed mycosis fungoides and extensive skin disease (80% of skin involved with lymphoma) was hospitalised with extensive desquamation 5 days after administration of a single 6</w:t>
      </w:r>
      <w:r>
        <w:t>0 mg</w:t>
      </w:r>
      <w:r w:rsidRPr="009A00C3">
        <w:t xml:space="preserve"> dose of pralatrexate.</w:t>
      </w:r>
      <w:r>
        <w:t xml:space="preserve"> </w:t>
      </w:r>
      <w:r w:rsidRPr="009A00C3">
        <w:t>It was difficult to determine whether the desquamation was occurring at the sites of lymphoma because she was dark-skinned and had undergone extensive prior t</w:t>
      </w:r>
      <w:r>
        <w:t>otal skin electron beam therapy</w:t>
      </w:r>
      <w:r w:rsidRPr="009A00C3">
        <w:t>.</w:t>
      </w:r>
      <w:r>
        <w:t xml:space="preserve"> </w:t>
      </w:r>
      <w:r w:rsidRPr="009A00C3">
        <w:t>Although the investigator diagnosed the event as radiation recall, there was no localisation or regionalisation of the skin reaction to establish a definitive diagnosis of a radiation recall dermatological reaction.</w:t>
      </w:r>
      <w:r>
        <w:t xml:space="preserve"> </w:t>
      </w:r>
      <w:r w:rsidRPr="009A00C3">
        <w:t>Furthermore, the skin lesions in this patient had been biopsied and showed evidence of TEN.</w:t>
      </w:r>
      <w:r>
        <w:t xml:space="preserve"> </w:t>
      </w:r>
      <w:r w:rsidRPr="009A00C3">
        <w:t>The patient also had Grade 4 mucositis and neutropaenia and continued to decline. The patient died, but the date of death was unknown.</w:t>
      </w:r>
      <w:r>
        <w:t xml:space="preserve"> Prior treatments included PUVA and extracorporeal photopheresis.</w:t>
      </w:r>
    </w:p>
    <w:p w:rsidR="004D5254" w:rsidRDefault="004D5254" w:rsidP="004D5254">
      <w:pPr>
        <w:pStyle w:val="ListBullet2"/>
        <w:numPr>
          <w:ilvl w:val="1"/>
          <w:numId w:val="1"/>
        </w:numPr>
      </w:pPr>
      <w:r>
        <w:t xml:space="preserve">Case MCN 2: </w:t>
      </w:r>
      <w:r w:rsidRPr="009A00C3">
        <w:t>a 49F with T-cell lymphoma developed TEN and stomatitis, remained hospitalised, and subsequently died two weeks after receiving her first dose of pralatrexate 3</w:t>
      </w:r>
      <w:r>
        <w:t>0 mg</w:t>
      </w:r>
      <w:r w:rsidRPr="009A00C3">
        <w:t>/m</w:t>
      </w:r>
      <w:r w:rsidRPr="009A00C3">
        <w:rPr>
          <w:vertAlign w:val="superscript"/>
        </w:rPr>
        <w:t>2</w:t>
      </w:r>
      <w:r w:rsidRPr="009A00C3">
        <w:t>.</w:t>
      </w:r>
      <w:r>
        <w:t xml:space="preserve"> </w:t>
      </w:r>
      <w:r w:rsidRPr="009A00C3">
        <w:t xml:space="preserve">She had been previously treatment with CHOP and </w:t>
      </w:r>
      <w:r>
        <w:t xml:space="preserve">EPOCH. </w:t>
      </w:r>
    </w:p>
    <w:p w:rsidR="004D5254" w:rsidRDefault="004D5254" w:rsidP="004D5254">
      <w:pPr>
        <w:pStyle w:val="ListBullet2"/>
        <w:numPr>
          <w:ilvl w:val="1"/>
          <w:numId w:val="1"/>
        </w:numPr>
      </w:pPr>
      <w:r>
        <w:t xml:space="preserve">Case MCN 3: </w:t>
      </w:r>
      <w:r w:rsidRPr="00F2732F">
        <w:t xml:space="preserve">a 45F with PTCL </w:t>
      </w:r>
      <w:r>
        <w:t xml:space="preserve">( with </w:t>
      </w:r>
      <w:r w:rsidRPr="00F2732F">
        <w:t>subcutaneous involvement) and end-stage renal disease</w:t>
      </w:r>
      <w:r>
        <w:t xml:space="preserve"> </w:t>
      </w:r>
      <w:r w:rsidRPr="00F2732F">
        <w:t>developed an erythematous, bullous skin eruption 6 days after receiving her first dose of pralatrexate 1</w:t>
      </w:r>
      <w:r>
        <w:t>5 mg</w:t>
      </w:r>
      <w:r w:rsidRPr="00F2732F">
        <w:t>/m</w:t>
      </w:r>
      <w:r w:rsidRPr="00F2732F">
        <w:rPr>
          <w:vertAlign w:val="superscript"/>
        </w:rPr>
        <w:t>2</w:t>
      </w:r>
      <w:r w:rsidRPr="00F2732F">
        <w:t xml:space="preserve"> (a lower dose was used on account of the ESRD).</w:t>
      </w:r>
      <w:r>
        <w:t xml:space="preserve"> </w:t>
      </w:r>
      <w:r w:rsidRPr="00F2732F">
        <w:t>She initially had a diffuse and erythematous rash with bullae on her hands and feet and severe oral mucositis.</w:t>
      </w:r>
      <w:r>
        <w:t xml:space="preserve"> </w:t>
      </w:r>
      <w:r w:rsidRPr="00F2732F">
        <w:t>The rash subsequently evolved into TEN (biopsy confirmed) and she became hypotensive and pancytop</w:t>
      </w:r>
      <w:r>
        <w:t>a</w:t>
      </w:r>
      <w:r w:rsidRPr="00F2732F">
        <w:t>enic.</w:t>
      </w:r>
      <w:r>
        <w:t xml:space="preserve"> </w:t>
      </w:r>
      <w:r w:rsidRPr="00F2732F">
        <w:t>She died 3 weeks after the one and only dose of pralatrexate</w:t>
      </w:r>
      <w:r>
        <w:t>,</w:t>
      </w:r>
      <w:r w:rsidRPr="00F2732F">
        <w:t xml:space="preserve"> with TEN as the </w:t>
      </w:r>
      <w:r>
        <w:t>stated cause of death</w:t>
      </w:r>
      <w:r w:rsidRPr="00F2732F">
        <w:t>.</w:t>
      </w:r>
    </w:p>
    <w:p w:rsidR="004D5254" w:rsidRPr="0050282B" w:rsidRDefault="004D5254" w:rsidP="004D5254">
      <w:pPr>
        <w:pStyle w:val="ListBullet2"/>
        <w:numPr>
          <w:ilvl w:val="1"/>
          <w:numId w:val="1"/>
        </w:numPr>
      </w:pPr>
      <w:r>
        <w:t xml:space="preserve">Case MCN 4: </w:t>
      </w:r>
      <w:r w:rsidRPr="00F2732F">
        <w:t>a 83F with Stage IVA Sézary syndrome died 15 days after receiving a single 15 mg/m</w:t>
      </w:r>
      <w:r w:rsidRPr="00F2732F">
        <w:rPr>
          <w:vertAlign w:val="superscript"/>
        </w:rPr>
        <w:t xml:space="preserve">2 </w:t>
      </w:r>
      <w:r w:rsidRPr="00F2732F">
        <w:t>dose of pralatrexate for disease progression.</w:t>
      </w:r>
      <w:r>
        <w:t xml:space="preserve"> </w:t>
      </w:r>
      <w:r w:rsidRPr="00F2732F">
        <w:t>Following administration of pralatrexate she developed (time to onset not stated) a severe skin reaction, pancytopaenia, bacterial wound infections (worsening of previously existing infections), subsequent mucositis and then sepsis with ultimate complications of multi-organ failure (pneumonia, respiratory failure, acute renal failure due to acute tubular necrosis, and multiple metabolic, electrolyte and haematological abnormalities).</w:t>
      </w:r>
      <w:r>
        <w:t xml:space="preserve"> </w:t>
      </w:r>
      <w:r w:rsidRPr="00F2732F">
        <w:t>The patient’s recent prior history included significant wound infection (pseudomonas, methicillin-resistant Staphylococcus aureus [MRSA]) and low white blood cell (WBC) count with ongoing antibiotic therapy.</w:t>
      </w:r>
    </w:p>
    <w:tbl>
      <w:tblPr>
        <w:tblStyle w:val="TableGrid"/>
        <w:tblW w:w="0" w:type="auto"/>
        <w:tblLook w:val="04A0"/>
      </w:tblPr>
      <w:tblGrid>
        <w:gridCol w:w="9242"/>
      </w:tblGrid>
      <w:tr w:rsidR="004D5254" w:rsidTr="00C80331">
        <w:tc>
          <w:tcPr>
            <w:tcW w:w="9242" w:type="dxa"/>
            <w:shd w:val="clear" w:color="auto" w:fill="D9D9D9" w:themeFill="background1" w:themeFillShade="D9"/>
          </w:tcPr>
          <w:p w:rsidR="004D5254" w:rsidRDefault="004D5254" w:rsidP="00C80331">
            <w:pPr>
              <w:tabs>
                <w:tab w:val="left" w:pos="1560"/>
              </w:tabs>
              <w:autoSpaceDE w:val="0"/>
              <w:autoSpaceDN w:val="0"/>
              <w:adjustRightInd w:val="0"/>
            </w:pPr>
            <w:r w:rsidRPr="0000374C">
              <w:rPr>
                <w:u w:val="single"/>
              </w:rPr>
              <w:t>Evaluator’s comment</w:t>
            </w:r>
            <w:r>
              <w:t>:</w:t>
            </w:r>
          </w:p>
          <w:p w:rsidR="004D5254" w:rsidRDefault="004D5254" w:rsidP="00C80331">
            <w:pPr>
              <w:tabs>
                <w:tab w:val="left" w:pos="1560"/>
              </w:tabs>
              <w:autoSpaceDE w:val="0"/>
              <w:autoSpaceDN w:val="0"/>
              <w:adjustRightInd w:val="0"/>
              <w:rPr>
                <w:rFonts w:eastAsia="TimesNewRoman" w:cs="TimesNewRoman"/>
                <w:szCs w:val="22"/>
              </w:rPr>
            </w:pPr>
            <w:r>
              <w:t xml:space="preserve">None of the vignettes submitted by the sponsor for these 4 cases contained information about the level of compliance of the patient with the rescue therapy regimens for folate and vitamin B12 recommended in the US prescribing information (these regimens are identical to those proposed for the Australian PI). Of note, the patient in </w:t>
            </w:r>
            <w:r w:rsidRPr="00404DB3">
              <w:rPr>
                <w:rFonts w:eastAsia="TimesNewRoman" w:cs="TimesNewRoman"/>
                <w:szCs w:val="22"/>
              </w:rPr>
              <w:t xml:space="preserve">case MCN </w:t>
            </w:r>
            <w:r>
              <w:rPr>
                <w:rFonts w:eastAsia="TimesNewRoman" w:cs="TimesNewRoman"/>
                <w:szCs w:val="22"/>
              </w:rPr>
              <w:t>4 had a known history of vitamin B12 deficiency and prior therapy had included methotrexate (although the proximity to the use of pralatrexate was not reported).</w:t>
            </w:r>
          </w:p>
          <w:p w:rsidR="004D5254" w:rsidRDefault="004D5254" w:rsidP="00C80331">
            <w:pPr>
              <w:tabs>
                <w:tab w:val="left" w:pos="1560"/>
              </w:tabs>
              <w:autoSpaceDE w:val="0"/>
              <w:autoSpaceDN w:val="0"/>
              <w:adjustRightInd w:val="0"/>
              <w:rPr>
                <w:szCs w:val="22"/>
              </w:rPr>
            </w:pPr>
            <w:r>
              <w:rPr>
                <w:rFonts w:eastAsia="TimesNewRoman" w:cs="TimesNewRoman"/>
                <w:szCs w:val="22"/>
              </w:rPr>
              <w:t>With regard to the 2 dermatological deaths in the clinical trials details of compliance with rescue therapy was only available for a patient from Study PDX-02-078 (which had a full study report plus IPD listings). This patient was enrolled after the final protocol amendment, which means she</w:t>
            </w:r>
            <w:r>
              <w:rPr>
                <w:szCs w:val="22"/>
              </w:rPr>
              <w:t xml:space="preserve"> was required to have</w:t>
            </w:r>
            <w:r w:rsidRPr="00DA165D">
              <w:rPr>
                <w:szCs w:val="22"/>
              </w:rPr>
              <w:t xml:space="preserve"> a Hcy level of </w:t>
            </w:r>
            <w:r w:rsidRPr="00DA165D">
              <w:rPr>
                <w:rFonts w:eastAsia="TimesNewRoman" w:cs="TimesNewRoman"/>
                <w:szCs w:val="22"/>
              </w:rPr>
              <w:t xml:space="preserve">≤ </w:t>
            </w:r>
            <w:r w:rsidRPr="00DA165D">
              <w:rPr>
                <w:szCs w:val="22"/>
              </w:rPr>
              <w:t xml:space="preserve">10 μmol/L and a MMA level of </w:t>
            </w:r>
            <w:r>
              <w:rPr>
                <w:rFonts w:eastAsia="TimesNewRoman" w:cs="TimesNewRoman"/>
                <w:szCs w:val="22"/>
              </w:rPr>
              <w:t>≤</w:t>
            </w:r>
            <w:r w:rsidRPr="00DA165D">
              <w:rPr>
                <w:rFonts w:eastAsia="TimesNewRoman" w:cs="TimesNewRoman"/>
                <w:szCs w:val="22"/>
              </w:rPr>
              <w:t xml:space="preserve"> </w:t>
            </w:r>
            <w:r w:rsidRPr="00DA165D">
              <w:rPr>
                <w:szCs w:val="22"/>
              </w:rPr>
              <w:t>200 nmol/L at</w:t>
            </w:r>
            <w:r>
              <w:t xml:space="preserve"> </w:t>
            </w:r>
            <w:r w:rsidRPr="00DA165D">
              <w:rPr>
                <w:szCs w:val="22"/>
              </w:rPr>
              <w:t xml:space="preserve">baseline, or the patient must have been on a regimen of folic acid 1 mg </w:t>
            </w:r>
            <w:r>
              <w:t xml:space="preserve">PO </w:t>
            </w:r>
            <w:r w:rsidRPr="00DA165D">
              <w:rPr>
                <w:szCs w:val="22"/>
              </w:rPr>
              <w:t>daily for at least 7 days prior to planned start of pralatrexate and had to receive vitamin B12 1 mg</w:t>
            </w:r>
            <w:r>
              <w:t xml:space="preserve"> </w:t>
            </w:r>
            <w:r w:rsidRPr="00DA165D">
              <w:rPr>
                <w:szCs w:val="22"/>
              </w:rPr>
              <w:t xml:space="preserve">intramuscularly within 10 weeks of the </w:t>
            </w:r>
            <w:r w:rsidRPr="00DA165D">
              <w:rPr>
                <w:szCs w:val="22"/>
              </w:rPr>
              <w:lastRenderedPageBreak/>
              <w:t>planned start of pralatrexate.</w:t>
            </w:r>
            <w:r>
              <w:rPr>
                <w:szCs w:val="22"/>
              </w:rPr>
              <w:t xml:space="preserve"> </w:t>
            </w:r>
          </w:p>
          <w:p w:rsidR="004D5254" w:rsidRPr="00815B3C" w:rsidRDefault="004D5254" w:rsidP="00C80331">
            <w:pPr>
              <w:tabs>
                <w:tab w:val="left" w:pos="1560"/>
              </w:tabs>
              <w:autoSpaceDE w:val="0"/>
              <w:autoSpaceDN w:val="0"/>
              <w:adjustRightInd w:val="0"/>
              <w:spacing w:before="240"/>
              <w:rPr>
                <w:szCs w:val="22"/>
              </w:rPr>
            </w:pPr>
            <w:r>
              <w:rPr>
                <w:rFonts w:eastAsia="TimesNewRoman" w:cs="TimesNewRoman"/>
                <w:szCs w:val="22"/>
              </w:rPr>
              <w:t xml:space="preserve">This patient was recorded as having an elevated Hcy level of 13 </w:t>
            </w:r>
            <w:r>
              <w:rPr>
                <w:szCs w:val="22"/>
              </w:rPr>
              <w:t>µ</w:t>
            </w:r>
            <w:r w:rsidRPr="00196D4C">
              <w:rPr>
                <w:szCs w:val="22"/>
              </w:rPr>
              <w:t>mol/L</w:t>
            </w:r>
            <w:r>
              <w:rPr>
                <w:szCs w:val="22"/>
              </w:rPr>
              <w:t xml:space="preserve"> and normal MMA at screening and having commenced folate and vitamin B12 supplementation 14 days prior to the first dose of pralatrexate. A repeat Hcy level 7 days after commencement of vitamin supplementation (7 days prior to pralatrexate) was normal (</w:t>
            </w:r>
            <w:r>
              <w:rPr>
                <w:rFonts w:eastAsia="TimesNewRoman" w:cs="TimesNewRoman"/>
                <w:szCs w:val="22"/>
              </w:rPr>
              <w:t xml:space="preserve">8 </w:t>
            </w:r>
            <w:r>
              <w:rPr>
                <w:szCs w:val="22"/>
              </w:rPr>
              <w:t>µ</w:t>
            </w:r>
            <w:r w:rsidRPr="00196D4C">
              <w:rPr>
                <w:szCs w:val="22"/>
              </w:rPr>
              <w:t>mol/L</w:t>
            </w:r>
            <w:r>
              <w:rPr>
                <w:szCs w:val="22"/>
              </w:rPr>
              <w:t>). Incidentally this patient had completed treatment with methotrexate + EPOCH some 2 months earlier.</w:t>
            </w:r>
          </w:p>
        </w:tc>
      </w:tr>
    </w:tbl>
    <w:p w:rsidR="004D5254" w:rsidRDefault="004D5254" w:rsidP="004D5254">
      <w:pPr>
        <w:pStyle w:val="ListBullet"/>
        <w:numPr>
          <w:ilvl w:val="0"/>
          <w:numId w:val="1"/>
        </w:numPr>
      </w:pPr>
      <w:r>
        <w:lastRenderedPageBreak/>
        <w:t>With regard to important dermatological reactions more generally, the sponsor noted that s</w:t>
      </w:r>
      <w:r w:rsidRPr="00C97817">
        <w:t>kin or subcutaneous sites of known lymphoma were frequently involved and this may represent a manifestation of response to the underlying disease rather than a purely toxic effect of the drug.</w:t>
      </w:r>
      <w:r>
        <w:t xml:space="preserve"> </w:t>
      </w:r>
      <w:r w:rsidRPr="00C97817">
        <w:t>For example, in many cases, patients had received previous therapy for their skin lesions including both local and total body radiation exposure, as well as phototherapy and/or experienced adverse skin reactions with prior chemotherapy.</w:t>
      </w:r>
      <w:r>
        <w:t xml:space="preserve"> </w:t>
      </w:r>
      <w:r w:rsidRPr="00C97817">
        <w:t xml:space="preserve">The sponsor pointed to a case of skin erosions in one patient from </w:t>
      </w:r>
      <w:r>
        <w:t>Study PDX-</w:t>
      </w:r>
      <w:r w:rsidRPr="00C97817">
        <w:t xml:space="preserve">02-078, which appeared </w:t>
      </w:r>
      <w:r>
        <w:t xml:space="preserve">3 days </w:t>
      </w:r>
      <w:r w:rsidRPr="00C97817">
        <w:t xml:space="preserve">after </w:t>
      </w:r>
      <w:r>
        <w:t>the first dose</w:t>
      </w:r>
      <w:r w:rsidRPr="00C97817">
        <w:t xml:space="preserve"> of pralatrexate and w</w:t>
      </w:r>
      <w:r>
        <w:t>ere</w:t>
      </w:r>
      <w:r w:rsidRPr="00C97817">
        <w:t xml:space="preserve"> limited to the areas of a pre-existing papular rash associated with the lymphoma and spar</w:t>
      </w:r>
      <w:r>
        <w:t>ed</w:t>
      </w:r>
      <w:r w:rsidRPr="00C97817">
        <w:t xml:space="preserve"> unaffected skin.</w:t>
      </w:r>
      <w:r>
        <w:t xml:space="preserve"> </w:t>
      </w:r>
      <w:r w:rsidRPr="00C97817">
        <w:t>This case was published in the scientific literature and the authors hypothesised that the effect was a manifestation of apoptosis of tumour cells and not the result of cytotoxicity of pralatrexate on keratinocytes.</w:t>
      </w:r>
      <w:r>
        <w:t xml:space="preserve"> </w:t>
      </w:r>
    </w:p>
    <w:p w:rsidR="004D5254" w:rsidRPr="00C97817" w:rsidRDefault="004D5254" w:rsidP="004D5254">
      <w:pPr>
        <w:pStyle w:val="ListBullet"/>
        <w:numPr>
          <w:ilvl w:val="0"/>
          <w:numId w:val="1"/>
        </w:numPr>
      </w:pPr>
      <w:r w:rsidRPr="00C97817">
        <w:t>It was also noted by the sponsor that patients in early pralatrexate clinical studies (where higher doses were used) had apparent exaggerated cutaneous responses to minor trauma and impaired cutaneous wound healing.</w:t>
      </w:r>
    </w:p>
    <w:p w:rsidR="004D5254" w:rsidRPr="00EE249E" w:rsidRDefault="004D5254" w:rsidP="004D5254">
      <w:pPr>
        <w:pStyle w:val="Heading4"/>
        <w:numPr>
          <w:ilvl w:val="2"/>
          <w:numId w:val="5"/>
        </w:numPr>
      </w:pPr>
      <w:bookmarkStart w:id="323" w:name="_Toc272414684"/>
      <w:bookmarkStart w:id="324" w:name="_Toc290846322"/>
      <w:bookmarkStart w:id="325" w:name="_Toc320881476"/>
      <w:r w:rsidRPr="00EE249E">
        <w:t>Cardiovascular safety</w:t>
      </w:r>
      <w:bookmarkEnd w:id="323"/>
      <w:bookmarkEnd w:id="324"/>
      <w:bookmarkEnd w:id="325"/>
    </w:p>
    <w:p w:rsidR="004D5254" w:rsidRDefault="004D5254" w:rsidP="004D5254">
      <w:pPr>
        <w:autoSpaceDE w:val="0"/>
        <w:autoSpaceDN w:val="0"/>
        <w:adjustRightInd w:val="0"/>
        <w:rPr>
          <w:rFonts w:eastAsia="TimesNewRoman" w:cs="TimesNewRoman"/>
          <w:color w:val="000000"/>
        </w:rPr>
      </w:pPr>
      <w:r>
        <w:t>No specific cardiovascular safety issues have been identified. P</w:t>
      </w:r>
      <w:r w:rsidRPr="0046361D">
        <w:rPr>
          <w:rFonts w:eastAsia="TimesNewRoman" w:cs="TimesNewRoman"/>
          <w:color w:val="000000"/>
        </w:rPr>
        <w:t>ralatrexate is unlikely to markedly delay cardiac repolari</w:t>
      </w:r>
      <w:r>
        <w:rPr>
          <w:rFonts w:eastAsia="TimesNewRoman" w:cs="TimesNewRoman"/>
          <w:color w:val="000000"/>
        </w:rPr>
        <w:t>s</w:t>
      </w:r>
      <w:r w:rsidRPr="0046361D">
        <w:rPr>
          <w:rFonts w:eastAsia="TimesNewRoman" w:cs="TimesNewRoman"/>
          <w:color w:val="000000"/>
        </w:rPr>
        <w:t>ation in</w:t>
      </w:r>
      <w:r>
        <w:rPr>
          <w:rFonts w:eastAsia="TimesNewRoman" w:cs="TimesNewRoman"/>
          <w:color w:val="000000"/>
        </w:rPr>
        <w:t xml:space="preserve"> </w:t>
      </w:r>
      <w:r w:rsidRPr="0046361D">
        <w:rPr>
          <w:rFonts w:eastAsia="TimesNewRoman" w:cs="TimesNewRoman"/>
          <w:color w:val="000000"/>
        </w:rPr>
        <w:t xml:space="preserve">PTCL patients treated with pralatrexate doses </w:t>
      </w:r>
      <w:r>
        <w:rPr>
          <w:rFonts w:eastAsia="TimesNewRoman" w:cs="TimesNewRoman"/>
          <w:color w:val="000000"/>
        </w:rPr>
        <w:t xml:space="preserve">≤ </w:t>
      </w:r>
      <w:r w:rsidRPr="0046361D">
        <w:rPr>
          <w:rFonts w:eastAsia="TimesNewRoman" w:cs="TimesNewRoman"/>
          <w:color w:val="000000"/>
        </w:rPr>
        <w:t>30 mg/m</w:t>
      </w:r>
      <w:r w:rsidRPr="00BC5248">
        <w:rPr>
          <w:rFonts w:eastAsia="TimesNewRoman" w:cs="TimesNewRoman"/>
          <w:color w:val="000000"/>
          <w:vertAlign w:val="superscript"/>
        </w:rPr>
        <w:t>2</w:t>
      </w:r>
      <w:r>
        <w:rPr>
          <w:rFonts w:eastAsia="TimesNewRoman" w:cs="TimesNewRoman"/>
          <w:color w:val="000000"/>
        </w:rPr>
        <w:t>.</w:t>
      </w:r>
    </w:p>
    <w:p w:rsidR="004D5254" w:rsidRPr="00EE249E" w:rsidRDefault="004D5254" w:rsidP="004D5254">
      <w:pPr>
        <w:pStyle w:val="Heading4"/>
        <w:numPr>
          <w:ilvl w:val="2"/>
          <w:numId w:val="5"/>
        </w:numPr>
      </w:pPr>
      <w:bookmarkStart w:id="326" w:name="_Toc241374323"/>
      <w:bookmarkStart w:id="327" w:name="_Toc272414685"/>
      <w:bookmarkStart w:id="328" w:name="_Toc290846323"/>
      <w:bookmarkStart w:id="329" w:name="_Toc320881477"/>
      <w:r w:rsidRPr="00EE249E">
        <w:t>Unwanted immunological events</w:t>
      </w:r>
      <w:bookmarkEnd w:id="326"/>
      <w:bookmarkEnd w:id="327"/>
      <w:bookmarkEnd w:id="328"/>
      <w:bookmarkEnd w:id="329"/>
    </w:p>
    <w:p w:rsidR="004D5254" w:rsidRPr="00EE249E" w:rsidRDefault="004D5254" w:rsidP="004D5254">
      <w:r>
        <w:t>No issue has been identified to date.</w:t>
      </w:r>
    </w:p>
    <w:p w:rsidR="004D5254" w:rsidRPr="00EE249E" w:rsidRDefault="004D5254" w:rsidP="004D5254">
      <w:pPr>
        <w:pStyle w:val="Heading3"/>
        <w:numPr>
          <w:ilvl w:val="1"/>
          <w:numId w:val="5"/>
        </w:numPr>
      </w:pPr>
      <w:bookmarkStart w:id="330" w:name="_Toc272414686"/>
      <w:bookmarkStart w:id="331" w:name="_Ref273005527"/>
      <w:bookmarkStart w:id="332" w:name="_Toc290846324"/>
      <w:bookmarkStart w:id="333" w:name="_Toc320881478"/>
      <w:bookmarkStart w:id="334" w:name="_Toc359930739"/>
      <w:bookmarkStart w:id="335" w:name="_Toc364764913"/>
      <w:r w:rsidRPr="00EE249E">
        <w:t>Other safety issues</w:t>
      </w:r>
      <w:bookmarkEnd w:id="330"/>
      <w:bookmarkEnd w:id="331"/>
      <w:bookmarkEnd w:id="332"/>
      <w:bookmarkEnd w:id="333"/>
      <w:bookmarkEnd w:id="334"/>
      <w:bookmarkEnd w:id="335"/>
    </w:p>
    <w:p w:rsidR="004D5254" w:rsidRPr="00EE249E" w:rsidRDefault="004D5254" w:rsidP="004D5254">
      <w:pPr>
        <w:pStyle w:val="Heading4"/>
        <w:numPr>
          <w:ilvl w:val="2"/>
          <w:numId w:val="5"/>
        </w:numPr>
      </w:pPr>
      <w:bookmarkStart w:id="336" w:name="_Toc241374322"/>
      <w:bookmarkStart w:id="337" w:name="_Ref272331212"/>
      <w:bookmarkStart w:id="338" w:name="_Toc272414687"/>
      <w:bookmarkStart w:id="339" w:name="_Toc290846325"/>
      <w:bookmarkStart w:id="340" w:name="_Toc320881479"/>
      <w:r w:rsidRPr="00EE249E">
        <w:t>Safety in special populations</w:t>
      </w:r>
      <w:bookmarkEnd w:id="336"/>
      <w:bookmarkEnd w:id="337"/>
      <w:bookmarkEnd w:id="338"/>
      <w:bookmarkEnd w:id="339"/>
      <w:bookmarkEnd w:id="340"/>
    </w:p>
    <w:p w:rsidR="004D5254" w:rsidRDefault="004D5254" w:rsidP="004D5254">
      <w:pPr>
        <w:autoSpaceDE w:val="0"/>
        <w:autoSpaceDN w:val="0"/>
        <w:adjustRightInd w:val="0"/>
      </w:pPr>
      <w:r>
        <w:t xml:space="preserve">No formal covariate analysis has been undertaken to assess the impacts of age, gender, race or pralatrexate dose on the frequency or severity of AEs or laboratory parameter abnormalities. </w:t>
      </w:r>
      <w:r w:rsidRPr="00D70C8C">
        <w:t>Tabulations of ag</w:t>
      </w:r>
      <w:r>
        <w:t>e and gender specific data (</w:t>
      </w:r>
      <w:r w:rsidRPr="008114D2">
        <w:t>using the single lowest-level preferred term</w:t>
      </w:r>
      <w:r>
        <w:t>) for the 13 s</w:t>
      </w:r>
      <w:r w:rsidRPr="008114D2">
        <w:t xml:space="preserve">elected AEs of interest </w:t>
      </w:r>
      <w:r>
        <w:t xml:space="preserve">identified in </w:t>
      </w:r>
      <w:r w:rsidRPr="00D70C8C">
        <w:rPr>
          <w:i/>
        </w:rPr>
        <w:t>Studies providing Safety data</w:t>
      </w:r>
      <w:r>
        <w:t>. The table is limited to data from patients who received the proposed dose of 30 mg/m</w:t>
      </w:r>
      <w:r w:rsidRPr="000709FF">
        <w:rPr>
          <w:vertAlign w:val="superscript"/>
        </w:rPr>
        <w:t>2</w:t>
      </w:r>
      <w:r>
        <w:t xml:space="preserve"> for 6 of every 7 weeks, </w:t>
      </w:r>
      <w:r w:rsidRPr="00990CA1">
        <w:t>that is,</w:t>
      </w:r>
      <w:r>
        <w:t xml:space="preserve"> patients from the pivotal Study PDX-008 and the subset of 27 patients in Study PDX-02-078, as these are most relevant to the intended use of the product. </w:t>
      </w:r>
    </w:p>
    <w:p w:rsidR="004D5254" w:rsidRPr="002C0EA8" w:rsidRDefault="004D5254" w:rsidP="004D5254">
      <w:pPr>
        <w:autoSpaceDE w:val="0"/>
        <w:autoSpaceDN w:val="0"/>
        <w:adjustRightInd w:val="0"/>
        <w:rPr>
          <w:rFonts w:eastAsia="TimesNewRoman" w:cs="TimesNewRoman"/>
        </w:rPr>
      </w:pPr>
      <w:r>
        <w:t xml:space="preserve">There were no differences in the overall AE rates for patients aged &lt;65 years versus ≥ 65 years or for males versus females. </w:t>
      </w:r>
      <w:r w:rsidRPr="000709FF">
        <w:rPr>
          <w:rFonts w:eastAsia="TimesNewRoman" w:cs="TimesNewRoman"/>
        </w:rPr>
        <w:t>However, in the pivotal study there were numerical</w:t>
      </w:r>
      <w:r>
        <w:rPr>
          <w:rFonts w:eastAsia="TimesNewRoman" w:cs="TimesNewRoman"/>
        </w:rPr>
        <w:t>ly</w:t>
      </w:r>
      <w:r w:rsidRPr="000709FF">
        <w:rPr>
          <w:rFonts w:eastAsia="TimesNewRoman" w:cs="TimesNewRoman"/>
        </w:rPr>
        <w:t xml:space="preserve"> </w:t>
      </w:r>
      <w:r>
        <w:rPr>
          <w:rFonts w:eastAsia="TimesNewRoman" w:cs="TimesNewRoman"/>
        </w:rPr>
        <w:t>higher rates in patients aged</w:t>
      </w:r>
      <w:r w:rsidRPr="000709FF">
        <w:rPr>
          <w:rFonts w:eastAsia="TimesNewRoman" w:cs="TimesNewRoman"/>
        </w:rPr>
        <w:t xml:space="preserve"> </w:t>
      </w:r>
      <w:r>
        <w:rPr>
          <w:rFonts w:eastAsia="TimesNewRoman" w:cs="TimesNewRoman"/>
        </w:rPr>
        <w:t>≥</w:t>
      </w:r>
      <w:r w:rsidRPr="000709FF">
        <w:rPr>
          <w:rFonts w:eastAsia="TimesNewRoman" w:cs="TimesNewRoman"/>
        </w:rPr>
        <w:t xml:space="preserve"> 65 years </w:t>
      </w:r>
      <w:r>
        <w:rPr>
          <w:rFonts w:eastAsia="TimesNewRoman" w:cs="TimesNewRoman"/>
        </w:rPr>
        <w:t xml:space="preserve">than </w:t>
      </w:r>
      <w:r w:rsidRPr="000709FF">
        <w:rPr>
          <w:rFonts w:eastAsia="TimesNewRoman" w:cs="TimesNewRoman"/>
        </w:rPr>
        <w:t>in th</w:t>
      </w:r>
      <w:r>
        <w:rPr>
          <w:rFonts w:eastAsia="TimesNewRoman" w:cs="TimesNewRoman"/>
        </w:rPr>
        <w:t xml:space="preserve">ose &lt;65 years of a number of events including, most notably, mucosal inflammation, thrombocytopaenia, neutropaenia, oedema and pruritus. Only mucosal inflammation </w:t>
      </w:r>
      <w:r w:rsidRPr="000709FF">
        <w:rPr>
          <w:rFonts w:eastAsia="TimesNewRoman" w:cs="TimesNewRoman"/>
        </w:rPr>
        <w:t xml:space="preserve">(85% </w:t>
      </w:r>
      <w:r>
        <w:rPr>
          <w:rFonts w:eastAsia="TimesNewRoman" w:cs="TimesNewRoman"/>
        </w:rPr>
        <w:t xml:space="preserve">versus </w:t>
      </w:r>
      <w:r w:rsidRPr="000709FF">
        <w:rPr>
          <w:rFonts w:eastAsia="TimesNewRoman" w:cs="TimesNewRoman"/>
        </w:rPr>
        <w:t>63%)</w:t>
      </w:r>
      <w:r>
        <w:rPr>
          <w:rFonts w:eastAsia="TimesNewRoman" w:cs="TimesNewRoman"/>
        </w:rPr>
        <w:t xml:space="preserve">, and thrombocytopenia (48% versus 37%) had between subgroup differences of &gt; 10%. The results for Study PDX-02-078 were not consistent with those of the pivotal study in that most of the events actually occurred more frequently in younger patients. However, the results of this study are much less reliable because of the very small patient numbers. </w:t>
      </w:r>
    </w:p>
    <w:p w:rsidR="004D5254" w:rsidRDefault="004D5254" w:rsidP="004D5254">
      <w:pPr>
        <w:autoSpaceDE w:val="0"/>
        <w:autoSpaceDN w:val="0"/>
        <w:adjustRightInd w:val="0"/>
        <w:rPr>
          <w:rFonts w:eastAsia="TimesNewRoman" w:cs="TimesNewRoman"/>
        </w:rPr>
      </w:pPr>
      <w:r>
        <w:rPr>
          <w:rFonts w:eastAsia="TimesNewRoman" w:cs="TimesNewRoman"/>
        </w:rPr>
        <w:lastRenderedPageBreak/>
        <w:t xml:space="preserve">No formal statistical analysis of the differences was performed but it appears from this evaluator’s own calculations that only the difference in mucosal inflammation rate would reach statistical significance at the 5% level. </w:t>
      </w:r>
    </w:p>
    <w:p w:rsidR="004D5254" w:rsidRDefault="004D5254" w:rsidP="004D5254">
      <w:pPr>
        <w:autoSpaceDE w:val="0"/>
        <w:autoSpaceDN w:val="0"/>
        <w:adjustRightInd w:val="0"/>
        <w:rPr>
          <w:rFonts w:eastAsia="TimesNewRoman" w:cs="TimesNewRoman"/>
        </w:rPr>
      </w:pPr>
      <w:r>
        <w:rPr>
          <w:rFonts w:eastAsia="TimesNewRoman" w:cs="TimesNewRoman"/>
        </w:rPr>
        <w:t>Overall, a</w:t>
      </w:r>
      <w:r w:rsidRPr="002C0EA8">
        <w:rPr>
          <w:rFonts w:eastAsia="TimesNewRoman" w:cs="TimesNewRoman"/>
        </w:rPr>
        <w:t>lthough there does not seem to be a difference in overall</w:t>
      </w:r>
      <w:r>
        <w:rPr>
          <w:rFonts w:eastAsia="TimesNewRoman" w:cs="TimesNewRoman"/>
        </w:rPr>
        <w:t xml:space="preserve"> </w:t>
      </w:r>
      <w:r w:rsidRPr="002C0EA8">
        <w:rPr>
          <w:rFonts w:eastAsia="TimesNewRoman" w:cs="TimesNewRoman"/>
        </w:rPr>
        <w:t>AEs between older and younger patients, greater sensitivity of some older</w:t>
      </w:r>
      <w:r>
        <w:rPr>
          <w:rFonts w:eastAsia="TimesNewRoman" w:cs="TimesNewRoman"/>
        </w:rPr>
        <w:t xml:space="preserve"> </w:t>
      </w:r>
      <w:r w:rsidRPr="002C0EA8">
        <w:rPr>
          <w:rFonts w:eastAsia="TimesNewRoman" w:cs="TimesNewRoman"/>
        </w:rPr>
        <w:t xml:space="preserve">individuals </w:t>
      </w:r>
      <w:r>
        <w:rPr>
          <w:rFonts w:eastAsia="TimesNewRoman" w:cs="TimesNewRoman"/>
        </w:rPr>
        <w:t xml:space="preserve">to pralatrexate </w:t>
      </w:r>
      <w:r w:rsidRPr="002C0EA8">
        <w:rPr>
          <w:rFonts w:eastAsia="TimesNewRoman" w:cs="TimesNewRoman"/>
        </w:rPr>
        <w:t>cannot be ruled out</w:t>
      </w:r>
      <w:r>
        <w:rPr>
          <w:rFonts w:eastAsia="TimesNewRoman" w:cs="TimesNewRoman"/>
        </w:rPr>
        <w:t>, especially with regard to the development to mucosal inflammation and thrombocytopaenia</w:t>
      </w:r>
      <w:r w:rsidRPr="002C0EA8">
        <w:rPr>
          <w:rFonts w:eastAsia="TimesNewRoman" w:cs="TimesNewRoman"/>
        </w:rPr>
        <w:t>.</w:t>
      </w:r>
      <w:r>
        <w:rPr>
          <w:rFonts w:eastAsia="TimesNewRoman" w:cs="TimesNewRoman"/>
        </w:rPr>
        <w:t xml:space="preserve"> Any propensity to increased frequency for these events in older patients can be mitigated by careful monitoring and dosage adjustment during treatment.</w:t>
      </w:r>
    </w:p>
    <w:p w:rsidR="004D5254" w:rsidRDefault="004D5254" w:rsidP="004D5254">
      <w:pPr>
        <w:autoSpaceDE w:val="0"/>
        <w:autoSpaceDN w:val="0"/>
        <w:adjustRightInd w:val="0"/>
        <w:rPr>
          <w:rFonts w:eastAsia="TimesNewRoman" w:cs="TimesNewRoman"/>
        </w:rPr>
      </w:pPr>
      <w:r>
        <w:rPr>
          <w:rFonts w:eastAsia="TimesNewRoman" w:cs="TimesNewRoman"/>
        </w:rPr>
        <w:t>With regard to gender differences, t</w:t>
      </w:r>
      <w:r w:rsidRPr="000709FF">
        <w:rPr>
          <w:rFonts w:eastAsia="TimesNewRoman" w:cs="TimesNewRoman"/>
        </w:rPr>
        <w:t>he largest</w:t>
      </w:r>
      <w:r>
        <w:rPr>
          <w:rFonts w:eastAsia="TimesNewRoman" w:cs="TimesNewRoman"/>
        </w:rPr>
        <w:t xml:space="preserve"> </w:t>
      </w:r>
      <w:r w:rsidRPr="000709FF">
        <w:rPr>
          <w:rFonts w:eastAsia="TimesNewRoman" w:cs="TimesNewRoman"/>
        </w:rPr>
        <w:t xml:space="preserve">differences observed </w:t>
      </w:r>
      <w:r>
        <w:rPr>
          <w:rFonts w:eastAsia="TimesNewRoman" w:cs="TimesNewRoman"/>
        </w:rPr>
        <w:t>in the</w:t>
      </w:r>
      <w:r w:rsidRPr="000709FF">
        <w:rPr>
          <w:rFonts w:eastAsia="TimesNewRoman" w:cs="TimesNewRoman"/>
        </w:rPr>
        <w:t xml:space="preserve"> frequencies in male </w:t>
      </w:r>
      <w:r>
        <w:rPr>
          <w:rFonts w:eastAsia="TimesNewRoman" w:cs="TimesNewRoman"/>
        </w:rPr>
        <w:t xml:space="preserve">versus </w:t>
      </w:r>
      <w:r w:rsidRPr="000709FF">
        <w:rPr>
          <w:rFonts w:eastAsia="TimesNewRoman" w:cs="TimesNewRoman"/>
        </w:rPr>
        <w:t xml:space="preserve">female patients </w:t>
      </w:r>
      <w:r>
        <w:rPr>
          <w:rFonts w:eastAsia="TimesNewRoman" w:cs="TimesNewRoman"/>
        </w:rPr>
        <w:t xml:space="preserve">in the pivotal study </w:t>
      </w:r>
      <w:r w:rsidRPr="000709FF">
        <w:rPr>
          <w:rFonts w:eastAsia="TimesNewRoman" w:cs="TimesNewRoman"/>
        </w:rPr>
        <w:t>were</w:t>
      </w:r>
      <w:r>
        <w:rPr>
          <w:rFonts w:eastAsia="TimesNewRoman" w:cs="TimesNewRoman"/>
        </w:rPr>
        <w:t xml:space="preserve"> </w:t>
      </w:r>
      <w:r w:rsidRPr="000709FF">
        <w:rPr>
          <w:rFonts w:eastAsia="TimesNewRoman" w:cs="TimesNewRoman"/>
        </w:rPr>
        <w:t>thrombocytop</w:t>
      </w:r>
      <w:r>
        <w:rPr>
          <w:rFonts w:eastAsia="TimesNewRoman" w:cs="TimesNewRoman"/>
        </w:rPr>
        <w:t>a</w:t>
      </w:r>
      <w:r w:rsidRPr="000709FF">
        <w:rPr>
          <w:rFonts w:eastAsia="TimesNewRoman" w:cs="TimesNewRoman"/>
        </w:rPr>
        <w:t xml:space="preserve">enia (33% </w:t>
      </w:r>
      <w:r>
        <w:rPr>
          <w:rFonts w:eastAsia="TimesNewRoman" w:cs="TimesNewRoman"/>
        </w:rPr>
        <w:t xml:space="preserve">versus </w:t>
      </w:r>
      <w:r w:rsidRPr="000709FF">
        <w:rPr>
          <w:rFonts w:eastAsia="TimesNewRoman" w:cs="TimesNewRoman"/>
        </w:rPr>
        <w:t>57%) and an</w:t>
      </w:r>
      <w:r>
        <w:rPr>
          <w:rFonts w:eastAsia="TimesNewRoman" w:cs="TimesNewRoman"/>
        </w:rPr>
        <w:t>a</w:t>
      </w:r>
      <w:r w:rsidRPr="000709FF">
        <w:rPr>
          <w:rFonts w:eastAsia="TimesNewRoman" w:cs="TimesNewRoman"/>
        </w:rPr>
        <w:t xml:space="preserve">emia (29% </w:t>
      </w:r>
      <w:r>
        <w:rPr>
          <w:rFonts w:eastAsia="TimesNewRoman" w:cs="TimesNewRoman"/>
        </w:rPr>
        <w:t xml:space="preserve">versus </w:t>
      </w:r>
      <w:r w:rsidRPr="000709FF">
        <w:rPr>
          <w:rFonts w:eastAsia="TimesNewRoman" w:cs="TimesNewRoman"/>
        </w:rPr>
        <w:t>46)</w:t>
      </w:r>
      <w:r>
        <w:rPr>
          <w:rFonts w:eastAsia="TimesNewRoman" w:cs="TimesNewRoman"/>
        </w:rPr>
        <w:t>. By this evaluator’s calculations, only the result for thrombocytopaenia would reach statistical significance at the 5% level</w:t>
      </w:r>
      <w:r w:rsidRPr="000709FF">
        <w:rPr>
          <w:rFonts w:eastAsia="TimesNewRoman" w:cs="TimesNewRoman"/>
        </w:rPr>
        <w:t>.</w:t>
      </w:r>
      <w:r>
        <w:rPr>
          <w:rFonts w:eastAsia="TimesNewRoman" w:cs="TimesNewRoman"/>
        </w:rPr>
        <w:t xml:space="preserve"> </w:t>
      </w:r>
      <w:r w:rsidRPr="000709FF">
        <w:rPr>
          <w:rFonts w:eastAsia="TimesNewRoman" w:cs="TimesNewRoman"/>
        </w:rPr>
        <w:t>There were occasional</w:t>
      </w:r>
      <w:r>
        <w:rPr>
          <w:rFonts w:eastAsia="TimesNewRoman" w:cs="TimesNewRoman"/>
        </w:rPr>
        <w:t xml:space="preserve"> </w:t>
      </w:r>
      <w:r w:rsidRPr="000709FF">
        <w:rPr>
          <w:rFonts w:eastAsia="TimesNewRoman" w:cs="TimesNewRoman"/>
        </w:rPr>
        <w:t>differences between the occurrences of AEs overall and by individual terms between males</w:t>
      </w:r>
      <w:r>
        <w:rPr>
          <w:rFonts w:eastAsia="TimesNewRoman" w:cs="TimesNewRoman"/>
        </w:rPr>
        <w:t xml:space="preserve"> </w:t>
      </w:r>
      <w:r w:rsidRPr="000709FF">
        <w:rPr>
          <w:rFonts w:eastAsia="TimesNewRoman" w:cs="TimesNewRoman"/>
        </w:rPr>
        <w:t xml:space="preserve">and females in the other populations in various indications and dose regimens but there </w:t>
      </w:r>
      <w:r>
        <w:rPr>
          <w:rFonts w:eastAsia="TimesNewRoman" w:cs="TimesNewRoman"/>
        </w:rPr>
        <w:t>wa</w:t>
      </w:r>
      <w:r w:rsidRPr="000709FF">
        <w:rPr>
          <w:rFonts w:eastAsia="TimesNewRoman" w:cs="TimesNewRoman"/>
        </w:rPr>
        <w:t>s not</w:t>
      </w:r>
      <w:r>
        <w:rPr>
          <w:rFonts w:eastAsia="TimesNewRoman" w:cs="TimesNewRoman"/>
        </w:rPr>
        <w:t xml:space="preserve"> </w:t>
      </w:r>
      <w:r w:rsidRPr="000709FF">
        <w:rPr>
          <w:rFonts w:eastAsia="TimesNewRoman" w:cs="TimesNewRoman"/>
        </w:rPr>
        <w:t>a consistent trend in these differences.</w:t>
      </w:r>
    </w:p>
    <w:p w:rsidR="004D5254" w:rsidRPr="00EE249E" w:rsidRDefault="004D5254" w:rsidP="004D5254">
      <w:pPr>
        <w:pStyle w:val="Heading4"/>
        <w:numPr>
          <w:ilvl w:val="2"/>
          <w:numId w:val="5"/>
        </w:numPr>
      </w:pPr>
      <w:bookmarkStart w:id="341" w:name="_Toc241374324"/>
      <w:bookmarkStart w:id="342" w:name="_Ref272331214"/>
      <w:bookmarkStart w:id="343" w:name="_Toc272414688"/>
      <w:bookmarkStart w:id="344" w:name="_Toc290846326"/>
      <w:bookmarkStart w:id="345" w:name="_Toc320881480"/>
      <w:r w:rsidRPr="00EE249E">
        <w:t>Safety related to drug-drug interactions and other interactions</w:t>
      </w:r>
      <w:bookmarkEnd w:id="341"/>
      <w:bookmarkEnd w:id="342"/>
      <w:bookmarkEnd w:id="343"/>
      <w:bookmarkEnd w:id="344"/>
      <w:bookmarkEnd w:id="345"/>
    </w:p>
    <w:p w:rsidR="004D5254" w:rsidRDefault="004D5254" w:rsidP="004D5254">
      <w:r w:rsidRPr="008B0E62">
        <w:t xml:space="preserve">There are limited safety data </w:t>
      </w:r>
      <w:r>
        <w:t>about</w:t>
      </w:r>
      <w:r w:rsidRPr="008B0E62">
        <w:t xml:space="preserve"> drug-drug and other interactions.</w:t>
      </w:r>
      <w:r>
        <w:t xml:space="preserve"> C</w:t>
      </w:r>
      <w:r w:rsidRPr="008B0E62">
        <w:t>o-administration of increasing doses of</w:t>
      </w:r>
      <w:r>
        <w:t xml:space="preserve"> </w:t>
      </w:r>
      <w:r w:rsidRPr="008B0E62">
        <w:t>probenecid resulted in delayed clearance of pralatrexate and a commensurate increase in</w:t>
      </w:r>
      <w:r>
        <w:t xml:space="preserve"> </w:t>
      </w:r>
      <w:r w:rsidRPr="008B0E62">
        <w:t>exposure to pralatrexate (</w:t>
      </w:r>
      <w:r>
        <w:t>S</w:t>
      </w:r>
      <w:r w:rsidRPr="008B0E62">
        <w:t>tudy PDX-01-014).</w:t>
      </w:r>
      <w:r>
        <w:t xml:space="preserve"> </w:t>
      </w:r>
      <w:r w:rsidRPr="008B0E62">
        <w:t>However, there were too few patients enrolled in the study to discern if the higher exposure appreciably altered the safety profile of pralatrexate by way of either a higher incidence or severity of ADRs.</w:t>
      </w:r>
      <w:r>
        <w:t xml:space="preserve"> </w:t>
      </w:r>
    </w:p>
    <w:p w:rsidR="004D5254" w:rsidRDefault="004D5254" w:rsidP="004D5254">
      <w:r w:rsidRPr="008B0E62">
        <w:t xml:space="preserve">A POPPK analysis based on the pivotal study and 2 supporting efficacy/safety studies did not detect any clinically relevant </w:t>
      </w:r>
      <w:r>
        <w:t xml:space="preserve">PK </w:t>
      </w:r>
      <w:r w:rsidRPr="008B0E62">
        <w:t>interactions with NSAIDs, sulfonamides or diuretics.</w:t>
      </w:r>
      <w:r>
        <w:t xml:space="preserve"> </w:t>
      </w:r>
      <w:r w:rsidRPr="008B0E62">
        <w:t>However, once again</w:t>
      </w:r>
      <w:r>
        <w:t>,</w:t>
      </w:r>
      <w:r w:rsidRPr="008B0E62">
        <w:t xml:space="preserve"> limited conclusions can be drawn because </w:t>
      </w:r>
      <w:r>
        <w:t>the studies</w:t>
      </w:r>
      <w:r w:rsidRPr="008B0E62">
        <w:t xml:space="preserve"> only analysed single dose pharmacokinetics; there was relatively low co-administration of these medications; and there were deficiencies in the quality and quantity of available information about the dose and duration of the concomitant medicines.</w:t>
      </w:r>
      <w:r>
        <w:t xml:space="preserve"> </w:t>
      </w:r>
    </w:p>
    <w:p w:rsidR="004D5254" w:rsidRDefault="004D5254" w:rsidP="004D5254">
      <w:pPr>
        <w:rPr>
          <w:color w:val="000000"/>
          <w:lang w:val="en-GB" w:eastAsia="en-GB"/>
        </w:rPr>
      </w:pPr>
      <w:r w:rsidRPr="008B0E62">
        <w:t xml:space="preserve">Thus, the possibility of </w:t>
      </w:r>
      <w:r>
        <w:t xml:space="preserve">clinically significant </w:t>
      </w:r>
      <w:r w:rsidRPr="008B0E62">
        <w:t>drug-drug interactions ha</w:t>
      </w:r>
      <w:r>
        <w:t>s</w:t>
      </w:r>
      <w:r w:rsidRPr="008B0E62">
        <w:t xml:space="preserve"> not been excluded.</w:t>
      </w:r>
      <w:r>
        <w:t xml:space="preserve"> </w:t>
      </w:r>
      <w:r w:rsidRPr="008B0E62">
        <w:t xml:space="preserve">Given </w:t>
      </w:r>
      <w:r w:rsidRPr="008B0E62">
        <w:rPr>
          <w:color w:val="000000"/>
        </w:rPr>
        <w:t>the significant contribution of renal excretion to the overall clearance of pralatrexate,</w:t>
      </w:r>
      <w:r w:rsidRPr="008B0E62">
        <w:t xml:space="preserve"> concomitant </w:t>
      </w:r>
      <w:r w:rsidRPr="008B0E62">
        <w:rPr>
          <w:color w:val="000000"/>
        </w:rPr>
        <w:t xml:space="preserve">administration of </w:t>
      </w:r>
      <w:r>
        <w:rPr>
          <w:color w:val="000000"/>
        </w:rPr>
        <w:t xml:space="preserve">nephrotoxic </w:t>
      </w:r>
      <w:r w:rsidRPr="008B0E62">
        <w:rPr>
          <w:color w:val="000000"/>
        </w:rPr>
        <w:t xml:space="preserve">drugs </w:t>
      </w:r>
      <w:r>
        <w:rPr>
          <w:color w:val="000000"/>
        </w:rPr>
        <w:t xml:space="preserve">or those </w:t>
      </w:r>
      <w:r w:rsidRPr="008B0E62">
        <w:rPr>
          <w:color w:val="000000"/>
        </w:rPr>
        <w:t>that affect glomerular filtration and/or renal tubular secretion</w:t>
      </w:r>
      <w:r w:rsidRPr="008B0E62">
        <w:rPr>
          <w:color w:val="000000"/>
          <w:lang w:val="en-GB" w:eastAsia="en-GB"/>
        </w:rPr>
        <w:t xml:space="preserve"> </w:t>
      </w:r>
      <w:r>
        <w:rPr>
          <w:color w:val="000000"/>
          <w:lang w:val="en-GB" w:eastAsia="en-GB"/>
        </w:rPr>
        <w:t>could potentially result in a greater risk of ADRs. The proposed PI contains appropriate relevant warnings in this regard.</w:t>
      </w:r>
    </w:p>
    <w:p w:rsidR="004D5254" w:rsidRDefault="004D5254" w:rsidP="004D5254">
      <w:pPr>
        <w:pStyle w:val="Heading4"/>
        <w:numPr>
          <w:ilvl w:val="2"/>
          <w:numId w:val="5"/>
        </w:numPr>
        <w:rPr>
          <w:lang w:val="en-GB"/>
        </w:rPr>
      </w:pPr>
      <w:bookmarkStart w:id="346" w:name="_Toc320881481"/>
      <w:r>
        <w:rPr>
          <w:lang w:val="en-GB"/>
        </w:rPr>
        <w:t>Pulmonary toxicity</w:t>
      </w:r>
      <w:bookmarkEnd w:id="346"/>
    </w:p>
    <w:p w:rsidR="004D5254" w:rsidRDefault="004D5254" w:rsidP="004D5254">
      <w:r>
        <w:t xml:space="preserve">Pulmonary toxicity is a known class effect of antifolate therapies, particularly methotrexate. It can manifest as acute or chronic pneumonitis, pulmonary infiltrates and pulmonary fibrosis. It often presents with non-productive cough and dyspnoea and can occur at low doses and at any time during treatment. </w:t>
      </w:r>
      <w:r w:rsidRPr="00F439CB">
        <w:t xml:space="preserve">In addition, pemetrexed (approved for the treatment of NSCLC and malignant pleural mesothelioma) has </w:t>
      </w:r>
      <w:r>
        <w:t>been</w:t>
      </w:r>
      <w:r w:rsidRPr="00F439CB">
        <w:t xml:space="preserve"> associated with cases of radiation pneumonitis in patients treated with radiation prior</w:t>
      </w:r>
      <w:r>
        <w:t xml:space="preserve"> to their pemetrexed therapy</w:t>
      </w:r>
      <w:r w:rsidRPr="00F439CB">
        <w:t>.</w:t>
      </w:r>
      <w:r>
        <w:rPr>
          <w:sz w:val="23"/>
          <w:szCs w:val="23"/>
        </w:rPr>
        <w:t xml:space="preserve"> </w:t>
      </w:r>
      <w:r>
        <w:t xml:space="preserve">Pulmonary toxicity is important clinically because it can have a major impact on oxygen saturation, activities of daily living and quality of life. Furthermore, this particular target population is likely to have undergone previous treatment with regimens that are known to cause pulmonary toxicity. </w:t>
      </w:r>
    </w:p>
    <w:p w:rsidR="004D5254" w:rsidRDefault="004D5254" w:rsidP="004D5254">
      <w:r>
        <w:t>As of 31 January 2011, a total of 9 (1.3%) patients in the clinical development program for pralatrexate had experienced pneumonitis, (see details in</w:t>
      </w:r>
      <w:r w:rsidRPr="00D70C8C">
        <w:t xml:space="preserve"> Table 25,</w:t>
      </w:r>
      <w:r>
        <w:t xml:space="preserve"> below). Eight of the patients with pneumonitis were receiving pralatrexate for the treatment of a lymphoproliferative disorder (7 PTCL; 1 Hodgkin’s disease) and one was being treated for NSCLC. Time to onset ranged from 7 to 362 days and the dose of pralatrexate ranged from 10 to 230 mg/m</w:t>
      </w:r>
      <w:r w:rsidRPr="00FE06B0">
        <w:rPr>
          <w:vertAlign w:val="superscript"/>
        </w:rPr>
        <w:t>2</w:t>
      </w:r>
      <w:r>
        <w:t xml:space="preserve">. Most cases were considered to be causally related to pralatrexate treatment. Two of the patients came from the pivotal study and experienced Grade 2 events that were considered to be </w:t>
      </w:r>
      <w:r>
        <w:lastRenderedPageBreak/>
        <w:t>treatment-related by the investigator. Of note, 2 patients were from Study PDX-009 in which pralatrexate was given in combination with gemcitabine. Interestingly, one of the cases in that study was considered to be related to gemcitabine but not pralatrexate. Gemcitabine is known to be associated with pneumonitis and this may have biased the attribution of causality in this case since it was an open label study. Cases of Grade 3 severity have been reported only in associated with combination therapy involving gemcitabine.</w:t>
      </w:r>
    </w:p>
    <w:p w:rsidR="004D5254" w:rsidRDefault="004D5254" w:rsidP="004D5254">
      <w:pPr>
        <w:pStyle w:val="FigureTitle"/>
        <w:keepNext/>
      </w:pPr>
      <w:bookmarkStart w:id="347" w:name="_Toc320881548"/>
      <w:r>
        <w:t>Table 25. Reports of pneumonitis in pralatrexate clinical studies</w:t>
      </w:r>
      <w:bookmarkEnd w:id="34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34"/>
        <w:gridCol w:w="992"/>
        <w:gridCol w:w="850"/>
        <w:gridCol w:w="851"/>
        <w:gridCol w:w="992"/>
        <w:gridCol w:w="1276"/>
        <w:gridCol w:w="1276"/>
        <w:gridCol w:w="1134"/>
      </w:tblGrid>
      <w:tr w:rsidR="004D5254" w:rsidTr="006B182B">
        <w:trPr>
          <w:tblHeader/>
        </w:trPr>
        <w:tc>
          <w:tcPr>
            <w:tcW w:w="1101" w:type="dxa"/>
            <w:tcBorders>
              <w:bottom w:val="single" w:sz="4" w:space="0" w:color="auto"/>
            </w:tcBorders>
            <w:shd w:val="clear" w:color="auto" w:fill="0070C0"/>
          </w:tcPr>
          <w:p w:rsidR="004D5254" w:rsidRPr="00D70C8C" w:rsidRDefault="004D5254" w:rsidP="00C80331">
            <w:pPr>
              <w:keepNext/>
              <w:autoSpaceDE w:val="0"/>
              <w:autoSpaceDN w:val="0"/>
              <w:adjustRightInd w:val="0"/>
              <w:spacing w:before="40" w:after="40"/>
              <w:rPr>
                <w:b/>
                <w:color w:val="FFFFFF" w:themeColor="background1"/>
                <w:sz w:val="19"/>
                <w:szCs w:val="19"/>
              </w:rPr>
            </w:pPr>
            <w:r w:rsidRPr="00D70C8C">
              <w:rPr>
                <w:b/>
                <w:i/>
                <w:color w:val="FFFFFF" w:themeColor="background1"/>
                <w:sz w:val="19"/>
                <w:szCs w:val="19"/>
              </w:rPr>
              <w:t>Study</w:t>
            </w:r>
            <w:r w:rsidRPr="00D70C8C">
              <w:rPr>
                <w:b/>
                <w:color w:val="FFFFFF" w:themeColor="background1"/>
                <w:sz w:val="19"/>
                <w:szCs w:val="19"/>
              </w:rPr>
              <w:t>/p’t</w:t>
            </w:r>
          </w:p>
        </w:tc>
        <w:tc>
          <w:tcPr>
            <w:tcW w:w="1134" w:type="dxa"/>
            <w:tcBorders>
              <w:bottom w:val="single" w:sz="4" w:space="0" w:color="auto"/>
            </w:tcBorders>
            <w:shd w:val="clear" w:color="auto" w:fill="0070C0"/>
          </w:tcPr>
          <w:p w:rsidR="004D5254" w:rsidRPr="00D70C8C" w:rsidRDefault="004D5254" w:rsidP="00C80331">
            <w:pPr>
              <w:keepNext/>
              <w:autoSpaceDE w:val="0"/>
              <w:autoSpaceDN w:val="0"/>
              <w:adjustRightInd w:val="0"/>
              <w:spacing w:before="40" w:after="40"/>
              <w:jc w:val="center"/>
              <w:rPr>
                <w:b/>
                <w:color w:val="FFFFFF" w:themeColor="background1"/>
                <w:sz w:val="19"/>
                <w:szCs w:val="19"/>
              </w:rPr>
            </w:pPr>
            <w:r w:rsidRPr="00D70C8C">
              <w:rPr>
                <w:b/>
                <w:color w:val="FFFFFF" w:themeColor="background1"/>
                <w:sz w:val="19"/>
                <w:szCs w:val="19"/>
              </w:rPr>
              <w:t>Indication</w:t>
            </w:r>
          </w:p>
        </w:tc>
        <w:tc>
          <w:tcPr>
            <w:tcW w:w="992" w:type="dxa"/>
            <w:tcBorders>
              <w:bottom w:val="single" w:sz="4" w:space="0" w:color="auto"/>
            </w:tcBorders>
            <w:shd w:val="clear" w:color="auto" w:fill="0070C0"/>
          </w:tcPr>
          <w:p w:rsidR="004D5254" w:rsidRPr="00D70C8C" w:rsidRDefault="004D5254" w:rsidP="00C80331">
            <w:pPr>
              <w:keepNext/>
              <w:autoSpaceDE w:val="0"/>
              <w:autoSpaceDN w:val="0"/>
              <w:adjustRightInd w:val="0"/>
              <w:spacing w:before="40" w:after="40"/>
              <w:jc w:val="center"/>
              <w:rPr>
                <w:b/>
                <w:color w:val="FFFFFF" w:themeColor="background1"/>
                <w:sz w:val="19"/>
                <w:szCs w:val="19"/>
              </w:rPr>
            </w:pPr>
            <w:r w:rsidRPr="00D70C8C">
              <w:rPr>
                <w:b/>
                <w:color w:val="FFFFFF" w:themeColor="background1"/>
                <w:sz w:val="19"/>
                <w:szCs w:val="19"/>
              </w:rPr>
              <w:t>Dose (mg/m</w:t>
            </w:r>
            <w:r w:rsidRPr="00D70C8C">
              <w:rPr>
                <w:b/>
                <w:color w:val="FFFFFF" w:themeColor="background1"/>
                <w:sz w:val="19"/>
                <w:szCs w:val="19"/>
                <w:vertAlign w:val="superscript"/>
              </w:rPr>
              <w:t>2</w:t>
            </w:r>
            <w:r w:rsidRPr="00D70C8C">
              <w:rPr>
                <w:b/>
                <w:color w:val="FFFFFF" w:themeColor="background1"/>
                <w:sz w:val="19"/>
                <w:szCs w:val="19"/>
              </w:rPr>
              <w:t>)</w:t>
            </w:r>
          </w:p>
        </w:tc>
        <w:tc>
          <w:tcPr>
            <w:tcW w:w="850" w:type="dxa"/>
            <w:tcBorders>
              <w:bottom w:val="single" w:sz="4" w:space="0" w:color="auto"/>
            </w:tcBorders>
            <w:shd w:val="clear" w:color="auto" w:fill="0070C0"/>
          </w:tcPr>
          <w:p w:rsidR="004D5254" w:rsidRPr="00D70C8C" w:rsidRDefault="004D5254" w:rsidP="00C80331">
            <w:pPr>
              <w:keepNext/>
              <w:autoSpaceDE w:val="0"/>
              <w:autoSpaceDN w:val="0"/>
              <w:adjustRightInd w:val="0"/>
              <w:spacing w:before="40" w:after="40"/>
              <w:jc w:val="center"/>
              <w:rPr>
                <w:b/>
                <w:color w:val="FFFFFF" w:themeColor="background1"/>
                <w:sz w:val="19"/>
                <w:szCs w:val="19"/>
              </w:rPr>
            </w:pPr>
            <w:r w:rsidRPr="00D70C8C">
              <w:rPr>
                <w:b/>
                <w:color w:val="FFFFFF" w:themeColor="background1"/>
                <w:sz w:val="19"/>
                <w:szCs w:val="19"/>
              </w:rPr>
              <w:t>Onset (study day)</w:t>
            </w:r>
          </w:p>
        </w:tc>
        <w:tc>
          <w:tcPr>
            <w:tcW w:w="851" w:type="dxa"/>
            <w:tcBorders>
              <w:bottom w:val="single" w:sz="4" w:space="0" w:color="auto"/>
            </w:tcBorders>
            <w:shd w:val="clear" w:color="auto" w:fill="0070C0"/>
          </w:tcPr>
          <w:p w:rsidR="004D5254" w:rsidRPr="00D70C8C" w:rsidRDefault="004D5254" w:rsidP="00C80331">
            <w:pPr>
              <w:keepNext/>
              <w:autoSpaceDE w:val="0"/>
              <w:autoSpaceDN w:val="0"/>
              <w:adjustRightInd w:val="0"/>
              <w:spacing w:before="40" w:after="40"/>
              <w:jc w:val="center"/>
              <w:rPr>
                <w:b/>
                <w:color w:val="FFFFFF" w:themeColor="background1"/>
                <w:sz w:val="19"/>
                <w:szCs w:val="19"/>
              </w:rPr>
            </w:pPr>
            <w:r w:rsidRPr="00D70C8C">
              <w:rPr>
                <w:b/>
                <w:color w:val="FFFFFF" w:themeColor="background1"/>
                <w:sz w:val="19"/>
                <w:szCs w:val="19"/>
              </w:rPr>
              <w:t>Grade</w:t>
            </w:r>
          </w:p>
        </w:tc>
        <w:tc>
          <w:tcPr>
            <w:tcW w:w="992" w:type="dxa"/>
            <w:tcBorders>
              <w:bottom w:val="single" w:sz="4" w:space="0" w:color="auto"/>
            </w:tcBorders>
            <w:shd w:val="clear" w:color="auto" w:fill="0070C0"/>
          </w:tcPr>
          <w:p w:rsidR="004D5254" w:rsidRPr="00D70C8C" w:rsidRDefault="004D5254" w:rsidP="00C80331">
            <w:pPr>
              <w:keepNext/>
              <w:autoSpaceDE w:val="0"/>
              <w:autoSpaceDN w:val="0"/>
              <w:adjustRightInd w:val="0"/>
              <w:spacing w:before="40" w:after="40"/>
              <w:jc w:val="center"/>
              <w:rPr>
                <w:b/>
                <w:color w:val="FFFFFF" w:themeColor="background1"/>
                <w:sz w:val="19"/>
                <w:szCs w:val="19"/>
              </w:rPr>
            </w:pPr>
            <w:r w:rsidRPr="00D70C8C">
              <w:rPr>
                <w:b/>
                <w:color w:val="FFFFFF" w:themeColor="background1"/>
                <w:sz w:val="19"/>
                <w:szCs w:val="19"/>
              </w:rPr>
              <w:t>Serious (Y/N)</w:t>
            </w:r>
          </w:p>
        </w:tc>
        <w:tc>
          <w:tcPr>
            <w:tcW w:w="1276" w:type="dxa"/>
            <w:tcBorders>
              <w:bottom w:val="single" w:sz="4" w:space="0" w:color="auto"/>
            </w:tcBorders>
            <w:shd w:val="clear" w:color="auto" w:fill="0070C0"/>
          </w:tcPr>
          <w:p w:rsidR="004D5254" w:rsidRPr="00D70C8C" w:rsidRDefault="004D5254" w:rsidP="00C80331">
            <w:pPr>
              <w:keepNext/>
              <w:autoSpaceDE w:val="0"/>
              <w:autoSpaceDN w:val="0"/>
              <w:adjustRightInd w:val="0"/>
              <w:spacing w:before="40" w:after="40"/>
              <w:jc w:val="center"/>
              <w:rPr>
                <w:b/>
                <w:color w:val="FFFFFF" w:themeColor="background1"/>
                <w:sz w:val="19"/>
                <w:szCs w:val="19"/>
              </w:rPr>
            </w:pPr>
            <w:r w:rsidRPr="00D70C8C">
              <w:rPr>
                <w:b/>
                <w:color w:val="FFFFFF" w:themeColor="background1"/>
                <w:sz w:val="19"/>
                <w:szCs w:val="19"/>
              </w:rPr>
              <w:t>Treatment-related (Y/N)</w:t>
            </w:r>
          </w:p>
        </w:tc>
        <w:tc>
          <w:tcPr>
            <w:tcW w:w="1276" w:type="dxa"/>
            <w:tcBorders>
              <w:bottom w:val="single" w:sz="4" w:space="0" w:color="auto"/>
            </w:tcBorders>
            <w:shd w:val="clear" w:color="auto" w:fill="0070C0"/>
          </w:tcPr>
          <w:p w:rsidR="004D5254" w:rsidRPr="00D70C8C" w:rsidRDefault="004D5254" w:rsidP="00C80331">
            <w:pPr>
              <w:keepNext/>
              <w:autoSpaceDE w:val="0"/>
              <w:autoSpaceDN w:val="0"/>
              <w:adjustRightInd w:val="0"/>
              <w:spacing w:before="40" w:after="40"/>
              <w:jc w:val="center"/>
              <w:rPr>
                <w:b/>
                <w:color w:val="FFFFFF" w:themeColor="background1"/>
                <w:sz w:val="19"/>
                <w:szCs w:val="19"/>
              </w:rPr>
            </w:pPr>
            <w:r w:rsidRPr="00D70C8C">
              <w:rPr>
                <w:b/>
                <w:color w:val="FFFFFF" w:themeColor="background1"/>
                <w:sz w:val="19"/>
                <w:szCs w:val="19"/>
              </w:rPr>
              <w:t>Concurrent AEs</w:t>
            </w:r>
          </w:p>
        </w:tc>
        <w:tc>
          <w:tcPr>
            <w:tcW w:w="1134" w:type="dxa"/>
            <w:tcBorders>
              <w:bottom w:val="single" w:sz="4" w:space="0" w:color="auto"/>
            </w:tcBorders>
            <w:shd w:val="clear" w:color="auto" w:fill="0070C0"/>
          </w:tcPr>
          <w:p w:rsidR="004D5254" w:rsidRPr="00D70C8C" w:rsidRDefault="004D5254" w:rsidP="00C80331">
            <w:pPr>
              <w:keepNext/>
              <w:autoSpaceDE w:val="0"/>
              <w:autoSpaceDN w:val="0"/>
              <w:adjustRightInd w:val="0"/>
              <w:spacing w:before="40" w:after="40"/>
              <w:jc w:val="center"/>
              <w:rPr>
                <w:b/>
                <w:color w:val="FFFFFF" w:themeColor="background1"/>
                <w:sz w:val="19"/>
                <w:szCs w:val="19"/>
              </w:rPr>
            </w:pPr>
            <w:r w:rsidRPr="00D70C8C">
              <w:rPr>
                <w:b/>
                <w:color w:val="FFFFFF" w:themeColor="background1"/>
                <w:sz w:val="19"/>
                <w:szCs w:val="19"/>
              </w:rPr>
              <w:t>Outcome</w:t>
            </w:r>
          </w:p>
        </w:tc>
      </w:tr>
      <w:tr w:rsidR="004D5254" w:rsidTr="00C80331">
        <w:tc>
          <w:tcPr>
            <w:tcW w:w="1101" w:type="dxa"/>
            <w:tcBorders>
              <w:bottom w:val="nil"/>
            </w:tcBorders>
          </w:tcPr>
          <w:p w:rsidR="004D5254" w:rsidRPr="00602972" w:rsidRDefault="004D5254" w:rsidP="00C80331">
            <w:pPr>
              <w:keepNext/>
              <w:autoSpaceDE w:val="0"/>
              <w:autoSpaceDN w:val="0"/>
              <w:adjustRightInd w:val="0"/>
              <w:spacing w:before="40" w:after="40"/>
              <w:rPr>
                <w:b/>
                <w:i/>
                <w:sz w:val="20"/>
                <w:szCs w:val="20"/>
              </w:rPr>
            </w:pPr>
            <w:r w:rsidRPr="00602972">
              <w:rPr>
                <w:b/>
                <w:i/>
                <w:sz w:val="20"/>
                <w:szCs w:val="20"/>
              </w:rPr>
              <w:t>PDX-008</w:t>
            </w:r>
          </w:p>
        </w:tc>
        <w:tc>
          <w:tcPr>
            <w:tcW w:w="1134" w:type="dxa"/>
            <w:tcBorders>
              <w:bottom w:val="nil"/>
            </w:tcBorders>
          </w:tcPr>
          <w:p w:rsidR="004D5254" w:rsidRPr="00602972" w:rsidRDefault="004D5254" w:rsidP="00C80331">
            <w:pPr>
              <w:keepNext/>
              <w:autoSpaceDE w:val="0"/>
              <w:autoSpaceDN w:val="0"/>
              <w:adjustRightInd w:val="0"/>
              <w:spacing w:before="40" w:after="40"/>
              <w:rPr>
                <w:sz w:val="20"/>
                <w:szCs w:val="20"/>
              </w:rPr>
            </w:pPr>
          </w:p>
        </w:tc>
        <w:tc>
          <w:tcPr>
            <w:tcW w:w="992" w:type="dxa"/>
            <w:tcBorders>
              <w:bottom w:val="nil"/>
            </w:tcBorders>
          </w:tcPr>
          <w:p w:rsidR="004D5254" w:rsidRPr="00602972" w:rsidRDefault="004D5254" w:rsidP="00C80331">
            <w:pPr>
              <w:keepNext/>
              <w:autoSpaceDE w:val="0"/>
              <w:autoSpaceDN w:val="0"/>
              <w:adjustRightInd w:val="0"/>
              <w:spacing w:before="40" w:after="40"/>
              <w:rPr>
                <w:sz w:val="20"/>
                <w:szCs w:val="20"/>
              </w:rPr>
            </w:pPr>
          </w:p>
        </w:tc>
        <w:tc>
          <w:tcPr>
            <w:tcW w:w="850" w:type="dxa"/>
            <w:tcBorders>
              <w:bottom w:val="nil"/>
            </w:tcBorders>
          </w:tcPr>
          <w:p w:rsidR="004D5254" w:rsidRPr="00602972" w:rsidRDefault="004D5254" w:rsidP="00C80331">
            <w:pPr>
              <w:keepNext/>
              <w:autoSpaceDE w:val="0"/>
              <w:autoSpaceDN w:val="0"/>
              <w:adjustRightInd w:val="0"/>
              <w:spacing w:before="40" w:after="40"/>
              <w:rPr>
                <w:sz w:val="20"/>
                <w:szCs w:val="20"/>
              </w:rPr>
            </w:pPr>
          </w:p>
        </w:tc>
        <w:tc>
          <w:tcPr>
            <w:tcW w:w="851" w:type="dxa"/>
            <w:tcBorders>
              <w:bottom w:val="nil"/>
            </w:tcBorders>
          </w:tcPr>
          <w:p w:rsidR="004D5254" w:rsidRPr="00602972" w:rsidRDefault="004D5254" w:rsidP="00C80331">
            <w:pPr>
              <w:keepNext/>
              <w:autoSpaceDE w:val="0"/>
              <w:autoSpaceDN w:val="0"/>
              <w:adjustRightInd w:val="0"/>
              <w:spacing w:before="40" w:after="40"/>
              <w:rPr>
                <w:sz w:val="20"/>
                <w:szCs w:val="20"/>
              </w:rPr>
            </w:pPr>
          </w:p>
        </w:tc>
        <w:tc>
          <w:tcPr>
            <w:tcW w:w="992" w:type="dxa"/>
            <w:tcBorders>
              <w:bottom w:val="nil"/>
            </w:tcBorders>
          </w:tcPr>
          <w:p w:rsidR="004D5254" w:rsidRPr="00602972" w:rsidRDefault="004D5254" w:rsidP="00C80331">
            <w:pPr>
              <w:keepNext/>
              <w:autoSpaceDE w:val="0"/>
              <w:autoSpaceDN w:val="0"/>
              <w:adjustRightInd w:val="0"/>
              <w:spacing w:before="40" w:after="40"/>
              <w:rPr>
                <w:sz w:val="20"/>
                <w:szCs w:val="20"/>
              </w:rPr>
            </w:pPr>
          </w:p>
        </w:tc>
        <w:tc>
          <w:tcPr>
            <w:tcW w:w="1276" w:type="dxa"/>
            <w:tcBorders>
              <w:bottom w:val="nil"/>
            </w:tcBorders>
          </w:tcPr>
          <w:p w:rsidR="004D5254" w:rsidRPr="00602972" w:rsidRDefault="004D5254" w:rsidP="00C80331">
            <w:pPr>
              <w:keepNext/>
              <w:autoSpaceDE w:val="0"/>
              <w:autoSpaceDN w:val="0"/>
              <w:adjustRightInd w:val="0"/>
              <w:spacing w:before="40" w:after="40"/>
              <w:rPr>
                <w:sz w:val="20"/>
                <w:szCs w:val="20"/>
              </w:rPr>
            </w:pPr>
          </w:p>
        </w:tc>
        <w:tc>
          <w:tcPr>
            <w:tcW w:w="1276" w:type="dxa"/>
            <w:tcBorders>
              <w:bottom w:val="nil"/>
            </w:tcBorders>
          </w:tcPr>
          <w:p w:rsidR="004D5254" w:rsidRPr="00602972" w:rsidRDefault="004D5254" w:rsidP="00C80331">
            <w:pPr>
              <w:keepNext/>
              <w:autoSpaceDE w:val="0"/>
              <w:autoSpaceDN w:val="0"/>
              <w:adjustRightInd w:val="0"/>
              <w:spacing w:before="40" w:after="40"/>
              <w:rPr>
                <w:sz w:val="20"/>
                <w:szCs w:val="20"/>
              </w:rPr>
            </w:pPr>
          </w:p>
        </w:tc>
        <w:tc>
          <w:tcPr>
            <w:tcW w:w="1134" w:type="dxa"/>
            <w:tcBorders>
              <w:bottom w:val="nil"/>
            </w:tcBorders>
          </w:tcPr>
          <w:p w:rsidR="004D5254" w:rsidRPr="00602972" w:rsidRDefault="004D5254" w:rsidP="00C80331">
            <w:pPr>
              <w:keepNext/>
              <w:autoSpaceDE w:val="0"/>
              <w:autoSpaceDN w:val="0"/>
              <w:adjustRightInd w:val="0"/>
              <w:spacing w:before="40" w:after="40"/>
              <w:rPr>
                <w:sz w:val="20"/>
                <w:szCs w:val="20"/>
              </w:rPr>
            </w:pPr>
          </w:p>
        </w:tc>
      </w:tr>
      <w:tr w:rsidR="004D5254" w:rsidTr="00C80331">
        <w:tc>
          <w:tcPr>
            <w:tcW w:w="1101" w:type="dxa"/>
            <w:tcBorders>
              <w:top w:val="nil"/>
              <w:bottom w:val="nil"/>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060</w:t>
            </w:r>
          </w:p>
        </w:tc>
        <w:tc>
          <w:tcPr>
            <w:tcW w:w="1134" w:type="dxa"/>
            <w:tcBorders>
              <w:top w:val="nil"/>
              <w:bottom w:val="nil"/>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PTCL-U</w:t>
            </w:r>
          </w:p>
        </w:tc>
        <w:tc>
          <w:tcPr>
            <w:tcW w:w="992" w:type="dxa"/>
            <w:tcBorders>
              <w:top w:val="nil"/>
              <w:bottom w:val="nil"/>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30</w:t>
            </w:r>
          </w:p>
        </w:tc>
        <w:tc>
          <w:tcPr>
            <w:tcW w:w="850" w:type="dxa"/>
            <w:tcBorders>
              <w:top w:val="nil"/>
              <w:bottom w:val="nil"/>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141</w:t>
            </w:r>
          </w:p>
        </w:tc>
        <w:tc>
          <w:tcPr>
            <w:tcW w:w="851" w:type="dxa"/>
            <w:tcBorders>
              <w:top w:val="nil"/>
              <w:bottom w:val="nil"/>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2→3</w:t>
            </w:r>
          </w:p>
        </w:tc>
        <w:tc>
          <w:tcPr>
            <w:tcW w:w="992" w:type="dxa"/>
            <w:tcBorders>
              <w:top w:val="nil"/>
              <w:bottom w:val="nil"/>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Y</w:t>
            </w:r>
          </w:p>
        </w:tc>
        <w:tc>
          <w:tcPr>
            <w:tcW w:w="1276" w:type="dxa"/>
            <w:tcBorders>
              <w:top w:val="nil"/>
              <w:bottom w:val="nil"/>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Y (probable)</w:t>
            </w:r>
          </w:p>
        </w:tc>
        <w:tc>
          <w:tcPr>
            <w:tcW w:w="1276" w:type="dxa"/>
            <w:tcBorders>
              <w:top w:val="nil"/>
              <w:bottom w:val="nil"/>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Cough</w:t>
            </w:r>
          </w:p>
        </w:tc>
        <w:tc>
          <w:tcPr>
            <w:tcW w:w="1134" w:type="dxa"/>
            <w:tcBorders>
              <w:top w:val="nil"/>
              <w:bottom w:val="nil"/>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PDX stopped</w:t>
            </w:r>
          </w:p>
        </w:tc>
      </w:tr>
      <w:tr w:rsidR="004D5254" w:rsidTr="00C80331">
        <w:tc>
          <w:tcPr>
            <w:tcW w:w="1101" w:type="dxa"/>
            <w:tcBorders>
              <w:top w:val="nil"/>
              <w:bottom w:val="single" w:sz="4" w:space="0" w:color="auto"/>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057</w:t>
            </w:r>
          </w:p>
        </w:tc>
        <w:tc>
          <w:tcPr>
            <w:tcW w:w="1134" w:type="dxa"/>
            <w:tcBorders>
              <w:top w:val="nil"/>
              <w:bottom w:val="single" w:sz="4" w:space="0" w:color="auto"/>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PTCL-U</w:t>
            </w:r>
          </w:p>
        </w:tc>
        <w:tc>
          <w:tcPr>
            <w:tcW w:w="992" w:type="dxa"/>
            <w:tcBorders>
              <w:top w:val="nil"/>
              <w:bottom w:val="single" w:sz="4" w:space="0" w:color="auto"/>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30</w:t>
            </w:r>
          </w:p>
        </w:tc>
        <w:tc>
          <w:tcPr>
            <w:tcW w:w="850" w:type="dxa"/>
            <w:tcBorders>
              <w:top w:val="nil"/>
              <w:bottom w:val="single" w:sz="4" w:space="0" w:color="auto"/>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NR^</w:t>
            </w:r>
          </w:p>
        </w:tc>
        <w:tc>
          <w:tcPr>
            <w:tcW w:w="851" w:type="dxa"/>
            <w:tcBorders>
              <w:top w:val="nil"/>
              <w:bottom w:val="single" w:sz="4" w:space="0" w:color="auto"/>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2</w:t>
            </w:r>
          </w:p>
        </w:tc>
        <w:tc>
          <w:tcPr>
            <w:tcW w:w="992" w:type="dxa"/>
            <w:tcBorders>
              <w:top w:val="nil"/>
              <w:bottom w:val="single" w:sz="4" w:space="0" w:color="auto"/>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N</w:t>
            </w:r>
          </w:p>
        </w:tc>
        <w:tc>
          <w:tcPr>
            <w:tcW w:w="1276" w:type="dxa"/>
            <w:tcBorders>
              <w:top w:val="nil"/>
              <w:bottom w:val="single" w:sz="4" w:space="0" w:color="auto"/>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Y</w:t>
            </w:r>
          </w:p>
        </w:tc>
        <w:tc>
          <w:tcPr>
            <w:tcW w:w="1276" w:type="dxa"/>
            <w:tcBorders>
              <w:top w:val="nil"/>
              <w:bottom w:val="single" w:sz="4" w:space="0" w:color="auto"/>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Pulmonary embolus</w:t>
            </w:r>
          </w:p>
        </w:tc>
        <w:tc>
          <w:tcPr>
            <w:tcW w:w="1134" w:type="dxa"/>
            <w:tcBorders>
              <w:top w:val="nil"/>
              <w:bottom w:val="single" w:sz="4" w:space="0" w:color="auto"/>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PDX stopped</w:t>
            </w:r>
          </w:p>
        </w:tc>
      </w:tr>
      <w:tr w:rsidR="004D5254" w:rsidTr="00C80331">
        <w:tc>
          <w:tcPr>
            <w:tcW w:w="1101" w:type="dxa"/>
            <w:tcBorders>
              <w:bottom w:val="nil"/>
            </w:tcBorders>
          </w:tcPr>
          <w:p w:rsidR="004D5254" w:rsidRPr="00602972" w:rsidRDefault="004D5254" w:rsidP="00C80331">
            <w:pPr>
              <w:keepNext/>
              <w:autoSpaceDE w:val="0"/>
              <w:autoSpaceDN w:val="0"/>
              <w:adjustRightInd w:val="0"/>
              <w:spacing w:before="40" w:after="40"/>
              <w:rPr>
                <w:b/>
                <w:i/>
                <w:sz w:val="20"/>
                <w:szCs w:val="20"/>
              </w:rPr>
            </w:pPr>
            <w:r w:rsidRPr="00602972">
              <w:rPr>
                <w:b/>
                <w:i/>
                <w:sz w:val="20"/>
                <w:szCs w:val="20"/>
              </w:rPr>
              <w:t>PDX-02-078</w:t>
            </w:r>
          </w:p>
        </w:tc>
        <w:tc>
          <w:tcPr>
            <w:tcW w:w="1134" w:type="dxa"/>
            <w:tcBorders>
              <w:bottom w:val="nil"/>
            </w:tcBorders>
          </w:tcPr>
          <w:p w:rsidR="004D5254" w:rsidRPr="00602972" w:rsidRDefault="004D5254" w:rsidP="00C80331">
            <w:pPr>
              <w:keepNext/>
              <w:autoSpaceDE w:val="0"/>
              <w:autoSpaceDN w:val="0"/>
              <w:adjustRightInd w:val="0"/>
              <w:spacing w:before="40" w:after="40"/>
              <w:rPr>
                <w:sz w:val="20"/>
                <w:szCs w:val="20"/>
              </w:rPr>
            </w:pPr>
          </w:p>
        </w:tc>
        <w:tc>
          <w:tcPr>
            <w:tcW w:w="992" w:type="dxa"/>
            <w:tcBorders>
              <w:bottom w:val="nil"/>
            </w:tcBorders>
          </w:tcPr>
          <w:p w:rsidR="004D5254" w:rsidRPr="00602972" w:rsidRDefault="004D5254" w:rsidP="00C80331">
            <w:pPr>
              <w:keepNext/>
              <w:autoSpaceDE w:val="0"/>
              <w:autoSpaceDN w:val="0"/>
              <w:adjustRightInd w:val="0"/>
              <w:spacing w:before="40" w:after="40"/>
              <w:jc w:val="center"/>
              <w:rPr>
                <w:sz w:val="20"/>
                <w:szCs w:val="20"/>
              </w:rPr>
            </w:pPr>
          </w:p>
        </w:tc>
        <w:tc>
          <w:tcPr>
            <w:tcW w:w="850" w:type="dxa"/>
            <w:tcBorders>
              <w:bottom w:val="nil"/>
            </w:tcBorders>
          </w:tcPr>
          <w:p w:rsidR="004D5254" w:rsidRPr="00602972" w:rsidRDefault="004D5254" w:rsidP="00C80331">
            <w:pPr>
              <w:keepNext/>
              <w:autoSpaceDE w:val="0"/>
              <w:autoSpaceDN w:val="0"/>
              <w:adjustRightInd w:val="0"/>
              <w:spacing w:before="40" w:after="40"/>
              <w:jc w:val="center"/>
              <w:rPr>
                <w:sz w:val="20"/>
                <w:szCs w:val="20"/>
              </w:rPr>
            </w:pPr>
          </w:p>
        </w:tc>
        <w:tc>
          <w:tcPr>
            <w:tcW w:w="851" w:type="dxa"/>
            <w:tcBorders>
              <w:bottom w:val="nil"/>
            </w:tcBorders>
          </w:tcPr>
          <w:p w:rsidR="004D5254" w:rsidRPr="00602972" w:rsidRDefault="004D5254" w:rsidP="00C80331">
            <w:pPr>
              <w:keepNext/>
              <w:autoSpaceDE w:val="0"/>
              <w:autoSpaceDN w:val="0"/>
              <w:adjustRightInd w:val="0"/>
              <w:spacing w:before="40" w:after="40"/>
              <w:jc w:val="center"/>
              <w:rPr>
                <w:sz w:val="20"/>
                <w:szCs w:val="20"/>
              </w:rPr>
            </w:pPr>
          </w:p>
        </w:tc>
        <w:tc>
          <w:tcPr>
            <w:tcW w:w="992" w:type="dxa"/>
            <w:tcBorders>
              <w:bottom w:val="nil"/>
            </w:tcBorders>
          </w:tcPr>
          <w:p w:rsidR="004D5254" w:rsidRPr="00602972" w:rsidRDefault="004D5254" w:rsidP="00C80331">
            <w:pPr>
              <w:keepNext/>
              <w:autoSpaceDE w:val="0"/>
              <w:autoSpaceDN w:val="0"/>
              <w:adjustRightInd w:val="0"/>
              <w:spacing w:before="40" w:after="40"/>
              <w:jc w:val="center"/>
              <w:rPr>
                <w:sz w:val="20"/>
                <w:szCs w:val="20"/>
              </w:rPr>
            </w:pPr>
          </w:p>
        </w:tc>
        <w:tc>
          <w:tcPr>
            <w:tcW w:w="1276" w:type="dxa"/>
            <w:tcBorders>
              <w:bottom w:val="nil"/>
            </w:tcBorders>
          </w:tcPr>
          <w:p w:rsidR="004D5254" w:rsidRPr="00602972" w:rsidRDefault="004D5254" w:rsidP="00C80331">
            <w:pPr>
              <w:keepNext/>
              <w:autoSpaceDE w:val="0"/>
              <w:autoSpaceDN w:val="0"/>
              <w:adjustRightInd w:val="0"/>
              <w:spacing w:before="40" w:after="40"/>
              <w:jc w:val="center"/>
              <w:rPr>
                <w:sz w:val="20"/>
                <w:szCs w:val="20"/>
              </w:rPr>
            </w:pPr>
          </w:p>
        </w:tc>
        <w:tc>
          <w:tcPr>
            <w:tcW w:w="1276" w:type="dxa"/>
            <w:tcBorders>
              <w:bottom w:val="nil"/>
            </w:tcBorders>
          </w:tcPr>
          <w:p w:rsidR="004D5254" w:rsidRPr="00602972" w:rsidRDefault="004D5254" w:rsidP="00C80331">
            <w:pPr>
              <w:keepNext/>
              <w:autoSpaceDE w:val="0"/>
              <w:autoSpaceDN w:val="0"/>
              <w:adjustRightInd w:val="0"/>
              <w:spacing w:before="40" w:after="40"/>
              <w:rPr>
                <w:sz w:val="20"/>
                <w:szCs w:val="20"/>
              </w:rPr>
            </w:pPr>
          </w:p>
        </w:tc>
        <w:tc>
          <w:tcPr>
            <w:tcW w:w="1134" w:type="dxa"/>
            <w:tcBorders>
              <w:bottom w:val="nil"/>
            </w:tcBorders>
          </w:tcPr>
          <w:p w:rsidR="004D5254" w:rsidRPr="00602972" w:rsidRDefault="004D5254" w:rsidP="00C80331">
            <w:pPr>
              <w:keepNext/>
              <w:autoSpaceDE w:val="0"/>
              <w:autoSpaceDN w:val="0"/>
              <w:adjustRightInd w:val="0"/>
              <w:spacing w:before="40" w:after="40"/>
              <w:rPr>
                <w:sz w:val="20"/>
                <w:szCs w:val="20"/>
              </w:rPr>
            </w:pPr>
          </w:p>
        </w:tc>
      </w:tr>
      <w:tr w:rsidR="004D5254" w:rsidTr="00C80331">
        <w:tc>
          <w:tcPr>
            <w:tcW w:w="1101" w:type="dxa"/>
            <w:tcBorders>
              <w:top w:val="nil"/>
              <w:bottom w:val="nil"/>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022</w:t>
            </w:r>
          </w:p>
        </w:tc>
        <w:tc>
          <w:tcPr>
            <w:tcW w:w="1134" w:type="dxa"/>
            <w:tcBorders>
              <w:top w:val="nil"/>
              <w:bottom w:val="nil"/>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Adult T-cell lymphoma(HTLV1+)</w:t>
            </w:r>
          </w:p>
        </w:tc>
        <w:tc>
          <w:tcPr>
            <w:tcW w:w="992" w:type="dxa"/>
            <w:tcBorders>
              <w:top w:val="nil"/>
              <w:bottom w:val="nil"/>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30</w:t>
            </w:r>
          </w:p>
        </w:tc>
        <w:tc>
          <w:tcPr>
            <w:tcW w:w="850" w:type="dxa"/>
            <w:tcBorders>
              <w:top w:val="nil"/>
              <w:bottom w:val="nil"/>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7</w:t>
            </w:r>
          </w:p>
        </w:tc>
        <w:tc>
          <w:tcPr>
            <w:tcW w:w="851" w:type="dxa"/>
            <w:tcBorders>
              <w:top w:val="nil"/>
              <w:bottom w:val="nil"/>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2</w:t>
            </w:r>
          </w:p>
        </w:tc>
        <w:tc>
          <w:tcPr>
            <w:tcW w:w="992" w:type="dxa"/>
            <w:tcBorders>
              <w:top w:val="nil"/>
              <w:bottom w:val="nil"/>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N</w:t>
            </w:r>
          </w:p>
        </w:tc>
        <w:tc>
          <w:tcPr>
            <w:tcW w:w="1276" w:type="dxa"/>
            <w:tcBorders>
              <w:top w:val="nil"/>
              <w:bottom w:val="nil"/>
            </w:tcBorders>
          </w:tcPr>
          <w:p w:rsidR="004D5254" w:rsidRPr="00602972" w:rsidRDefault="004D5254" w:rsidP="00C80331">
            <w:pPr>
              <w:keepNext/>
              <w:autoSpaceDE w:val="0"/>
              <w:autoSpaceDN w:val="0"/>
              <w:adjustRightInd w:val="0"/>
              <w:spacing w:before="40" w:after="40"/>
              <w:jc w:val="center"/>
              <w:rPr>
                <w:sz w:val="20"/>
                <w:szCs w:val="20"/>
              </w:rPr>
            </w:pPr>
            <w:r w:rsidRPr="00602972">
              <w:rPr>
                <w:sz w:val="20"/>
                <w:szCs w:val="20"/>
              </w:rPr>
              <w:t>N</w:t>
            </w:r>
          </w:p>
        </w:tc>
        <w:tc>
          <w:tcPr>
            <w:tcW w:w="1276" w:type="dxa"/>
            <w:tcBorders>
              <w:top w:val="nil"/>
              <w:bottom w:val="nil"/>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Chest pain</w:t>
            </w:r>
          </w:p>
          <w:p w:rsidR="004D5254" w:rsidRPr="00602972" w:rsidRDefault="004D5254" w:rsidP="00C80331">
            <w:pPr>
              <w:keepNext/>
              <w:autoSpaceDE w:val="0"/>
              <w:autoSpaceDN w:val="0"/>
              <w:adjustRightInd w:val="0"/>
              <w:spacing w:before="40" w:after="40"/>
              <w:rPr>
                <w:sz w:val="20"/>
                <w:szCs w:val="20"/>
              </w:rPr>
            </w:pPr>
            <w:r w:rsidRPr="00602972">
              <w:rPr>
                <w:sz w:val="20"/>
                <w:szCs w:val="20"/>
              </w:rPr>
              <w:t>Dyspnoea</w:t>
            </w:r>
          </w:p>
        </w:tc>
        <w:tc>
          <w:tcPr>
            <w:tcW w:w="1134" w:type="dxa"/>
            <w:tcBorders>
              <w:top w:val="nil"/>
              <w:bottom w:val="nil"/>
            </w:tcBorders>
          </w:tcPr>
          <w:p w:rsidR="004D5254" w:rsidRPr="00602972" w:rsidRDefault="004D5254" w:rsidP="00C80331">
            <w:pPr>
              <w:keepNext/>
              <w:autoSpaceDE w:val="0"/>
              <w:autoSpaceDN w:val="0"/>
              <w:adjustRightInd w:val="0"/>
              <w:spacing w:before="40" w:after="40"/>
              <w:rPr>
                <w:sz w:val="20"/>
                <w:szCs w:val="20"/>
              </w:rPr>
            </w:pPr>
            <w:r w:rsidRPr="00602972">
              <w:rPr>
                <w:sz w:val="20"/>
                <w:szCs w:val="20"/>
              </w:rPr>
              <w:t>No action</w:t>
            </w:r>
          </w:p>
        </w:tc>
      </w:tr>
      <w:tr w:rsidR="004D5254" w:rsidTr="00C80331">
        <w:tc>
          <w:tcPr>
            <w:tcW w:w="1101"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036</w:t>
            </w:r>
          </w:p>
        </w:tc>
        <w:tc>
          <w:tcPr>
            <w:tcW w:w="1134"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ALCL</w:t>
            </w:r>
          </w:p>
        </w:tc>
        <w:tc>
          <w:tcPr>
            <w:tcW w:w="992"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45</w:t>
            </w:r>
          </w:p>
        </w:tc>
        <w:tc>
          <w:tcPr>
            <w:tcW w:w="850"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11</w:t>
            </w:r>
          </w:p>
        </w:tc>
        <w:tc>
          <w:tcPr>
            <w:tcW w:w="851"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2</w:t>
            </w:r>
          </w:p>
        </w:tc>
        <w:tc>
          <w:tcPr>
            <w:tcW w:w="992"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Y</w:t>
            </w:r>
          </w:p>
        </w:tc>
        <w:tc>
          <w:tcPr>
            <w:tcW w:w="1276"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Y (possible)</w:t>
            </w:r>
          </w:p>
        </w:tc>
        <w:tc>
          <w:tcPr>
            <w:tcW w:w="1276"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Atelectasis</w:t>
            </w:r>
          </w:p>
          <w:p w:rsidR="004D5254" w:rsidRPr="00602972" w:rsidRDefault="004D5254" w:rsidP="00C80331">
            <w:pPr>
              <w:autoSpaceDE w:val="0"/>
              <w:autoSpaceDN w:val="0"/>
              <w:adjustRightInd w:val="0"/>
              <w:spacing w:before="40" w:after="40"/>
              <w:rPr>
                <w:sz w:val="20"/>
                <w:szCs w:val="20"/>
              </w:rPr>
            </w:pPr>
            <w:r w:rsidRPr="00602972">
              <w:rPr>
                <w:sz w:val="20"/>
                <w:szCs w:val="20"/>
              </w:rPr>
              <w:t>Pleural effusion</w:t>
            </w:r>
          </w:p>
        </w:tc>
        <w:tc>
          <w:tcPr>
            <w:tcW w:w="1134"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PDX not given</w:t>
            </w:r>
          </w:p>
        </w:tc>
      </w:tr>
      <w:tr w:rsidR="004D5254" w:rsidTr="00C80331">
        <w:tc>
          <w:tcPr>
            <w:tcW w:w="1101" w:type="dxa"/>
            <w:tcBorders>
              <w:top w:val="nil"/>
              <w:bottom w:val="single" w:sz="4" w:space="0" w:color="auto"/>
            </w:tcBorders>
          </w:tcPr>
          <w:p w:rsidR="004D5254" w:rsidRPr="00602972" w:rsidRDefault="004D5254" w:rsidP="00C80331">
            <w:pPr>
              <w:autoSpaceDE w:val="0"/>
              <w:autoSpaceDN w:val="0"/>
              <w:adjustRightInd w:val="0"/>
              <w:spacing w:before="40" w:after="40"/>
              <w:rPr>
                <w:sz w:val="20"/>
                <w:szCs w:val="20"/>
              </w:rPr>
            </w:pPr>
            <w:r w:rsidRPr="00602972">
              <w:rPr>
                <w:sz w:val="20"/>
                <w:szCs w:val="20"/>
              </w:rPr>
              <w:t>118</w:t>
            </w:r>
          </w:p>
        </w:tc>
        <w:tc>
          <w:tcPr>
            <w:tcW w:w="1134" w:type="dxa"/>
            <w:tcBorders>
              <w:top w:val="nil"/>
              <w:bottom w:val="single" w:sz="4" w:space="0" w:color="auto"/>
            </w:tcBorders>
          </w:tcPr>
          <w:p w:rsidR="004D5254" w:rsidRPr="00602972" w:rsidRDefault="004D5254" w:rsidP="00C80331">
            <w:pPr>
              <w:autoSpaceDE w:val="0"/>
              <w:autoSpaceDN w:val="0"/>
              <w:adjustRightInd w:val="0"/>
              <w:spacing w:before="40" w:after="40"/>
              <w:rPr>
                <w:sz w:val="20"/>
                <w:szCs w:val="20"/>
              </w:rPr>
            </w:pPr>
            <w:r w:rsidRPr="00602972">
              <w:rPr>
                <w:sz w:val="20"/>
                <w:szCs w:val="20"/>
              </w:rPr>
              <w:t>Blastic NK lymphoma</w:t>
            </w:r>
          </w:p>
        </w:tc>
        <w:tc>
          <w:tcPr>
            <w:tcW w:w="992" w:type="dxa"/>
            <w:tcBorders>
              <w:top w:val="nil"/>
              <w:bottom w:val="single" w:sz="4" w:space="0" w:color="auto"/>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45</w:t>
            </w:r>
          </w:p>
        </w:tc>
        <w:tc>
          <w:tcPr>
            <w:tcW w:w="850" w:type="dxa"/>
            <w:tcBorders>
              <w:top w:val="nil"/>
              <w:bottom w:val="single" w:sz="4" w:space="0" w:color="auto"/>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362</w:t>
            </w:r>
          </w:p>
        </w:tc>
        <w:tc>
          <w:tcPr>
            <w:tcW w:w="851" w:type="dxa"/>
            <w:tcBorders>
              <w:top w:val="nil"/>
              <w:bottom w:val="single" w:sz="4" w:space="0" w:color="auto"/>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2</w:t>
            </w:r>
          </w:p>
        </w:tc>
        <w:tc>
          <w:tcPr>
            <w:tcW w:w="992" w:type="dxa"/>
            <w:tcBorders>
              <w:top w:val="nil"/>
              <w:bottom w:val="single" w:sz="4" w:space="0" w:color="auto"/>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N</w:t>
            </w:r>
          </w:p>
        </w:tc>
        <w:tc>
          <w:tcPr>
            <w:tcW w:w="1276" w:type="dxa"/>
            <w:tcBorders>
              <w:top w:val="nil"/>
              <w:bottom w:val="single" w:sz="4" w:space="0" w:color="auto"/>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Y (probable)</w:t>
            </w:r>
          </w:p>
        </w:tc>
        <w:tc>
          <w:tcPr>
            <w:tcW w:w="1276" w:type="dxa"/>
            <w:tcBorders>
              <w:top w:val="nil"/>
              <w:bottom w:val="single" w:sz="4" w:space="0" w:color="auto"/>
            </w:tcBorders>
          </w:tcPr>
          <w:p w:rsidR="004D5254" w:rsidRPr="00602972" w:rsidRDefault="004D5254" w:rsidP="00C80331">
            <w:pPr>
              <w:autoSpaceDE w:val="0"/>
              <w:autoSpaceDN w:val="0"/>
              <w:adjustRightInd w:val="0"/>
              <w:spacing w:before="40" w:after="40"/>
              <w:rPr>
                <w:sz w:val="20"/>
                <w:szCs w:val="20"/>
              </w:rPr>
            </w:pPr>
            <w:r w:rsidRPr="00602972">
              <w:rPr>
                <w:sz w:val="20"/>
                <w:szCs w:val="20"/>
              </w:rPr>
              <w:t>Pulmonary infiltrates</w:t>
            </w:r>
          </w:p>
          <w:p w:rsidR="004D5254" w:rsidRPr="00602972" w:rsidRDefault="004D5254" w:rsidP="00C80331">
            <w:pPr>
              <w:autoSpaceDE w:val="0"/>
              <w:autoSpaceDN w:val="0"/>
              <w:adjustRightInd w:val="0"/>
              <w:spacing w:before="40" w:after="40"/>
              <w:rPr>
                <w:sz w:val="20"/>
                <w:szCs w:val="20"/>
              </w:rPr>
            </w:pPr>
            <w:r w:rsidRPr="00602972">
              <w:rPr>
                <w:sz w:val="20"/>
                <w:szCs w:val="20"/>
              </w:rPr>
              <w:t>Honeycomb appearance on lung CT scan</w:t>
            </w:r>
          </w:p>
        </w:tc>
        <w:tc>
          <w:tcPr>
            <w:tcW w:w="1134" w:type="dxa"/>
            <w:tcBorders>
              <w:top w:val="nil"/>
              <w:bottom w:val="single" w:sz="4" w:space="0" w:color="auto"/>
            </w:tcBorders>
          </w:tcPr>
          <w:p w:rsidR="004D5254" w:rsidRPr="00602972" w:rsidRDefault="004D5254" w:rsidP="00C80331">
            <w:pPr>
              <w:autoSpaceDE w:val="0"/>
              <w:autoSpaceDN w:val="0"/>
              <w:adjustRightInd w:val="0"/>
              <w:spacing w:before="40" w:after="40"/>
              <w:rPr>
                <w:sz w:val="20"/>
                <w:szCs w:val="20"/>
              </w:rPr>
            </w:pPr>
            <w:r w:rsidRPr="00602972">
              <w:rPr>
                <w:sz w:val="20"/>
                <w:szCs w:val="20"/>
              </w:rPr>
              <w:t>PDX not given</w:t>
            </w:r>
          </w:p>
        </w:tc>
      </w:tr>
      <w:tr w:rsidR="004D5254" w:rsidTr="00C80331">
        <w:tc>
          <w:tcPr>
            <w:tcW w:w="1101" w:type="dxa"/>
            <w:tcBorders>
              <w:bottom w:val="nil"/>
            </w:tcBorders>
          </w:tcPr>
          <w:p w:rsidR="004D5254" w:rsidRPr="00602972" w:rsidRDefault="004D5254" w:rsidP="00C80331">
            <w:pPr>
              <w:autoSpaceDE w:val="0"/>
              <w:autoSpaceDN w:val="0"/>
              <w:adjustRightInd w:val="0"/>
              <w:spacing w:before="40" w:after="40"/>
              <w:rPr>
                <w:b/>
                <w:i/>
                <w:sz w:val="20"/>
                <w:szCs w:val="20"/>
              </w:rPr>
            </w:pPr>
            <w:r w:rsidRPr="00602972">
              <w:rPr>
                <w:b/>
                <w:i/>
                <w:sz w:val="20"/>
                <w:szCs w:val="20"/>
              </w:rPr>
              <w:t>PDX-012</w:t>
            </w:r>
          </w:p>
        </w:tc>
        <w:tc>
          <w:tcPr>
            <w:tcW w:w="1134" w:type="dxa"/>
            <w:tcBorders>
              <w:bottom w:val="nil"/>
            </w:tcBorders>
          </w:tcPr>
          <w:p w:rsidR="004D5254" w:rsidRPr="00602972" w:rsidRDefault="004D5254" w:rsidP="00C80331">
            <w:pPr>
              <w:autoSpaceDE w:val="0"/>
              <w:autoSpaceDN w:val="0"/>
              <w:adjustRightInd w:val="0"/>
              <w:spacing w:before="40" w:after="40"/>
              <w:rPr>
                <w:sz w:val="20"/>
                <w:szCs w:val="20"/>
              </w:rPr>
            </w:pPr>
          </w:p>
        </w:tc>
        <w:tc>
          <w:tcPr>
            <w:tcW w:w="992" w:type="dxa"/>
            <w:tcBorders>
              <w:bottom w:val="nil"/>
            </w:tcBorders>
          </w:tcPr>
          <w:p w:rsidR="004D5254" w:rsidRPr="00602972" w:rsidRDefault="004D5254" w:rsidP="00C80331">
            <w:pPr>
              <w:autoSpaceDE w:val="0"/>
              <w:autoSpaceDN w:val="0"/>
              <w:adjustRightInd w:val="0"/>
              <w:spacing w:before="40" w:after="40"/>
              <w:jc w:val="center"/>
              <w:rPr>
                <w:sz w:val="20"/>
                <w:szCs w:val="20"/>
              </w:rPr>
            </w:pPr>
          </w:p>
        </w:tc>
        <w:tc>
          <w:tcPr>
            <w:tcW w:w="850" w:type="dxa"/>
            <w:tcBorders>
              <w:bottom w:val="nil"/>
            </w:tcBorders>
          </w:tcPr>
          <w:p w:rsidR="004D5254" w:rsidRPr="00602972" w:rsidRDefault="004D5254" w:rsidP="00C80331">
            <w:pPr>
              <w:autoSpaceDE w:val="0"/>
              <w:autoSpaceDN w:val="0"/>
              <w:adjustRightInd w:val="0"/>
              <w:spacing w:before="40" w:after="40"/>
              <w:jc w:val="center"/>
              <w:rPr>
                <w:sz w:val="20"/>
                <w:szCs w:val="20"/>
              </w:rPr>
            </w:pPr>
          </w:p>
        </w:tc>
        <w:tc>
          <w:tcPr>
            <w:tcW w:w="851" w:type="dxa"/>
            <w:tcBorders>
              <w:bottom w:val="nil"/>
            </w:tcBorders>
          </w:tcPr>
          <w:p w:rsidR="004D5254" w:rsidRPr="00602972" w:rsidRDefault="004D5254" w:rsidP="00C80331">
            <w:pPr>
              <w:autoSpaceDE w:val="0"/>
              <w:autoSpaceDN w:val="0"/>
              <w:adjustRightInd w:val="0"/>
              <w:spacing w:before="40" w:after="40"/>
              <w:jc w:val="center"/>
              <w:rPr>
                <w:sz w:val="20"/>
                <w:szCs w:val="20"/>
              </w:rPr>
            </w:pPr>
          </w:p>
        </w:tc>
        <w:tc>
          <w:tcPr>
            <w:tcW w:w="992" w:type="dxa"/>
            <w:tcBorders>
              <w:bottom w:val="nil"/>
            </w:tcBorders>
          </w:tcPr>
          <w:p w:rsidR="004D5254" w:rsidRPr="00602972" w:rsidRDefault="004D5254" w:rsidP="00C80331">
            <w:pPr>
              <w:autoSpaceDE w:val="0"/>
              <w:autoSpaceDN w:val="0"/>
              <w:adjustRightInd w:val="0"/>
              <w:spacing w:before="40" w:after="40"/>
              <w:jc w:val="center"/>
              <w:rPr>
                <w:sz w:val="20"/>
                <w:szCs w:val="20"/>
              </w:rPr>
            </w:pPr>
          </w:p>
        </w:tc>
        <w:tc>
          <w:tcPr>
            <w:tcW w:w="1276" w:type="dxa"/>
            <w:tcBorders>
              <w:bottom w:val="nil"/>
            </w:tcBorders>
          </w:tcPr>
          <w:p w:rsidR="004D5254" w:rsidRPr="00602972" w:rsidRDefault="004D5254" w:rsidP="00C80331">
            <w:pPr>
              <w:autoSpaceDE w:val="0"/>
              <w:autoSpaceDN w:val="0"/>
              <w:adjustRightInd w:val="0"/>
              <w:spacing w:before="40" w:after="40"/>
              <w:jc w:val="center"/>
              <w:rPr>
                <w:sz w:val="20"/>
                <w:szCs w:val="20"/>
              </w:rPr>
            </w:pPr>
          </w:p>
        </w:tc>
        <w:tc>
          <w:tcPr>
            <w:tcW w:w="1276" w:type="dxa"/>
            <w:tcBorders>
              <w:bottom w:val="nil"/>
            </w:tcBorders>
          </w:tcPr>
          <w:p w:rsidR="004D5254" w:rsidRPr="00602972" w:rsidRDefault="004D5254" w:rsidP="00C80331">
            <w:pPr>
              <w:autoSpaceDE w:val="0"/>
              <w:autoSpaceDN w:val="0"/>
              <w:adjustRightInd w:val="0"/>
              <w:spacing w:before="40" w:after="40"/>
              <w:rPr>
                <w:sz w:val="20"/>
                <w:szCs w:val="20"/>
              </w:rPr>
            </w:pPr>
          </w:p>
        </w:tc>
        <w:tc>
          <w:tcPr>
            <w:tcW w:w="1134" w:type="dxa"/>
            <w:tcBorders>
              <w:bottom w:val="nil"/>
            </w:tcBorders>
          </w:tcPr>
          <w:p w:rsidR="004D5254" w:rsidRPr="00602972" w:rsidRDefault="004D5254" w:rsidP="00C80331">
            <w:pPr>
              <w:autoSpaceDE w:val="0"/>
              <w:autoSpaceDN w:val="0"/>
              <w:adjustRightInd w:val="0"/>
              <w:spacing w:before="40" w:after="40"/>
              <w:rPr>
                <w:sz w:val="20"/>
                <w:szCs w:val="20"/>
              </w:rPr>
            </w:pPr>
          </w:p>
        </w:tc>
      </w:tr>
      <w:tr w:rsidR="004D5254" w:rsidTr="00C80331">
        <w:tc>
          <w:tcPr>
            <w:tcW w:w="1101" w:type="dxa"/>
            <w:tcBorders>
              <w:top w:val="nil"/>
              <w:bottom w:val="single" w:sz="4" w:space="0" w:color="auto"/>
            </w:tcBorders>
          </w:tcPr>
          <w:p w:rsidR="004D5254" w:rsidRPr="00602972" w:rsidRDefault="004D5254" w:rsidP="00C80331">
            <w:pPr>
              <w:autoSpaceDE w:val="0"/>
              <w:autoSpaceDN w:val="0"/>
              <w:adjustRightInd w:val="0"/>
              <w:spacing w:before="40" w:after="40"/>
              <w:rPr>
                <w:sz w:val="20"/>
                <w:szCs w:val="20"/>
              </w:rPr>
            </w:pPr>
            <w:r w:rsidRPr="00602972">
              <w:rPr>
                <w:sz w:val="20"/>
                <w:szCs w:val="20"/>
              </w:rPr>
              <w:t>1460</w:t>
            </w:r>
          </w:p>
        </w:tc>
        <w:tc>
          <w:tcPr>
            <w:tcW w:w="1134" w:type="dxa"/>
            <w:tcBorders>
              <w:top w:val="nil"/>
              <w:bottom w:val="single" w:sz="4" w:space="0" w:color="auto"/>
            </w:tcBorders>
          </w:tcPr>
          <w:p w:rsidR="004D5254" w:rsidRPr="00602972" w:rsidRDefault="004D5254" w:rsidP="00C80331">
            <w:pPr>
              <w:autoSpaceDE w:val="0"/>
              <w:autoSpaceDN w:val="0"/>
              <w:adjustRightInd w:val="0"/>
              <w:spacing w:before="40" w:after="40"/>
              <w:rPr>
                <w:sz w:val="20"/>
                <w:szCs w:val="20"/>
              </w:rPr>
            </w:pPr>
            <w:r w:rsidRPr="00602972">
              <w:rPr>
                <w:sz w:val="20"/>
                <w:szCs w:val="20"/>
              </w:rPr>
              <w:t>NSCLC</w:t>
            </w:r>
          </w:p>
        </w:tc>
        <w:tc>
          <w:tcPr>
            <w:tcW w:w="992" w:type="dxa"/>
            <w:tcBorders>
              <w:top w:val="nil"/>
              <w:bottom w:val="single" w:sz="4" w:space="0" w:color="auto"/>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230</w:t>
            </w:r>
          </w:p>
          <w:p w:rsidR="004D5254" w:rsidRPr="00602972" w:rsidRDefault="004D5254" w:rsidP="00C80331">
            <w:pPr>
              <w:autoSpaceDE w:val="0"/>
              <w:autoSpaceDN w:val="0"/>
              <w:adjustRightInd w:val="0"/>
              <w:spacing w:before="40" w:after="40"/>
              <w:jc w:val="center"/>
              <w:rPr>
                <w:sz w:val="20"/>
                <w:szCs w:val="20"/>
              </w:rPr>
            </w:pPr>
            <w:r w:rsidRPr="00602972">
              <w:rPr>
                <w:sz w:val="20"/>
                <w:szCs w:val="20"/>
              </w:rPr>
              <w:t>→190</w:t>
            </w:r>
          </w:p>
        </w:tc>
        <w:tc>
          <w:tcPr>
            <w:tcW w:w="850" w:type="dxa"/>
            <w:tcBorders>
              <w:top w:val="nil"/>
              <w:bottom w:val="single" w:sz="4" w:space="0" w:color="auto"/>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52</w:t>
            </w:r>
          </w:p>
        </w:tc>
        <w:tc>
          <w:tcPr>
            <w:tcW w:w="851" w:type="dxa"/>
            <w:tcBorders>
              <w:top w:val="nil"/>
              <w:bottom w:val="single" w:sz="4" w:space="0" w:color="auto"/>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2</w:t>
            </w:r>
          </w:p>
        </w:tc>
        <w:tc>
          <w:tcPr>
            <w:tcW w:w="992" w:type="dxa"/>
            <w:tcBorders>
              <w:top w:val="nil"/>
              <w:bottom w:val="single" w:sz="4" w:space="0" w:color="auto"/>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Y</w:t>
            </w:r>
          </w:p>
        </w:tc>
        <w:tc>
          <w:tcPr>
            <w:tcW w:w="1276" w:type="dxa"/>
            <w:tcBorders>
              <w:top w:val="nil"/>
              <w:bottom w:val="single" w:sz="4" w:space="0" w:color="auto"/>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Y (possible)</w:t>
            </w:r>
          </w:p>
        </w:tc>
        <w:tc>
          <w:tcPr>
            <w:tcW w:w="1276" w:type="dxa"/>
            <w:tcBorders>
              <w:top w:val="nil"/>
              <w:bottom w:val="single" w:sz="4" w:space="0" w:color="auto"/>
            </w:tcBorders>
          </w:tcPr>
          <w:p w:rsidR="004D5254" w:rsidRPr="00602972" w:rsidRDefault="004D5254" w:rsidP="00C80331">
            <w:pPr>
              <w:autoSpaceDE w:val="0"/>
              <w:autoSpaceDN w:val="0"/>
              <w:adjustRightInd w:val="0"/>
              <w:spacing w:before="40" w:after="40"/>
              <w:rPr>
                <w:sz w:val="20"/>
                <w:szCs w:val="20"/>
              </w:rPr>
            </w:pPr>
            <w:r w:rsidRPr="00602972">
              <w:rPr>
                <w:sz w:val="20"/>
                <w:szCs w:val="20"/>
              </w:rPr>
              <w:t>Chronic cough</w:t>
            </w:r>
          </w:p>
          <w:p w:rsidR="004D5254" w:rsidRPr="00602972" w:rsidRDefault="004D5254" w:rsidP="00C80331">
            <w:pPr>
              <w:autoSpaceDE w:val="0"/>
              <w:autoSpaceDN w:val="0"/>
              <w:adjustRightInd w:val="0"/>
              <w:spacing w:before="40" w:after="40"/>
              <w:rPr>
                <w:sz w:val="20"/>
                <w:szCs w:val="20"/>
              </w:rPr>
            </w:pPr>
            <w:r w:rsidRPr="00602972">
              <w:rPr>
                <w:sz w:val="20"/>
                <w:szCs w:val="20"/>
              </w:rPr>
              <w:t>Bilateral pulmonary infiltrates on CT</w:t>
            </w:r>
          </w:p>
        </w:tc>
        <w:tc>
          <w:tcPr>
            <w:tcW w:w="1134" w:type="dxa"/>
            <w:tcBorders>
              <w:top w:val="nil"/>
              <w:bottom w:val="single" w:sz="4" w:space="0" w:color="auto"/>
            </w:tcBorders>
          </w:tcPr>
          <w:p w:rsidR="004D5254" w:rsidRPr="00602972" w:rsidRDefault="004D5254" w:rsidP="00C80331">
            <w:pPr>
              <w:autoSpaceDE w:val="0"/>
              <w:autoSpaceDN w:val="0"/>
              <w:adjustRightInd w:val="0"/>
              <w:spacing w:before="40" w:after="40"/>
              <w:rPr>
                <w:sz w:val="20"/>
                <w:szCs w:val="20"/>
              </w:rPr>
            </w:pPr>
            <w:r w:rsidRPr="00602972">
              <w:rPr>
                <w:sz w:val="20"/>
                <w:szCs w:val="20"/>
              </w:rPr>
              <w:t>PDX stopped</w:t>
            </w:r>
          </w:p>
        </w:tc>
      </w:tr>
      <w:tr w:rsidR="004D5254" w:rsidTr="00C80331">
        <w:tc>
          <w:tcPr>
            <w:tcW w:w="1101" w:type="dxa"/>
            <w:tcBorders>
              <w:bottom w:val="nil"/>
            </w:tcBorders>
          </w:tcPr>
          <w:p w:rsidR="004D5254" w:rsidRPr="00602972" w:rsidRDefault="004D5254" w:rsidP="00C80331">
            <w:pPr>
              <w:autoSpaceDE w:val="0"/>
              <w:autoSpaceDN w:val="0"/>
              <w:adjustRightInd w:val="0"/>
              <w:spacing w:before="40" w:after="40"/>
              <w:rPr>
                <w:b/>
                <w:i/>
                <w:sz w:val="20"/>
                <w:szCs w:val="20"/>
              </w:rPr>
            </w:pPr>
            <w:r w:rsidRPr="00602972">
              <w:rPr>
                <w:b/>
                <w:i/>
                <w:sz w:val="20"/>
                <w:szCs w:val="20"/>
              </w:rPr>
              <w:t>PDX-009</w:t>
            </w:r>
          </w:p>
        </w:tc>
        <w:tc>
          <w:tcPr>
            <w:tcW w:w="1134" w:type="dxa"/>
            <w:tcBorders>
              <w:bottom w:val="nil"/>
            </w:tcBorders>
          </w:tcPr>
          <w:p w:rsidR="004D5254" w:rsidRPr="00602972" w:rsidRDefault="004D5254" w:rsidP="00C80331">
            <w:pPr>
              <w:autoSpaceDE w:val="0"/>
              <w:autoSpaceDN w:val="0"/>
              <w:adjustRightInd w:val="0"/>
              <w:spacing w:before="40" w:after="40"/>
              <w:rPr>
                <w:sz w:val="20"/>
                <w:szCs w:val="20"/>
              </w:rPr>
            </w:pPr>
          </w:p>
        </w:tc>
        <w:tc>
          <w:tcPr>
            <w:tcW w:w="992" w:type="dxa"/>
            <w:tcBorders>
              <w:bottom w:val="nil"/>
            </w:tcBorders>
          </w:tcPr>
          <w:p w:rsidR="004D5254" w:rsidRPr="00602972" w:rsidRDefault="004D5254" w:rsidP="00C80331">
            <w:pPr>
              <w:autoSpaceDE w:val="0"/>
              <w:autoSpaceDN w:val="0"/>
              <w:adjustRightInd w:val="0"/>
              <w:spacing w:before="40" w:after="40"/>
              <w:jc w:val="center"/>
              <w:rPr>
                <w:sz w:val="20"/>
                <w:szCs w:val="20"/>
              </w:rPr>
            </w:pPr>
          </w:p>
        </w:tc>
        <w:tc>
          <w:tcPr>
            <w:tcW w:w="850" w:type="dxa"/>
            <w:tcBorders>
              <w:bottom w:val="nil"/>
            </w:tcBorders>
          </w:tcPr>
          <w:p w:rsidR="004D5254" w:rsidRPr="00602972" w:rsidRDefault="004D5254" w:rsidP="00C80331">
            <w:pPr>
              <w:autoSpaceDE w:val="0"/>
              <w:autoSpaceDN w:val="0"/>
              <w:adjustRightInd w:val="0"/>
              <w:spacing w:before="40" w:after="40"/>
              <w:jc w:val="center"/>
              <w:rPr>
                <w:sz w:val="20"/>
                <w:szCs w:val="20"/>
              </w:rPr>
            </w:pPr>
          </w:p>
        </w:tc>
        <w:tc>
          <w:tcPr>
            <w:tcW w:w="851" w:type="dxa"/>
            <w:tcBorders>
              <w:bottom w:val="nil"/>
            </w:tcBorders>
          </w:tcPr>
          <w:p w:rsidR="004D5254" w:rsidRPr="00602972" w:rsidRDefault="004D5254" w:rsidP="00C80331">
            <w:pPr>
              <w:autoSpaceDE w:val="0"/>
              <w:autoSpaceDN w:val="0"/>
              <w:adjustRightInd w:val="0"/>
              <w:spacing w:before="40" w:after="40"/>
              <w:jc w:val="center"/>
              <w:rPr>
                <w:sz w:val="20"/>
                <w:szCs w:val="20"/>
              </w:rPr>
            </w:pPr>
          </w:p>
        </w:tc>
        <w:tc>
          <w:tcPr>
            <w:tcW w:w="992" w:type="dxa"/>
            <w:tcBorders>
              <w:bottom w:val="nil"/>
            </w:tcBorders>
          </w:tcPr>
          <w:p w:rsidR="004D5254" w:rsidRPr="00602972" w:rsidRDefault="004D5254" w:rsidP="00C80331">
            <w:pPr>
              <w:autoSpaceDE w:val="0"/>
              <w:autoSpaceDN w:val="0"/>
              <w:adjustRightInd w:val="0"/>
              <w:spacing w:before="40" w:after="40"/>
              <w:jc w:val="center"/>
              <w:rPr>
                <w:sz w:val="20"/>
                <w:szCs w:val="20"/>
              </w:rPr>
            </w:pPr>
          </w:p>
        </w:tc>
        <w:tc>
          <w:tcPr>
            <w:tcW w:w="1276" w:type="dxa"/>
            <w:tcBorders>
              <w:bottom w:val="nil"/>
            </w:tcBorders>
          </w:tcPr>
          <w:p w:rsidR="004D5254" w:rsidRPr="00602972" w:rsidRDefault="004D5254" w:rsidP="00C80331">
            <w:pPr>
              <w:autoSpaceDE w:val="0"/>
              <w:autoSpaceDN w:val="0"/>
              <w:adjustRightInd w:val="0"/>
              <w:spacing w:before="40" w:after="40"/>
              <w:jc w:val="center"/>
              <w:rPr>
                <w:sz w:val="20"/>
                <w:szCs w:val="20"/>
              </w:rPr>
            </w:pPr>
          </w:p>
        </w:tc>
        <w:tc>
          <w:tcPr>
            <w:tcW w:w="1276" w:type="dxa"/>
            <w:tcBorders>
              <w:bottom w:val="nil"/>
            </w:tcBorders>
          </w:tcPr>
          <w:p w:rsidR="004D5254" w:rsidRPr="00602972" w:rsidRDefault="004D5254" w:rsidP="00C80331">
            <w:pPr>
              <w:autoSpaceDE w:val="0"/>
              <w:autoSpaceDN w:val="0"/>
              <w:adjustRightInd w:val="0"/>
              <w:spacing w:before="40" w:after="40"/>
              <w:rPr>
                <w:sz w:val="20"/>
                <w:szCs w:val="20"/>
              </w:rPr>
            </w:pPr>
          </w:p>
        </w:tc>
        <w:tc>
          <w:tcPr>
            <w:tcW w:w="1134" w:type="dxa"/>
            <w:tcBorders>
              <w:bottom w:val="nil"/>
            </w:tcBorders>
          </w:tcPr>
          <w:p w:rsidR="004D5254" w:rsidRPr="00602972" w:rsidRDefault="004D5254" w:rsidP="00C80331">
            <w:pPr>
              <w:autoSpaceDE w:val="0"/>
              <w:autoSpaceDN w:val="0"/>
              <w:adjustRightInd w:val="0"/>
              <w:spacing w:before="40" w:after="40"/>
              <w:rPr>
                <w:sz w:val="20"/>
                <w:szCs w:val="20"/>
              </w:rPr>
            </w:pPr>
          </w:p>
        </w:tc>
      </w:tr>
      <w:tr w:rsidR="004D5254" w:rsidTr="00C80331">
        <w:tc>
          <w:tcPr>
            <w:tcW w:w="1101"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020</w:t>
            </w:r>
          </w:p>
        </w:tc>
        <w:tc>
          <w:tcPr>
            <w:tcW w:w="1134"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PTCL-U</w:t>
            </w:r>
          </w:p>
        </w:tc>
        <w:tc>
          <w:tcPr>
            <w:tcW w:w="992"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10 + GEM400</w:t>
            </w:r>
          </w:p>
        </w:tc>
        <w:tc>
          <w:tcPr>
            <w:tcW w:w="850"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43</w:t>
            </w:r>
          </w:p>
        </w:tc>
        <w:tc>
          <w:tcPr>
            <w:tcW w:w="851"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3</w:t>
            </w:r>
          </w:p>
        </w:tc>
        <w:tc>
          <w:tcPr>
            <w:tcW w:w="992"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Y</w:t>
            </w:r>
          </w:p>
        </w:tc>
        <w:tc>
          <w:tcPr>
            <w:tcW w:w="1276"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Y</w:t>
            </w:r>
          </w:p>
          <w:p w:rsidR="004D5254" w:rsidRPr="00602972" w:rsidRDefault="004D5254" w:rsidP="00C80331">
            <w:pPr>
              <w:autoSpaceDE w:val="0"/>
              <w:autoSpaceDN w:val="0"/>
              <w:adjustRightInd w:val="0"/>
              <w:spacing w:before="40" w:after="40"/>
              <w:jc w:val="center"/>
              <w:rPr>
                <w:sz w:val="20"/>
                <w:szCs w:val="20"/>
              </w:rPr>
            </w:pPr>
            <w:r w:rsidRPr="00602972">
              <w:rPr>
                <w:sz w:val="20"/>
                <w:szCs w:val="20"/>
              </w:rPr>
              <w:t>(GEM only - possible)</w:t>
            </w:r>
          </w:p>
        </w:tc>
        <w:tc>
          <w:tcPr>
            <w:tcW w:w="1276"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Cough</w:t>
            </w:r>
          </w:p>
          <w:p w:rsidR="004D5254" w:rsidRPr="00602972" w:rsidRDefault="004D5254" w:rsidP="00C80331">
            <w:pPr>
              <w:autoSpaceDE w:val="0"/>
              <w:autoSpaceDN w:val="0"/>
              <w:adjustRightInd w:val="0"/>
              <w:spacing w:before="40" w:after="40"/>
              <w:rPr>
                <w:sz w:val="20"/>
                <w:szCs w:val="20"/>
              </w:rPr>
            </w:pPr>
            <w:r w:rsidRPr="00602972">
              <w:rPr>
                <w:sz w:val="20"/>
                <w:szCs w:val="20"/>
              </w:rPr>
              <w:t>Dyspnoea</w:t>
            </w:r>
          </w:p>
          <w:p w:rsidR="004D5254" w:rsidRPr="00602972" w:rsidRDefault="004D5254" w:rsidP="00C80331">
            <w:pPr>
              <w:autoSpaceDE w:val="0"/>
              <w:autoSpaceDN w:val="0"/>
              <w:adjustRightInd w:val="0"/>
              <w:spacing w:before="40" w:after="40"/>
              <w:rPr>
                <w:sz w:val="20"/>
                <w:szCs w:val="20"/>
              </w:rPr>
            </w:pPr>
            <w:r w:rsidRPr="00602972">
              <w:rPr>
                <w:sz w:val="20"/>
                <w:szCs w:val="20"/>
              </w:rPr>
              <w:t>Hypoxia</w:t>
            </w:r>
          </w:p>
        </w:tc>
        <w:tc>
          <w:tcPr>
            <w:tcW w:w="1134"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PDX delayed</w:t>
            </w:r>
          </w:p>
        </w:tc>
      </w:tr>
      <w:tr w:rsidR="004D5254" w:rsidTr="00C80331">
        <w:tc>
          <w:tcPr>
            <w:tcW w:w="1101"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026</w:t>
            </w:r>
          </w:p>
        </w:tc>
        <w:tc>
          <w:tcPr>
            <w:tcW w:w="1134"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Hodgkin’s lymphoma</w:t>
            </w:r>
          </w:p>
        </w:tc>
        <w:tc>
          <w:tcPr>
            <w:tcW w:w="992"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10 + GEM400</w:t>
            </w:r>
          </w:p>
        </w:tc>
        <w:tc>
          <w:tcPr>
            <w:tcW w:w="850"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125</w:t>
            </w:r>
          </w:p>
        </w:tc>
        <w:tc>
          <w:tcPr>
            <w:tcW w:w="851"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3</w:t>
            </w:r>
          </w:p>
        </w:tc>
        <w:tc>
          <w:tcPr>
            <w:tcW w:w="992"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Y</w:t>
            </w:r>
          </w:p>
        </w:tc>
        <w:tc>
          <w:tcPr>
            <w:tcW w:w="1276" w:type="dxa"/>
            <w:tcBorders>
              <w:top w:val="nil"/>
              <w:bottom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N</w:t>
            </w:r>
          </w:p>
        </w:tc>
        <w:tc>
          <w:tcPr>
            <w:tcW w:w="1276"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Pleural effusion</w:t>
            </w:r>
          </w:p>
        </w:tc>
        <w:tc>
          <w:tcPr>
            <w:tcW w:w="1134" w:type="dxa"/>
            <w:tcBorders>
              <w:top w:val="nil"/>
              <w:bottom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No action</w:t>
            </w:r>
          </w:p>
        </w:tc>
      </w:tr>
      <w:tr w:rsidR="004D5254" w:rsidTr="00C80331">
        <w:tc>
          <w:tcPr>
            <w:tcW w:w="1101" w:type="dxa"/>
            <w:tcBorders>
              <w:top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NA*</w:t>
            </w:r>
          </w:p>
        </w:tc>
        <w:tc>
          <w:tcPr>
            <w:tcW w:w="1134" w:type="dxa"/>
            <w:tcBorders>
              <w:top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NA</w:t>
            </w:r>
          </w:p>
        </w:tc>
        <w:tc>
          <w:tcPr>
            <w:tcW w:w="992" w:type="dxa"/>
            <w:tcBorders>
              <w:top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NA</w:t>
            </w:r>
          </w:p>
        </w:tc>
        <w:tc>
          <w:tcPr>
            <w:tcW w:w="850" w:type="dxa"/>
            <w:tcBorders>
              <w:top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NA</w:t>
            </w:r>
          </w:p>
        </w:tc>
        <w:tc>
          <w:tcPr>
            <w:tcW w:w="851" w:type="dxa"/>
            <w:tcBorders>
              <w:top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≥3</w:t>
            </w:r>
          </w:p>
        </w:tc>
        <w:tc>
          <w:tcPr>
            <w:tcW w:w="992" w:type="dxa"/>
            <w:tcBorders>
              <w:top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Y</w:t>
            </w:r>
          </w:p>
        </w:tc>
        <w:tc>
          <w:tcPr>
            <w:tcW w:w="1276" w:type="dxa"/>
            <w:tcBorders>
              <w:top w:val="nil"/>
            </w:tcBorders>
          </w:tcPr>
          <w:p w:rsidR="004D5254" w:rsidRPr="00602972" w:rsidRDefault="004D5254" w:rsidP="00C80331">
            <w:pPr>
              <w:autoSpaceDE w:val="0"/>
              <w:autoSpaceDN w:val="0"/>
              <w:adjustRightInd w:val="0"/>
              <w:spacing w:before="40" w:after="40"/>
              <w:jc w:val="center"/>
              <w:rPr>
                <w:sz w:val="20"/>
                <w:szCs w:val="20"/>
              </w:rPr>
            </w:pPr>
            <w:r w:rsidRPr="00602972">
              <w:rPr>
                <w:sz w:val="20"/>
                <w:szCs w:val="20"/>
              </w:rPr>
              <w:t>NA</w:t>
            </w:r>
          </w:p>
        </w:tc>
        <w:tc>
          <w:tcPr>
            <w:tcW w:w="1276" w:type="dxa"/>
            <w:tcBorders>
              <w:top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NA</w:t>
            </w:r>
          </w:p>
        </w:tc>
        <w:tc>
          <w:tcPr>
            <w:tcW w:w="1134" w:type="dxa"/>
            <w:tcBorders>
              <w:top w:val="nil"/>
            </w:tcBorders>
          </w:tcPr>
          <w:p w:rsidR="004D5254" w:rsidRPr="00602972" w:rsidRDefault="004D5254" w:rsidP="00C80331">
            <w:pPr>
              <w:autoSpaceDE w:val="0"/>
              <w:autoSpaceDN w:val="0"/>
              <w:adjustRightInd w:val="0"/>
              <w:spacing w:before="40" w:after="40"/>
              <w:rPr>
                <w:sz w:val="20"/>
                <w:szCs w:val="20"/>
              </w:rPr>
            </w:pPr>
            <w:r w:rsidRPr="00602972">
              <w:rPr>
                <w:sz w:val="20"/>
                <w:szCs w:val="20"/>
              </w:rPr>
              <w:t>NA</w:t>
            </w:r>
          </w:p>
        </w:tc>
      </w:tr>
    </w:tbl>
    <w:p w:rsidR="004D5254" w:rsidRDefault="004D5254" w:rsidP="004D5254">
      <w:pPr>
        <w:autoSpaceDE w:val="0"/>
        <w:autoSpaceDN w:val="0"/>
        <w:adjustRightInd w:val="0"/>
        <w:rPr>
          <w:sz w:val="18"/>
          <w:szCs w:val="18"/>
        </w:rPr>
      </w:pPr>
      <w:r w:rsidRPr="00F14E73">
        <w:rPr>
          <w:sz w:val="18"/>
          <w:szCs w:val="18"/>
        </w:rPr>
        <w:t xml:space="preserve">* </w:t>
      </w:r>
      <w:r>
        <w:rPr>
          <w:sz w:val="18"/>
          <w:szCs w:val="18"/>
        </w:rPr>
        <w:t>Not available - this case was i</w:t>
      </w:r>
      <w:r w:rsidRPr="00F14E73">
        <w:rPr>
          <w:sz w:val="18"/>
          <w:szCs w:val="18"/>
        </w:rPr>
        <w:t>de</w:t>
      </w:r>
      <w:r>
        <w:rPr>
          <w:sz w:val="18"/>
          <w:szCs w:val="18"/>
        </w:rPr>
        <w:t>n</w:t>
      </w:r>
      <w:r w:rsidRPr="00F14E73">
        <w:rPr>
          <w:sz w:val="18"/>
          <w:szCs w:val="18"/>
        </w:rPr>
        <w:t>tif</w:t>
      </w:r>
      <w:r>
        <w:rPr>
          <w:sz w:val="18"/>
          <w:szCs w:val="18"/>
        </w:rPr>
        <w:t>i</w:t>
      </w:r>
      <w:r w:rsidRPr="00F14E73">
        <w:rPr>
          <w:sz w:val="18"/>
          <w:szCs w:val="18"/>
        </w:rPr>
        <w:t xml:space="preserve">ed from </w:t>
      </w:r>
      <w:r>
        <w:rPr>
          <w:sz w:val="18"/>
          <w:szCs w:val="18"/>
        </w:rPr>
        <w:t>the U</w:t>
      </w:r>
      <w:r w:rsidRPr="00F14E73">
        <w:rPr>
          <w:sz w:val="18"/>
          <w:szCs w:val="18"/>
        </w:rPr>
        <w:t xml:space="preserve">pdated </w:t>
      </w:r>
      <w:r>
        <w:rPr>
          <w:sz w:val="18"/>
          <w:szCs w:val="18"/>
        </w:rPr>
        <w:t>Safety T</w:t>
      </w:r>
      <w:r w:rsidRPr="00F14E73">
        <w:rPr>
          <w:sz w:val="18"/>
          <w:szCs w:val="18"/>
        </w:rPr>
        <w:t>ables and no patient-specific information was available to the evaluator.</w:t>
      </w:r>
    </w:p>
    <w:p w:rsidR="004D5254" w:rsidRDefault="004D5254" w:rsidP="004D5254">
      <w:pPr>
        <w:autoSpaceDE w:val="0"/>
        <w:autoSpaceDN w:val="0"/>
        <w:adjustRightInd w:val="0"/>
      </w:pPr>
      <w:r>
        <w:rPr>
          <w:sz w:val="18"/>
          <w:szCs w:val="18"/>
        </w:rPr>
        <w:t>^ Not reported – details of this case were available from the narrative for the SAE pulmonary embolus included in the response to day 120 questions raised in Europe. There was no mention of pneumonitis in the original narrative included in the CSR for PDX-008.</w:t>
      </w:r>
    </w:p>
    <w:p w:rsidR="004D5254" w:rsidRDefault="004D5254" w:rsidP="004D5254">
      <w:r>
        <w:lastRenderedPageBreak/>
        <w:t>One additional patient with NSCLC from Study PDX-007 experienced radiation pneumonitis (with associated dyspnoea) of Grade 2 severity, occurring 92 days after commencing treatment with pralatrexate 270 mg/m</w:t>
      </w:r>
      <w:r w:rsidRPr="00046EB2">
        <w:rPr>
          <w:vertAlign w:val="superscript"/>
        </w:rPr>
        <w:t>2</w:t>
      </w:r>
      <w:r>
        <w:t xml:space="preserve"> every 3/4 weeks. The patient had completed a 1 month course of radiotherapy 5 weeks prior to commencing treatment with pralatrexate.</w:t>
      </w:r>
    </w:p>
    <w:p w:rsidR="004D5254" w:rsidRDefault="004D5254" w:rsidP="004D5254">
      <w:r>
        <w:t xml:space="preserve">Other potential but not necessarily specific indicators of pulmonary toxicity were: </w:t>
      </w:r>
    </w:p>
    <w:p w:rsidR="004D5254" w:rsidRDefault="004D5254" w:rsidP="004D5254">
      <w:pPr>
        <w:pStyle w:val="ListBullet"/>
        <w:numPr>
          <w:ilvl w:val="0"/>
          <w:numId w:val="1"/>
        </w:numPr>
      </w:pPr>
      <w:r>
        <w:t>dyspnoea in 163 (24%) patients across the clinical development program; 80 (23%) patients with lymphoproliferative disorders (</w:t>
      </w:r>
      <w:r w:rsidRPr="00990CA1">
        <w:t>that is,</w:t>
      </w:r>
      <w:r>
        <w:t xml:space="preserve"> Populations 1, 2 and 4); and 21 (19%) patients from the pivotal study;</w:t>
      </w:r>
    </w:p>
    <w:p w:rsidR="004D5254" w:rsidRDefault="004D5254" w:rsidP="004D5254">
      <w:pPr>
        <w:pStyle w:val="ListBullet"/>
        <w:numPr>
          <w:ilvl w:val="0"/>
          <w:numId w:val="1"/>
        </w:numPr>
      </w:pPr>
      <w:r>
        <w:t>hypoxia in 19 (2.7%) patients across the clinical development program; 17 (5%) patients with lymphoproliferative disorders; and 3 (3%) patients from the pivotal study; and</w:t>
      </w:r>
    </w:p>
    <w:p w:rsidR="004D5254" w:rsidRPr="008B0E62" w:rsidRDefault="004D5254" w:rsidP="004D5254">
      <w:pPr>
        <w:pStyle w:val="ListBullet"/>
        <w:numPr>
          <w:ilvl w:val="0"/>
          <w:numId w:val="1"/>
        </w:numPr>
      </w:pPr>
      <w:r>
        <w:t>non productive cough in 157 (23%) patients across the clinical development program; 17 (22%) patients with lymphoproliferative disorders; and 32 (29%) patients from the pivotal study.</w:t>
      </w:r>
    </w:p>
    <w:p w:rsidR="004D5254" w:rsidRDefault="004D5254" w:rsidP="004D5254">
      <w:pPr>
        <w:pStyle w:val="Heading3"/>
        <w:numPr>
          <w:ilvl w:val="1"/>
          <w:numId w:val="5"/>
        </w:numPr>
      </w:pPr>
      <w:bookmarkStart w:id="348" w:name="_Toc241374328"/>
      <w:bookmarkStart w:id="349" w:name="_Toc272414691"/>
      <w:bookmarkStart w:id="350" w:name="_Toc290846329"/>
      <w:bookmarkStart w:id="351" w:name="_Toc320881482"/>
      <w:bookmarkStart w:id="352" w:name="_Toc359930740"/>
      <w:bookmarkStart w:id="353" w:name="_Toc364764914"/>
      <w:r>
        <w:t>Evaluator’s overall conclusions on clinical safety</w:t>
      </w:r>
      <w:bookmarkEnd w:id="348"/>
      <w:bookmarkEnd w:id="349"/>
      <w:bookmarkEnd w:id="350"/>
      <w:bookmarkEnd w:id="351"/>
      <w:bookmarkEnd w:id="352"/>
      <w:bookmarkEnd w:id="353"/>
    </w:p>
    <w:p w:rsidR="004D5254" w:rsidRDefault="004D5254" w:rsidP="004D5254">
      <w:r>
        <w:t xml:space="preserve">The safety profile and risks of pralatrexate have been well elucidated and the main identified risks of pralatrexate can be considered to be related a pharmacological class effect. Although a relatively small proportion of the patients in the pralatrexate clinical development program were from the target population (PTCL) and received pralatrexate as a single agent administered via the proposed regimen, it is clear that the safety profile seen in those patients was generally consistent with that observed across a number of patient populations studied to date. These data have been supplemented by post marketing data generated over a 21 month period during which an estimated additional </w:t>
      </w:r>
      <w:r w:rsidRPr="00B3332C">
        <w:t xml:space="preserve">985 to 1725 patients </w:t>
      </w:r>
      <w:r>
        <w:t xml:space="preserve">with PTCL were </w:t>
      </w:r>
      <w:r w:rsidRPr="00B3332C">
        <w:t>exposed to the</w:t>
      </w:r>
      <w:r>
        <w:t xml:space="preserve"> </w:t>
      </w:r>
      <w:r w:rsidRPr="00B3332C">
        <w:t>drug</w:t>
      </w:r>
      <w:r>
        <w:t>.</w:t>
      </w:r>
    </w:p>
    <w:p w:rsidR="004D5254" w:rsidRDefault="004D5254" w:rsidP="004D5254">
      <w:r>
        <w:t>The toxicities identified in the clinical development program include:</w:t>
      </w:r>
    </w:p>
    <w:p w:rsidR="004D5254" w:rsidRPr="004C5B4C" w:rsidRDefault="004D5254" w:rsidP="004D5254">
      <w:pPr>
        <w:autoSpaceDE w:val="0"/>
        <w:autoSpaceDN w:val="0"/>
        <w:adjustRightInd w:val="0"/>
        <w:ind w:left="1701" w:hanging="1701"/>
        <w:rPr>
          <w:rFonts w:eastAsia="TimesNewRoman" w:cs="TimesNewRoman"/>
        </w:rPr>
      </w:pPr>
      <w:r w:rsidRPr="006D37FC">
        <w:rPr>
          <w:b/>
        </w:rPr>
        <w:t>Mucositis</w:t>
      </w:r>
      <w:r>
        <w:t xml:space="preserve"> </w:t>
      </w:r>
      <w:r>
        <w:tab/>
        <w:t>Mucosal inflammation was observed in 71% patients with PTCL in the pivotal study, with the majority of cases being oral. Serious reactions occurred in 6% patients. In this study 18% patients had Grade 3 toxicity and 4% had Grade 4 toxicity and t</w:t>
      </w:r>
      <w:r w:rsidRPr="004C5B4C">
        <w:rPr>
          <w:rFonts w:eastAsia="TimesNewRoman" w:cs="TimesNewRoman"/>
        </w:rPr>
        <w:t>he median time to</w:t>
      </w:r>
      <w:r>
        <w:rPr>
          <w:rFonts w:eastAsia="TimesNewRoman" w:cs="TimesNewRoman"/>
        </w:rPr>
        <w:t xml:space="preserve"> </w:t>
      </w:r>
      <w:r w:rsidRPr="004C5B4C">
        <w:rPr>
          <w:rFonts w:eastAsia="TimesNewRoman" w:cs="TimesNewRoman"/>
        </w:rPr>
        <w:t xml:space="preserve">onset </w:t>
      </w:r>
      <w:r>
        <w:rPr>
          <w:rFonts w:eastAsia="TimesNewRoman" w:cs="TimesNewRoman"/>
        </w:rPr>
        <w:t>of ≥ Grade 3</w:t>
      </w:r>
      <w:r w:rsidRPr="004C5B4C">
        <w:rPr>
          <w:rFonts w:eastAsia="TimesNewRoman" w:cs="TimesNewRoman"/>
        </w:rPr>
        <w:t xml:space="preserve"> mucosal inflammation was 19 days</w:t>
      </w:r>
      <w:r>
        <w:rPr>
          <w:rFonts w:eastAsia="TimesNewRoman" w:cs="TimesNewRoman"/>
        </w:rPr>
        <w:t>. M</w:t>
      </w:r>
      <w:r w:rsidRPr="00741873">
        <w:rPr>
          <w:rFonts w:eastAsia="TimesNewRoman" w:cs="TimesNewRoman"/>
        </w:rPr>
        <w:t>ucosal inflammation</w:t>
      </w:r>
      <w:r>
        <w:rPr>
          <w:rFonts w:eastAsia="TimesNewRoman" w:cs="TimesNewRoman"/>
        </w:rPr>
        <w:t>/ stomatitis</w:t>
      </w:r>
      <w:r w:rsidRPr="00741873">
        <w:rPr>
          <w:rFonts w:eastAsia="TimesNewRoman" w:cs="TimesNewRoman"/>
        </w:rPr>
        <w:t xml:space="preserve"> </w:t>
      </w:r>
      <w:r>
        <w:rPr>
          <w:rFonts w:eastAsia="TimesNewRoman" w:cs="TimesNewRoman"/>
        </w:rPr>
        <w:t>was the most common reason for dose reduction and treatment withdrawal in the pivotal study and across the clinical development program.</w:t>
      </w:r>
    </w:p>
    <w:p w:rsidR="004D5254" w:rsidRDefault="004D5254" w:rsidP="004D5254">
      <w:pPr>
        <w:autoSpaceDE w:val="0"/>
        <w:autoSpaceDN w:val="0"/>
        <w:adjustRightInd w:val="0"/>
        <w:ind w:left="1701" w:hanging="1701"/>
      </w:pPr>
      <w:r w:rsidRPr="006D37FC">
        <w:rPr>
          <w:b/>
        </w:rPr>
        <w:t>Myelotoxicity</w:t>
      </w:r>
      <w:r>
        <w:t xml:space="preserve"> </w:t>
      </w:r>
      <w:r>
        <w:tab/>
        <w:t>Thrombocytopaenia, neutropaenia and anaemia were very common toxicities which, along with mucositis, accounted for the majority of treatment-related withdrawals of pralatrexate therapy, dose omissions and dose-reductions. In the pivotal study t</w:t>
      </w:r>
      <w:r w:rsidRPr="00A05EB7">
        <w:rPr>
          <w:rFonts w:eastAsia="TimesNewRoman" w:cs="TimesNewRoman"/>
          <w:color w:val="000000"/>
        </w:rPr>
        <w:t>he median time</w:t>
      </w:r>
      <w:r>
        <w:rPr>
          <w:rFonts w:eastAsia="TimesNewRoman" w:cs="TimesNewRoman"/>
          <w:color w:val="000000"/>
        </w:rPr>
        <w:t xml:space="preserve"> </w:t>
      </w:r>
      <w:r w:rsidRPr="00A05EB7">
        <w:rPr>
          <w:rFonts w:eastAsia="TimesNewRoman" w:cs="TimesNewRoman"/>
          <w:color w:val="000000"/>
        </w:rPr>
        <w:t xml:space="preserve">to onset of thrombocytopenia </w:t>
      </w:r>
      <w:r>
        <w:rPr>
          <w:rFonts w:eastAsia="TimesNewRoman" w:cs="TimesNewRoman"/>
          <w:color w:val="000000"/>
        </w:rPr>
        <w:t xml:space="preserve">≥ Grade 3 </w:t>
      </w:r>
      <w:r w:rsidRPr="00A05EB7">
        <w:rPr>
          <w:rFonts w:eastAsia="TimesNewRoman" w:cs="TimesNewRoman"/>
          <w:color w:val="000000"/>
        </w:rPr>
        <w:t>was 15 days</w:t>
      </w:r>
      <w:r>
        <w:rPr>
          <w:rFonts w:eastAsia="TimesNewRoman" w:cs="TimesNewRoman"/>
          <w:color w:val="000000"/>
        </w:rPr>
        <w:t xml:space="preserve">, with a </w:t>
      </w:r>
      <w:r w:rsidRPr="00A05EB7">
        <w:rPr>
          <w:rFonts w:eastAsia="TimesNewRoman" w:cs="TimesNewRoman"/>
          <w:color w:val="000000"/>
        </w:rPr>
        <w:t>median duration of 16 days.</w:t>
      </w:r>
      <w:r>
        <w:rPr>
          <w:rFonts w:eastAsia="TimesNewRoman" w:cs="TimesNewRoman"/>
          <w:color w:val="000000"/>
        </w:rPr>
        <w:t xml:space="preserve"> T</w:t>
      </w:r>
      <w:r w:rsidRPr="00A05EB7">
        <w:rPr>
          <w:rFonts w:eastAsia="TimesNewRoman" w:cs="TimesNewRoman"/>
          <w:color w:val="000000"/>
        </w:rPr>
        <w:t>he median time to onset of</w:t>
      </w:r>
      <w:r>
        <w:rPr>
          <w:rFonts w:eastAsia="TimesNewRoman" w:cs="TimesNewRoman"/>
          <w:color w:val="000000"/>
        </w:rPr>
        <w:t xml:space="preserve"> ≥</w:t>
      </w:r>
      <w:r w:rsidRPr="00A05EB7">
        <w:rPr>
          <w:rFonts w:eastAsia="TimesNewRoman" w:cs="TimesNewRoman"/>
          <w:color w:val="000000"/>
        </w:rPr>
        <w:t xml:space="preserve"> Grade 3 neutrop</w:t>
      </w:r>
      <w:r>
        <w:rPr>
          <w:rFonts w:eastAsia="TimesNewRoman" w:cs="TimesNewRoman"/>
          <w:color w:val="000000"/>
        </w:rPr>
        <w:t>a</w:t>
      </w:r>
      <w:r w:rsidRPr="00A05EB7">
        <w:rPr>
          <w:rFonts w:eastAsia="TimesNewRoman" w:cs="TimesNewRoman"/>
          <w:color w:val="000000"/>
        </w:rPr>
        <w:t xml:space="preserve">enia was </w:t>
      </w:r>
      <w:r>
        <w:rPr>
          <w:rFonts w:eastAsia="TimesNewRoman" w:cs="TimesNewRoman"/>
          <w:color w:val="000000"/>
        </w:rPr>
        <w:t xml:space="preserve">slightly longer at </w:t>
      </w:r>
      <w:r w:rsidRPr="00A05EB7">
        <w:rPr>
          <w:rFonts w:eastAsia="TimesNewRoman" w:cs="TimesNewRoman"/>
          <w:color w:val="000000"/>
        </w:rPr>
        <w:t>22 days</w:t>
      </w:r>
      <w:r>
        <w:rPr>
          <w:rFonts w:eastAsia="TimesNewRoman" w:cs="TimesNewRoman"/>
          <w:color w:val="000000"/>
        </w:rPr>
        <w:t xml:space="preserve"> but the </w:t>
      </w:r>
      <w:r w:rsidRPr="00A05EB7">
        <w:rPr>
          <w:rFonts w:eastAsia="TimesNewRoman" w:cs="TimesNewRoman"/>
          <w:color w:val="000000"/>
        </w:rPr>
        <w:t xml:space="preserve">median duration was </w:t>
      </w:r>
      <w:r>
        <w:rPr>
          <w:rFonts w:eastAsia="TimesNewRoman" w:cs="TimesNewRoman"/>
          <w:color w:val="000000"/>
        </w:rPr>
        <w:t xml:space="preserve">only </w:t>
      </w:r>
      <w:r w:rsidRPr="00A05EB7">
        <w:rPr>
          <w:rFonts w:eastAsia="TimesNewRoman" w:cs="TimesNewRoman"/>
          <w:color w:val="000000"/>
        </w:rPr>
        <w:t>8 days</w:t>
      </w:r>
      <w:r>
        <w:rPr>
          <w:rFonts w:eastAsia="TimesNewRoman" w:cs="TimesNewRoman"/>
          <w:color w:val="000000"/>
        </w:rPr>
        <w:t xml:space="preserve"> which possibly reflects the use of the</w:t>
      </w:r>
      <w:r w:rsidRPr="00A05EB7">
        <w:rPr>
          <w:rFonts w:eastAsia="TimesNewRoman" w:cs="TimesNewRoman"/>
          <w:color w:val="000000"/>
        </w:rPr>
        <w:t xml:space="preserve"> colony stimulating factor</w:t>
      </w:r>
      <w:r>
        <w:rPr>
          <w:rFonts w:eastAsia="TimesNewRoman" w:cs="TimesNewRoman"/>
          <w:color w:val="000000"/>
        </w:rPr>
        <w:t>s</w:t>
      </w:r>
      <w:r w:rsidRPr="00A05EB7">
        <w:rPr>
          <w:rFonts w:eastAsia="TimesNewRoman" w:cs="TimesNewRoman"/>
          <w:color w:val="000000"/>
        </w:rPr>
        <w:t xml:space="preserve"> G-CSF</w:t>
      </w:r>
      <w:r>
        <w:rPr>
          <w:rFonts w:eastAsia="TimesNewRoman" w:cs="TimesNewRoman"/>
          <w:color w:val="000000"/>
        </w:rPr>
        <w:t xml:space="preserve"> and </w:t>
      </w:r>
      <w:r w:rsidRPr="00A05EB7">
        <w:rPr>
          <w:rFonts w:eastAsia="TimesNewRoman" w:cs="TimesNewRoman"/>
          <w:color w:val="000000"/>
        </w:rPr>
        <w:t>GM-CSF.</w:t>
      </w:r>
    </w:p>
    <w:p w:rsidR="004D5254" w:rsidRDefault="004D5254" w:rsidP="004D5254">
      <w:pPr>
        <w:autoSpaceDE w:val="0"/>
        <w:autoSpaceDN w:val="0"/>
        <w:adjustRightInd w:val="0"/>
        <w:ind w:left="1701" w:hanging="1701"/>
      </w:pPr>
      <w:r w:rsidRPr="006D37FC">
        <w:rPr>
          <w:b/>
        </w:rPr>
        <w:t>Dermatological toxicity</w:t>
      </w:r>
      <w:r>
        <w:t xml:space="preserve"> 36% patients with PTCL in the pivotal study and 36% patients across the clinical development program </w:t>
      </w:r>
      <w:r w:rsidRPr="00197E15">
        <w:rPr>
          <w:rFonts w:eastAsia="TimesNewRoman" w:cs="TimesNewRoman"/>
        </w:rPr>
        <w:t>experienced treatment-related dermatological AEs</w:t>
      </w:r>
      <w:r>
        <w:rPr>
          <w:rFonts w:eastAsia="TimesNewRoman" w:cs="TimesNewRoman"/>
        </w:rPr>
        <w:t xml:space="preserve">. </w:t>
      </w:r>
      <w:r w:rsidRPr="00197E15">
        <w:rPr>
          <w:rFonts w:eastAsia="TimesNewRoman" w:cs="TimesNewRoman"/>
        </w:rPr>
        <w:t xml:space="preserve">Grade 3-5 treatment-related dermatological </w:t>
      </w:r>
      <w:r>
        <w:rPr>
          <w:rFonts w:eastAsia="TimesNewRoman" w:cs="TimesNewRoman"/>
        </w:rPr>
        <w:t>events</w:t>
      </w:r>
      <w:r w:rsidRPr="00197E15">
        <w:rPr>
          <w:rFonts w:eastAsia="TimesNewRoman" w:cs="TimesNewRoman"/>
        </w:rPr>
        <w:t xml:space="preserve"> occurred in</w:t>
      </w:r>
      <w:r>
        <w:rPr>
          <w:rFonts w:eastAsia="TimesNewRoman" w:cs="TimesNewRoman"/>
        </w:rPr>
        <w:t xml:space="preserve"> 5% PTCL patients in the pivotal study and 3% </w:t>
      </w:r>
      <w:r w:rsidRPr="00197E15">
        <w:rPr>
          <w:rFonts w:eastAsia="TimesNewRoman" w:cs="TimesNewRoman"/>
        </w:rPr>
        <w:t>patients overall</w:t>
      </w:r>
      <w:r>
        <w:rPr>
          <w:rFonts w:eastAsia="TimesNewRoman" w:cs="TimesNewRoman"/>
        </w:rPr>
        <w:t>. There have been 24</w:t>
      </w:r>
      <w:r>
        <w:t xml:space="preserve"> clinically significant dermatological reactions reported in clinical trials and post marketing usage. </w:t>
      </w:r>
      <w:r w:rsidRPr="00E21D3D">
        <w:rPr>
          <w:rFonts w:eastAsia="TimesNewRoman" w:cs="TimesNewRoman"/>
        </w:rPr>
        <w:t>Severe dermatological reactions occur early in treatment</w:t>
      </w:r>
      <w:r>
        <w:rPr>
          <w:rFonts w:eastAsia="TimesNewRoman" w:cs="TimesNewRoman"/>
        </w:rPr>
        <w:t xml:space="preserve"> and</w:t>
      </w:r>
      <w:r w:rsidRPr="00E21D3D">
        <w:rPr>
          <w:rFonts w:eastAsia="TimesNewRoman" w:cs="TimesNewRoman"/>
        </w:rPr>
        <w:t xml:space="preserve"> generally after the first dose.</w:t>
      </w:r>
      <w:r>
        <w:rPr>
          <w:rFonts w:eastAsia="TimesNewRoman" w:cs="TimesNewRoman"/>
        </w:rPr>
        <w:t xml:space="preserve"> </w:t>
      </w:r>
      <w:r w:rsidRPr="00E21D3D">
        <w:rPr>
          <w:rFonts w:eastAsia="TimesNewRoman" w:cs="TimesNewRoman"/>
        </w:rPr>
        <w:t>The majority of the important dermatological reactions resolved with supportive therapy</w:t>
      </w:r>
      <w:r>
        <w:rPr>
          <w:rFonts w:eastAsia="TimesNewRoman" w:cs="TimesNewRoman"/>
        </w:rPr>
        <w:t xml:space="preserve"> and </w:t>
      </w:r>
      <w:r w:rsidRPr="00E21D3D">
        <w:rPr>
          <w:rFonts w:eastAsia="TimesNewRoman" w:cs="TimesNewRoman"/>
        </w:rPr>
        <w:lastRenderedPageBreak/>
        <w:t>some patients were able to continue pralatrexate therapy.</w:t>
      </w:r>
      <w:r>
        <w:rPr>
          <w:rFonts w:eastAsia="TimesNewRoman" w:cs="TimesNewRoman"/>
        </w:rPr>
        <w:t xml:space="preserve"> However, of most concern were </w:t>
      </w:r>
      <w:r>
        <w:t>6 reactions (</w:t>
      </w:r>
      <w:r>
        <w:rPr>
          <w:rFonts w:eastAsia="TimesNewRoman" w:cs="TimesNewRoman"/>
        </w:rPr>
        <w:t>skin necrosis, skin exfoliation; skin ulceration; TEN; and bullous eruptions)</w:t>
      </w:r>
      <w:r>
        <w:t xml:space="preserve"> that occurred after only one or two doses and were associated with a fatal outcome. </w:t>
      </w:r>
      <w:r w:rsidRPr="00E21D3D">
        <w:rPr>
          <w:rFonts w:eastAsia="TimesNewRoman" w:cs="TimesNewRoman"/>
        </w:rPr>
        <w:t>The fatal and/or life-threatening reactions occurred in patients with extensive skin disease</w:t>
      </w:r>
      <w:r>
        <w:rPr>
          <w:rFonts w:eastAsia="TimesNewRoman" w:cs="TimesNewRoman"/>
        </w:rPr>
        <w:t xml:space="preserve"> </w:t>
      </w:r>
      <w:r w:rsidRPr="00E21D3D">
        <w:rPr>
          <w:rFonts w:eastAsia="TimesNewRoman" w:cs="TimesNewRoman"/>
        </w:rPr>
        <w:t>and were generally associated with mucositis, neutrop</w:t>
      </w:r>
      <w:r>
        <w:rPr>
          <w:rFonts w:eastAsia="TimesNewRoman" w:cs="TimesNewRoman"/>
        </w:rPr>
        <w:t>a</w:t>
      </w:r>
      <w:r w:rsidRPr="00E21D3D">
        <w:rPr>
          <w:rFonts w:eastAsia="TimesNewRoman" w:cs="TimesNewRoman"/>
        </w:rPr>
        <w:t>enia, and/or infection and included</w:t>
      </w:r>
      <w:r>
        <w:rPr>
          <w:rFonts w:eastAsia="TimesNewRoman" w:cs="TimesNewRoman"/>
        </w:rPr>
        <w:t xml:space="preserve"> </w:t>
      </w:r>
      <w:r w:rsidRPr="00E21D3D">
        <w:rPr>
          <w:rFonts w:eastAsia="TimesNewRoman" w:cs="TimesNewRoman"/>
        </w:rPr>
        <w:t>extensive skin involvement</w:t>
      </w:r>
      <w:r>
        <w:rPr>
          <w:rFonts w:eastAsia="TimesNewRoman" w:cs="TimesNewRoman"/>
        </w:rPr>
        <w:t xml:space="preserve"> of the underlying lymphoma</w:t>
      </w:r>
      <w:r w:rsidRPr="00E21D3D">
        <w:rPr>
          <w:rFonts w:eastAsia="TimesNewRoman" w:cs="TimesNewRoman"/>
        </w:rPr>
        <w:t>.</w:t>
      </w:r>
      <w:r>
        <w:rPr>
          <w:rFonts w:eastAsia="TimesNewRoman" w:cs="TimesNewRoman"/>
        </w:rPr>
        <w:t xml:space="preserve"> C</w:t>
      </w:r>
      <w:r>
        <w:t>ompromise in the integrity of the skin may also pre-dispose patients to infection and subsequent sepsis in the setting of myelosuppression.</w:t>
      </w:r>
    </w:p>
    <w:p w:rsidR="004D5254" w:rsidRDefault="004D5254" w:rsidP="004D5254">
      <w:pPr>
        <w:autoSpaceDE w:val="0"/>
        <w:autoSpaceDN w:val="0"/>
        <w:adjustRightInd w:val="0"/>
        <w:ind w:left="1701" w:hanging="1701"/>
      </w:pPr>
      <w:r w:rsidRPr="005B31D8">
        <w:rPr>
          <w:b/>
        </w:rPr>
        <w:t>Abnormal liver function</w:t>
      </w:r>
      <w:r>
        <w:t xml:space="preserve"> Pralatrexate appears to have a mild potential for hepatotoxicity. In the pivotal study clinically significant abnormalities of AST and ALT were reported in 17% and 16% patients with PTCL, respectively. 9% of patients had clinically significant derangements in total bilirubin levels. </w:t>
      </w:r>
      <w:r>
        <w:rPr>
          <w:color w:val="000000"/>
        </w:rPr>
        <w:t>Most abnormalities of hepatic function were managed successfully with dose reduction, although in almost all cases the dose reduction was undertaken primarily for other concomitant toxicities such as thrombocytopaenia, neutropaenia or mucositis. Overall, very few patients had pralatrexate doses omitted or reduced, or therapy withdrawn primarily as a result of adverse effects on liver function.</w:t>
      </w:r>
    </w:p>
    <w:p w:rsidR="004D5254" w:rsidRPr="001A1C00" w:rsidRDefault="004D5254" w:rsidP="004D5254">
      <w:pPr>
        <w:autoSpaceDE w:val="0"/>
        <w:autoSpaceDN w:val="0"/>
        <w:adjustRightInd w:val="0"/>
        <w:ind w:left="1701" w:hanging="1701"/>
        <w:rPr>
          <w:b/>
        </w:rPr>
      </w:pPr>
      <w:r w:rsidRPr="001A1C00">
        <w:rPr>
          <w:b/>
        </w:rPr>
        <w:t xml:space="preserve">Infection </w:t>
      </w:r>
      <w:r w:rsidRPr="001A1C00">
        <w:rPr>
          <w:b/>
        </w:rPr>
        <w:tab/>
      </w:r>
      <w:r w:rsidRPr="001A1C00">
        <w:t>Susceptibility to infections such as pneumonia, sepsis and herpes zoster</w:t>
      </w:r>
      <w:r>
        <w:t xml:space="preserve"> in patients receiving pralatrexate may be increased as the result of myelosuppression (neutropaenia, pancytopaenia), previous chemotherapies and the underlying disease process. In the pivotal study 6% PTCL patients experienced ≥ Grade 3 sepsis; 3% had ≥ Grade 3 herpes zoster infection; and 5% had ≥ Grade 3 pneumonia.</w:t>
      </w:r>
    </w:p>
    <w:p w:rsidR="004D5254" w:rsidRPr="00C50581" w:rsidRDefault="004D5254" w:rsidP="004D5254">
      <w:pPr>
        <w:autoSpaceDE w:val="0"/>
        <w:autoSpaceDN w:val="0"/>
        <w:adjustRightInd w:val="0"/>
        <w:ind w:left="1701" w:hanging="1701"/>
      </w:pPr>
      <w:r w:rsidRPr="005B31D8">
        <w:rPr>
          <w:b/>
        </w:rPr>
        <w:t>Tumour lysis syndrome</w:t>
      </w:r>
      <w:r>
        <w:t xml:space="preserve"> T</w:t>
      </w:r>
      <w:r>
        <w:rPr>
          <w:rFonts w:eastAsia="TimesNewRoman" w:cs="TimesNewRoman"/>
        </w:rPr>
        <w:t>umour lysis syndrome was observed in 4 patients with lymphoproliferative disorders across the clinical development program, including 3 patients with PTCL. All cases of tumour lysis</w:t>
      </w:r>
      <w:r w:rsidRPr="00352FA4">
        <w:rPr>
          <w:rFonts w:eastAsia="TimesNewRoman" w:cs="TimesNewRoman"/>
        </w:rPr>
        <w:t xml:space="preserve"> </w:t>
      </w:r>
      <w:r>
        <w:rPr>
          <w:rFonts w:eastAsia="TimesNewRoman" w:cs="TimesNewRoman"/>
        </w:rPr>
        <w:t xml:space="preserve">syndrome </w:t>
      </w:r>
      <w:r w:rsidRPr="00352FA4">
        <w:rPr>
          <w:rFonts w:eastAsia="TimesNewRoman" w:cs="TimesNewRoman"/>
        </w:rPr>
        <w:t xml:space="preserve">were </w:t>
      </w:r>
      <w:r>
        <w:rPr>
          <w:rFonts w:eastAsia="TimesNewRoman" w:cs="TimesNewRoman"/>
        </w:rPr>
        <w:t>of Grade 3</w:t>
      </w:r>
      <w:r w:rsidRPr="00352FA4">
        <w:rPr>
          <w:rFonts w:eastAsia="TimesNewRoman" w:cs="TimesNewRoman"/>
        </w:rPr>
        <w:t>-4 severity,</w:t>
      </w:r>
      <w:r>
        <w:rPr>
          <w:rFonts w:eastAsia="TimesNewRoman" w:cs="TimesNewRoman"/>
        </w:rPr>
        <w:t xml:space="preserve"> with </w:t>
      </w:r>
      <w:r w:rsidRPr="00352FA4">
        <w:rPr>
          <w:rFonts w:eastAsia="TimesNewRoman" w:cs="TimesNewRoman"/>
        </w:rPr>
        <w:t xml:space="preserve">onset </w:t>
      </w:r>
      <w:r>
        <w:rPr>
          <w:rFonts w:eastAsia="TimesNewRoman" w:cs="TimesNewRoman"/>
        </w:rPr>
        <w:t>between</w:t>
      </w:r>
      <w:r w:rsidRPr="00352FA4">
        <w:rPr>
          <w:rFonts w:eastAsia="TimesNewRoman" w:cs="TimesNewRoman"/>
        </w:rPr>
        <w:t xml:space="preserve"> 3-51 days following initial administration of pralatrexate and</w:t>
      </w:r>
      <w:r>
        <w:rPr>
          <w:rFonts w:eastAsia="TimesNewRoman" w:cs="TimesNewRoman"/>
        </w:rPr>
        <w:t xml:space="preserve"> </w:t>
      </w:r>
      <w:r w:rsidRPr="00352FA4">
        <w:rPr>
          <w:rFonts w:eastAsia="TimesNewRoman" w:cs="TimesNewRoman"/>
        </w:rPr>
        <w:t>duration rang</w:t>
      </w:r>
      <w:r>
        <w:rPr>
          <w:rFonts w:eastAsia="TimesNewRoman" w:cs="TimesNewRoman"/>
        </w:rPr>
        <w:t>ing</w:t>
      </w:r>
      <w:r w:rsidRPr="00352FA4">
        <w:rPr>
          <w:rFonts w:eastAsia="TimesNewRoman" w:cs="TimesNewRoman"/>
        </w:rPr>
        <w:t xml:space="preserve"> from 7-14 days.</w:t>
      </w:r>
      <w:r>
        <w:rPr>
          <w:rFonts w:eastAsia="TimesNewRoman" w:cs="TimesNewRoman"/>
        </w:rPr>
        <w:t xml:space="preserve"> Two patients discontinued pralatrexate because of this ADR. Patients with bulky disease and those responding to pralatrexate may be at higher risk of developing tumour lysis syndrome. Patients experiencing tumour lysis may develop metabolic complications including hyperuricaemia and acute renal failure. The risk of tumour lysis syndrome can be managed through the prophylactic use of allopurinol and ensuring patients are adequately hydrated.</w:t>
      </w:r>
    </w:p>
    <w:p w:rsidR="004D5254" w:rsidRPr="00A12CCA" w:rsidRDefault="004D5254" w:rsidP="004D5254">
      <w:pPr>
        <w:autoSpaceDE w:val="0"/>
        <w:autoSpaceDN w:val="0"/>
        <w:adjustRightInd w:val="0"/>
        <w:ind w:left="1701" w:hanging="1701"/>
      </w:pPr>
      <w:r w:rsidRPr="00A67B2B">
        <w:rPr>
          <w:b/>
        </w:rPr>
        <w:t>Pulmonary toxicity</w:t>
      </w:r>
      <w:r>
        <w:rPr>
          <w:b/>
        </w:rPr>
        <w:t xml:space="preserve"> </w:t>
      </w:r>
      <w:r>
        <w:t>Pulmonary toxicity is a known class effect of antifolate therapies. There have been 9 reports of pneumonitis (including 3 Grade 3 cases when pralatrexate was used in combination with gemcitabine) and 1 report of radiation pneumonitis. All but one case of pneumonitis occurred in patients with a lymphoproliferative malignancy (mainly PTCL). Two cases occurred in the pivotal study and were both considered to be treatment-related.</w:t>
      </w:r>
    </w:p>
    <w:p w:rsidR="004D5254" w:rsidRDefault="004D5254" w:rsidP="004D5254">
      <w:pPr>
        <w:autoSpaceDE w:val="0"/>
        <w:autoSpaceDN w:val="0"/>
        <w:adjustRightInd w:val="0"/>
      </w:pPr>
      <w:r>
        <w:t>Personal communication between this evaluator and 2 medical officers at the TGA who have haematological expertise confirmed the safety profile for pralatrexate, including dermatological safety, is consistent with the experience of other antifolate cytotoxics available in Australia.</w:t>
      </w:r>
    </w:p>
    <w:p w:rsidR="004D5254" w:rsidRDefault="004D5254" w:rsidP="004D5254">
      <w:pPr>
        <w:autoSpaceDE w:val="0"/>
        <w:autoSpaceDN w:val="0"/>
        <w:adjustRightInd w:val="0"/>
        <w:rPr>
          <w:color w:val="000000"/>
          <w:lang w:val="en-GB" w:eastAsia="en-GB"/>
        </w:rPr>
      </w:pPr>
      <w:r w:rsidRPr="001833ED">
        <w:rPr>
          <w:rFonts w:eastAsia="TimesNewRoman" w:cs="TimesNewRoman"/>
        </w:rPr>
        <w:t>The safety of pralatrexate has not been evaluated in patients with moderate</w:t>
      </w:r>
      <w:r>
        <w:rPr>
          <w:rFonts w:eastAsia="TimesNewRoman" w:cs="TimesNewRoman"/>
        </w:rPr>
        <w:t xml:space="preserve"> to</w:t>
      </w:r>
      <w:r w:rsidRPr="001833ED">
        <w:rPr>
          <w:rFonts w:eastAsia="TimesNewRoman" w:cs="TimesNewRoman"/>
        </w:rPr>
        <w:t xml:space="preserve"> severe renal impairment</w:t>
      </w:r>
      <w:r>
        <w:rPr>
          <w:rFonts w:eastAsia="TimesNewRoman" w:cs="TimesNewRoman"/>
        </w:rPr>
        <w:t xml:space="preserve"> or patients with hepatic impairment</w:t>
      </w:r>
      <w:r w:rsidRPr="001833ED">
        <w:rPr>
          <w:rFonts w:eastAsia="TimesNewRoman" w:cs="TimesNewRoman"/>
        </w:rPr>
        <w:t>.</w:t>
      </w:r>
      <w:r>
        <w:rPr>
          <w:rFonts w:eastAsia="TimesNewRoman" w:cs="TimesNewRoman"/>
        </w:rPr>
        <w:t xml:space="preserve"> Renal toxicity has been identified as a Potential risk in the Risk Management Plan</w:t>
      </w:r>
      <w:r>
        <w:rPr>
          <w:color w:val="000000"/>
          <w:lang w:val="en-GB" w:eastAsia="en-GB"/>
        </w:rPr>
        <w:t xml:space="preserve">. </w:t>
      </w:r>
    </w:p>
    <w:p w:rsidR="004D5254" w:rsidRDefault="004D5254" w:rsidP="004D5254">
      <w:pPr>
        <w:autoSpaceDE w:val="0"/>
        <w:autoSpaceDN w:val="0"/>
        <w:adjustRightInd w:val="0"/>
      </w:pPr>
      <w:r>
        <w:rPr>
          <w:color w:val="000000"/>
          <w:lang w:val="en-GB" w:eastAsia="en-GB"/>
        </w:rPr>
        <w:lastRenderedPageBreak/>
        <w:t xml:space="preserve">Also, </w:t>
      </w:r>
      <w:r>
        <w:rPr>
          <w:rFonts w:eastAsia="TimesNewRoman" w:cs="TimesNewRoman"/>
        </w:rPr>
        <w:t>a</w:t>
      </w:r>
      <w:r w:rsidRPr="002C0EA8">
        <w:rPr>
          <w:rFonts w:eastAsia="TimesNewRoman" w:cs="TimesNewRoman"/>
        </w:rPr>
        <w:t xml:space="preserve">lthough there does not seem to be a difference in </w:t>
      </w:r>
      <w:r>
        <w:rPr>
          <w:rFonts w:eastAsia="TimesNewRoman" w:cs="TimesNewRoman"/>
        </w:rPr>
        <w:t xml:space="preserve">the </w:t>
      </w:r>
      <w:r w:rsidRPr="002C0EA8">
        <w:rPr>
          <w:rFonts w:eastAsia="TimesNewRoman" w:cs="TimesNewRoman"/>
        </w:rPr>
        <w:t>overall</w:t>
      </w:r>
      <w:r>
        <w:rPr>
          <w:rFonts w:eastAsia="TimesNewRoman" w:cs="TimesNewRoman"/>
        </w:rPr>
        <w:t xml:space="preserve"> frequency of </w:t>
      </w:r>
      <w:r w:rsidRPr="002C0EA8">
        <w:rPr>
          <w:rFonts w:eastAsia="TimesNewRoman" w:cs="TimesNewRoman"/>
        </w:rPr>
        <w:t>AEs between older and younger patients, greater sensitivity of some older</w:t>
      </w:r>
      <w:r>
        <w:rPr>
          <w:rFonts w:eastAsia="TimesNewRoman" w:cs="TimesNewRoman"/>
        </w:rPr>
        <w:t xml:space="preserve"> </w:t>
      </w:r>
      <w:r w:rsidRPr="002C0EA8">
        <w:rPr>
          <w:rFonts w:eastAsia="TimesNewRoman" w:cs="TimesNewRoman"/>
        </w:rPr>
        <w:t>individuals cannot be ruled out</w:t>
      </w:r>
      <w:r>
        <w:rPr>
          <w:rFonts w:eastAsia="TimesNewRoman" w:cs="TimesNewRoman"/>
        </w:rPr>
        <w:t>, especially for the development of mucosal inflammation and thrombocytopaenia</w:t>
      </w:r>
      <w:r w:rsidRPr="002C0EA8">
        <w:rPr>
          <w:rFonts w:eastAsia="TimesNewRoman" w:cs="TimesNewRoman"/>
        </w:rPr>
        <w:t>.</w:t>
      </w:r>
      <w:r>
        <w:rPr>
          <w:rFonts w:eastAsia="TimesNewRoman" w:cs="TimesNewRoman"/>
        </w:rPr>
        <w:t xml:space="preserve"> Any propensity for increased frequency of these events in older patients can be mitigated by careful monitoring and dosage adjustment during treatment. C</w:t>
      </w:r>
      <w:r w:rsidRPr="007D39C4">
        <w:t xml:space="preserve">reatinine clearance was </w:t>
      </w:r>
      <w:r>
        <w:t>found to be a</w:t>
      </w:r>
      <w:r w:rsidRPr="007D39C4">
        <w:t xml:space="preserve"> clinically important predictor </w:t>
      </w:r>
      <w:r>
        <w:t>(</w:t>
      </w:r>
      <w:r w:rsidRPr="007D39C4">
        <w:t>represent</w:t>
      </w:r>
      <w:r>
        <w:t>ing</w:t>
      </w:r>
      <w:r w:rsidRPr="007D39C4">
        <w:t xml:space="preserve"> both renal function and age dependencies</w:t>
      </w:r>
      <w:r>
        <w:t>) of pralatrexate exposure and therefore potential for adverse effect in population pharmacokinetic modelling. Whilst no dosage adjust</w:t>
      </w:r>
      <w:r w:rsidRPr="00A74A40">
        <w:t>ments are recommended for age</w:t>
      </w:r>
      <w:r>
        <w:t xml:space="preserve"> </w:t>
      </w:r>
      <w:r w:rsidRPr="00A74A40">
        <w:rPr>
          <w:i/>
        </w:rPr>
        <w:t>per se</w:t>
      </w:r>
      <w:r w:rsidRPr="00A74A40">
        <w:t>, age</w:t>
      </w:r>
      <w:r w:rsidRPr="00F46103">
        <w:t xml:space="preserve">-related decline in renal function </w:t>
      </w:r>
      <w:r>
        <w:t xml:space="preserve">is highlighted appropriately in the proposed PI. </w:t>
      </w:r>
    </w:p>
    <w:p w:rsidR="004D5254" w:rsidRDefault="004D5254" w:rsidP="006B182B">
      <w:pPr>
        <w:pStyle w:val="Heading2"/>
      </w:pPr>
      <w:bookmarkStart w:id="354" w:name="_Toc359930741"/>
      <w:bookmarkStart w:id="355" w:name="_Toc364764915"/>
      <w:r>
        <w:t>First round benefit-risk assessment</w:t>
      </w:r>
      <w:bookmarkEnd w:id="354"/>
      <w:bookmarkEnd w:id="355"/>
    </w:p>
    <w:p w:rsidR="004D5254" w:rsidRDefault="004D5254" w:rsidP="004D5254">
      <w:pPr>
        <w:pStyle w:val="Heading3"/>
        <w:numPr>
          <w:ilvl w:val="1"/>
          <w:numId w:val="5"/>
        </w:numPr>
      </w:pPr>
      <w:bookmarkStart w:id="356" w:name="_Toc236802592"/>
      <w:bookmarkStart w:id="357" w:name="_Toc241374331"/>
      <w:bookmarkStart w:id="358" w:name="_Ref272160836"/>
      <w:bookmarkStart w:id="359" w:name="_Toc272414693"/>
      <w:bookmarkStart w:id="360" w:name="_Toc290846331"/>
      <w:bookmarkStart w:id="361" w:name="_Toc320881484"/>
      <w:bookmarkStart w:id="362" w:name="_Toc359930742"/>
      <w:bookmarkStart w:id="363" w:name="_Toc364764916"/>
      <w:r>
        <w:t>First round assessment of benefits</w:t>
      </w:r>
      <w:bookmarkEnd w:id="356"/>
      <w:bookmarkEnd w:id="357"/>
      <w:bookmarkEnd w:id="358"/>
      <w:bookmarkEnd w:id="359"/>
      <w:bookmarkEnd w:id="360"/>
      <w:bookmarkEnd w:id="361"/>
      <w:bookmarkEnd w:id="362"/>
      <w:bookmarkEnd w:id="363"/>
    </w:p>
    <w:p w:rsidR="004D5254" w:rsidRDefault="004D5254" w:rsidP="004D5254">
      <w:r>
        <w:t>The benefits of pralatrexate in the proposed usage are:</w:t>
      </w:r>
    </w:p>
    <w:p w:rsidR="004D5254" w:rsidRDefault="004D5254" w:rsidP="004D5254">
      <w:pPr>
        <w:pStyle w:val="ListBullet"/>
        <w:numPr>
          <w:ilvl w:val="0"/>
          <w:numId w:val="1"/>
        </w:numPr>
      </w:pPr>
      <w:r>
        <w:t>an overall response rate (CR+CRu+PR) of 29% (95% CI: 21 – 39%) by independent adjudicated (central) review;</w:t>
      </w:r>
    </w:p>
    <w:p w:rsidR="004D5254" w:rsidRPr="00602972" w:rsidRDefault="004D5254" w:rsidP="004D5254">
      <w:pPr>
        <w:pStyle w:val="ListBullet"/>
        <w:numPr>
          <w:ilvl w:val="0"/>
          <w:numId w:val="1"/>
        </w:numPr>
      </w:pPr>
      <w:r w:rsidRPr="00602972">
        <w:rPr>
          <w:rFonts w:eastAsia="TimesNewRoman" w:cs="TimesNewRoman"/>
        </w:rPr>
        <w:t>25% of pralatrexate responders had no evidence of response to their most recent prior therapy;</w:t>
      </w:r>
    </w:p>
    <w:p w:rsidR="004D5254" w:rsidRPr="00602972" w:rsidRDefault="004D5254" w:rsidP="004D5254">
      <w:pPr>
        <w:pStyle w:val="ListBullet"/>
        <w:numPr>
          <w:ilvl w:val="0"/>
          <w:numId w:val="1"/>
        </w:numPr>
      </w:pPr>
      <w:r w:rsidRPr="00602972">
        <w:rPr>
          <w:rFonts w:eastAsia="TimesNewRoman" w:cs="TimesNewRoman"/>
        </w:rPr>
        <w:t>19% of pralatrexate responders had no evidence of response to any prior therapy;</w:t>
      </w:r>
    </w:p>
    <w:p w:rsidR="004D5254" w:rsidRPr="00602972" w:rsidRDefault="004D5254" w:rsidP="004D5254">
      <w:pPr>
        <w:pStyle w:val="ListBullet"/>
        <w:numPr>
          <w:ilvl w:val="0"/>
          <w:numId w:val="1"/>
        </w:numPr>
      </w:pPr>
      <w:r w:rsidRPr="00602972">
        <w:rPr>
          <w:rFonts w:eastAsia="TimesNewRoman" w:cs="TimesNewRoman"/>
        </w:rPr>
        <w:t>a median duration of response of 306 days (95% CI: 3.4 – NE) or 10.1 months by central review;</w:t>
      </w:r>
    </w:p>
    <w:p w:rsidR="004D5254" w:rsidRPr="00602972" w:rsidRDefault="004D5254" w:rsidP="004D5254">
      <w:pPr>
        <w:pStyle w:val="ListBullet"/>
        <w:numPr>
          <w:ilvl w:val="0"/>
          <w:numId w:val="1"/>
        </w:numPr>
      </w:pPr>
      <w:r w:rsidRPr="00602972">
        <w:rPr>
          <w:rFonts w:eastAsia="TimesNewRoman" w:cs="TimesNewRoman"/>
        </w:rPr>
        <w:t>a median progression-free survival of 106 days (95% CI: 51 – 146) or 3.5 months by central review; and</w:t>
      </w:r>
    </w:p>
    <w:p w:rsidR="004D5254" w:rsidRPr="00602972" w:rsidRDefault="004D5254" w:rsidP="004D5254">
      <w:pPr>
        <w:pStyle w:val="ListBullet"/>
        <w:numPr>
          <w:ilvl w:val="0"/>
          <w:numId w:val="1"/>
        </w:numPr>
      </w:pPr>
      <w:r w:rsidRPr="00602972">
        <w:rPr>
          <w:rFonts w:eastAsia="TimesNewRoman" w:cs="TimesNewRoman"/>
        </w:rPr>
        <w:t>a median overall survival of 14.5 months (95% CI: 10.6 – 22.5 months) by central review.</w:t>
      </w:r>
      <w:r>
        <w:rPr>
          <w:rFonts w:eastAsia="TimesNewRoman" w:cs="TimesNewRoman"/>
        </w:rPr>
        <w:t xml:space="preserve"> </w:t>
      </w:r>
      <w:r w:rsidRPr="00602972">
        <w:rPr>
          <w:rFonts w:eastAsia="TimesNewRoman" w:cs="TimesNewRoman"/>
        </w:rPr>
        <w:t>The most recently available data indicates a survival rate of 56% (95% CI 46 – 65%) at 1 year; 35% (95% CI 26 – 44%) at 2 years; 29% (95% CI 19 – 39%) at 3 years; and 25% (95% CI 15 – 37%) at 4 years.</w:t>
      </w:r>
    </w:p>
    <w:p w:rsidR="004D5254" w:rsidRPr="00602972" w:rsidRDefault="004D5254" w:rsidP="004D5254">
      <w:r>
        <w:t>There is evidence that suggests that pralatrexate may also:</w:t>
      </w:r>
    </w:p>
    <w:p w:rsidR="004D5254" w:rsidRPr="00602972" w:rsidRDefault="004D5254" w:rsidP="004D5254">
      <w:pPr>
        <w:pStyle w:val="ListBullet"/>
        <w:numPr>
          <w:ilvl w:val="0"/>
          <w:numId w:val="1"/>
        </w:numPr>
      </w:pPr>
      <w:r w:rsidRPr="009E3531">
        <w:t>stabilise or reverse an observed trend toward poorer outcomes with</w:t>
      </w:r>
      <w:r>
        <w:t xml:space="preserve"> </w:t>
      </w:r>
      <w:r w:rsidRPr="009E3531">
        <w:t>progres</w:t>
      </w:r>
      <w:r>
        <w:t>sive lines of treatment in PTCL;</w:t>
      </w:r>
    </w:p>
    <w:p w:rsidR="004D5254" w:rsidRPr="00602972" w:rsidRDefault="004D5254" w:rsidP="004D5254">
      <w:pPr>
        <w:pStyle w:val="ListBullet"/>
        <w:numPr>
          <w:ilvl w:val="0"/>
          <w:numId w:val="1"/>
        </w:numPr>
      </w:pPr>
      <w:r w:rsidRPr="00637255">
        <w:t>yield response rates and PFS as good as or better than the immediate prior therapy</w:t>
      </w:r>
      <w:r>
        <w:t>; and</w:t>
      </w:r>
      <w:r w:rsidRPr="00602972">
        <w:t xml:space="preserve"> </w:t>
      </w:r>
    </w:p>
    <w:p w:rsidR="004D5254" w:rsidRPr="00602972" w:rsidRDefault="004D5254" w:rsidP="004D5254">
      <w:pPr>
        <w:pStyle w:val="ListBullet"/>
        <w:numPr>
          <w:ilvl w:val="0"/>
          <w:numId w:val="1"/>
        </w:numPr>
      </w:pPr>
      <w:r w:rsidRPr="00637255">
        <w:t>alter the natural course of the disease and provide improved survival compared with the currently available treatment options for patients with relapsed/refractory PTCL.</w:t>
      </w:r>
    </w:p>
    <w:p w:rsidR="004D5254" w:rsidRDefault="004D5254" w:rsidP="004D5254">
      <w:r>
        <w:t>However, these latter benefits have been identified from underpowered retrospective analyses.</w:t>
      </w:r>
    </w:p>
    <w:p w:rsidR="004D5254" w:rsidRDefault="004D5254" w:rsidP="004D5254">
      <w:pPr>
        <w:pStyle w:val="Heading3"/>
        <w:numPr>
          <w:ilvl w:val="1"/>
          <w:numId w:val="5"/>
        </w:numPr>
      </w:pPr>
      <w:bookmarkStart w:id="364" w:name="_Toc236802596"/>
      <w:bookmarkStart w:id="365" w:name="_Toc241374334"/>
      <w:bookmarkStart w:id="366" w:name="_Ref272160964"/>
      <w:bookmarkStart w:id="367" w:name="_Toc272414694"/>
      <w:bookmarkStart w:id="368" w:name="_Toc290846332"/>
      <w:bookmarkStart w:id="369" w:name="_Toc320881485"/>
      <w:bookmarkStart w:id="370" w:name="_Toc359930743"/>
      <w:bookmarkStart w:id="371" w:name="_Toc364764917"/>
      <w:r>
        <w:t>First round assessment of risks</w:t>
      </w:r>
      <w:bookmarkEnd w:id="364"/>
      <w:bookmarkEnd w:id="365"/>
      <w:bookmarkEnd w:id="366"/>
      <w:bookmarkEnd w:id="367"/>
      <w:bookmarkEnd w:id="368"/>
      <w:bookmarkEnd w:id="369"/>
      <w:bookmarkEnd w:id="370"/>
      <w:bookmarkEnd w:id="371"/>
    </w:p>
    <w:p w:rsidR="004D5254" w:rsidRDefault="004D5254" w:rsidP="004D5254">
      <w:r>
        <w:t>The risks of pralatrexate in the proposed usage are typical of those associated with antifolate cytotoxic agents and include:</w:t>
      </w:r>
    </w:p>
    <w:p w:rsidR="004D5254" w:rsidRDefault="004D5254" w:rsidP="004D5254">
      <w:pPr>
        <w:pStyle w:val="ListBullet"/>
        <w:numPr>
          <w:ilvl w:val="0"/>
          <w:numId w:val="1"/>
        </w:numPr>
      </w:pPr>
      <w:r>
        <w:t>Mucositis;</w:t>
      </w:r>
    </w:p>
    <w:p w:rsidR="004D5254" w:rsidRDefault="004D5254" w:rsidP="004D5254">
      <w:pPr>
        <w:pStyle w:val="ListBullet"/>
        <w:numPr>
          <w:ilvl w:val="0"/>
          <w:numId w:val="1"/>
        </w:numPr>
      </w:pPr>
      <w:r>
        <w:t>Myelotoxicity;</w:t>
      </w:r>
    </w:p>
    <w:p w:rsidR="004D5254" w:rsidRDefault="004D5254" w:rsidP="004D5254">
      <w:pPr>
        <w:pStyle w:val="ListBullet"/>
        <w:numPr>
          <w:ilvl w:val="0"/>
          <w:numId w:val="1"/>
        </w:numPr>
      </w:pPr>
      <w:r>
        <w:t>Serious skin reactions, including fatal reactions;</w:t>
      </w:r>
    </w:p>
    <w:p w:rsidR="004D5254" w:rsidRDefault="004D5254" w:rsidP="004D5254">
      <w:pPr>
        <w:pStyle w:val="ListBullet"/>
        <w:numPr>
          <w:ilvl w:val="0"/>
          <w:numId w:val="1"/>
        </w:numPr>
      </w:pPr>
      <w:r>
        <w:t>Pulmonary toxicity;</w:t>
      </w:r>
    </w:p>
    <w:p w:rsidR="004D5254" w:rsidRDefault="004D5254" w:rsidP="004D5254">
      <w:pPr>
        <w:pStyle w:val="ListBullet"/>
        <w:numPr>
          <w:ilvl w:val="0"/>
          <w:numId w:val="1"/>
        </w:numPr>
      </w:pPr>
      <w:r>
        <w:lastRenderedPageBreak/>
        <w:t>Infection;</w:t>
      </w:r>
    </w:p>
    <w:p w:rsidR="004D5254" w:rsidRDefault="004D5254" w:rsidP="004D5254">
      <w:pPr>
        <w:pStyle w:val="ListBullet"/>
        <w:numPr>
          <w:ilvl w:val="0"/>
          <w:numId w:val="1"/>
        </w:numPr>
      </w:pPr>
      <w:r>
        <w:t>Abnormal liver function; and</w:t>
      </w:r>
    </w:p>
    <w:p w:rsidR="004D5254" w:rsidRDefault="004D5254" w:rsidP="004D5254">
      <w:pPr>
        <w:pStyle w:val="ListBullet"/>
        <w:numPr>
          <w:ilvl w:val="0"/>
          <w:numId w:val="1"/>
        </w:numPr>
      </w:pPr>
      <w:r>
        <w:t>Tumour lysis syndrome.</w:t>
      </w:r>
    </w:p>
    <w:p w:rsidR="004D5254" w:rsidRDefault="004D5254" w:rsidP="004D5254">
      <w:pPr>
        <w:pStyle w:val="Heading3"/>
        <w:numPr>
          <w:ilvl w:val="1"/>
          <w:numId w:val="5"/>
        </w:numPr>
      </w:pPr>
      <w:bookmarkStart w:id="372" w:name="_Toc236802597"/>
      <w:bookmarkStart w:id="373" w:name="_Toc241374335"/>
      <w:bookmarkStart w:id="374" w:name="_Toc272414695"/>
      <w:bookmarkStart w:id="375" w:name="_Toc290846333"/>
      <w:bookmarkStart w:id="376" w:name="_Toc320881486"/>
      <w:bookmarkStart w:id="377" w:name="_Toc359930744"/>
      <w:bookmarkStart w:id="378" w:name="_Toc364764918"/>
      <w:r>
        <w:t>First round assessment of benefit-risk balance</w:t>
      </w:r>
      <w:bookmarkEnd w:id="372"/>
      <w:bookmarkEnd w:id="373"/>
      <w:bookmarkEnd w:id="374"/>
      <w:bookmarkEnd w:id="375"/>
      <w:bookmarkEnd w:id="376"/>
      <w:bookmarkEnd w:id="377"/>
      <w:bookmarkEnd w:id="378"/>
    </w:p>
    <w:p w:rsidR="004D5254" w:rsidRDefault="004D5254" w:rsidP="004D5254">
      <w:r>
        <w:t xml:space="preserve">The benefit-risk balance of pralatrexate, given the proposed usage, is favourable. </w:t>
      </w:r>
    </w:p>
    <w:p w:rsidR="004D5254" w:rsidRDefault="004D5254" w:rsidP="004D5254">
      <w:r>
        <w:t xml:space="preserve">In reaching this conclusion this evaluator notes </w:t>
      </w:r>
      <w:r w:rsidRPr="00A20EDF">
        <w:t xml:space="preserve">the limitations of the </w:t>
      </w:r>
      <w:r>
        <w:t xml:space="preserve">single pivotal </w:t>
      </w:r>
      <w:r w:rsidRPr="00A20EDF">
        <w:t>study and the difficulty in reaching firm conclusion</w:t>
      </w:r>
      <w:r>
        <w:t>s about the clinical benefit of pralatrexate in the target population. However, it</w:t>
      </w:r>
      <w:r w:rsidRPr="00A20EDF">
        <w:t xml:space="preserve"> appears that pralatrexate offers durable responses and meaningful survival benefits in a subset of patients</w:t>
      </w:r>
      <w:r>
        <w:t xml:space="preserve"> with relapsed or refractory PTCL who otherwise have a dismal prognosis from an aggressive disease that has no </w:t>
      </w:r>
      <w:r w:rsidRPr="00A20EDF">
        <w:t>approved or standard care</w:t>
      </w:r>
      <w:r>
        <w:t>. On balance, these benefits outweigh the risks associated with the adverse effects of pralatrexate on folate metabolism in that the toxicities are by and large manageable with careful monitoring, vitamin supplementation and dose modification, all of which are emphasised in the proposed product information.</w:t>
      </w:r>
    </w:p>
    <w:p w:rsidR="004D5254" w:rsidRDefault="004D5254" w:rsidP="006B182B">
      <w:pPr>
        <w:pStyle w:val="Heading2"/>
      </w:pPr>
      <w:bookmarkStart w:id="379" w:name="_Toc359930745"/>
      <w:bookmarkStart w:id="380" w:name="_Toc364764919"/>
      <w:r>
        <w:t>First round recommendation regarding authorisation</w:t>
      </w:r>
      <w:bookmarkEnd w:id="379"/>
      <w:bookmarkEnd w:id="380"/>
    </w:p>
    <w:p w:rsidR="004D5254" w:rsidRDefault="004D5254" w:rsidP="004D5254">
      <w:pPr>
        <w:rPr>
          <w:color w:val="000000"/>
        </w:rPr>
      </w:pPr>
      <w:r>
        <w:t xml:space="preserve">The application for the registration of pralatrexate (Folotyn®) for </w:t>
      </w:r>
      <w:r w:rsidRPr="00866B6E">
        <w:rPr>
          <w:i/>
        </w:rPr>
        <w:t xml:space="preserve">the treatment </w:t>
      </w:r>
      <w:r w:rsidRPr="00866B6E">
        <w:rPr>
          <w:i/>
          <w:color w:val="000000"/>
        </w:rPr>
        <w:t xml:space="preserve">of adult patients with peripheral T-cell lymphoma (nodal, extranodal, and leukaemic/disseminated) who have progressed after at least one prior therapy </w:t>
      </w:r>
      <w:r>
        <w:rPr>
          <w:color w:val="000000"/>
        </w:rPr>
        <w:t>should be approved.</w:t>
      </w:r>
    </w:p>
    <w:p w:rsidR="004D5254" w:rsidRDefault="004D5254" w:rsidP="006B182B">
      <w:pPr>
        <w:pStyle w:val="Heading2"/>
      </w:pPr>
      <w:bookmarkStart w:id="381" w:name="_Toc359930746"/>
      <w:bookmarkStart w:id="382" w:name="_Toc364764920"/>
      <w:r>
        <w:t>Clinical questions</w:t>
      </w:r>
      <w:bookmarkEnd w:id="381"/>
      <w:bookmarkEnd w:id="382"/>
    </w:p>
    <w:p w:rsidR="004D5254" w:rsidRDefault="004D5254" w:rsidP="004D5254">
      <w:pPr>
        <w:pStyle w:val="Heading3"/>
        <w:numPr>
          <w:ilvl w:val="1"/>
          <w:numId w:val="5"/>
        </w:numPr>
      </w:pPr>
      <w:bookmarkStart w:id="383" w:name="_Toc359930747"/>
      <w:bookmarkStart w:id="384" w:name="_Toc364764921"/>
      <w:r>
        <w:t>Efficacy</w:t>
      </w:r>
      <w:bookmarkEnd w:id="383"/>
      <w:bookmarkEnd w:id="384"/>
    </w:p>
    <w:p w:rsidR="004D5254" w:rsidRDefault="004D5254" w:rsidP="004D5254">
      <w:pPr>
        <w:autoSpaceDE w:val="0"/>
        <w:autoSpaceDN w:val="0"/>
        <w:adjustRightInd w:val="0"/>
        <w:rPr>
          <w:color w:val="000000"/>
        </w:rPr>
      </w:pPr>
      <w:r>
        <w:rPr>
          <w:color w:val="000000"/>
        </w:rPr>
        <w:t>Please provide a justification for the censoring of patients [information redacted] from the Kaplan-Meier analysis of duration of response in Study PDX-008 on the basis of “</w:t>
      </w:r>
      <w:r w:rsidRPr="00866B6E">
        <w:rPr>
          <w:i/>
          <w:color w:val="000000"/>
        </w:rPr>
        <w:t>other cancer treatment</w:t>
      </w:r>
      <w:r>
        <w:rPr>
          <w:color w:val="000000"/>
        </w:rPr>
        <w:t xml:space="preserve">”. It appears that for </w:t>
      </w:r>
      <w:bookmarkStart w:id="385" w:name="_GoBack"/>
      <w:bookmarkEnd w:id="385"/>
      <w:r>
        <w:rPr>
          <w:color w:val="000000"/>
        </w:rPr>
        <w:t xml:space="preserve">these two patients the commencement of another cancer treatment occurred after documentation of the event of interest </w:t>
      </w:r>
      <w:r w:rsidRPr="00990CA1">
        <w:rPr>
          <w:color w:val="000000"/>
        </w:rPr>
        <w:t>that is</w:t>
      </w:r>
      <w:r>
        <w:rPr>
          <w:color w:val="000000"/>
        </w:rPr>
        <w:t>, progression of disease, as follows:</w:t>
      </w:r>
    </w:p>
    <w:p w:rsidR="004D5254" w:rsidRDefault="004D5254" w:rsidP="004D5254">
      <w:pPr>
        <w:numPr>
          <w:ilvl w:val="0"/>
          <w:numId w:val="20"/>
        </w:num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0" w:line="240" w:lineRule="auto"/>
        <w:ind w:left="284" w:hanging="284"/>
        <w:rPr>
          <w:color w:val="000000"/>
        </w:rPr>
      </w:pPr>
      <w:r w:rsidRPr="008D4A49">
        <w:rPr>
          <w:color w:val="000000"/>
        </w:rPr>
        <w:t xml:space="preserve">Patient </w:t>
      </w:r>
      <w:r>
        <w:rPr>
          <w:color w:val="000000"/>
        </w:rPr>
        <w:t xml:space="preserve">[information redacted] (duration of response censored at 306 days) </w:t>
      </w:r>
      <w:r w:rsidRPr="008D4A49">
        <w:rPr>
          <w:color w:val="000000"/>
        </w:rPr>
        <w:t xml:space="preserve">- </w:t>
      </w:r>
      <w:r>
        <w:rPr>
          <w:color w:val="000000"/>
        </w:rPr>
        <w:t>a</w:t>
      </w:r>
      <w:r w:rsidRPr="008D4A49">
        <w:rPr>
          <w:color w:val="000000"/>
        </w:rPr>
        <w:t xml:space="preserve">ccording to </w:t>
      </w:r>
      <w:r w:rsidRPr="004303B1">
        <w:rPr>
          <w:color w:val="000000"/>
        </w:rPr>
        <w:t>the data</w:t>
      </w:r>
      <w:r>
        <w:rPr>
          <w:color w:val="000000"/>
        </w:rPr>
        <w:t xml:space="preserve"> this patient received pralatrexate for 442 days, having first achieved a response of CR on 1 October 2007. Pralatrexate was last administered on</w:t>
      </w:r>
      <w:r w:rsidRPr="00B361A7">
        <w:rPr>
          <w:color w:val="000000"/>
        </w:rPr>
        <w:t xml:space="preserve"> 25 July 2008</w:t>
      </w:r>
      <w:r>
        <w:rPr>
          <w:color w:val="000000"/>
        </w:rPr>
        <w:t>. On 8 August 2008 treatment was permanently discontinued and the primary reason was documented to be “</w:t>
      </w:r>
      <w:r w:rsidRPr="00866B6E">
        <w:rPr>
          <w:i/>
          <w:color w:val="000000"/>
        </w:rPr>
        <w:t>Other, Progression of Disease</w:t>
      </w:r>
      <w:r>
        <w:rPr>
          <w:color w:val="000000"/>
        </w:rPr>
        <w:t xml:space="preserve">”. According to </w:t>
      </w:r>
      <w:r w:rsidRPr="004303B1">
        <w:rPr>
          <w:color w:val="000000"/>
        </w:rPr>
        <w:t>the data</w:t>
      </w:r>
      <w:r>
        <w:rPr>
          <w:color w:val="000000"/>
        </w:rPr>
        <w:t xml:space="preserve">, the therapy received subsequent to pralatrexate was combination liposomal </w:t>
      </w:r>
      <w:r w:rsidRPr="00816C22">
        <w:rPr>
          <w:color w:val="000000"/>
        </w:rPr>
        <w:t xml:space="preserve">doxorubicin </w:t>
      </w:r>
      <w:r>
        <w:rPr>
          <w:color w:val="000000"/>
        </w:rPr>
        <w:t xml:space="preserve">and gemcitabine, commenced on 22 August 2008 </w:t>
      </w:r>
      <w:r w:rsidRPr="00990CA1">
        <w:rPr>
          <w:color w:val="000000"/>
        </w:rPr>
        <w:t>that is,</w:t>
      </w:r>
      <w:r>
        <w:rPr>
          <w:color w:val="000000"/>
        </w:rPr>
        <w:t xml:space="preserve"> after the documented date of disease progression;</w:t>
      </w:r>
    </w:p>
    <w:p w:rsidR="004D5254" w:rsidRPr="00782581" w:rsidRDefault="004D5254" w:rsidP="004D5254">
      <w:pPr>
        <w:numPr>
          <w:ilvl w:val="0"/>
          <w:numId w:val="20"/>
        </w:num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0" w:line="240" w:lineRule="auto"/>
        <w:ind w:left="284" w:hanging="284"/>
        <w:rPr>
          <w:color w:val="000000"/>
        </w:rPr>
      </w:pPr>
      <w:r>
        <w:rPr>
          <w:color w:val="000000"/>
        </w:rPr>
        <w:t xml:space="preserve">Patient [information redacted] </w:t>
      </w:r>
      <w:r w:rsidRPr="000C7A36">
        <w:rPr>
          <w:color w:val="000000"/>
        </w:rPr>
        <w:t>(</w:t>
      </w:r>
      <w:r>
        <w:rPr>
          <w:color w:val="000000"/>
        </w:rPr>
        <w:t>duration of response censored at 1</w:t>
      </w:r>
      <w:r w:rsidRPr="000C7A36">
        <w:rPr>
          <w:color w:val="000000"/>
        </w:rPr>
        <w:t xml:space="preserve"> day) - according to </w:t>
      </w:r>
      <w:r w:rsidRPr="004303B1">
        <w:rPr>
          <w:color w:val="000000"/>
        </w:rPr>
        <w:t>the data</w:t>
      </w:r>
      <w:r w:rsidRPr="000C7A36">
        <w:rPr>
          <w:color w:val="000000"/>
        </w:rPr>
        <w:t xml:space="preserve"> this patient received pralatrexate </w:t>
      </w:r>
      <w:r>
        <w:rPr>
          <w:color w:val="000000"/>
        </w:rPr>
        <w:t xml:space="preserve">for 246 days and the patient </w:t>
      </w:r>
      <w:r w:rsidRPr="000C7A36">
        <w:rPr>
          <w:color w:val="000000"/>
        </w:rPr>
        <w:t xml:space="preserve">first achieved a response of </w:t>
      </w:r>
      <w:r>
        <w:rPr>
          <w:color w:val="000000"/>
        </w:rPr>
        <w:t>P</w:t>
      </w:r>
      <w:r w:rsidRPr="000C7A36">
        <w:rPr>
          <w:color w:val="000000"/>
        </w:rPr>
        <w:t xml:space="preserve">R on </w:t>
      </w:r>
      <w:r w:rsidRPr="00B361A7">
        <w:rPr>
          <w:color w:val="000000"/>
        </w:rPr>
        <w:t>4 March 2008</w:t>
      </w:r>
      <w:r w:rsidRPr="000C7A36">
        <w:rPr>
          <w:color w:val="000000"/>
        </w:rPr>
        <w:t>.</w:t>
      </w:r>
      <w:r>
        <w:rPr>
          <w:color w:val="000000"/>
        </w:rPr>
        <w:t xml:space="preserve"> </w:t>
      </w:r>
      <w:r w:rsidRPr="00B361A7">
        <w:rPr>
          <w:color w:val="000000"/>
        </w:rPr>
        <w:t xml:space="preserve">Pralatrexate was last administered on </w:t>
      </w:r>
      <w:r>
        <w:rPr>
          <w:color w:val="000000"/>
        </w:rPr>
        <w:t xml:space="preserve">4 March 2008. </w:t>
      </w:r>
      <w:r w:rsidRPr="000C7A36">
        <w:rPr>
          <w:color w:val="000000"/>
        </w:rPr>
        <w:t xml:space="preserve">On </w:t>
      </w:r>
      <w:r>
        <w:rPr>
          <w:color w:val="000000"/>
        </w:rPr>
        <w:t>11 March</w:t>
      </w:r>
      <w:r w:rsidRPr="000C7A36">
        <w:rPr>
          <w:color w:val="000000"/>
        </w:rPr>
        <w:t xml:space="preserve"> 2008 treatment was permanently discontinued and the primary reason was documented to be “</w:t>
      </w:r>
      <w:r w:rsidRPr="00866B6E">
        <w:rPr>
          <w:i/>
          <w:color w:val="000000"/>
        </w:rPr>
        <w:t>Other, Progression of Disease</w:t>
      </w:r>
      <w:r w:rsidRPr="000C7A36">
        <w:rPr>
          <w:color w:val="000000"/>
        </w:rPr>
        <w:t>”.</w:t>
      </w:r>
      <w:r>
        <w:rPr>
          <w:color w:val="000000"/>
        </w:rPr>
        <w:t xml:space="preserve"> </w:t>
      </w:r>
      <w:r w:rsidRPr="000C7A36">
        <w:rPr>
          <w:color w:val="000000"/>
        </w:rPr>
        <w:t xml:space="preserve">According to </w:t>
      </w:r>
      <w:r w:rsidRPr="004303B1">
        <w:rPr>
          <w:color w:val="000000"/>
        </w:rPr>
        <w:t>the data</w:t>
      </w:r>
      <w:r w:rsidRPr="000C7A36">
        <w:rPr>
          <w:color w:val="000000"/>
        </w:rPr>
        <w:t xml:space="preserve">, the therapy received subsequent to pralatrexate was </w:t>
      </w:r>
      <w:r>
        <w:rPr>
          <w:color w:val="000000"/>
        </w:rPr>
        <w:t>methotrexate, aracytine and hydrocortisone</w:t>
      </w:r>
      <w:r w:rsidRPr="000C7A36">
        <w:rPr>
          <w:color w:val="000000"/>
        </w:rPr>
        <w:t xml:space="preserve">, commenced on </w:t>
      </w:r>
      <w:r>
        <w:rPr>
          <w:color w:val="000000"/>
        </w:rPr>
        <w:t>13</w:t>
      </w:r>
      <w:r w:rsidRPr="000C7A36">
        <w:rPr>
          <w:color w:val="000000"/>
        </w:rPr>
        <w:t xml:space="preserve"> August 2008</w:t>
      </w:r>
      <w:r>
        <w:rPr>
          <w:color w:val="000000"/>
        </w:rPr>
        <w:t xml:space="preserve"> </w:t>
      </w:r>
      <w:r w:rsidRPr="00990CA1">
        <w:rPr>
          <w:color w:val="000000"/>
        </w:rPr>
        <w:t>that is,</w:t>
      </w:r>
      <w:r>
        <w:rPr>
          <w:color w:val="000000"/>
        </w:rPr>
        <w:t xml:space="preserve"> after the documented date of disease progression.</w:t>
      </w:r>
    </w:p>
    <w:p w:rsidR="004D5254" w:rsidRDefault="004D5254" w:rsidP="006B182B">
      <w:pPr>
        <w:pStyle w:val="Heading2"/>
      </w:pPr>
      <w:bookmarkStart w:id="386" w:name="_Toc359930748"/>
      <w:bookmarkStart w:id="387" w:name="_Toc364764922"/>
      <w:r>
        <w:lastRenderedPageBreak/>
        <w:t>References</w:t>
      </w:r>
      <w:bookmarkEnd w:id="386"/>
      <w:bookmarkEnd w:id="387"/>
    </w:p>
    <w:p w:rsidR="004D5254" w:rsidRDefault="004D5254" w:rsidP="004D5254">
      <w:pPr>
        <w:autoSpaceDE w:val="0"/>
        <w:autoSpaceDN w:val="0"/>
        <w:adjustRightInd w:val="0"/>
        <w:ind w:left="284" w:hanging="284"/>
      </w:pPr>
      <w:r w:rsidRPr="008331CB">
        <w:t>Aherne GW, Piall E, Marks V</w:t>
      </w:r>
      <w:r>
        <w:t xml:space="preserve"> </w:t>
      </w:r>
      <w:r w:rsidRPr="005F61C6">
        <w:rPr>
          <w:i/>
        </w:rPr>
        <w:t>et al</w:t>
      </w:r>
      <w:r w:rsidRPr="008331CB">
        <w:t>.</w:t>
      </w:r>
      <w:r>
        <w:t xml:space="preserve"> </w:t>
      </w:r>
      <w:r w:rsidRPr="008331CB">
        <w:t>Prolongation and</w:t>
      </w:r>
      <w:r>
        <w:t xml:space="preserve"> </w:t>
      </w:r>
      <w:r w:rsidRPr="008331CB">
        <w:t>enhancement of serum methotrexate</w:t>
      </w:r>
      <w:r>
        <w:t xml:space="preserve"> c</w:t>
      </w:r>
      <w:r w:rsidRPr="008331CB">
        <w:t>oncentrations by probenecid.</w:t>
      </w:r>
      <w:r>
        <w:t xml:space="preserve"> </w:t>
      </w:r>
      <w:r w:rsidRPr="008331CB">
        <w:rPr>
          <w:i/>
          <w:iCs/>
        </w:rPr>
        <w:t>Br Med J</w:t>
      </w:r>
      <w:r>
        <w:rPr>
          <w:iCs/>
        </w:rPr>
        <w:t xml:space="preserve"> 1978;</w:t>
      </w:r>
      <w:r w:rsidRPr="008331CB">
        <w:rPr>
          <w:i/>
          <w:iCs/>
        </w:rPr>
        <w:t xml:space="preserve"> </w:t>
      </w:r>
      <w:r w:rsidRPr="008331CB">
        <w:rPr>
          <w:b/>
          <w:bCs/>
        </w:rPr>
        <w:t>1</w:t>
      </w:r>
      <w:r w:rsidRPr="008331CB">
        <w:rPr>
          <w:bCs/>
        </w:rPr>
        <w:t>:</w:t>
      </w:r>
      <w:r>
        <w:rPr>
          <w:b/>
          <w:bCs/>
        </w:rPr>
        <w:t xml:space="preserve"> </w:t>
      </w:r>
      <w:r w:rsidRPr="008331CB">
        <w:t>1097-9.</w:t>
      </w:r>
    </w:p>
    <w:p w:rsidR="004D5254" w:rsidRDefault="004D5254" w:rsidP="004D5254">
      <w:pPr>
        <w:autoSpaceDE w:val="0"/>
        <w:autoSpaceDN w:val="0"/>
        <w:adjustRightInd w:val="0"/>
        <w:ind w:left="284" w:hanging="284"/>
      </w:pPr>
      <w:r>
        <w:t xml:space="preserve">Armitage JO, Weisenberger DD. New approach to classifying Non-Hodgkin’s lymphoma: Clinical features of the major histologic subtypes. </w:t>
      </w:r>
      <w:r w:rsidRPr="00977330">
        <w:rPr>
          <w:i/>
        </w:rPr>
        <w:t>J Clin Oncol</w:t>
      </w:r>
      <w:r>
        <w:t xml:space="preserve"> 1998; </w:t>
      </w:r>
      <w:r w:rsidRPr="00977330">
        <w:rPr>
          <w:b/>
        </w:rPr>
        <w:t>16</w:t>
      </w:r>
      <w:r>
        <w:t>: 2780-2795.</w:t>
      </w:r>
    </w:p>
    <w:p w:rsidR="004D5254" w:rsidRDefault="004D5254" w:rsidP="004D5254">
      <w:pPr>
        <w:autoSpaceDE w:val="0"/>
        <w:autoSpaceDN w:val="0"/>
        <w:adjustRightInd w:val="0"/>
        <w:ind w:left="284" w:hanging="284"/>
      </w:pPr>
      <w:r>
        <w:t>Brunton L (ed). Goodman and Gilman’s The Pharmacological basis of Therapeutics, 12</w:t>
      </w:r>
      <w:r w:rsidRPr="00F12E27">
        <w:rPr>
          <w:vertAlign w:val="superscript"/>
        </w:rPr>
        <w:t>th</w:t>
      </w:r>
      <w:r>
        <w:t xml:space="preserve"> edition (on-line) The McGraw-Hill Companies Inc.</w:t>
      </w:r>
    </w:p>
    <w:p w:rsidR="004D5254" w:rsidRDefault="004D5254" w:rsidP="004D5254">
      <w:pPr>
        <w:autoSpaceDE w:val="0"/>
        <w:autoSpaceDN w:val="0"/>
        <w:adjustRightInd w:val="0"/>
        <w:ind w:left="284" w:hanging="284"/>
      </w:pPr>
      <w:r w:rsidRPr="00977330">
        <w:t xml:space="preserve">Cheson BD, Horning SJ, Coiffier B, </w:t>
      </w:r>
      <w:r w:rsidRPr="005F61C6">
        <w:rPr>
          <w:i/>
        </w:rPr>
        <w:t>et al</w:t>
      </w:r>
      <w:r w:rsidRPr="00977330">
        <w:t>.</w:t>
      </w:r>
      <w:r>
        <w:t xml:space="preserve"> </w:t>
      </w:r>
      <w:r w:rsidRPr="00977330">
        <w:t>Report of an international workshop to</w:t>
      </w:r>
      <w:r>
        <w:t xml:space="preserve"> </w:t>
      </w:r>
      <w:r w:rsidRPr="00977330">
        <w:t>standardize response criteria for non-Hodgkin's lymphomas.</w:t>
      </w:r>
      <w:r>
        <w:t xml:space="preserve"> </w:t>
      </w:r>
      <w:r w:rsidRPr="00977330">
        <w:t>NCI Sponsored</w:t>
      </w:r>
      <w:r>
        <w:t xml:space="preserve"> </w:t>
      </w:r>
      <w:r w:rsidRPr="00977330">
        <w:t xml:space="preserve">International Working Group. </w:t>
      </w:r>
      <w:r w:rsidRPr="00977330">
        <w:rPr>
          <w:i/>
        </w:rPr>
        <w:t>J Clin Oncol</w:t>
      </w:r>
      <w:r w:rsidRPr="00977330">
        <w:t xml:space="preserve"> 1999;</w:t>
      </w:r>
      <w:r>
        <w:t xml:space="preserve"> </w:t>
      </w:r>
      <w:r w:rsidRPr="00977330">
        <w:rPr>
          <w:b/>
        </w:rPr>
        <w:t>17(4)</w:t>
      </w:r>
      <w:r w:rsidRPr="00977330">
        <w:t>:</w:t>
      </w:r>
      <w:r>
        <w:t xml:space="preserve"> </w:t>
      </w:r>
      <w:r w:rsidRPr="00977330">
        <w:t>1244-53.</w:t>
      </w:r>
    </w:p>
    <w:p w:rsidR="004D5254" w:rsidRDefault="004D5254" w:rsidP="004D5254">
      <w:pPr>
        <w:autoSpaceDE w:val="0"/>
        <w:autoSpaceDN w:val="0"/>
        <w:adjustRightInd w:val="0"/>
        <w:ind w:left="284" w:hanging="284"/>
      </w:pPr>
      <w:r w:rsidRPr="00977330">
        <w:t xml:space="preserve">Cheson BD, Pfistner B, Juweid ME, </w:t>
      </w:r>
      <w:r w:rsidRPr="005F61C6">
        <w:rPr>
          <w:i/>
        </w:rPr>
        <w:t>et al</w:t>
      </w:r>
      <w:r w:rsidRPr="00977330">
        <w:t>. Revised response criteria for malignant</w:t>
      </w:r>
      <w:r>
        <w:t xml:space="preserve"> </w:t>
      </w:r>
      <w:r w:rsidRPr="00977330">
        <w:t xml:space="preserve">lymphoma. </w:t>
      </w:r>
      <w:r w:rsidRPr="00977330">
        <w:rPr>
          <w:i/>
        </w:rPr>
        <w:t>J Clin Oncol</w:t>
      </w:r>
      <w:r w:rsidRPr="00977330">
        <w:t xml:space="preserve"> 2007;</w:t>
      </w:r>
      <w:r>
        <w:t xml:space="preserve"> </w:t>
      </w:r>
      <w:r w:rsidRPr="00977330">
        <w:rPr>
          <w:b/>
        </w:rPr>
        <w:t>25(5)</w:t>
      </w:r>
      <w:r w:rsidRPr="00977330">
        <w:t>:</w:t>
      </w:r>
      <w:r>
        <w:t xml:space="preserve"> </w:t>
      </w:r>
      <w:r w:rsidRPr="00977330">
        <w:t>579-86.</w:t>
      </w:r>
    </w:p>
    <w:p w:rsidR="004D5254" w:rsidRDefault="004D5254" w:rsidP="004D5254">
      <w:pPr>
        <w:autoSpaceDE w:val="0"/>
        <w:autoSpaceDN w:val="0"/>
        <w:adjustRightInd w:val="0"/>
        <w:ind w:left="284" w:hanging="284"/>
      </w:pPr>
      <w:r>
        <w:t xml:space="preserve">Dang NH, Hagemeister FB, Duvic M, </w:t>
      </w:r>
      <w:r w:rsidRPr="005F61C6">
        <w:rPr>
          <w:i/>
        </w:rPr>
        <w:t>et al</w:t>
      </w:r>
      <w:r>
        <w:t xml:space="preserve">. Pentostatin in T-non-Hodgkin’s lymphomas: Efficacy and effect on CD26+ T lymphocytes. </w:t>
      </w:r>
      <w:r w:rsidRPr="00CA04BB">
        <w:rPr>
          <w:i/>
        </w:rPr>
        <w:t>Oncol Rep</w:t>
      </w:r>
      <w:r>
        <w:t xml:space="preserve"> 2003; </w:t>
      </w:r>
      <w:r w:rsidRPr="00CA04BB">
        <w:rPr>
          <w:b/>
        </w:rPr>
        <w:t>10</w:t>
      </w:r>
      <w:r>
        <w:t>: 1513-1528.</w:t>
      </w:r>
    </w:p>
    <w:p w:rsidR="004D5254" w:rsidRDefault="004D5254" w:rsidP="004D5254">
      <w:pPr>
        <w:autoSpaceDE w:val="0"/>
        <w:autoSpaceDN w:val="0"/>
        <w:adjustRightInd w:val="0"/>
        <w:ind w:left="284" w:hanging="284"/>
      </w:pPr>
      <w:r>
        <w:t xml:space="preserve">Dang NH, Pro B, Hagemeister FB, </w:t>
      </w:r>
      <w:r w:rsidRPr="005F61C6">
        <w:rPr>
          <w:i/>
        </w:rPr>
        <w:t>et al</w:t>
      </w:r>
      <w:r>
        <w:t xml:space="preserve">. Phase II trial of denileukin diftitox for relapsed/refractory T-cell non Hodgkin lymphoma. </w:t>
      </w:r>
      <w:r w:rsidRPr="00CA04BB">
        <w:rPr>
          <w:i/>
        </w:rPr>
        <w:t>Br J Haematol</w:t>
      </w:r>
      <w:r>
        <w:t xml:space="preserve"> 2006; </w:t>
      </w:r>
      <w:r w:rsidRPr="00CA04BB">
        <w:rPr>
          <w:b/>
        </w:rPr>
        <w:t>136</w:t>
      </w:r>
      <w:r>
        <w:t>: 439-447.</w:t>
      </w:r>
    </w:p>
    <w:p w:rsidR="004D5254" w:rsidRDefault="004D5254" w:rsidP="004D5254">
      <w:pPr>
        <w:autoSpaceDE w:val="0"/>
        <w:autoSpaceDN w:val="0"/>
        <w:adjustRightInd w:val="0"/>
        <w:ind w:left="284" w:hanging="284"/>
      </w:pPr>
      <w:r>
        <w:t xml:space="preserve"> Dearden C, Matutes E &amp; Catovsky D. Deoxycoformycin in the treatment of mature T-cell leukaemias. </w:t>
      </w:r>
      <w:r w:rsidRPr="00CA04BB">
        <w:rPr>
          <w:i/>
        </w:rPr>
        <w:t>Br J Cancer</w:t>
      </w:r>
      <w:r>
        <w:t xml:space="preserve"> 1991; </w:t>
      </w:r>
      <w:r w:rsidRPr="00CA04BB">
        <w:rPr>
          <w:b/>
        </w:rPr>
        <w:t>64</w:t>
      </w:r>
      <w:r>
        <w:t>: 903-906.</w:t>
      </w:r>
    </w:p>
    <w:p w:rsidR="004D5254" w:rsidRDefault="004D5254" w:rsidP="004D5254">
      <w:pPr>
        <w:autoSpaceDE w:val="0"/>
        <w:autoSpaceDN w:val="0"/>
        <w:adjustRightInd w:val="0"/>
        <w:ind w:left="284" w:hanging="284"/>
      </w:pPr>
      <w:r>
        <w:t xml:space="preserve">Dueck GS, Chua N, Prasad A, </w:t>
      </w:r>
      <w:r w:rsidRPr="005F61C6">
        <w:rPr>
          <w:i/>
        </w:rPr>
        <w:t>et al</w:t>
      </w:r>
      <w:r>
        <w:t xml:space="preserve">. Activity of lenalidomide in a Phase II trial for T-cell lymphoma; Report on the first 24 cases. </w:t>
      </w:r>
      <w:r w:rsidRPr="00CA04BB">
        <w:rPr>
          <w:i/>
        </w:rPr>
        <w:t>J Clin Oncol</w:t>
      </w:r>
      <w:r>
        <w:t xml:space="preserve"> 2009; </w:t>
      </w:r>
      <w:r w:rsidRPr="00CA04BB">
        <w:rPr>
          <w:b/>
        </w:rPr>
        <w:t>27(15S)</w:t>
      </w:r>
      <w:r>
        <w:t>: 8524 (abstract).</w:t>
      </w:r>
    </w:p>
    <w:p w:rsidR="004D5254" w:rsidRDefault="004D5254" w:rsidP="004D5254">
      <w:pPr>
        <w:autoSpaceDE w:val="0"/>
        <w:autoSpaceDN w:val="0"/>
        <w:adjustRightInd w:val="0"/>
        <w:ind w:left="284" w:hanging="284"/>
      </w:pPr>
      <w:r>
        <w:t xml:space="preserve">Evens AM &amp; Gartenhaus RB. Treatment of T-cell Non-Hodgkin’s Lymphoma. </w:t>
      </w:r>
      <w:r w:rsidRPr="001351C3">
        <w:rPr>
          <w:i/>
        </w:rPr>
        <w:t>Curr Treat Options Oncol</w:t>
      </w:r>
      <w:r>
        <w:t xml:space="preserve"> 2004; </w:t>
      </w:r>
      <w:r w:rsidRPr="001351C3">
        <w:rPr>
          <w:b/>
        </w:rPr>
        <w:t>5</w:t>
      </w:r>
      <w:r>
        <w:t>: 289-303.</w:t>
      </w:r>
    </w:p>
    <w:p w:rsidR="004D5254" w:rsidRDefault="004D5254" w:rsidP="004D5254">
      <w:pPr>
        <w:autoSpaceDE w:val="0"/>
        <w:autoSpaceDN w:val="0"/>
        <w:adjustRightInd w:val="0"/>
        <w:ind w:left="284" w:hanging="284"/>
      </w:pPr>
      <w:r>
        <w:t xml:space="preserve">Fisher RI, Gaynor ER, Dahlberg S, </w:t>
      </w:r>
      <w:r w:rsidRPr="005F61C6">
        <w:rPr>
          <w:i/>
        </w:rPr>
        <w:t>et al</w:t>
      </w:r>
      <w:r>
        <w:t xml:space="preserve">. Comparison of a Standard Regimen (CHOP) with Three Intensive Chemotherapy Regimens for Advanced Non-Hodgkin’s Lymphoma. </w:t>
      </w:r>
      <w:r w:rsidRPr="001351C3">
        <w:rPr>
          <w:i/>
        </w:rPr>
        <w:t>NEJM</w:t>
      </w:r>
      <w:r>
        <w:t xml:space="preserve"> 1993; </w:t>
      </w:r>
      <w:r w:rsidRPr="001351C3">
        <w:rPr>
          <w:b/>
        </w:rPr>
        <w:t>328</w:t>
      </w:r>
      <w:r>
        <w:t>: 1002-1006.</w:t>
      </w:r>
    </w:p>
    <w:p w:rsidR="004D5254" w:rsidRDefault="004D5254" w:rsidP="004D5254">
      <w:pPr>
        <w:autoSpaceDE w:val="0"/>
        <w:autoSpaceDN w:val="0"/>
        <w:adjustRightInd w:val="0"/>
        <w:ind w:left="284" w:hanging="284"/>
      </w:pPr>
      <w:r w:rsidRPr="00C92BC8">
        <w:t>International Conference on</w:t>
      </w:r>
      <w:r>
        <w:t xml:space="preserve"> </w:t>
      </w:r>
      <w:r w:rsidRPr="00C92BC8">
        <w:t>Harmonisation (ICH) E14 Guidance: Clinical Evaluation of QT/QTc Interval Prolongation</w:t>
      </w:r>
      <w:r>
        <w:t xml:space="preserve"> </w:t>
      </w:r>
      <w:r w:rsidRPr="00C92BC8">
        <w:t>and Proarrhythmic Potential for Non-Antiarrhythmic Drugs.</w:t>
      </w:r>
    </w:p>
    <w:p w:rsidR="004D5254" w:rsidRDefault="004D5254" w:rsidP="004D5254">
      <w:pPr>
        <w:autoSpaceDE w:val="0"/>
        <w:autoSpaceDN w:val="0"/>
        <w:adjustRightInd w:val="0"/>
        <w:ind w:left="284" w:hanging="284"/>
      </w:pPr>
      <w:r>
        <w:t xml:space="preserve">Lopez-Guillermo A, Cid J, Salar A, </w:t>
      </w:r>
      <w:r w:rsidRPr="005F61C6">
        <w:rPr>
          <w:i/>
        </w:rPr>
        <w:t>et al</w:t>
      </w:r>
      <w:r>
        <w:t xml:space="preserve">. Peripheral T-cell lymphomas: Initial features, natural history and prognostic factors in a series of 174 patients diagnosed according to the R.E.A.L. classification. </w:t>
      </w:r>
      <w:r w:rsidRPr="00693283">
        <w:rPr>
          <w:i/>
        </w:rPr>
        <w:t>Ann Oncol</w:t>
      </w:r>
      <w:r>
        <w:t xml:space="preserve"> 1998; </w:t>
      </w:r>
      <w:r w:rsidRPr="00132EE4">
        <w:rPr>
          <w:b/>
        </w:rPr>
        <w:t>9</w:t>
      </w:r>
      <w:r>
        <w:t>: 849-855.</w:t>
      </w:r>
    </w:p>
    <w:p w:rsidR="004D5254" w:rsidRDefault="004D5254" w:rsidP="004D5254">
      <w:pPr>
        <w:autoSpaceDE w:val="0"/>
        <w:autoSpaceDN w:val="0"/>
        <w:adjustRightInd w:val="0"/>
        <w:ind w:left="284" w:hanging="284"/>
      </w:pPr>
      <w:r>
        <w:t xml:space="preserve">Mercieca J, Matutes E, Deardon C, </w:t>
      </w:r>
      <w:r w:rsidRPr="005F61C6">
        <w:rPr>
          <w:i/>
        </w:rPr>
        <w:t>et al</w:t>
      </w:r>
      <w:r>
        <w:t xml:space="preserve">. The Role of Pentostatin in the treatment of T-Cell Malignancies: Analysis of response Rates in 154 Patients According to Disease Subtype. </w:t>
      </w:r>
      <w:r w:rsidRPr="00132EE4">
        <w:rPr>
          <w:i/>
        </w:rPr>
        <w:t>J Clin Oncol</w:t>
      </w:r>
      <w:r>
        <w:t xml:space="preserve"> 1994; </w:t>
      </w:r>
      <w:r w:rsidRPr="00132EE4">
        <w:rPr>
          <w:b/>
        </w:rPr>
        <w:t>12</w:t>
      </w:r>
      <w:r>
        <w:t>: 2588-2593.</w:t>
      </w:r>
    </w:p>
    <w:p w:rsidR="004D5254" w:rsidRDefault="004D5254" w:rsidP="004D5254">
      <w:pPr>
        <w:autoSpaceDE w:val="0"/>
        <w:autoSpaceDN w:val="0"/>
        <w:adjustRightInd w:val="0"/>
        <w:ind w:left="284" w:hanging="284"/>
        <w:rPr>
          <w:color w:val="000000"/>
        </w:rPr>
      </w:pPr>
      <w:r w:rsidRPr="00401FBC">
        <w:t xml:space="preserve">Mould DR, Sweeney K, Duffull SB, </w:t>
      </w:r>
      <w:r w:rsidRPr="005F61C6">
        <w:rPr>
          <w:i/>
        </w:rPr>
        <w:t>et al</w:t>
      </w:r>
      <w:r w:rsidRPr="00401FBC">
        <w:t>.</w:t>
      </w:r>
      <w:r>
        <w:rPr>
          <w:color w:val="0000FF"/>
        </w:rPr>
        <w:t xml:space="preserve"> </w:t>
      </w:r>
      <w:r w:rsidRPr="00401FBC">
        <w:rPr>
          <w:color w:val="000000"/>
        </w:rPr>
        <w:t>A population pharmacokinetic and</w:t>
      </w:r>
      <w:r>
        <w:rPr>
          <w:color w:val="000000"/>
        </w:rPr>
        <w:t xml:space="preserve"> </w:t>
      </w:r>
      <w:r w:rsidRPr="00401FBC">
        <w:rPr>
          <w:color w:val="000000"/>
        </w:rPr>
        <w:t>pharmacodynamic evaluation of pralatrexate in patients with relapsed or refractory</w:t>
      </w:r>
      <w:r>
        <w:rPr>
          <w:color w:val="000000"/>
        </w:rPr>
        <w:t xml:space="preserve"> </w:t>
      </w:r>
      <w:r w:rsidRPr="00401FBC">
        <w:rPr>
          <w:color w:val="000000"/>
        </w:rPr>
        <w:t>non-Hodgkin's or Hodgkin's lymphoma.</w:t>
      </w:r>
      <w:r>
        <w:rPr>
          <w:color w:val="000000"/>
        </w:rPr>
        <w:t xml:space="preserve"> </w:t>
      </w:r>
      <w:r w:rsidRPr="00401FBC">
        <w:rPr>
          <w:i/>
          <w:color w:val="000000"/>
        </w:rPr>
        <w:t>Clin Pharmacol Ther</w:t>
      </w:r>
      <w:r w:rsidRPr="00401FBC">
        <w:rPr>
          <w:color w:val="000000"/>
        </w:rPr>
        <w:t xml:space="preserve"> 2009;</w:t>
      </w:r>
      <w:r>
        <w:rPr>
          <w:color w:val="000000"/>
        </w:rPr>
        <w:t xml:space="preserve"> </w:t>
      </w:r>
      <w:r w:rsidRPr="00401FBC">
        <w:rPr>
          <w:b/>
          <w:color w:val="000000"/>
        </w:rPr>
        <w:t>86</w:t>
      </w:r>
      <w:r w:rsidRPr="00401FBC">
        <w:rPr>
          <w:color w:val="000000"/>
        </w:rPr>
        <w:t>(2):</w:t>
      </w:r>
      <w:r>
        <w:rPr>
          <w:color w:val="000000"/>
        </w:rPr>
        <w:t xml:space="preserve"> </w:t>
      </w:r>
      <w:r w:rsidRPr="00401FBC">
        <w:rPr>
          <w:color w:val="000000"/>
        </w:rPr>
        <w:t>190-6.</w:t>
      </w:r>
    </w:p>
    <w:p w:rsidR="004D5254" w:rsidRDefault="004D5254" w:rsidP="004D5254">
      <w:pPr>
        <w:autoSpaceDE w:val="0"/>
        <w:autoSpaceDN w:val="0"/>
        <w:adjustRightInd w:val="0"/>
        <w:ind w:left="284" w:hanging="284"/>
        <w:rPr>
          <w:color w:val="000000"/>
        </w:rPr>
      </w:pPr>
      <w:r>
        <w:rPr>
          <w:color w:val="000000"/>
        </w:rPr>
        <w:t xml:space="preserve">Rodriguez-Abreu D, Filho VB &amp; Zucca E. Peripheral T-cell lymphomas, unspecified (or not otherwise specified): a review. </w:t>
      </w:r>
      <w:r w:rsidRPr="00C14B02">
        <w:rPr>
          <w:i/>
          <w:color w:val="000000"/>
        </w:rPr>
        <w:t>Haematol Oncol</w:t>
      </w:r>
      <w:r>
        <w:rPr>
          <w:color w:val="000000"/>
        </w:rPr>
        <w:t xml:space="preserve"> 2008; </w:t>
      </w:r>
      <w:r w:rsidRPr="00C14B02">
        <w:rPr>
          <w:b/>
          <w:color w:val="000000"/>
        </w:rPr>
        <w:t>26</w:t>
      </w:r>
      <w:r>
        <w:rPr>
          <w:color w:val="000000"/>
        </w:rPr>
        <w:t>: 8-20.</w:t>
      </w:r>
    </w:p>
    <w:p w:rsidR="004D5254" w:rsidRDefault="004D5254" w:rsidP="004D5254">
      <w:pPr>
        <w:autoSpaceDE w:val="0"/>
        <w:autoSpaceDN w:val="0"/>
        <w:adjustRightInd w:val="0"/>
        <w:ind w:left="284" w:hanging="284"/>
        <w:rPr>
          <w:color w:val="000000"/>
        </w:rPr>
      </w:pPr>
      <w:r>
        <w:rPr>
          <w:color w:val="000000"/>
        </w:rPr>
        <w:t xml:space="preserve">Rudiger T, Weisenberger DD, Anderson JR, </w:t>
      </w:r>
      <w:r w:rsidRPr="005F61C6">
        <w:rPr>
          <w:i/>
          <w:color w:val="000000"/>
        </w:rPr>
        <w:t>et al</w:t>
      </w:r>
      <w:r>
        <w:rPr>
          <w:color w:val="000000"/>
        </w:rPr>
        <w:t xml:space="preserve">. Peripheral T-cell lymphoma (excluding anaplastic large cell lymphoma): results from the Non-Hodgkin’s: Lymphoma Classification Project. </w:t>
      </w:r>
      <w:r w:rsidRPr="00C14B02">
        <w:rPr>
          <w:i/>
          <w:color w:val="000000"/>
        </w:rPr>
        <w:t>Ann Oncol</w:t>
      </w:r>
      <w:r>
        <w:rPr>
          <w:color w:val="000000"/>
        </w:rPr>
        <w:t xml:space="preserve"> 2002; </w:t>
      </w:r>
      <w:r w:rsidRPr="00C14B02">
        <w:rPr>
          <w:b/>
          <w:color w:val="000000"/>
        </w:rPr>
        <w:t>12</w:t>
      </w:r>
      <w:r>
        <w:rPr>
          <w:color w:val="000000"/>
        </w:rPr>
        <w:t>: 140-149.</w:t>
      </w:r>
    </w:p>
    <w:p w:rsidR="004D5254" w:rsidRPr="00C14B02" w:rsidRDefault="004D5254" w:rsidP="004D5254">
      <w:pPr>
        <w:autoSpaceDE w:val="0"/>
        <w:autoSpaceDN w:val="0"/>
        <w:adjustRightInd w:val="0"/>
        <w:ind w:left="284" w:hanging="284"/>
        <w:rPr>
          <w:color w:val="000000"/>
        </w:rPr>
      </w:pPr>
      <w:r>
        <w:rPr>
          <w:color w:val="000000"/>
        </w:rPr>
        <w:t xml:space="preserve">Sallah S, Wan JY &amp; Nguyen NP. Treatment of refractory T-cell malignancies using gemcitabine. </w:t>
      </w:r>
      <w:r w:rsidRPr="00973C37">
        <w:rPr>
          <w:i/>
          <w:color w:val="000000"/>
        </w:rPr>
        <w:t>Br J Haematol</w:t>
      </w:r>
      <w:r>
        <w:rPr>
          <w:color w:val="000000"/>
        </w:rPr>
        <w:t xml:space="preserve"> 2001; </w:t>
      </w:r>
      <w:r w:rsidRPr="00973C37">
        <w:rPr>
          <w:b/>
          <w:color w:val="000000"/>
        </w:rPr>
        <w:t>113</w:t>
      </w:r>
      <w:r>
        <w:rPr>
          <w:color w:val="000000"/>
        </w:rPr>
        <w:t>: 185-187.</w:t>
      </w:r>
    </w:p>
    <w:p w:rsidR="004D5254" w:rsidRDefault="004D5254" w:rsidP="004D5254">
      <w:pPr>
        <w:autoSpaceDE w:val="0"/>
        <w:autoSpaceDN w:val="0"/>
        <w:adjustRightInd w:val="0"/>
        <w:ind w:left="284" w:hanging="284"/>
      </w:pPr>
      <w:r>
        <w:lastRenderedPageBreak/>
        <w:t xml:space="preserve">Savage DG, Lindenbaum J. </w:t>
      </w:r>
      <w:r w:rsidRPr="0056776A">
        <w:t>Sensitivity of serum methylmalonic acid and total</w:t>
      </w:r>
      <w:r>
        <w:t xml:space="preserve"> </w:t>
      </w:r>
      <w:r w:rsidRPr="0056776A">
        <w:t>homocysteine</w:t>
      </w:r>
      <w:r>
        <w:t xml:space="preserve"> </w:t>
      </w:r>
      <w:r w:rsidRPr="0056776A">
        <w:t xml:space="preserve">determinations for diagnosing cobalamin and folate deficiencies. </w:t>
      </w:r>
      <w:r w:rsidRPr="0056776A">
        <w:rPr>
          <w:i/>
        </w:rPr>
        <w:t>Am J Med</w:t>
      </w:r>
      <w:r w:rsidRPr="0056776A">
        <w:t xml:space="preserve"> </w:t>
      </w:r>
      <w:r>
        <w:t xml:space="preserve">1994; </w:t>
      </w:r>
      <w:r w:rsidRPr="0056776A">
        <w:rPr>
          <w:b/>
        </w:rPr>
        <w:t>96</w:t>
      </w:r>
      <w:r w:rsidRPr="0056776A">
        <w:t>:</w:t>
      </w:r>
      <w:r>
        <w:t xml:space="preserve"> </w:t>
      </w:r>
      <w:r w:rsidRPr="0056776A">
        <w:t>239-246</w:t>
      </w:r>
      <w:r>
        <w:t>.</w:t>
      </w:r>
    </w:p>
    <w:p w:rsidR="004D5254" w:rsidRPr="0056776A" w:rsidRDefault="004D5254" w:rsidP="004D5254">
      <w:pPr>
        <w:autoSpaceDE w:val="0"/>
        <w:autoSpaceDN w:val="0"/>
        <w:adjustRightInd w:val="0"/>
        <w:ind w:left="284" w:hanging="284"/>
      </w:pPr>
      <w:r>
        <w:t xml:space="preserve">Savage KJ. Peripheral T-cell lymphomas. </w:t>
      </w:r>
      <w:r w:rsidRPr="00973C37">
        <w:rPr>
          <w:i/>
        </w:rPr>
        <w:t>Blood Reviews</w:t>
      </w:r>
      <w:r>
        <w:t xml:space="preserve"> 2007; </w:t>
      </w:r>
      <w:r w:rsidRPr="00973C37">
        <w:rPr>
          <w:b/>
        </w:rPr>
        <w:t>21</w:t>
      </w:r>
      <w:r>
        <w:t>: 201-216.</w:t>
      </w:r>
    </w:p>
    <w:p w:rsidR="004D5254" w:rsidRDefault="004D5254" w:rsidP="004D5254">
      <w:pPr>
        <w:autoSpaceDE w:val="0"/>
        <w:autoSpaceDN w:val="0"/>
        <w:adjustRightInd w:val="0"/>
        <w:ind w:left="284" w:hanging="284"/>
      </w:pPr>
      <w:r>
        <w:t xml:space="preserve">Serova M, Bieche I, Sabin MP, </w:t>
      </w:r>
      <w:r w:rsidRPr="005F61C6">
        <w:rPr>
          <w:i/>
        </w:rPr>
        <w:t>et al</w:t>
      </w:r>
      <w:r>
        <w:t xml:space="preserve">. Single agent and combination studies of pralatrexate and molecular correlates of sensitivity. </w:t>
      </w:r>
      <w:r w:rsidRPr="00F12E27">
        <w:rPr>
          <w:i/>
        </w:rPr>
        <w:t>British Journal of Cancer</w:t>
      </w:r>
      <w:r>
        <w:t xml:space="preserve"> 2011; </w:t>
      </w:r>
      <w:r w:rsidRPr="00F12E27">
        <w:rPr>
          <w:b/>
        </w:rPr>
        <w:t>104(2)</w:t>
      </w:r>
      <w:r>
        <w:t>: 272-80.</w:t>
      </w:r>
    </w:p>
    <w:p w:rsidR="004D5254" w:rsidRDefault="004D5254" w:rsidP="004D5254">
      <w:pPr>
        <w:autoSpaceDE w:val="0"/>
        <w:autoSpaceDN w:val="0"/>
        <w:adjustRightInd w:val="0"/>
        <w:ind w:left="284" w:hanging="284"/>
      </w:pPr>
      <w:r>
        <w:t xml:space="preserve">Shipp MA. Prognostic Factors in Aggressive Non-Hodgkin’s Lymphoma: Who has “High-Risk” Disease. </w:t>
      </w:r>
      <w:r w:rsidRPr="00973C37">
        <w:rPr>
          <w:i/>
        </w:rPr>
        <w:t>Blood</w:t>
      </w:r>
      <w:r>
        <w:t xml:space="preserve"> 1994; </w:t>
      </w:r>
      <w:r w:rsidRPr="00973C37">
        <w:rPr>
          <w:b/>
        </w:rPr>
        <w:t>83(5)</w:t>
      </w:r>
      <w:r>
        <w:t>: 1165-1173.</w:t>
      </w:r>
    </w:p>
    <w:p w:rsidR="004D5254" w:rsidRDefault="004D5254" w:rsidP="004D5254">
      <w:pPr>
        <w:autoSpaceDE w:val="0"/>
        <w:autoSpaceDN w:val="0"/>
        <w:adjustRightInd w:val="0"/>
        <w:ind w:left="284" w:hanging="284"/>
      </w:pPr>
      <w:r>
        <w:t xml:space="preserve">Sirotnak FM, DeGraw JI, Calwell WJ &amp; Piper JR. A new analogue of 10-deazaaminopterin with markedly enhanced curative effects against human tumor xenografts in mice. </w:t>
      </w:r>
      <w:r w:rsidRPr="003615EE">
        <w:rPr>
          <w:i/>
        </w:rPr>
        <w:t>Cancer Chemother Pharmacol</w:t>
      </w:r>
      <w:r>
        <w:t xml:space="preserve"> 1998; </w:t>
      </w:r>
      <w:r w:rsidRPr="003615EE">
        <w:rPr>
          <w:b/>
        </w:rPr>
        <w:t>42</w:t>
      </w:r>
      <w:r>
        <w:t>: 313-318.</w:t>
      </w:r>
    </w:p>
    <w:p w:rsidR="004D5254" w:rsidRDefault="004D5254" w:rsidP="004D5254">
      <w:pPr>
        <w:autoSpaceDE w:val="0"/>
        <w:autoSpaceDN w:val="0"/>
        <w:adjustRightInd w:val="0"/>
        <w:ind w:left="284" w:hanging="284"/>
      </w:pPr>
      <w:r>
        <w:t xml:space="preserve">Sonnen R, Schmidt W-P, Muller-Hermelink HK &amp; Schmitz N. The International Prognostic Index determines the outcome of patients with nodal mature T-cell lymphomas. </w:t>
      </w:r>
      <w:r w:rsidRPr="003615EE">
        <w:rPr>
          <w:i/>
        </w:rPr>
        <w:t>Br J Haematol</w:t>
      </w:r>
      <w:r>
        <w:t xml:space="preserve"> 2005; </w:t>
      </w:r>
      <w:r w:rsidRPr="003615EE">
        <w:rPr>
          <w:b/>
        </w:rPr>
        <w:t>129</w:t>
      </w:r>
      <w:r>
        <w:t>: 366-372.</w:t>
      </w:r>
    </w:p>
    <w:p w:rsidR="004D5254" w:rsidRPr="00C92BC8" w:rsidRDefault="004D5254" w:rsidP="004D5254">
      <w:pPr>
        <w:autoSpaceDE w:val="0"/>
        <w:autoSpaceDN w:val="0"/>
        <w:adjustRightInd w:val="0"/>
        <w:ind w:left="284" w:hanging="284"/>
      </w:pPr>
      <w:r w:rsidRPr="00C92BC8">
        <w:t xml:space="preserve">Suzuki K, Doki K, Homma M, </w:t>
      </w:r>
      <w:r w:rsidRPr="005F61C6">
        <w:rPr>
          <w:i/>
        </w:rPr>
        <w:t>et al</w:t>
      </w:r>
      <w:r w:rsidRPr="00C92BC8">
        <w:t>.</w:t>
      </w:r>
      <w:r>
        <w:t xml:space="preserve"> </w:t>
      </w:r>
      <w:r w:rsidRPr="00C92BC8">
        <w:t>Co-administration of proton pump inhibitors delays elimination of plasma methotrexate in high dose methotrexate therapy.</w:t>
      </w:r>
      <w:r>
        <w:t xml:space="preserve"> </w:t>
      </w:r>
      <w:r w:rsidRPr="00C92BC8">
        <w:rPr>
          <w:i/>
        </w:rPr>
        <w:t>Br J Clin Pharmacol</w:t>
      </w:r>
      <w:r w:rsidRPr="00C92BC8">
        <w:t xml:space="preserve"> 2008; </w:t>
      </w:r>
      <w:r w:rsidRPr="00C92BC8">
        <w:rPr>
          <w:b/>
        </w:rPr>
        <w:t>67</w:t>
      </w:r>
      <w:r w:rsidRPr="00C92BC8">
        <w:t>(1): 44-</w:t>
      </w:r>
      <w:r>
        <w:t>4</w:t>
      </w:r>
      <w:r w:rsidRPr="00C92BC8">
        <w:t>9.</w:t>
      </w:r>
    </w:p>
    <w:p w:rsidR="004D5254" w:rsidRDefault="004D5254" w:rsidP="004D5254">
      <w:pPr>
        <w:ind w:left="284" w:hanging="284"/>
      </w:pPr>
      <w:r w:rsidRPr="00C92BC8">
        <w:t xml:space="preserve">Vose J, Harris NM, Harris ME </w:t>
      </w:r>
      <w:r w:rsidRPr="005F61C6">
        <w:rPr>
          <w:i/>
        </w:rPr>
        <w:t>et al</w:t>
      </w:r>
      <w:r w:rsidRPr="00C92BC8">
        <w:t>.</w:t>
      </w:r>
      <w:r>
        <w:t xml:space="preserve"> </w:t>
      </w:r>
      <w:r w:rsidRPr="00C92BC8">
        <w:t>International Peripheral T-cell and Natural Killer/T-Cell Lymphoma Study: Pathology Findings and Clinical Outcomes.</w:t>
      </w:r>
      <w:r>
        <w:t xml:space="preserve"> </w:t>
      </w:r>
      <w:r>
        <w:rPr>
          <w:i/>
        </w:rPr>
        <w:t xml:space="preserve">J </w:t>
      </w:r>
      <w:r w:rsidRPr="00C92BC8">
        <w:rPr>
          <w:i/>
        </w:rPr>
        <w:t>Clin Oncol</w:t>
      </w:r>
      <w:r w:rsidRPr="00C92BC8">
        <w:t xml:space="preserve"> 2008; </w:t>
      </w:r>
      <w:r w:rsidRPr="00973C37">
        <w:rPr>
          <w:b/>
        </w:rPr>
        <w:t>26</w:t>
      </w:r>
      <w:r w:rsidRPr="00C92BC8">
        <w:t>: 4124 – 4130.</w:t>
      </w:r>
    </w:p>
    <w:p w:rsidR="004D5254" w:rsidRPr="00C92BC8" w:rsidRDefault="004D5254" w:rsidP="004D5254">
      <w:pPr>
        <w:ind w:left="284" w:hanging="284"/>
      </w:pPr>
      <w:r>
        <w:t xml:space="preserve">Walling J. From methotrexate to pemetrexed and beyond. A review of the pharmacodynamic and clinical properties of antifolates. </w:t>
      </w:r>
      <w:r w:rsidRPr="003123E4">
        <w:rPr>
          <w:i/>
        </w:rPr>
        <w:t>Invest New Drugs</w:t>
      </w:r>
      <w:r>
        <w:t xml:space="preserve"> 2006; </w:t>
      </w:r>
      <w:r w:rsidRPr="003123E4">
        <w:rPr>
          <w:b/>
        </w:rPr>
        <w:t>24</w:t>
      </w:r>
      <w:r>
        <w:t>: 37-77.</w:t>
      </w:r>
    </w:p>
    <w:p w:rsidR="008D770F" w:rsidRPr="00AE01C2" w:rsidRDefault="008D770F" w:rsidP="008B5A3E">
      <w:pPr>
        <w:rPr>
          <w:lang w:eastAsia="ja-JP"/>
        </w:rPr>
      </w:pPr>
    </w:p>
    <w:p w:rsidR="003D1E62" w:rsidRPr="001D043B" w:rsidRDefault="008E7846" w:rsidP="002666AC">
      <w:pPr>
        <w:sectPr w:rsidR="003D1E62" w:rsidRPr="001D043B" w:rsidSect="008D770F">
          <w:headerReference w:type="even" r:id="rId32"/>
          <w:headerReference w:type="default" r:id="rId33"/>
          <w:footerReference w:type="default" r:id="rId34"/>
          <w:headerReference w:type="first" r:id="rId35"/>
          <w:footerReference w:type="first" r:id="rId36"/>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37"/>
      <w:headerReference w:type="default" r:id="rId38"/>
      <w:footerReference w:type="default" r:id="rId39"/>
      <w:headerReference w:type="first" r:id="rId40"/>
      <w:footerReference w:type="first" r:id="rId41"/>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6D3" w:rsidRDefault="003216D3" w:rsidP="00C40A36">
      <w:pPr>
        <w:spacing w:after="0"/>
      </w:pPr>
      <w:r>
        <w:separator/>
      </w:r>
    </w:p>
  </w:endnote>
  <w:endnote w:type="continuationSeparator" w:id="0">
    <w:p w:rsidR="003216D3" w:rsidRDefault="003216D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auto"/>
    <w:notTrueType/>
    <w:pitch w:val="default"/>
    <w:sig w:usb0="00000003" w:usb1="00000000" w:usb2="00000000" w:usb3="00000000" w:csb0="00000009" w:csb1="00000000"/>
  </w:font>
  <w:font w:name="SymbolMT">
    <w:altName w:val="MS Mincho"/>
    <w:panose1 w:val="00000000000000000000"/>
    <w:charset w:val="80"/>
    <w:family w:val="auto"/>
    <w:notTrueType/>
    <w:pitch w:val="default"/>
    <w:sig w:usb0="00000001" w:usb1="09070000" w:usb2="00000010" w:usb3="00000000" w:csb0="000A0000"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NewRoman,Italic">
    <w:panose1 w:val="00000000000000000000"/>
    <w:charset w:val="00"/>
    <w:family w:val="roman"/>
    <w:notTrueType/>
    <w:pitch w:val="default"/>
    <w:sig w:usb0="00000003" w:usb1="00000000" w:usb2="00000000" w:usb3="00000000" w:csb0="00000001" w:csb1="00000000"/>
  </w:font>
  <w:font w:name="MinionPro-Regular">
    <w:altName w:val="Times New Roman"/>
    <w:panose1 w:val="00000000000000000000"/>
    <w:charset w:val="A1"/>
    <w:family w:val="roman"/>
    <w:notTrueType/>
    <w:pitch w:val="default"/>
    <w:sig w:usb0="00000081" w:usb1="00000000" w:usb2="00000000" w:usb3="00000000" w:csb0="00000008" w:csb1="00000000"/>
  </w:font>
  <w:font w:name="TimesNewRoman,Bold">
    <w:panose1 w:val="00000000000000000000"/>
    <w:charset w:val="00"/>
    <w:family w:val="auto"/>
    <w:notTrueType/>
    <w:pitch w:val="default"/>
    <w:sig w:usb0="00000003" w:usb1="00000000" w:usb2="00000000" w:usb3="00000000" w:csb0="00000001" w:csb1="00000000"/>
  </w:font>
  <w:font w:name="SASMonospace">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E6E27" w:rsidRPr="00487162" w:rsidTr="0053625B">
      <w:trPr>
        <w:trHeight w:val="269"/>
      </w:trPr>
      <w:tc>
        <w:tcPr>
          <w:tcW w:w="7938" w:type="dxa"/>
          <w:tcMar>
            <w:top w:w="142" w:type="dxa"/>
            <w:bottom w:w="0" w:type="dxa"/>
          </w:tcMar>
        </w:tcPr>
        <w:p w:rsidR="007E6E27" w:rsidRPr="00487162" w:rsidRDefault="004D5254" w:rsidP="00586F98">
          <w:pPr>
            <w:pStyle w:val="Footer"/>
          </w:pPr>
          <w:r w:rsidRPr="004D5254">
            <w:t xml:space="preserve">Submission PM-2011-03153-3-4 Extract from the Clinical Evaluation Report for </w:t>
          </w:r>
          <w:proofErr w:type="spellStart"/>
          <w:r w:rsidRPr="004D5254">
            <w:t>Folotyn</w:t>
          </w:r>
          <w:proofErr w:type="spellEnd"/>
        </w:p>
      </w:tc>
      <w:tc>
        <w:tcPr>
          <w:tcW w:w="923" w:type="dxa"/>
          <w:tcMar>
            <w:top w:w="142" w:type="dxa"/>
            <w:bottom w:w="0" w:type="dxa"/>
          </w:tcMar>
        </w:tcPr>
        <w:p w:rsidR="007E6E27" w:rsidRPr="00487162" w:rsidRDefault="007E6E27" w:rsidP="00D855D4">
          <w:pPr>
            <w:pStyle w:val="Footer"/>
            <w:jc w:val="right"/>
          </w:pPr>
          <w:r w:rsidRPr="00487162">
            <w:t xml:space="preserve">Page </w:t>
          </w:r>
          <w:r>
            <w:t>2</w:t>
          </w:r>
          <w:r w:rsidRPr="00487162">
            <w:t xml:space="preserve"> of </w:t>
          </w:r>
          <w:fldSimple w:instr=" NUMPAGES  \* Arabic ">
            <w:r w:rsidR="00BF2649">
              <w:rPr>
                <w:noProof/>
              </w:rPr>
              <w:t>4</w:t>
            </w:r>
          </w:fldSimple>
        </w:p>
      </w:tc>
    </w:tr>
  </w:tbl>
  <w:p w:rsidR="007E6E27" w:rsidRDefault="007E6E27"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7E6E27" w:rsidRPr="00487162" w:rsidTr="00586F98">
      <w:trPr>
        <w:trHeight w:val="269"/>
      </w:trPr>
      <w:tc>
        <w:tcPr>
          <w:tcW w:w="7655" w:type="dxa"/>
          <w:tcMar>
            <w:top w:w="142" w:type="dxa"/>
            <w:bottom w:w="0" w:type="dxa"/>
          </w:tcMar>
        </w:tcPr>
        <w:p w:rsidR="007E6E27" w:rsidRPr="00487162" w:rsidRDefault="004D5254" w:rsidP="00D855D4">
          <w:pPr>
            <w:pStyle w:val="Footer"/>
          </w:pPr>
          <w:r w:rsidRPr="004D5254">
            <w:t xml:space="preserve">Submission PM-2011-03153-3-4 Extract from the Clinical Evaluation Report for </w:t>
          </w:r>
          <w:proofErr w:type="spellStart"/>
          <w:r w:rsidRPr="004D5254">
            <w:t>Folotyn</w:t>
          </w:r>
          <w:proofErr w:type="spellEnd"/>
        </w:p>
      </w:tc>
      <w:tc>
        <w:tcPr>
          <w:tcW w:w="1206" w:type="dxa"/>
          <w:tcMar>
            <w:top w:w="142" w:type="dxa"/>
            <w:bottom w:w="0" w:type="dxa"/>
          </w:tcMar>
        </w:tcPr>
        <w:p w:rsidR="007E6E27" w:rsidRPr="00487162" w:rsidRDefault="007E6E27" w:rsidP="00E45619">
          <w:pPr>
            <w:pStyle w:val="Footer"/>
            <w:jc w:val="right"/>
          </w:pPr>
          <w:r w:rsidRPr="00487162">
            <w:t xml:space="preserve">Page </w:t>
          </w:r>
          <w:fldSimple w:instr="PAGE">
            <w:r w:rsidR="00BF2649">
              <w:rPr>
                <w:noProof/>
              </w:rPr>
              <w:t>41</w:t>
            </w:r>
          </w:fldSimple>
          <w:r w:rsidRPr="00487162">
            <w:t xml:space="preserve"> of </w:t>
          </w:r>
          <w:fldSimple w:instr=" NUMPAGES  \* Arabic ">
            <w:r w:rsidR="00BF2649">
              <w:rPr>
                <w:noProof/>
              </w:rPr>
              <w:t>94</w:t>
            </w:r>
          </w:fldSimple>
        </w:p>
      </w:tc>
    </w:tr>
  </w:tbl>
  <w:p w:rsidR="007E6E27" w:rsidRDefault="007E6E2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E6E27" w:rsidRPr="00487162" w:rsidTr="00E45619">
      <w:trPr>
        <w:trHeight w:val="269"/>
      </w:trPr>
      <w:tc>
        <w:tcPr>
          <w:tcW w:w="4519" w:type="dxa"/>
          <w:tcBorders>
            <w:top w:val="single" w:sz="4" w:space="0" w:color="auto"/>
          </w:tcBorders>
          <w:tcMar>
            <w:top w:w="142" w:type="dxa"/>
            <w:bottom w:w="0" w:type="dxa"/>
          </w:tcMar>
        </w:tcPr>
        <w:p w:rsidR="007E6E27" w:rsidRPr="00487162" w:rsidRDefault="007E6E27" w:rsidP="00FE1DEE">
          <w:pPr>
            <w:pStyle w:val="Footer"/>
          </w:pPr>
          <w:r w:rsidRPr="00487162">
            <w:t>Document title, Part #, Section # - Section title</w:t>
          </w:r>
        </w:p>
        <w:p w:rsidR="007E6E27" w:rsidRPr="00487162" w:rsidRDefault="007E6E27" w:rsidP="00FE1DEE">
          <w:pPr>
            <w:pStyle w:val="Footer"/>
          </w:pPr>
          <w:r w:rsidRPr="00487162">
            <w:t>V1.0 October 2010</w:t>
          </w:r>
        </w:p>
      </w:tc>
      <w:tc>
        <w:tcPr>
          <w:tcW w:w="4342" w:type="dxa"/>
          <w:tcBorders>
            <w:top w:val="single" w:sz="4" w:space="0" w:color="auto"/>
          </w:tcBorders>
          <w:tcMar>
            <w:top w:w="142" w:type="dxa"/>
            <w:bottom w:w="0" w:type="dxa"/>
          </w:tcMar>
        </w:tcPr>
        <w:p w:rsidR="007E6E27" w:rsidRPr="00487162" w:rsidRDefault="007E6E2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sidR="003216D3">
              <w:rPr>
                <w:noProof/>
              </w:rPr>
              <w:t>2</w:t>
            </w:r>
          </w:fldSimple>
        </w:p>
      </w:tc>
    </w:tr>
  </w:tbl>
  <w:p w:rsidR="007E6E27" w:rsidRDefault="007E6E2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7E6E27" w:rsidRPr="00487162" w:rsidTr="008D770F">
              <w:trPr>
                <w:trHeight w:hRule="exact" w:val="564"/>
              </w:trPr>
              <w:tc>
                <w:tcPr>
                  <w:tcW w:w="9175" w:type="dxa"/>
                </w:tcPr>
                <w:p w:rsidR="007E6E27" w:rsidRPr="00487162" w:rsidRDefault="007E6E27" w:rsidP="008E7846">
                  <w:pPr>
                    <w:pStyle w:val="TGASignoff"/>
                  </w:pPr>
                  <w:r w:rsidRPr="00487162">
                    <w:t>Therapeutic Goods Administration</w:t>
                  </w:r>
                </w:p>
              </w:tc>
            </w:tr>
            <w:tr w:rsidR="007E6E27" w:rsidRPr="00487162" w:rsidTr="00E45619">
              <w:trPr>
                <w:trHeight w:val="1221"/>
              </w:trPr>
              <w:tc>
                <w:tcPr>
                  <w:tcW w:w="9175" w:type="dxa"/>
                  <w:tcMar>
                    <w:top w:w="28" w:type="dxa"/>
                  </w:tcMar>
                </w:tcPr>
                <w:p w:rsidR="007E6E27" w:rsidRPr="00487162" w:rsidRDefault="007E6E27" w:rsidP="00E45619">
                  <w:pPr>
                    <w:pStyle w:val="Address"/>
                  </w:pPr>
                  <w:r w:rsidRPr="00487162">
                    <w:t>PO Box 100 Woden ACT 2606 Australia</w:t>
                  </w:r>
                </w:p>
                <w:p w:rsidR="007E6E27" w:rsidRPr="00487162" w:rsidRDefault="007E6E27"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7E6E27" w:rsidRPr="008D770F" w:rsidRDefault="00B20FF9" w:rsidP="008D770F">
                  <w:pPr>
                    <w:pStyle w:val="Address"/>
                    <w:spacing w:line="260" w:lineRule="atLeast"/>
                    <w:rPr>
                      <w:b/>
                      <w:color w:val="0000FF"/>
                      <w:u w:val="single"/>
                    </w:rPr>
                  </w:pPr>
                  <w:hyperlink r:id="rId2" w:history="1">
                    <w:r w:rsidR="003B1113" w:rsidRPr="007C06C7">
                      <w:rPr>
                        <w:rStyle w:val="Hyperlink"/>
                        <w:b/>
                      </w:rPr>
                      <w:t>http://www.tga.gov.au</w:t>
                    </w:r>
                  </w:hyperlink>
                </w:p>
              </w:tc>
            </w:tr>
          </w:tbl>
          <w:p w:rsidR="007E6E27" w:rsidRDefault="00B20FF9"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E6E27" w:rsidTr="0010601F">
      <w:trPr>
        <w:trHeight w:val="108"/>
      </w:trPr>
      <w:tc>
        <w:tcPr>
          <w:tcW w:w="8875" w:type="dxa"/>
          <w:gridSpan w:val="2"/>
          <w:tcBorders>
            <w:bottom w:val="single" w:sz="4" w:space="0" w:color="auto"/>
          </w:tcBorders>
          <w:tcMar>
            <w:right w:w="284" w:type="dxa"/>
          </w:tcMar>
        </w:tcPr>
        <w:p w:rsidR="007E6E27" w:rsidRDefault="007E6E27" w:rsidP="006E08B3">
          <w:pPr>
            <w:pStyle w:val="Heading3"/>
          </w:pPr>
          <w:r>
            <w:t>Copyright</w:t>
          </w:r>
        </w:p>
        <w:p w:rsidR="007E6E27" w:rsidRDefault="007E6E27" w:rsidP="006E08B3">
          <w:r>
            <w:rPr>
              <w:rFonts w:cs="Arial"/>
            </w:rPr>
            <w:t>©</w:t>
          </w:r>
          <w:r>
            <w:t xml:space="preserve"> Commonwealth of Australia [add year]</w:t>
          </w:r>
        </w:p>
        <w:p w:rsidR="007E6E27" w:rsidRDefault="007E6E27" w:rsidP="006E08B3"/>
        <w:p w:rsidR="007E6E27" w:rsidRDefault="007E6E2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E6E27" w:rsidRDefault="007E6E27" w:rsidP="006E08B3"/>
        <w:p w:rsidR="007E6E27" w:rsidRDefault="007E6E27" w:rsidP="006E08B3">
          <w:pPr>
            <w:pStyle w:val="Heading3"/>
          </w:pPr>
          <w:r>
            <w:t>Confidentiality</w:t>
          </w:r>
        </w:p>
        <w:p w:rsidR="007E6E27" w:rsidRDefault="007E6E2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E6E27" w:rsidRDefault="007E6E27" w:rsidP="006E08B3"/>
        <w:p w:rsidR="007E6E27" w:rsidRDefault="007E6E27" w:rsidP="006E08B3">
          <w:r>
            <w:t>For submission made by individuals, all personal details, other than your name, will be removed from your submission before it is published on the TGA’s Internet site.</w:t>
          </w:r>
        </w:p>
        <w:p w:rsidR="007E6E27" w:rsidRDefault="007E6E27" w:rsidP="006E08B3"/>
        <w:p w:rsidR="007E6E27" w:rsidRDefault="007E6E2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E6E27" w:rsidTr="0010601F">
      <w:trPr>
        <w:trHeight w:val="417"/>
      </w:trPr>
      <w:tc>
        <w:tcPr>
          <w:tcW w:w="4519" w:type="dxa"/>
          <w:tcBorders>
            <w:top w:val="single" w:sz="4" w:space="0" w:color="auto"/>
          </w:tcBorders>
          <w:tcMar>
            <w:top w:w="142" w:type="dxa"/>
            <w:bottom w:w="0" w:type="dxa"/>
          </w:tcMar>
        </w:tcPr>
        <w:p w:rsidR="007E6E27" w:rsidRDefault="007E6E27" w:rsidP="006E08B3">
          <w:r>
            <w:t>Document title, Part #, Section # - Section title</w:t>
          </w:r>
        </w:p>
        <w:p w:rsidR="007E6E27" w:rsidRDefault="007E6E27" w:rsidP="006E08B3">
          <w:r>
            <w:t>V1.0 October 2010</w:t>
          </w:r>
        </w:p>
      </w:tc>
      <w:tc>
        <w:tcPr>
          <w:tcW w:w="4356" w:type="dxa"/>
          <w:tcBorders>
            <w:top w:val="single" w:sz="4" w:space="0" w:color="auto"/>
          </w:tcBorders>
          <w:tcMar>
            <w:top w:w="142" w:type="dxa"/>
            <w:bottom w:w="0" w:type="dxa"/>
          </w:tcMar>
        </w:tcPr>
        <w:p w:rsidR="007E6E27" w:rsidRDefault="007E6E27" w:rsidP="006E08B3">
          <w:pPr>
            <w:jc w:val="right"/>
          </w:pPr>
          <w:r>
            <w:t xml:space="preserve">Page </w:t>
          </w:r>
          <w:fldSimple w:instr=" PAGE   \* MERGEFORMAT ">
            <w:r>
              <w:rPr>
                <w:noProof/>
              </w:rPr>
              <w:t>1</w:t>
            </w:r>
          </w:fldSimple>
          <w:r>
            <w:t xml:space="preserve"> of </w:t>
          </w:r>
          <w:fldSimple w:instr=" NUMPAGES  \* Arabic ">
            <w:r w:rsidR="003216D3">
              <w:rPr>
                <w:noProof/>
              </w:rPr>
              <w:t>2</w:t>
            </w:r>
          </w:fldSimple>
          <w:r>
            <w:t xml:space="preserve">  </w:t>
          </w:r>
        </w:p>
      </w:tc>
    </w:tr>
  </w:tbl>
  <w:p w:rsidR="007E6E27" w:rsidRDefault="007E6E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6D3" w:rsidRDefault="003216D3" w:rsidP="00C40A36">
      <w:pPr>
        <w:spacing w:after="0"/>
      </w:pPr>
      <w:r>
        <w:separator/>
      </w:r>
    </w:p>
  </w:footnote>
  <w:footnote w:type="continuationSeparator" w:id="0">
    <w:p w:rsidR="003216D3" w:rsidRDefault="003216D3" w:rsidP="00C40A36">
      <w:pPr>
        <w:spacing w:after="0"/>
      </w:pPr>
      <w:r>
        <w:continuationSeparator/>
      </w:r>
    </w:p>
  </w:footnote>
  <w:footnote w:id="1">
    <w:p w:rsidR="004D5254" w:rsidRDefault="004D5254" w:rsidP="004D5254">
      <w:pPr>
        <w:pStyle w:val="FootnoteText"/>
      </w:pPr>
      <w:r>
        <w:rPr>
          <w:rStyle w:val="FootnoteReference"/>
        </w:rPr>
        <w:footnoteRef/>
      </w:r>
      <w:r>
        <w:t xml:space="preserve"> </w:t>
      </w:r>
      <w:r w:rsidRPr="000B0E1C">
        <w:rPr>
          <w:sz w:val="18"/>
          <w:szCs w:val="18"/>
        </w:rPr>
        <w:t>F</w:t>
      </w:r>
      <w:r>
        <w:rPr>
          <w:sz w:val="18"/>
          <w:szCs w:val="18"/>
        </w:rPr>
        <w:t>urthermore</w:t>
      </w:r>
      <w:r w:rsidRPr="000B0E1C">
        <w:rPr>
          <w:sz w:val="18"/>
          <w:szCs w:val="18"/>
        </w:rPr>
        <w:t xml:space="preserve">, acquired resistance to </w:t>
      </w:r>
      <w:hyperlink r:id="rId1" w:history="1">
        <w:proofErr w:type="spellStart"/>
        <w:r w:rsidRPr="000B0E1C">
          <w:rPr>
            <w:rStyle w:val="Hyperlink"/>
            <w:sz w:val="18"/>
            <w:szCs w:val="18"/>
          </w:rPr>
          <w:t>methotrexate</w:t>
        </w:r>
        <w:proofErr w:type="spellEnd"/>
      </w:hyperlink>
      <w:r w:rsidRPr="000B0E1C">
        <w:rPr>
          <w:sz w:val="18"/>
          <w:szCs w:val="18"/>
        </w:rPr>
        <w:t xml:space="preserve"> affects each known step in </w:t>
      </w:r>
      <w:proofErr w:type="spellStart"/>
      <w:r w:rsidRPr="000B0E1C">
        <w:rPr>
          <w:sz w:val="18"/>
          <w:szCs w:val="18"/>
        </w:rPr>
        <w:t>methotrexate</w:t>
      </w:r>
      <w:proofErr w:type="spellEnd"/>
      <w:r w:rsidRPr="000B0E1C">
        <w:rPr>
          <w:sz w:val="18"/>
          <w:szCs w:val="18"/>
        </w:rPr>
        <w:t xml:space="preserve"> action, including impaired transport of </w:t>
      </w:r>
      <w:proofErr w:type="spellStart"/>
      <w:r w:rsidRPr="000B0E1C">
        <w:rPr>
          <w:sz w:val="18"/>
          <w:szCs w:val="18"/>
        </w:rPr>
        <w:t>methotrexate</w:t>
      </w:r>
      <w:proofErr w:type="spellEnd"/>
      <w:r w:rsidRPr="000B0E1C">
        <w:rPr>
          <w:sz w:val="18"/>
          <w:szCs w:val="18"/>
        </w:rPr>
        <w:t xml:space="preserve"> into cells, production of altered forms of DHFR that have less affinity for </w:t>
      </w:r>
      <w:proofErr w:type="spellStart"/>
      <w:r>
        <w:rPr>
          <w:sz w:val="18"/>
          <w:szCs w:val="18"/>
        </w:rPr>
        <w:t>methotrexate</w:t>
      </w:r>
      <w:proofErr w:type="spellEnd"/>
      <w:r w:rsidRPr="000B0E1C">
        <w:rPr>
          <w:sz w:val="18"/>
          <w:szCs w:val="18"/>
        </w:rPr>
        <w:t xml:space="preserve"> and decreased ability to synthesize </w:t>
      </w:r>
      <w:proofErr w:type="spellStart"/>
      <w:r w:rsidRPr="000B0E1C">
        <w:rPr>
          <w:sz w:val="18"/>
          <w:szCs w:val="18"/>
        </w:rPr>
        <w:t>methotrexate</w:t>
      </w:r>
      <w:proofErr w:type="spellEnd"/>
      <w:r w:rsidRPr="000B0E1C">
        <w:rPr>
          <w:sz w:val="18"/>
          <w:szCs w:val="18"/>
        </w:rPr>
        <w:t xml:space="preserve"> </w:t>
      </w:r>
      <w:proofErr w:type="spellStart"/>
      <w:r w:rsidRPr="000B0E1C">
        <w:rPr>
          <w:sz w:val="18"/>
          <w:szCs w:val="18"/>
        </w:rPr>
        <w:t>polyglutamates</w:t>
      </w:r>
      <w:proofErr w:type="spellEnd"/>
      <w:r w:rsidRPr="000B0E1C">
        <w:rPr>
          <w:sz w:val="18"/>
          <w:szCs w:val="18"/>
        </w:rPr>
        <w:t xml:space="preserve"> (Goodman and Gilman, </w:t>
      </w:r>
      <w:r>
        <w:rPr>
          <w:sz w:val="18"/>
          <w:szCs w:val="18"/>
        </w:rPr>
        <w:t>2011</w:t>
      </w:r>
      <w:r w:rsidRPr="000B0E1C">
        <w:rPr>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27" w:rsidRDefault="007E6E2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27" w:rsidRDefault="00B20FF9">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7E6E27" w:rsidRDefault="00BF2649"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27" w:rsidRDefault="007E6E2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27" w:rsidRDefault="007E6E2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27" w:rsidRDefault="007E6E2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27" w:rsidRDefault="007E6E2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27" w:rsidRDefault="007E6E27"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E27" w:rsidRDefault="007E6E27" w:rsidP="006E08B3">
    <w:r>
      <w:t>Therapeutic Goods Administration</w:t>
    </w:r>
  </w:p>
  <w:p w:rsidR="007E6E27" w:rsidRDefault="007E6E2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08CA62FB"/>
    <w:multiLevelType w:val="hybridMultilevel"/>
    <w:tmpl w:val="F5A2EB18"/>
    <w:lvl w:ilvl="0" w:tplc="7FC6482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9F50B4C"/>
    <w:multiLevelType w:val="hybridMultilevel"/>
    <w:tmpl w:val="3DA0730E"/>
    <w:lvl w:ilvl="0" w:tplc="5D8C5130">
      <w:start w:val="1"/>
      <w:numFmt w:val="bullet"/>
      <w:lvlText w:val=""/>
      <w:lvlJc w:val="left"/>
      <w:pPr>
        <w:tabs>
          <w:tab w:val="num" w:pos="567"/>
        </w:tabs>
        <w:ind w:left="567" w:hanging="283"/>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7E81E9E"/>
    <w:multiLevelType w:val="hybridMultilevel"/>
    <w:tmpl w:val="99F00364"/>
    <w:lvl w:ilvl="0" w:tplc="F8DCAF5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BCD7FF1"/>
    <w:multiLevelType w:val="hybridMultilevel"/>
    <w:tmpl w:val="385C80D4"/>
    <w:lvl w:ilvl="0" w:tplc="85044E1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66740A"/>
    <w:multiLevelType w:val="hybridMultilevel"/>
    <w:tmpl w:val="585A1144"/>
    <w:lvl w:ilvl="0" w:tplc="9BC8C316">
      <w:start w:val="1"/>
      <w:numFmt w:val="bullet"/>
      <w:pStyle w:val="Bullet1"/>
      <w:lvlText w:val="•"/>
      <w:lvlJc w:val="left"/>
      <w:pPr>
        <w:tabs>
          <w:tab w:val="num" w:pos="284"/>
        </w:tabs>
        <w:ind w:left="284" w:hanging="284"/>
      </w:pPr>
      <w:rPr>
        <w:rFonts w:ascii="Cambria" w:hAnsi="Cambria" w:cs="Times New Roman"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6F30FCD6"/>
    <w:lvl w:ilvl="0" w:tplc="3B76980A">
      <w:start w:val="1"/>
      <w:numFmt w:val="bullet"/>
      <w:pStyle w:val="Bullet2"/>
      <w:lvlText w:val="-"/>
      <w:lvlJc w:val="left"/>
      <w:pPr>
        <w:tabs>
          <w:tab w:val="num" w:pos="567"/>
        </w:tabs>
        <w:ind w:left="567" w:hanging="283"/>
      </w:pPr>
      <w:rPr>
        <w:rFonts w:ascii="Arial" w:hAnsi="Arial" w:hint="default"/>
      </w:rPr>
    </w:lvl>
    <w:lvl w:ilvl="1" w:tplc="8178822E">
      <w:start w:val="1"/>
      <w:numFmt w:val="bullet"/>
      <w:lvlText w:val="o"/>
      <w:lvlJc w:val="left"/>
      <w:pPr>
        <w:tabs>
          <w:tab w:val="num" w:pos="1724"/>
        </w:tabs>
        <w:ind w:left="1724" w:hanging="360"/>
      </w:pPr>
      <w:rPr>
        <w:rFonts w:ascii="Courier New" w:hAnsi="Courier New" w:cs="Courier New" w:hint="default"/>
        <w:sz w:val="20"/>
        <w:szCs w:val="20"/>
      </w:rPr>
    </w:lvl>
    <w:lvl w:ilvl="2" w:tplc="F8C66340">
      <w:start w:val="1"/>
      <w:numFmt w:val="bullet"/>
      <w:lvlText w:val=""/>
      <w:lvlJc w:val="left"/>
      <w:pPr>
        <w:tabs>
          <w:tab w:val="num" w:pos="2444"/>
        </w:tabs>
        <w:ind w:left="2444" w:hanging="360"/>
      </w:pPr>
      <w:rPr>
        <w:rFonts w:ascii="Wingdings" w:hAnsi="Wingdings" w:hint="default"/>
        <w:sz w:val="20"/>
        <w:szCs w:val="20"/>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431C4702"/>
    <w:multiLevelType w:val="hybridMultilevel"/>
    <w:tmpl w:val="D9CCEAA8"/>
    <w:lvl w:ilvl="0" w:tplc="6B9CAE1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762194A"/>
    <w:multiLevelType w:val="hybridMultilevel"/>
    <w:tmpl w:val="E892C8E4"/>
    <w:lvl w:ilvl="0" w:tplc="6660F954">
      <w:start w:val="1"/>
      <w:numFmt w:val="bullet"/>
      <w:lvlText w:val=""/>
      <w:lvlJc w:val="left"/>
      <w:pPr>
        <w:tabs>
          <w:tab w:val="num" w:pos="567"/>
        </w:tabs>
        <w:ind w:left="567" w:hanging="283"/>
      </w:pPr>
      <w:rPr>
        <w:rFonts w:ascii="Symbol" w:hAnsi="Symbol" w:hint="default"/>
        <w:sz w:val="20"/>
        <w:szCs w:val="20"/>
      </w:rPr>
    </w:lvl>
    <w:lvl w:ilvl="1" w:tplc="BC9E695C">
      <w:start w:val="1"/>
      <w:numFmt w:val="bullet"/>
      <w:lvlText w:val="o"/>
      <w:lvlJc w:val="left"/>
      <w:pPr>
        <w:tabs>
          <w:tab w:val="num" w:pos="1724"/>
        </w:tabs>
        <w:ind w:left="1724" w:hanging="360"/>
      </w:pPr>
      <w:rPr>
        <w:rFonts w:ascii="Courier New" w:hAnsi="Courier New" w:cs="Courier New" w:hint="default"/>
      </w:rPr>
    </w:lvl>
    <w:lvl w:ilvl="2" w:tplc="7090E82E">
      <w:start w:val="1"/>
      <w:numFmt w:val="bullet"/>
      <w:lvlText w:val=""/>
      <w:lvlJc w:val="left"/>
      <w:pPr>
        <w:tabs>
          <w:tab w:val="num" w:pos="2444"/>
        </w:tabs>
        <w:ind w:left="2444" w:hanging="360"/>
      </w:pPr>
      <w:rPr>
        <w:rFonts w:ascii="Wingdings" w:hAnsi="Wingdings" w:hint="default"/>
      </w:rPr>
    </w:lvl>
    <w:lvl w:ilvl="3" w:tplc="F50A0A4A" w:tentative="1">
      <w:start w:val="1"/>
      <w:numFmt w:val="bullet"/>
      <w:lvlText w:val=""/>
      <w:lvlJc w:val="left"/>
      <w:pPr>
        <w:tabs>
          <w:tab w:val="num" w:pos="3164"/>
        </w:tabs>
        <w:ind w:left="3164" w:hanging="360"/>
      </w:pPr>
      <w:rPr>
        <w:rFonts w:ascii="Symbol" w:hAnsi="Symbol" w:hint="default"/>
      </w:rPr>
    </w:lvl>
    <w:lvl w:ilvl="4" w:tplc="345E7F72" w:tentative="1">
      <w:start w:val="1"/>
      <w:numFmt w:val="bullet"/>
      <w:lvlText w:val="o"/>
      <w:lvlJc w:val="left"/>
      <w:pPr>
        <w:tabs>
          <w:tab w:val="num" w:pos="3884"/>
        </w:tabs>
        <w:ind w:left="3884" w:hanging="360"/>
      </w:pPr>
      <w:rPr>
        <w:rFonts w:ascii="Courier New" w:hAnsi="Courier New" w:cs="Courier New" w:hint="default"/>
      </w:rPr>
    </w:lvl>
    <w:lvl w:ilvl="5" w:tplc="CFB2935C" w:tentative="1">
      <w:start w:val="1"/>
      <w:numFmt w:val="bullet"/>
      <w:lvlText w:val=""/>
      <w:lvlJc w:val="left"/>
      <w:pPr>
        <w:tabs>
          <w:tab w:val="num" w:pos="4604"/>
        </w:tabs>
        <w:ind w:left="4604" w:hanging="360"/>
      </w:pPr>
      <w:rPr>
        <w:rFonts w:ascii="Wingdings" w:hAnsi="Wingdings" w:hint="default"/>
      </w:rPr>
    </w:lvl>
    <w:lvl w:ilvl="6" w:tplc="AA2AAC1C" w:tentative="1">
      <w:start w:val="1"/>
      <w:numFmt w:val="bullet"/>
      <w:lvlText w:val=""/>
      <w:lvlJc w:val="left"/>
      <w:pPr>
        <w:tabs>
          <w:tab w:val="num" w:pos="5324"/>
        </w:tabs>
        <w:ind w:left="5324" w:hanging="360"/>
      </w:pPr>
      <w:rPr>
        <w:rFonts w:ascii="Symbol" w:hAnsi="Symbol" w:hint="default"/>
      </w:rPr>
    </w:lvl>
    <w:lvl w:ilvl="7" w:tplc="37D09362" w:tentative="1">
      <w:start w:val="1"/>
      <w:numFmt w:val="bullet"/>
      <w:lvlText w:val="o"/>
      <w:lvlJc w:val="left"/>
      <w:pPr>
        <w:tabs>
          <w:tab w:val="num" w:pos="6044"/>
        </w:tabs>
        <w:ind w:left="6044" w:hanging="360"/>
      </w:pPr>
      <w:rPr>
        <w:rFonts w:ascii="Courier New" w:hAnsi="Courier New" w:cs="Courier New" w:hint="default"/>
      </w:rPr>
    </w:lvl>
    <w:lvl w:ilvl="8" w:tplc="C4AEC3B6" w:tentative="1">
      <w:start w:val="1"/>
      <w:numFmt w:val="bullet"/>
      <w:lvlText w:val=""/>
      <w:lvlJc w:val="left"/>
      <w:pPr>
        <w:tabs>
          <w:tab w:val="num" w:pos="6764"/>
        </w:tabs>
        <w:ind w:left="6764" w:hanging="360"/>
      </w:pPr>
      <w:rPr>
        <w:rFonts w:ascii="Wingdings" w:hAnsi="Wingdings" w:hint="default"/>
      </w:rPr>
    </w:lvl>
  </w:abstractNum>
  <w:abstractNum w:abstractNumId="11">
    <w:nsid w:val="58574CD8"/>
    <w:multiLevelType w:val="hybridMultilevel"/>
    <w:tmpl w:val="DBBA0054"/>
    <w:lvl w:ilvl="0" w:tplc="60761F3E">
      <w:start w:val="1"/>
      <w:numFmt w:val="upperLetter"/>
      <w:lvlText w:val="%1."/>
      <w:lvlJc w:val="left"/>
      <w:pPr>
        <w:ind w:left="394" w:hanging="360"/>
      </w:pPr>
      <w:rPr>
        <w:rFonts w:hint="default"/>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2">
    <w:nsid w:val="663F595D"/>
    <w:multiLevelType w:val="hybridMultilevel"/>
    <w:tmpl w:val="86B69502"/>
    <w:lvl w:ilvl="0" w:tplc="2452E3BC">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nsid w:val="6D214E8B"/>
    <w:multiLevelType w:val="hybridMultilevel"/>
    <w:tmpl w:val="4426C4F8"/>
    <w:lvl w:ilvl="0" w:tplc="0C09000F">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5">
    <w:nsid w:val="72DA5D6E"/>
    <w:multiLevelType w:val="hybridMultilevel"/>
    <w:tmpl w:val="0D20CB8E"/>
    <w:lvl w:ilvl="0" w:tplc="0C09000F">
      <w:start w:val="1"/>
      <w:numFmt w:val="bullet"/>
      <w:lvlText w:val=""/>
      <w:lvlJc w:val="left"/>
      <w:pPr>
        <w:ind w:left="720" w:hanging="360"/>
      </w:pPr>
      <w:rPr>
        <w:rFonts w:ascii="Symbol" w:hAnsi="Symbol" w:hint="default"/>
        <w:sz w:val="20"/>
        <w:szCs w:val="20"/>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6">
    <w:nsid w:val="796E51BE"/>
    <w:multiLevelType w:val="hybridMultilevel"/>
    <w:tmpl w:val="7FC8BEA2"/>
    <w:lvl w:ilvl="0" w:tplc="B7827D56">
      <w:start w:val="1"/>
      <w:numFmt w:val="bullet"/>
      <w:lvlText w:val=""/>
      <w:lvlJc w:val="left"/>
      <w:pPr>
        <w:tabs>
          <w:tab w:val="num" w:pos="567"/>
        </w:tabs>
        <w:ind w:left="567" w:hanging="283"/>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BE84F5D"/>
    <w:multiLevelType w:val="hybridMultilevel"/>
    <w:tmpl w:val="F4644B9C"/>
    <w:lvl w:ilvl="0" w:tplc="D910F5C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3"/>
  </w:num>
  <w:num w:numId="6">
    <w:abstractNumId w:val="13"/>
  </w:num>
  <w:num w:numId="7">
    <w:abstractNumId w:val="17"/>
  </w:num>
  <w:num w:numId="8">
    <w:abstractNumId w:val="7"/>
  </w:num>
  <w:num w:numId="9">
    <w:abstractNumId w:val="8"/>
  </w:num>
  <w:num w:numId="10">
    <w:abstractNumId w:val="10"/>
  </w:num>
  <w:num w:numId="11">
    <w:abstractNumId w:val="16"/>
  </w:num>
  <w:num w:numId="12">
    <w:abstractNumId w:val="4"/>
  </w:num>
  <w:num w:numId="13">
    <w:abstractNumId w:val="14"/>
  </w:num>
  <w:num w:numId="14">
    <w:abstractNumId w:val="0"/>
  </w:num>
  <w:num w:numId="15">
    <w:abstractNumId w:val="12"/>
  </w:num>
  <w:num w:numId="16">
    <w:abstractNumId w:val="1"/>
  </w:num>
  <w:num w:numId="17">
    <w:abstractNumId w:val="15"/>
  </w:num>
  <w:num w:numId="18">
    <w:abstractNumId w:val="6"/>
  </w:num>
  <w:num w:numId="19">
    <w:abstractNumId w:val="5"/>
  </w:num>
  <w:num w:numId="20">
    <w:abstractNumId w:val="9"/>
  </w:num>
  <w:num w:numId="21">
    <w:abstractNumId w:val="1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476334"/>
    <w:rsid w:val="00002031"/>
    <w:rsid w:val="00003C97"/>
    <w:rsid w:val="00004734"/>
    <w:rsid w:val="00006B22"/>
    <w:rsid w:val="0001276A"/>
    <w:rsid w:val="000246AE"/>
    <w:rsid w:val="00025C67"/>
    <w:rsid w:val="00040ACB"/>
    <w:rsid w:val="000555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6161"/>
    <w:rsid w:val="002E4C9A"/>
    <w:rsid w:val="002F11F8"/>
    <w:rsid w:val="002F3F56"/>
    <w:rsid w:val="002F44B5"/>
    <w:rsid w:val="00311AC0"/>
    <w:rsid w:val="003216D3"/>
    <w:rsid w:val="0032583B"/>
    <w:rsid w:val="00327883"/>
    <w:rsid w:val="00335504"/>
    <w:rsid w:val="003521E8"/>
    <w:rsid w:val="003728F3"/>
    <w:rsid w:val="0037496E"/>
    <w:rsid w:val="0037623D"/>
    <w:rsid w:val="00386150"/>
    <w:rsid w:val="003874CE"/>
    <w:rsid w:val="00390900"/>
    <w:rsid w:val="00396C92"/>
    <w:rsid w:val="003A2EF5"/>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76334"/>
    <w:rsid w:val="004936E4"/>
    <w:rsid w:val="00494E60"/>
    <w:rsid w:val="00497487"/>
    <w:rsid w:val="004A7E13"/>
    <w:rsid w:val="004B7B76"/>
    <w:rsid w:val="004C2DCA"/>
    <w:rsid w:val="004D5254"/>
    <w:rsid w:val="004E3737"/>
    <w:rsid w:val="004F0F38"/>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260D"/>
    <w:rsid w:val="005A68B6"/>
    <w:rsid w:val="005C5570"/>
    <w:rsid w:val="005C79A4"/>
    <w:rsid w:val="005D5442"/>
    <w:rsid w:val="00603F32"/>
    <w:rsid w:val="00620406"/>
    <w:rsid w:val="00632398"/>
    <w:rsid w:val="00640FC3"/>
    <w:rsid w:val="00642020"/>
    <w:rsid w:val="00646206"/>
    <w:rsid w:val="0065337B"/>
    <w:rsid w:val="0065419D"/>
    <w:rsid w:val="006604D8"/>
    <w:rsid w:val="00664A5B"/>
    <w:rsid w:val="006763D2"/>
    <w:rsid w:val="00680C08"/>
    <w:rsid w:val="006931B1"/>
    <w:rsid w:val="006A15C0"/>
    <w:rsid w:val="006B182B"/>
    <w:rsid w:val="006C130C"/>
    <w:rsid w:val="006C3E2A"/>
    <w:rsid w:val="006C642F"/>
    <w:rsid w:val="006D03E5"/>
    <w:rsid w:val="006D5D3E"/>
    <w:rsid w:val="006E08B3"/>
    <w:rsid w:val="006F17AC"/>
    <w:rsid w:val="006F1D37"/>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805D27"/>
    <w:rsid w:val="00821776"/>
    <w:rsid w:val="008321F5"/>
    <w:rsid w:val="00832369"/>
    <w:rsid w:val="00834660"/>
    <w:rsid w:val="00836BC2"/>
    <w:rsid w:val="008414A0"/>
    <w:rsid w:val="0085641B"/>
    <w:rsid w:val="00857136"/>
    <w:rsid w:val="00857EE1"/>
    <w:rsid w:val="00874BA8"/>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1F66"/>
    <w:rsid w:val="008F2967"/>
    <w:rsid w:val="008F6943"/>
    <w:rsid w:val="00902A21"/>
    <w:rsid w:val="0090319D"/>
    <w:rsid w:val="00920330"/>
    <w:rsid w:val="009219D7"/>
    <w:rsid w:val="00922D53"/>
    <w:rsid w:val="00923B70"/>
    <w:rsid w:val="00924482"/>
    <w:rsid w:val="00930237"/>
    <w:rsid w:val="00946EA5"/>
    <w:rsid w:val="0095160F"/>
    <w:rsid w:val="00963C08"/>
    <w:rsid w:val="0098585A"/>
    <w:rsid w:val="0098669D"/>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0FF9"/>
    <w:rsid w:val="00B21D29"/>
    <w:rsid w:val="00B25034"/>
    <w:rsid w:val="00B33588"/>
    <w:rsid w:val="00B33863"/>
    <w:rsid w:val="00B37D17"/>
    <w:rsid w:val="00B4175E"/>
    <w:rsid w:val="00B452CE"/>
    <w:rsid w:val="00B54C25"/>
    <w:rsid w:val="00B76B91"/>
    <w:rsid w:val="00B77EB1"/>
    <w:rsid w:val="00B811C6"/>
    <w:rsid w:val="00B85A87"/>
    <w:rsid w:val="00B92E08"/>
    <w:rsid w:val="00B96EBE"/>
    <w:rsid w:val="00BC622A"/>
    <w:rsid w:val="00BD45E3"/>
    <w:rsid w:val="00BE0A78"/>
    <w:rsid w:val="00BE6252"/>
    <w:rsid w:val="00BE79F0"/>
    <w:rsid w:val="00BF046D"/>
    <w:rsid w:val="00BF1190"/>
    <w:rsid w:val="00BF2649"/>
    <w:rsid w:val="00BF5D04"/>
    <w:rsid w:val="00C1164D"/>
    <w:rsid w:val="00C15031"/>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493E"/>
    <w:rsid w:val="00D7301E"/>
    <w:rsid w:val="00D83AE1"/>
    <w:rsid w:val="00D855D4"/>
    <w:rsid w:val="00D93466"/>
    <w:rsid w:val="00DA1124"/>
    <w:rsid w:val="00DB75B7"/>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D5254"/>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6"/>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6"/>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6"/>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6"/>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4D525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4D5254"/>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4D5254"/>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4D525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4D5254"/>
    <w:rPr>
      <w:rFonts w:ascii="Arial" w:eastAsia="Times New Roman" w:hAnsi="Arial" w:cs="Arial"/>
      <w:kern w:val="16"/>
      <w:u w:val="single"/>
      <w:lang w:eastAsia="en-AU"/>
    </w:rPr>
  </w:style>
  <w:style w:type="character" w:customStyle="1" w:styleId="eutitle">
    <w:name w:val="eutitle"/>
    <w:basedOn w:val="DefaultParagraphFont"/>
    <w:rsid w:val="004D5254"/>
  </w:style>
  <w:style w:type="paragraph" w:customStyle="1" w:styleId="Bullet1">
    <w:name w:val="Bullet 1"/>
    <w:basedOn w:val="Normal"/>
    <w:rsid w:val="004D5254"/>
    <w:pPr>
      <w:numPr>
        <w:numId w:val="8"/>
      </w:numPr>
      <w:spacing w:after="0" w:line="240" w:lineRule="auto"/>
    </w:pPr>
    <w:rPr>
      <w:rFonts w:eastAsia="Times New Roman"/>
      <w:kern w:val="24"/>
      <w:szCs w:val="24"/>
      <w:lang w:eastAsia="en-AU"/>
    </w:rPr>
  </w:style>
  <w:style w:type="paragraph" w:customStyle="1" w:styleId="Bullet2">
    <w:name w:val="Bullet 2"/>
    <w:basedOn w:val="Bullet1"/>
    <w:rsid w:val="004D5254"/>
    <w:pPr>
      <w:numPr>
        <w:numId w:val="9"/>
      </w:numPr>
    </w:pPr>
  </w:style>
  <w:style w:type="paragraph" w:customStyle="1" w:styleId="Heading0inTOC">
    <w:name w:val="Heading 0 (in TOC)"/>
    <w:basedOn w:val="Heading1"/>
    <w:next w:val="Normal"/>
    <w:rsid w:val="004D5254"/>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4D5254"/>
    <w:rPr>
      <w:sz w:val="20"/>
    </w:rPr>
  </w:style>
  <w:style w:type="paragraph" w:customStyle="1" w:styleId="TableBullet">
    <w:name w:val="Table Bullet"/>
    <w:basedOn w:val="Normal"/>
    <w:rsid w:val="004D5254"/>
    <w:pPr>
      <w:numPr>
        <w:numId w:val="1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4D5254"/>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4D5254"/>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4D5254"/>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4D5254"/>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4D5254"/>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4D5254"/>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4D52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4D5254"/>
    <w:rPr>
      <w:rFonts w:ascii="Cambria" w:eastAsia="Times New Roman" w:hAnsi="Cambria" w:cs="Times New Roman"/>
      <w:kern w:val="16"/>
      <w:sz w:val="20"/>
      <w:szCs w:val="20"/>
      <w:lang w:eastAsia="en-AU"/>
    </w:rPr>
  </w:style>
  <w:style w:type="character" w:styleId="EndnoteReference">
    <w:name w:val="endnote reference"/>
    <w:semiHidden/>
    <w:rsid w:val="004D5254"/>
    <w:rPr>
      <w:dstrike w:val="0"/>
      <w:vertAlign w:val="baseline"/>
    </w:rPr>
  </w:style>
  <w:style w:type="paragraph" w:styleId="FootnoteText">
    <w:name w:val="footnote text"/>
    <w:basedOn w:val="Normal"/>
    <w:link w:val="FootnoteTextChar"/>
    <w:semiHidden/>
    <w:rsid w:val="004D52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4D5254"/>
    <w:rPr>
      <w:rFonts w:ascii="Cambria" w:eastAsia="Times New Roman" w:hAnsi="Cambria" w:cs="Times New Roman"/>
      <w:kern w:val="16"/>
      <w:sz w:val="20"/>
      <w:szCs w:val="20"/>
      <w:lang w:eastAsia="en-AU"/>
    </w:rPr>
  </w:style>
  <w:style w:type="character" w:styleId="FootnoteReference">
    <w:name w:val="footnote reference"/>
    <w:semiHidden/>
    <w:rsid w:val="004D5254"/>
    <w:rPr>
      <w:vertAlign w:val="superscript"/>
    </w:rPr>
  </w:style>
  <w:style w:type="paragraph" w:customStyle="1" w:styleId="Abbreviations">
    <w:name w:val="Abbreviations"/>
    <w:basedOn w:val="Normal"/>
    <w:rsid w:val="004D525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4D5254"/>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4D525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4D525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4D5254"/>
    <w:pPr>
      <w:numPr>
        <w:numId w:val="14"/>
      </w:numPr>
      <w:tabs>
        <w:tab w:val="clear" w:pos="1134"/>
      </w:tabs>
      <w:spacing w:before="120"/>
      <w:ind w:left="1418" w:hanging="284"/>
    </w:pPr>
  </w:style>
  <w:style w:type="paragraph" w:customStyle="1" w:styleId="Instructions1">
    <w:name w:val="Instructions 1"/>
    <w:basedOn w:val="Normal"/>
    <w:qFormat/>
    <w:rsid w:val="004D525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4D5254"/>
    <w:pPr>
      <w:numPr>
        <w:numId w:val="15"/>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4D5254"/>
    <w:rPr>
      <w:sz w:val="16"/>
      <w:szCs w:val="16"/>
    </w:rPr>
  </w:style>
  <w:style w:type="paragraph" w:styleId="CommentText">
    <w:name w:val="annotation text"/>
    <w:basedOn w:val="Normal"/>
    <w:link w:val="CommentTextChar"/>
    <w:rsid w:val="004D52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4D5254"/>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4D5254"/>
    <w:rPr>
      <w:b/>
      <w:bCs/>
    </w:rPr>
  </w:style>
  <w:style w:type="character" w:customStyle="1" w:styleId="CommentSubjectChar">
    <w:name w:val="Comment Subject Char"/>
    <w:basedOn w:val="CommentTextChar"/>
    <w:link w:val="CommentSubject"/>
    <w:rsid w:val="004D5254"/>
    <w:rPr>
      <w:b/>
      <w:bCs/>
    </w:rPr>
  </w:style>
  <w:style w:type="paragraph" w:customStyle="1" w:styleId="Contentslist1">
    <w:name w:val="Contents list 1"/>
    <w:basedOn w:val="Normal"/>
    <w:qFormat/>
    <w:rsid w:val="004D5254"/>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4D5254"/>
    <w:pPr>
      <w:spacing w:before="0" w:after="0"/>
    </w:pPr>
    <w:rPr>
      <w:b w:val="0"/>
    </w:rPr>
  </w:style>
  <w:style w:type="paragraph" w:customStyle="1" w:styleId="Paragraph">
    <w:name w:val="Paragraph"/>
    <w:basedOn w:val="Normal"/>
    <w:link w:val="ParagraphChar"/>
    <w:rsid w:val="004D5254"/>
    <w:pPr>
      <w:suppressAutoHyphens/>
      <w:spacing w:before="0" w:after="40" w:line="240" w:lineRule="auto"/>
    </w:pPr>
    <w:rPr>
      <w:rFonts w:ascii="Times New Roman" w:eastAsia="Times New Roman" w:hAnsi="Times New Roman"/>
      <w:sz w:val="24"/>
      <w:szCs w:val="20"/>
      <w:lang w:val="en-US"/>
    </w:rPr>
  </w:style>
  <w:style w:type="character" w:customStyle="1" w:styleId="ParagraphChar">
    <w:name w:val="Paragraph Char"/>
    <w:link w:val="Paragraph"/>
    <w:locked/>
    <w:rsid w:val="004D5254"/>
    <w:rPr>
      <w:rFonts w:ascii="Times New Roman" w:eastAsia="Times New Roman" w:hAnsi="Times New Roman" w:cs="Times New Roman"/>
      <w:sz w:val="24"/>
      <w:szCs w:val="20"/>
      <w:lang w:val="en-US"/>
    </w:rPr>
  </w:style>
  <w:style w:type="paragraph" w:customStyle="1" w:styleId="contentbody">
    <w:name w:val="contentbody"/>
    <w:basedOn w:val="Normal"/>
    <w:rsid w:val="004D5254"/>
    <w:pPr>
      <w:spacing w:before="0" w:line="285" w:lineRule="atLeast"/>
      <w:ind w:left="15"/>
    </w:pPr>
    <w:rPr>
      <w:rFonts w:ascii="Verdana" w:eastAsia="Times New Roman" w:hAnsi="Verdana"/>
      <w:color w:val="333333"/>
      <w:sz w:val="18"/>
      <w:szCs w:val="18"/>
      <w:lang w:eastAsia="en-AU"/>
    </w:rPr>
  </w:style>
  <w:style w:type="paragraph" w:styleId="ListParagraph">
    <w:name w:val="List Paragraph"/>
    <w:basedOn w:val="Normal"/>
    <w:uiPriority w:val="34"/>
    <w:rsid w:val="004D525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eader" Target="header4.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5.xml"/><Relationship Id="rId43"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javascript:windowReference('drugInfo','drugContentPopup.aspx?mid=655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8F7CF-4CFF-4B8A-839D-CCA50716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94</Pages>
  <Words>40342</Words>
  <Characters>220677</Characters>
  <Application>Microsoft Office Word</Application>
  <DocSecurity>0</DocSecurity>
  <Lines>5658</Lines>
  <Paragraphs>2868</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258151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Pralatrexate</dc:title>
  <dc:subject>prescription medicine regulation</dc:subject>
  <dc:creator>Therapeutic Goods Administration</dc:creator>
  <cp:keywords>clinical, evaluation, report, medicine, assessment, regulation, australia, pralatrexate, folotyn</cp:keywords>
  <cp:lastModifiedBy>Bird, Gail</cp:lastModifiedBy>
  <cp:revision>9</cp:revision>
  <cp:lastPrinted>2010-12-20T22:59:00Z</cp:lastPrinted>
  <dcterms:created xsi:type="dcterms:W3CDTF">2013-09-11T00:13:00Z</dcterms:created>
  <dcterms:modified xsi:type="dcterms:W3CDTF">2013-10-14T02:57:00Z</dcterms:modified>
</cp:coreProperties>
</file>