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81DDD" w14:textId="05660378" w:rsidR="0030503B" w:rsidRDefault="00EC71B4" w:rsidP="005329CC">
      <w:pPr>
        <w:rPr>
          <w:rFonts w:ascii="Arial" w:hAnsi="Arial" w:cs="Arial"/>
          <w:b/>
          <w:color w:val="000000"/>
          <w:sz w:val="36"/>
          <w:szCs w:val="36"/>
        </w:rPr>
      </w:pPr>
      <w:bookmarkStart w:id="0" w:name="_GoBack"/>
      <w:bookmarkEnd w:id="0"/>
      <w:r w:rsidRPr="00D10ED2">
        <w:rPr>
          <w:rFonts w:ascii="Arial" w:hAnsi="Arial" w:cs="Arial"/>
          <w:b/>
          <w:sz w:val="36"/>
          <w:szCs w:val="36"/>
        </w:rPr>
        <w:t>ICLUSIG</w:t>
      </w:r>
      <w:r w:rsidRPr="00D10ED2">
        <w:rPr>
          <w:rFonts w:ascii="Arial" w:hAnsi="Arial" w:cs="Arial"/>
          <w:b/>
          <w:color w:val="000000"/>
          <w:sz w:val="36"/>
          <w:szCs w:val="36"/>
        </w:rPr>
        <w:t xml:space="preserve"> </w:t>
      </w:r>
      <w:r w:rsidR="001E021F" w:rsidRPr="00D10ED2">
        <w:rPr>
          <w:rFonts w:ascii="Arial" w:hAnsi="Arial" w:cs="Arial"/>
          <w:b/>
          <w:color w:val="000000"/>
        </w:rPr>
        <w:t>™</w:t>
      </w:r>
      <w:r w:rsidR="0030503B" w:rsidRPr="00D10ED2">
        <w:rPr>
          <w:rFonts w:ascii="Arial" w:hAnsi="Arial" w:cs="Arial"/>
          <w:b/>
          <w:color w:val="000000"/>
          <w:sz w:val="36"/>
          <w:szCs w:val="36"/>
        </w:rPr>
        <w:t xml:space="preserve"> </w:t>
      </w:r>
    </w:p>
    <w:p w14:paraId="3E65C337" w14:textId="77777777" w:rsidR="00DC00CC" w:rsidRDefault="00DC00CC" w:rsidP="005329CC">
      <w:pPr>
        <w:rPr>
          <w:rFonts w:ascii="Arial" w:hAnsi="Arial" w:cs="Arial"/>
          <w:b/>
          <w:color w:val="000000"/>
          <w:sz w:val="36"/>
          <w:szCs w:val="36"/>
        </w:rPr>
      </w:pPr>
    </w:p>
    <w:p w14:paraId="3FF25D59" w14:textId="1750A6A5" w:rsidR="0091144F" w:rsidRDefault="0091144F" w:rsidP="0091144F">
      <w:pPr>
        <w:pStyle w:val="TableText10"/>
        <w:pBdr>
          <w:top w:val="single" w:sz="18" w:space="1" w:color="auto"/>
          <w:left w:val="single" w:sz="18" w:space="4" w:color="auto"/>
          <w:bottom w:val="single" w:sz="18" w:space="1" w:color="auto"/>
          <w:right w:val="single" w:sz="18" w:space="4" w:color="auto"/>
        </w:pBdr>
        <w:ind w:left="360" w:right="702"/>
        <w:jc w:val="center"/>
        <w:rPr>
          <w:rFonts w:ascii="Arial" w:hAnsi="Arial" w:cs="Arial"/>
          <w:b/>
          <w:sz w:val="22"/>
          <w:szCs w:val="22"/>
        </w:rPr>
      </w:pPr>
      <w:r>
        <w:rPr>
          <w:rFonts w:ascii="Arial" w:hAnsi="Arial" w:cs="Arial"/>
          <w:b/>
          <w:sz w:val="22"/>
          <w:szCs w:val="22"/>
        </w:rPr>
        <w:t>WARNING: VASCULAR OCC</w:t>
      </w:r>
      <w:r w:rsidR="00487B10">
        <w:rPr>
          <w:rFonts w:ascii="Arial" w:hAnsi="Arial" w:cs="Arial"/>
          <w:b/>
          <w:sz w:val="22"/>
          <w:szCs w:val="22"/>
        </w:rPr>
        <w:t>L</w:t>
      </w:r>
      <w:r>
        <w:rPr>
          <w:rFonts w:ascii="Arial" w:hAnsi="Arial" w:cs="Arial"/>
          <w:b/>
          <w:sz w:val="22"/>
          <w:szCs w:val="22"/>
        </w:rPr>
        <w:t>USION AND HEART FAILURE</w:t>
      </w:r>
    </w:p>
    <w:p w14:paraId="0292A8D8" w14:textId="760B3A00" w:rsidR="00DC00CC" w:rsidRPr="003B09A8" w:rsidRDefault="00DC00CC" w:rsidP="0091144F">
      <w:pPr>
        <w:pStyle w:val="TableText10"/>
        <w:numPr>
          <w:ilvl w:val="0"/>
          <w:numId w:val="31"/>
        </w:numPr>
        <w:pBdr>
          <w:top w:val="single" w:sz="18" w:space="1" w:color="auto"/>
          <w:left w:val="single" w:sz="18" w:space="4" w:color="auto"/>
          <w:bottom w:val="single" w:sz="18" w:space="1" w:color="auto"/>
          <w:right w:val="single" w:sz="18" w:space="4" w:color="auto"/>
        </w:pBdr>
        <w:ind w:right="702"/>
        <w:rPr>
          <w:rFonts w:ascii="Arial" w:hAnsi="Arial" w:cs="Arial"/>
          <w:b/>
          <w:sz w:val="22"/>
          <w:szCs w:val="22"/>
        </w:rPr>
      </w:pPr>
      <w:r w:rsidRPr="003B09A8">
        <w:rPr>
          <w:rFonts w:ascii="Arial" w:hAnsi="Arial" w:cs="Arial"/>
          <w:b/>
          <w:sz w:val="22"/>
          <w:szCs w:val="22"/>
        </w:rPr>
        <w:t>Vascular Occlusion</w:t>
      </w:r>
      <w:r w:rsidR="00F42500" w:rsidRPr="003B09A8">
        <w:rPr>
          <w:rFonts w:ascii="Arial" w:hAnsi="Arial" w:cs="Arial"/>
          <w:b/>
          <w:sz w:val="22"/>
          <w:szCs w:val="22"/>
        </w:rPr>
        <w:t>:</w:t>
      </w:r>
      <w:r w:rsidRPr="003B09A8">
        <w:rPr>
          <w:rFonts w:ascii="Arial" w:hAnsi="Arial" w:cs="Arial"/>
          <w:b/>
          <w:sz w:val="22"/>
          <w:szCs w:val="22"/>
        </w:rPr>
        <w:t xml:space="preserve"> </w:t>
      </w:r>
      <w:r w:rsidR="00F42500" w:rsidRPr="003B09A8">
        <w:rPr>
          <w:rFonts w:ascii="Arial" w:hAnsi="Arial" w:cs="Arial"/>
          <w:b/>
          <w:sz w:val="22"/>
          <w:szCs w:val="22"/>
        </w:rPr>
        <w:t>Arterial and venous thrombosis and occlusions have occurred in at least 2</w:t>
      </w:r>
      <w:r w:rsidR="0095498E">
        <w:rPr>
          <w:rFonts w:ascii="Arial" w:hAnsi="Arial" w:cs="Arial"/>
          <w:b/>
          <w:sz w:val="22"/>
          <w:szCs w:val="22"/>
        </w:rPr>
        <w:t>3</w:t>
      </w:r>
      <w:r w:rsidR="00F42500" w:rsidRPr="003B09A8">
        <w:rPr>
          <w:rFonts w:ascii="Arial" w:hAnsi="Arial" w:cs="Arial"/>
          <w:b/>
          <w:sz w:val="22"/>
          <w:szCs w:val="22"/>
        </w:rPr>
        <w:t xml:space="preserve">% of </w:t>
      </w:r>
      <w:r w:rsidR="00313296">
        <w:rPr>
          <w:rFonts w:ascii="Arial" w:hAnsi="Arial" w:cs="Arial"/>
          <w:b/>
          <w:sz w:val="22"/>
          <w:szCs w:val="22"/>
        </w:rPr>
        <w:t>ICLUSIG</w:t>
      </w:r>
      <w:r w:rsidR="00487B10">
        <w:rPr>
          <w:rFonts w:ascii="Arial" w:hAnsi="Arial" w:cs="Arial"/>
          <w:b/>
          <w:sz w:val="22"/>
          <w:szCs w:val="22"/>
        </w:rPr>
        <w:t>-</w:t>
      </w:r>
      <w:r w:rsidR="00F42500" w:rsidRPr="003B09A8">
        <w:rPr>
          <w:rFonts w:ascii="Arial" w:hAnsi="Arial" w:cs="Arial"/>
          <w:b/>
          <w:sz w:val="22"/>
          <w:szCs w:val="22"/>
        </w:rPr>
        <w:t xml:space="preserve">treated patients, including fatal myocardial infarction, stroke, stenosis of large arterial vessels of the brain, severe peripheral vascular disease, and the need for urgent </w:t>
      </w:r>
      <w:proofErr w:type="spellStart"/>
      <w:r w:rsidR="00F42500" w:rsidRPr="003B09A8">
        <w:rPr>
          <w:rFonts w:ascii="Arial" w:hAnsi="Arial" w:cs="Arial"/>
          <w:b/>
          <w:sz w:val="22"/>
          <w:szCs w:val="22"/>
        </w:rPr>
        <w:t>revasculari</w:t>
      </w:r>
      <w:r w:rsidR="00A160EE">
        <w:rPr>
          <w:rFonts w:ascii="Arial" w:hAnsi="Arial" w:cs="Arial"/>
          <w:b/>
          <w:sz w:val="22"/>
          <w:szCs w:val="22"/>
        </w:rPr>
        <w:t>s</w:t>
      </w:r>
      <w:r w:rsidR="00F42500" w:rsidRPr="003B09A8">
        <w:rPr>
          <w:rFonts w:ascii="Arial" w:hAnsi="Arial" w:cs="Arial"/>
          <w:b/>
          <w:sz w:val="22"/>
          <w:szCs w:val="22"/>
        </w:rPr>
        <w:t>ation</w:t>
      </w:r>
      <w:proofErr w:type="spellEnd"/>
      <w:r w:rsidR="00F42500" w:rsidRPr="003B09A8">
        <w:rPr>
          <w:rFonts w:ascii="Arial" w:hAnsi="Arial" w:cs="Arial"/>
          <w:b/>
          <w:sz w:val="22"/>
          <w:szCs w:val="22"/>
        </w:rPr>
        <w:t xml:space="preserve"> procedures.  Patients with and without cardiovascular risk factors, including patients less than 50 years old, experienced these events.  Monitor for evidence of thromboembolism and vascular occlusion.  Interrupt or stop </w:t>
      </w:r>
      <w:r w:rsidR="00313296">
        <w:rPr>
          <w:rFonts w:ascii="Arial" w:hAnsi="Arial" w:cs="Arial"/>
          <w:b/>
          <w:sz w:val="22"/>
          <w:szCs w:val="22"/>
        </w:rPr>
        <w:t>ICLUSIG</w:t>
      </w:r>
      <w:r w:rsidR="00F42500" w:rsidRPr="003B09A8">
        <w:rPr>
          <w:rFonts w:ascii="Arial" w:hAnsi="Arial" w:cs="Arial"/>
          <w:b/>
          <w:sz w:val="22"/>
          <w:szCs w:val="22"/>
        </w:rPr>
        <w:t xml:space="preserve"> immediately for vascular occlusion</w:t>
      </w:r>
      <w:r w:rsidRPr="003B09A8">
        <w:rPr>
          <w:rFonts w:ascii="Arial" w:hAnsi="Arial" w:cs="Arial"/>
          <w:b/>
          <w:sz w:val="22"/>
          <w:szCs w:val="22"/>
        </w:rPr>
        <w:t xml:space="preserve"> (see P</w:t>
      </w:r>
      <w:r w:rsidR="001F3008">
        <w:rPr>
          <w:rFonts w:ascii="Arial" w:hAnsi="Arial" w:cs="Arial"/>
          <w:b/>
          <w:sz w:val="22"/>
          <w:szCs w:val="22"/>
        </w:rPr>
        <w:t>recautions</w:t>
      </w:r>
      <w:r w:rsidRPr="003B09A8">
        <w:rPr>
          <w:rFonts w:ascii="Arial" w:hAnsi="Arial" w:cs="Arial"/>
          <w:b/>
          <w:sz w:val="22"/>
          <w:szCs w:val="22"/>
        </w:rPr>
        <w:t>, Vascular Occlusion)</w:t>
      </w:r>
    </w:p>
    <w:p w14:paraId="4F6428C8" w14:textId="6EE4B972" w:rsidR="00DC00CC" w:rsidRPr="003B09A8" w:rsidRDefault="00DC00CC" w:rsidP="0091144F">
      <w:pPr>
        <w:pStyle w:val="TableText10"/>
        <w:numPr>
          <w:ilvl w:val="0"/>
          <w:numId w:val="31"/>
        </w:numPr>
        <w:pBdr>
          <w:top w:val="single" w:sz="18" w:space="1" w:color="auto"/>
          <w:left w:val="single" w:sz="18" w:space="4" w:color="auto"/>
          <w:bottom w:val="single" w:sz="18" w:space="1" w:color="auto"/>
          <w:right w:val="single" w:sz="18" w:space="4" w:color="auto"/>
        </w:pBdr>
        <w:ind w:right="702"/>
        <w:rPr>
          <w:rFonts w:ascii="Arial" w:hAnsi="Arial" w:cs="Arial"/>
          <w:b/>
          <w:sz w:val="22"/>
          <w:szCs w:val="22"/>
        </w:rPr>
      </w:pPr>
      <w:r w:rsidRPr="003B09A8">
        <w:rPr>
          <w:rFonts w:ascii="Arial" w:hAnsi="Arial" w:cs="Arial"/>
          <w:b/>
          <w:sz w:val="22"/>
          <w:szCs w:val="22"/>
        </w:rPr>
        <w:t>Heart Failure</w:t>
      </w:r>
      <w:r w:rsidR="00F42500" w:rsidRPr="003B09A8">
        <w:rPr>
          <w:rFonts w:ascii="Arial" w:hAnsi="Arial" w:cs="Arial"/>
          <w:b/>
          <w:sz w:val="22"/>
          <w:szCs w:val="22"/>
        </w:rPr>
        <w:t xml:space="preserve">, including fatalities, occurred in 8% of </w:t>
      </w:r>
      <w:r w:rsidR="00313296">
        <w:rPr>
          <w:rFonts w:ascii="Arial" w:hAnsi="Arial" w:cs="Arial"/>
          <w:b/>
          <w:sz w:val="22"/>
          <w:szCs w:val="22"/>
        </w:rPr>
        <w:t>ICLUSIG</w:t>
      </w:r>
      <w:r w:rsidR="00F42500" w:rsidRPr="003B09A8">
        <w:rPr>
          <w:rFonts w:ascii="Arial" w:hAnsi="Arial" w:cs="Arial"/>
          <w:b/>
          <w:sz w:val="22"/>
          <w:szCs w:val="22"/>
        </w:rPr>
        <w:t xml:space="preserve">-treated patients.  Monitor cardiac function.  Interrupt or stop </w:t>
      </w:r>
      <w:r w:rsidR="00313296">
        <w:rPr>
          <w:rFonts w:ascii="Arial" w:hAnsi="Arial" w:cs="Arial"/>
          <w:b/>
          <w:sz w:val="22"/>
          <w:szCs w:val="22"/>
        </w:rPr>
        <w:t>ICLUSIG</w:t>
      </w:r>
      <w:r w:rsidR="00F42500" w:rsidRPr="003B09A8">
        <w:rPr>
          <w:rFonts w:ascii="Arial" w:hAnsi="Arial" w:cs="Arial"/>
          <w:b/>
          <w:sz w:val="22"/>
          <w:szCs w:val="22"/>
        </w:rPr>
        <w:t xml:space="preserve"> for new or worsening heart failure</w:t>
      </w:r>
      <w:r w:rsidRPr="003B09A8">
        <w:rPr>
          <w:rFonts w:ascii="Arial" w:hAnsi="Arial" w:cs="Arial"/>
          <w:b/>
          <w:sz w:val="22"/>
          <w:szCs w:val="22"/>
        </w:rPr>
        <w:t xml:space="preserve"> (see P</w:t>
      </w:r>
      <w:r w:rsidR="001F3008">
        <w:rPr>
          <w:rFonts w:ascii="Arial" w:hAnsi="Arial" w:cs="Arial"/>
          <w:b/>
          <w:sz w:val="22"/>
          <w:szCs w:val="22"/>
        </w:rPr>
        <w:t>recautions</w:t>
      </w:r>
      <w:r w:rsidRPr="003B09A8">
        <w:rPr>
          <w:rFonts w:ascii="Arial" w:hAnsi="Arial" w:cs="Arial"/>
          <w:b/>
          <w:sz w:val="22"/>
          <w:szCs w:val="22"/>
        </w:rPr>
        <w:t>, Heart Failure)</w:t>
      </w:r>
    </w:p>
    <w:p w14:paraId="3DFE8266" w14:textId="77777777" w:rsidR="00EC71B4" w:rsidRPr="00D10ED2" w:rsidRDefault="00EC71B4" w:rsidP="005329CC">
      <w:pPr>
        <w:rPr>
          <w:rFonts w:ascii="Arial" w:hAnsi="Arial" w:cs="Arial"/>
          <w:b/>
          <w:sz w:val="28"/>
          <w:szCs w:val="28"/>
        </w:rPr>
      </w:pPr>
    </w:p>
    <w:p w14:paraId="67DD5819" w14:textId="77777777" w:rsidR="00F42443" w:rsidRPr="00D10ED2" w:rsidRDefault="005329CC" w:rsidP="005329CC">
      <w:pPr>
        <w:rPr>
          <w:rFonts w:ascii="Arial" w:hAnsi="Arial" w:cs="Arial"/>
          <w:b/>
          <w:sz w:val="28"/>
          <w:szCs w:val="28"/>
        </w:rPr>
      </w:pPr>
      <w:r w:rsidRPr="00D10ED2">
        <w:rPr>
          <w:rFonts w:ascii="Arial" w:hAnsi="Arial" w:cs="Arial"/>
          <w:b/>
          <w:sz w:val="28"/>
          <w:szCs w:val="28"/>
        </w:rPr>
        <w:t>Name of Medicine</w:t>
      </w:r>
    </w:p>
    <w:p w14:paraId="31899724" w14:textId="77777777" w:rsidR="0048713B" w:rsidRPr="00D10ED2" w:rsidRDefault="0048713B" w:rsidP="005329CC">
      <w:pPr>
        <w:rPr>
          <w:rFonts w:ascii="Arial" w:hAnsi="Arial" w:cs="Arial"/>
          <w:b/>
          <w:sz w:val="28"/>
          <w:szCs w:val="28"/>
        </w:rPr>
      </w:pPr>
    </w:p>
    <w:p w14:paraId="067814AD" w14:textId="009D270B" w:rsidR="0048713B" w:rsidRPr="00D10ED2" w:rsidRDefault="0048713B" w:rsidP="005329CC">
      <w:pPr>
        <w:rPr>
          <w:rFonts w:ascii="Arial" w:hAnsi="Arial" w:cs="Arial"/>
          <w:sz w:val="22"/>
          <w:szCs w:val="22"/>
        </w:rPr>
      </w:pPr>
      <w:r w:rsidRPr="00D10ED2">
        <w:rPr>
          <w:rFonts w:ascii="Arial" w:hAnsi="Arial" w:cs="Arial"/>
          <w:sz w:val="22"/>
          <w:szCs w:val="22"/>
        </w:rPr>
        <w:t>Active Ingredient:</w:t>
      </w:r>
      <w:r w:rsidR="0030503B" w:rsidRPr="00D10ED2">
        <w:rPr>
          <w:rFonts w:ascii="Arial" w:hAnsi="Arial" w:cs="Arial"/>
          <w:sz w:val="22"/>
          <w:szCs w:val="22"/>
        </w:rPr>
        <w:t xml:space="preserve"> </w:t>
      </w:r>
      <w:proofErr w:type="spellStart"/>
      <w:r w:rsidR="0022113F" w:rsidRPr="00D10ED2">
        <w:rPr>
          <w:rFonts w:ascii="Arial" w:hAnsi="Arial" w:cs="Arial"/>
          <w:sz w:val="22"/>
          <w:szCs w:val="22"/>
        </w:rPr>
        <w:t>p</w:t>
      </w:r>
      <w:r w:rsidR="0030503B" w:rsidRPr="00D10ED2">
        <w:rPr>
          <w:rFonts w:ascii="Arial" w:hAnsi="Arial" w:cs="Arial"/>
          <w:sz w:val="22"/>
          <w:szCs w:val="22"/>
        </w:rPr>
        <w:t>onatinib</w:t>
      </w:r>
      <w:proofErr w:type="spellEnd"/>
      <w:r w:rsidR="00480A3C" w:rsidRPr="00D10ED2">
        <w:rPr>
          <w:rFonts w:ascii="Arial" w:hAnsi="Arial" w:cs="Arial"/>
          <w:sz w:val="22"/>
          <w:szCs w:val="22"/>
        </w:rPr>
        <w:t xml:space="preserve"> </w:t>
      </w:r>
      <w:r w:rsidR="00F411B7" w:rsidRPr="00D10ED2">
        <w:rPr>
          <w:rFonts w:ascii="Arial" w:hAnsi="Arial" w:cs="Arial"/>
          <w:i/>
          <w:sz w:val="22"/>
          <w:szCs w:val="22"/>
        </w:rPr>
        <w:t>(</w:t>
      </w:r>
      <w:r w:rsidR="006B4A84" w:rsidRPr="00D10ED2">
        <w:rPr>
          <w:rFonts w:ascii="Arial" w:hAnsi="Arial" w:cs="Arial"/>
          <w:i/>
          <w:sz w:val="22"/>
          <w:szCs w:val="22"/>
        </w:rPr>
        <w:t xml:space="preserve">as </w:t>
      </w:r>
      <w:r w:rsidR="00F411B7" w:rsidRPr="00D10ED2">
        <w:rPr>
          <w:rFonts w:ascii="Arial" w:hAnsi="Arial" w:cs="Arial"/>
          <w:i/>
          <w:sz w:val="22"/>
          <w:szCs w:val="22"/>
        </w:rPr>
        <w:t>h</w:t>
      </w:r>
      <w:r w:rsidR="00480A3C" w:rsidRPr="00D10ED2">
        <w:rPr>
          <w:rFonts w:ascii="Arial" w:hAnsi="Arial" w:cs="Arial"/>
          <w:i/>
          <w:sz w:val="22"/>
          <w:szCs w:val="22"/>
        </w:rPr>
        <w:t>ydrochloride</w:t>
      </w:r>
      <w:r w:rsidR="006B4A84" w:rsidRPr="00D10ED2">
        <w:rPr>
          <w:rFonts w:ascii="Arial" w:hAnsi="Arial" w:cs="Arial"/>
          <w:sz w:val="22"/>
          <w:szCs w:val="22"/>
        </w:rPr>
        <w:t>)</w:t>
      </w:r>
    </w:p>
    <w:p w14:paraId="47BDE718" w14:textId="77777777" w:rsidR="0030503B" w:rsidRPr="00D10ED2" w:rsidRDefault="0030503B" w:rsidP="005329CC">
      <w:pPr>
        <w:rPr>
          <w:rFonts w:ascii="Arial" w:hAnsi="Arial" w:cs="Arial"/>
          <w:sz w:val="22"/>
          <w:szCs w:val="22"/>
        </w:rPr>
      </w:pPr>
    </w:p>
    <w:p w14:paraId="5B57710A" w14:textId="77777777" w:rsidR="0048713B" w:rsidRPr="00D10ED2" w:rsidRDefault="0048713B" w:rsidP="005329CC">
      <w:pPr>
        <w:rPr>
          <w:rFonts w:ascii="Arial" w:hAnsi="Arial" w:cs="Arial"/>
          <w:sz w:val="22"/>
          <w:szCs w:val="22"/>
        </w:rPr>
      </w:pPr>
      <w:r w:rsidRPr="00D10ED2">
        <w:rPr>
          <w:rFonts w:ascii="Arial" w:hAnsi="Arial" w:cs="Arial"/>
          <w:sz w:val="22"/>
          <w:szCs w:val="22"/>
        </w:rPr>
        <w:t>Chemical Name:</w:t>
      </w:r>
      <w:r w:rsidR="0030503B" w:rsidRPr="00D10ED2">
        <w:rPr>
          <w:rFonts w:ascii="Arial" w:hAnsi="Arial" w:cs="Arial"/>
          <w:sz w:val="22"/>
          <w:szCs w:val="22"/>
        </w:rPr>
        <w:t xml:space="preserve"> </w:t>
      </w:r>
      <w:r w:rsidR="0030503B" w:rsidRPr="00D10ED2">
        <w:rPr>
          <w:rFonts w:ascii="Arial" w:hAnsi="Arial" w:cs="Arial"/>
          <w:i/>
          <w:sz w:val="22"/>
          <w:szCs w:val="22"/>
        </w:rPr>
        <w:t>{</w:t>
      </w:r>
      <w:proofErr w:type="spellStart"/>
      <w:r w:rsidR="0030503B" w:rsidRPr="00D10ED2">
        <w:rPr>
          <w:rFonts w:ascii="Arial" w:hAnsi="Arial" w:cs="Arial"/>
          <w:i/>
          <w:sz w:val="22"/>
          <w:szCs w:val="22"/>
        </w:rPr>
        <w:t>Benzamide</w:t>
      </w:r>
      <w:proofErr w:type="spellEnd"/>
      <w:r w:rsidR="0030503B" w:rsidRPr="00D10ED2">
        <w:rPr>
          <w:rFonts w:ascii="Arial" w:hAnsi="Arial" w:cs="Arial"/>
          <w:i/>
          <w:sz w:val="22"/>
          <w:szCs w:val="22"/>
        </w:rPr>
        <w:t>, 3-(2-</w:t>
      </w:r>
      <w:proofErr w:type="gramStart"/>
      <w:r w:rsidR="0030503B" w:rsidRPr="00D10ED2">
        <w:rPr>
          <w:rFonts w:ascii="Arial" w:hAnsi="Arial" w:cs="Arial"/>
          <w:i/>
          <w:sz w:val="22"/>
          <w:szCs w:val="22"/>
        </w:rPr>
        <w:t>imidazo[</w:t>
      </w:r>
      <w:proofErr w:type="gramEnd"/>
      <w:r w:rsidR="0030503B" w:rsidRPr="00D10ED2">
        <w:rPr>
          <w:rFonts w:ascii="Arial" w:hAnsi="Arial" w:cs="Arial"/>
          <w:i/>
          <w:sz w:val="22"/>
          <w:szCs w:val="22"/>
        </w:rPr>
        <w:t>1,2-b]pyridazin-3-ylethynyl)-4-methyl-N-[4-[(4-methyl-1-piperazinyl)methyl]-3-(trifluoromethyl)phenyl]</w:t>
      </w:r>
      <w:r w:rsidR="0030503B" w:rsidRPr="00D10ED2">
        <w:rPr>
          <w:rFonts w:ascii="Arial" w:hAnsi="Arial" w:cs="Arial"/>
          <w:b/>
          <w:bCs/>
          <w:i/>
          <w:sz w:val="22"/>
          <w:szCs w:val="22"/>
        </w:rPr>
        <w:t>)</w:t>
      </w:r>
      <w:r w:rsidR="0030503B" w:rsidRPr="00D10ED2">
        <w:rPr>
          <w:rFonts w:ascii="Arial" w:hAnsi="Arial" w:cs="Arial"/>
          <w:bCs/>
          <w:i/>
          <w:sz w:val="22"/>
          <w:szCs w:val="22"/>
        </w:rPr>
        <w:t>}</w:t>
      </w:r>
      <w:r w:rsidR="0030503B" w:rsidRPr="00D10ED2">
        <w:rPr>
          <w:rFonts w:ascii="Arial" w:hAnsi="Arial" w:cs="Arial"/>
          <w:b/>
          <w:bCs/>
          <w:sz w:val="22"/>
          <w:szCs w:val="22"/>
        </w:rPr>
        <w:t xml:space="preserve">  </w:t>
      </w:r>
    </w:p>
    <w:p w14:paraId="449866FF" w14:textId="77777777" w:rsidR="0030503B" w:rsidRPr="00D10ED2" w:rsidRDefault="0030503B" w:rsidP="005329CC">
      <w:pPr>
        <w:rPr>
          <w:rFonts w:ascii="Arial" w:hAnsi="Arial" w:cs="Arial"/>
          <w:sz w:val="22"/>
          <w:szCs w:val="22"/>
        </w:rPr>
      </w:pPr>
    </w:p>
    <w:p w14:paraId="25B420BA" w14:textId="77777777" w:rsidR="0048713B" w:rsidRPr="00D10ED2" w:rsidRDefault="0048713B" w:rsidP="005329CC">
      <w:pPr>
        <w:rPr>
          <w:rFonts w:ascii="Arial" w:hAnsi="Arial" w:cs="Arial"/>
          <w:sz w:val="22"/>
          <w:szCs w:val="22"/>
        </w:rPr>
      </w:pPr>
      <w:r w:rsidRPr="00D10ED2">
        <w:rPr>
          <w:rFonts w:ascii="Arial" w:hAnsi="Arial" w:cs="Arial"/>
          <w:sz w:val="22"/>
          <w:szCs w:val="22"/>
        </w:rPr>
        <w:t xml:space="preserve">CAS </w:t>
      </w:r>
      <w:r w:rsidR="00FC3569" w:rsidRPr="00D10ED2">
        <w:rPr>
          <w:rFonts w:ascii="Arial" w:hAnsi="Arial" w:cs="Arial"/>
          <w:sz w:val="22"/>
          <w:szCs w:val="22"/>
        </w:rPr>
        <w:t xml:space="preserve">Registry </w:t>
      </w:r>
      <w:r w:rsidRPr="00D10ED2">
        <w:rPr>
          <w:rFonts w:ascii="Arial" w:hAnsi="Arial" w:cs="Arial"/>
          <w:sz w:val="22"/>
          <w:szCs w:val="22"/>
        </w:rPr>
        <w:t>No:</w:t>
      </w:r>
      <w:r w:rsidR="00480A3C" w:rsidRPr="00D10ED2">
        <w:rPr>
          <w:rFonts w:ascii="Arial" w:hAnsi="Arial" w:cs="Arial"/>
          <w:sz w:val="22"/>
          <w:szCs w:val="22"/>
        </w:rPr>
        <w:t xml:space="preserve"> </w:t>
      </w:r>
      <w:r w:rsidR="00480A3C" w:rsidRPr="00D10ED2">
        <w:rPr>
          <w:rFonts w:ascii="Arial" w:hAnsi="Arial" w:cs="Arial"/>
          <w:sz w:val="22"/>
          <w:szCs w:val="22"/>
          <w:lang w:val="en-AU"/>
        </w:rPr>
        <w:t>1114544-31-8 (</w:t>
      </w:r>
      <w:proofErr w:type="spellStart"/>
      <w:r w:rsidR="00480A3C" w:rsidRPr="00D10ED2">
        <w:rPr>
          <w:rFonts w:ascii="Arial" w:hAnsi="Arial" w:cs="Arial"/>
          <w:sz w:val="22"/>
          <w:szCs w:val="22"/>
          <w:lang w:val="en-AU"/>
        </w:rPr>
        <w:t>HCl</w:t>
      </w:r>
      <w:proofErr w:type="spellEnd"/>
      <w:r w:rsidR="00480A3C" w:rsidRPr="00D10ED2">
        <w:rPr>
          <w:rFonts w:ascii="Arial" w:hAnsi="Arial" w:cs="Arial"/>
          <w:sz w:val="22"/>
          <w:szCs w:val="22"/>
          <w:lang w:val="en-AU"/>
        </w:rPr>
        <w:t xml:space="preserve"> salt)</w:t>
      </w:r>
    </w:p>
    <w:p w14:paraId="0A583C1E" w14:textId="77777777" w:rsidR="0030503B" w:rsidRPr="00D10ED2" w:rsidRDefault="0030503B" w:rsidP="005329CC">
      <w:pPr>
        <w:rPr>
          <w:rFonts w:ascii="Arial" w:hAnsi="Arial" w:cs="Arial"/>
          <w:sz w:val="22"/>
          <w:szCs w:val="22"/>
        </w:rPr>
      </w:pPr>
    </w:p>
    <w:p w14:paraId="7606F561" w14:textId="77777777" w:rsidR="0048713B" w:rsidRPr="00D10ED2" w:rsidRDefault="0048713B" w:rsidP="005329CC">
      <w:pPr>
        <w:rPr>
          <w:rFonts w:ascii="Arial" w:hAnsi="Arial" w:cs="Arial"/>
          <w:sz w:val="22"/>
          <w:szCs w:val="22"/>
        </w:rPr>
      </w:pPr>
      <w:r w:rsidRPr="00D10ED2">
        <w:rPr>
          <w:rFonts w:ascii="Arial" w:hAnsi="Arial" w:cs="Arial"/>
          <w:sz w:val="22"/>
          <w:szCs w:val="22"/>
        </w:rPr>
        <w:t>Molecular Weight:</w:t>
      </w:r>
      <w:r w:rsidR="00480A3C" w:rsidRPr="00D10ED2">
        <w:rPr>
          <w:rFonts w:ascii="Arial" w:hAnsi="Arial" w:cs="Arial"/>
          <w:sz w:val="22"/>
          <w:szCs w:val="22"/>
        </w:rPr>
        <w:t xml:space="preserve"> </w:t>
      </w:r>
      <w:r w:rsidR="00480A3C" w:rsidRPr="00D10ED2">
        <w:rPr>
          <w:rFonts w:ascii="Arial" w:hAnsi="Arial" w:cs="Arial"/>
          <w:sz w:val="22"/>
          <w:szCs w:val="22"/>
          <w:lang w:val="en-AU"/>
        </w:rPr>
        <w:t>569.02 g/</w:t>
      </w:r>
      <w:proofErr w:type="spellStart"/>
      <w:r w:rsidR="00480A3C" w:rsidRPr="00D10ED2">
        <w:rPr>
          <w:rFonts w:ascii="Arial" w:hAnsi="Arial" w:cs="Arial"/>
          <w:sz w:val="22"/>
          <w:szCs w:val="22"/>
          <w:lang w:val="en-AU"/>
        </w:rPr>
        <w:t>mol</w:t>
      </w:r>
      <w:proofErr w:type="spellEnd"/>
      <w:r w:rsidR="00480A3C" w:rsidRPr="00D10ED2">
        <w:rPr>
          <w:rFonts w:ascii="Arial" w:hAnsi="Arial" w:cs="Arial"/>
          <w:sz w:val="22"/>
          <w:szCs w:val="22"/>
          <w:lang w:val="en-AU"/>
        </w:rPr>
        <w:t xml:space="preserve"> (</w:t>
      </w:r>
      <w:proofErr w:type="spellStart"/>
      <w:r w:rsidR="00480A3C" w:rsidRPr="00D10ED2">
        <w:rPr>
          <w:rFonts w:ascii="Arial" w:hAnsi="Arial" w:cs="Arial"/>
          <w:sz w:val="22"/>
          <w:szCs w:val="22"/>
          <w:lang w:val="en-AU"/>
        </w:rPr>
        <w:t>HCl</w:t>
      </w:r>
      <w:proofErr w:type="spellEnd"/>
      <w:r w:rsidR="00480A3C" w:rsidRPr="00D10ED2">
        <w:rPr>
          <w:rFonts w:ascii="Arial" w:hAnsi="Arial" w:cs="Arial"/>
          <w:sz w:val="22"/>
          <w:szCs w:val="22"/>
          <w:lang w:val="en-AU"/>
        </w:rPr>
        <w:t xml:space="preserve"> salt)</w:t>
      </w:r>
    </w:p>
    <w:p w14:paraId="04008A12" w14:textId="77777777" w:rsidR="0030503B" w:rsidRPr="00D10ED2" w:rsidRDefault="0030503B" w:rsidP="005329CC">
      <w:pPr>
        <w:rPr>
          <w:rFonts w:ascii="Arial" w:hAnsi="Arial" w:cs="Arial"/>
          <w:sz w:val="22"/>
          <w:szCs w:val="22"/>
        </w:rPr>
      </w:pPr>
    </w:p>
    <w:p w14:paraId="23BD8385" w14:textId="77777777" w:rsidR="0048713B" w:rsidRPr="00D10ED2" w:rsidRDefault="00480A3C" w:rsidP="005329CC">
      <w:pPr>
        <w:rPr>
          <w:rFonts w:ascii="Arial" w:hAnsi="Arial" w:cs="Arial"/>
          <w:sz w:val="22"/>
          <w:szCs w:val="22"/>
        </w:rPr>
      </w:pPr>
      <w:r w:rsidRPr="00D10ED2">
        <w:rPr>
          <w:rFonts w:ascii="Arial" w:hAnsi="Arial" w:cs="Arial"/>
          <w:sz w:val="22"/>
          <w:szCs w:val="22"/>
        </w:rPr>
        <w:t>Molecular For</w:t>
      </w:r>
      <w:r w:rsidR="0048713B" w:rsidRPr="00D10ED2">
        <w:rPr>
          <w:rFonts w:ascii="Arial" w:hAnsi="Arial" w:cs="Arial"/>
          <w:sz w:val="22"/>
          <w:szCs w:val="22"/>
        </w:rPr>
        <w:t>mula:</w:t>
      </w:r>
      <w:r w:rsidRPr="00D10ED2">
        <w:rPr>
          <w:rFonts w:ascii="Arial" w:hAnsi="Arial" w:cs="Arial"/>
          <w:sz w:val="22"/>
          <w:szCs w:val="22"/>
        </w:rPr>
        <w:t xml:space="preserve"> </w:t>
      </w:r>
      <w:r w:rsidRPr="00D10ED2">
        <w:rPr>
          <w:rFonts w:ascii="Arial" w:hAnsi="Arial" w:cs="Arial"/>
          <w:sz w:val="22"/>
          <w:szCs w:val="22"/>
          <w:lang w:val="en-AU"/>
        </w:rPr>
        <w:t>C</w:t>
      </w:r>
      <w:r w:rsidRPr="00D10ED2">
        <w:rPr>
          <w:rFonts w:ascii="Arial" w:hAnsi="Arial" w:cs="Arial"/>
          <w:sz w:val="22"/>
          <w:szCs w:val="22"/>
          <w:vertAlign w:val="subscript"/>
          <w:lang w:val="en-AU"/>
        </w:rPr>
        <w:t>29</w:t>
      </w:r>
      <w:r w:rsidRPr="00D10ED2">
        <w:rPr>
          <w:rFonts w:ascii="Arial" w:hAnsi="Arial" w:cs="Arial"/>
          <w:sz w:val="22"/>
          <w:szCs w:val="22"/>
          <w:lang w:val="en-AU"/>
        </w:rPr>
        <w:t>H</w:t>
      </w:r>
      <w:r w:rsidRPr="00D10ED2">
        <w:rPr>
          <w:rFonts w:ascii="Arial" w:hAnsi="Arial" w:cs="Arial"/>
          <w:sz w:val="22"/>
          <w:szCs w:val="22"/>
          <w:vertAlign w:val="subscript"/>
          <w:lang w:val="en-AU"/>
        </w:rPr>
        <w:t>28</w:t>
      </w:r>
      <w:r w:rsidRPr="00D10ED2">
        <w:rPr>
          <w:rFonts w:ascii="Arial" w:hAnsi="Arial" w:cs="Arial"/>
          <w:sz w:val="22"/>
          <w:szCs w:val="22"/>
          <w:lang w:val="en-AU"/>
        </w:rPr>
        <w:t>ClF</w:t>
      </w:r>
      <w:r w:rsidRPr="00D10ED2">
        <w:rPr>
          <w:rFonts w:ascii="Arial" w:hAnsi="Arial" w:cs="Arial"/>
          <w:sz w:val="22"/>
          <w:szCs w:val="22"/>
          <w:vertAlign w:val="subscript"/>
          <w:lang w:val="en-AU"/>
        </w:rPr>
        <w:t>3</w:t>
      </w:r>
      <w:r w:rsidRPr="00D10ED2">
        <w:rPr>
          <w:rFonts w:ascii="Arial" w:hAnsi="Arial" w:cs="Arial"/>
          <w:sz w:val="22"/>
          <w:szCs w:val="22"/>
          <w:lang w:val="en-AU"/>
        </w:rPr>
        <w:t>N</w:t>
      </w:r>
      <w:r w:rsidRPr="00D10ED2">
        <w:rPr>
          <w:rFonts w:ascii="Arial" w:hAnsi="Arial" w:cs="Arial"/>
          <w:sz w:val="22"/>
          <w:szCs w:val="22"/>
          <w:vertAlign w:val="subscript"/>
          <w:lang w:val="en-AU"/>
        </w:rPr>
        <w:t>6</w:t>
      </w:r>
      <w:r w:rsidRPr="00D10ED2">
        <w:rPr>
          <w:rFonts w:ascii="Arial" w:hAnsi="Arial" w:cs="Arial"/>
          <w:sz w:val="22"/>
          <w:szCs w:val="22"/>
          <w:lang w:val="en-AU"/>
        </w:rPr>
        <w:t>O (</w:t>
      </w:r>
      <w:proofErr w:type="spellStart"/>
      <w:r w:rsidRPr="00D10ED2">
        <w:rPr>
          <w:rFonts w:ascii="Arial" w:hAnsi="Arial" w:cs="Arial"/>
          <w:sz w:val="22"/>
          <w:szCs w:val="22"/>
          <w:lang w:val="en-AU"/>
        </w:rPr>
        <w:t>HCl</w:t>
      </w:r>
      <w:proofErr w:type="spellEnd"/>
      <w:r w:rsidRPr="00D10ED2">
        <w:rPr>
          <w:rFonts w:ascii="Arial" w:hAnsi="Arial" w:cs="Arial"/>
          <w:sz w:val="22"/>
          <w:szCs w:val="22"/>
          <w:lang w:val="en-AU"/>
        </w:rPr>
        <w:t xml:space="preserve"> salt)</w:t>
      </w:r>
    </w:p>
    <w:p w14:paraId="386B5AE3" w14:textId="77777777" w:rsidR="0030503B" w:rsidRPr="00D10ED2" w:rsidRDefault="0030503B" w:rsidP="005329CC">
      <w:pPr>
        <w:rPr>
          <w:rFonts w:ascii="Arial" w:hAnsi="Arial" w:cs="Arial"/>
          <w:sz w:val="22"/>
          <w:szCs w:val="22"/>
        </w:rPr>
      </w:pPr>
    </w:p>
    <w:p w14:paraId="098A7A94" w14:textId="77777777" w:rsidR="0048713B" w:rsidRPr="00D10ED2" w:rsidRDefault="0048713B" w:rsidP="005329CC">
      <w:pPr>
        <w:rPr>
          <w:rFonts w:ascii="Arial" w:hAnsi="Arial" w:cs="Arial"/>
          <w:sz w:val="22"/>
          <w:szCs w:val="22"/>
        </w:rPr>
      </w:pPr>
      <w:r w:rsidRPr="00D10ED2">
        <w:rPr>
          <w:rFonts w:ascii="Arial" w:hAnsi="Arial" w:cs="Arial"/>
          <w:sz w:val="22"/>
          <w:szCs w:val="22"/>
        </w:rPr>
        <w:t>Chemical Structure:</w:t>
      </w:r>
      <w:r w:rsidR="006B4A84" w:rsidRPr="00D10ED2">
        <w:rPr>
          <w:rFonts w:ascii="Arial" w:hAnsi="Arial" w:cs="Arial"/>
          <w:sz w:val="22"/>
          <w:szCs w:val="22"/>
        </w:rPr>
        <w:t xml:space="preserve"> </w:t>
      </w:r>
    </w:p>
    <w:p w14:paraId="208D3784" w14:textId="77777777" w:rsidR="00F411B7" w:rsidRPr="00D10ED2" w:rsidRDefault="00F411B7" w:rsidP="005329CC">
      <w:pPr>
        <w:rPr>
          <w:rFonts w:ascii="Arial" w:hAnsi="Arial" w:cs="Arial"/>
          <w:sz w:val="22"/>
          <w:szCs w:val="22"/>
        </w:rPr>
      </w:pPr>
    </w:p>
    <w:p w14:paraId="64977BD2" w14:textId="23FD545B" w:rsidR="00F411B7" w:rsidRPr="00D10ED2" w:rsidRDefault="00A06C17" w:rsidP="005329CC">
      <w:pPr>
        <w:rPr>
          <w:rFonts w:ascii="Arial" w:hAnsi="Arial" w:cs="Arial"/>
          <w:sz w:val="22"/>
          <w:szCs w:val="22"/>
        </w:rPr>
      </w:pPr>
      <w:r w:rsidRPr="00D10ED2">
        <w:rPr>
          <w:rFonts w:ascii="Arial" w:hAnsi="Arial" w:cs="Arial"/>
          <w:noProof/>
          <w:lang w:val="en-AU" w:eastAsia="en-AU"/>
        </w:rPr>
        <w:drawing>
          <wp:inline distT="0" distB="0" distL="0" distR="0" wp14:anchorId="4899DE0E" wp14:editId="51E8A55D">
            <wp:extent cx="249555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247775"/>
                    </a:xfrm>
                    <a:prstGeom prst="rect">
                      <a:avLst/>
                    </a:prstGeom>
                    <a:noFill/>
                    <a:ln>
                      <a:noFill/>
                    </a:ln>
                  </pic:spPr>
                </pic:pic>
              </a:graphicData>
            </a:graphic>
          </wp:inline>
        </w:drawing>
      </w:r>
    </w:p>
    <w:p w14:paraId="22762253" w14:textId="77777777" w:rsidR="00F411B7" w:rsidRPr="00D10ED2" w:rsidRDefault="00F411B7" w:rsidP="005329CC">
      <w:pPr>
        <w:rPr>
          <w:rFonts w:ascii="Arial" w:hAnsi="Arial" w:cs="Arial"/>
          <w:sz w:val="22"/>
          <w:szCs w:val="22"/>
        </w:rPr>
      </w:pPr>
    </w:p>
    <w:p w14:paraId="290F875F" w14:textId="77777777" w:rsidR="00480A3C" w:rsidRPr="00D10ED2" w:rsidRDefault="00480A3C" w:rsidP="005329CC">
      <w:pPr>
        <w:rPr>
          <w:rFonts w:ascii="Arial" w:hAnsi="Arial" w:cs="Arial"/>
          <w:b/>
          <w:sz w:val="28"/>
          <w:szCs w:val="28"/>
        </w:rPr>
      </w:pPr>
    </w:p>
    <w:p w14:paraId="60AD6F3C" w14:textId="77777777" w:rsidR="00F427CC" w:rsidRDefault="00F427CC" w:rsidP="005329CC">
      <w:pPr>
        <w:rPr>
          <w:rFonts w:ascii="Arial" w:hAnsi="Arial" w:cs="Arial"/>
          <w:b/>
          <w:sz w:val="28"/>
          <w:szCs w:val="28"/>
        </w:rPr>
      </w:pPr>
    </w:p>
    <w:p w14:paraId="629ED312" w14:textId="77777777" w:rsidR="005329CC" w:rsidRPr="00D10ED2" w:rsidRDefault="005329CC" w:rsidP="005329CC">
      <w:pPr>
        <w:rPr>
          <w:rFonts w:ascii="Arial" w:hAnsi="Arial" w:cs="Arial"/>
          <w:b/>
          <w:sz w:val="28"/>
          <w:szCs w:val="28"/>
        </w:rPr>
      </w:pPr>
      <w:r w:rsidRPr="00D10ED2">
        <w:rPr>
          <w:rFonts w:ascii="Arial" w:hAnsi="Arial" w:cs="Arial"/>
          <w:b/>
          <w:sz w:val="28"/>
          <w:szCs w:val="28"/>
        </w:rPr>
        <w:t>Description</w:t>
      </w:r>
    </w:p>
    <w:p w14:paraId="0214321C" w14:textId="77777777" w:rsidR="00480A3C" w:rsidRPr="00D10ED2" w:rsidRDefault="00480A3C" w:rsidP="008E0092">
      <w:pPr>
        <w:rPr>
          <w:rFonts w:ascii="Arial" w:hAnsi="Arial" w:cs="Arial"/>
          <w:sz w:val="22"/>
          <w:szCs w:val="22"/>
        </w:rPr>
      </w:pPr>
    </w:p>
    <w:p w14:paraId="3CD6CB3F" w14:textId="78913DE4" w:rsidR="006C2398" w:rsidRDefault="006C2398" w:rsidP="008E0092">
      <w:pPr>
        <w:rPr>
          <w:rFonts w:ascii="Arial" w:hAnsi="Arial" w:cs="Arial"/>
          <w:sz w:val="22"/>
          <w:szCs w:val="22"/>
        </w:rPr>
      </w:pPr>
      <w:proofErr w:type="spellStart"/>
      <w:r>
        <w:rPr>
          <w:rFonts w:ascii="Arial" w:hAnsi="Arial" w:cs="Arial"/>
          <w:sz w:val="22"/>
          <w:szCs w:val="22"/>
        </w:rPr>
        <w:t>Ponatinib</w:t>
      </w:r>
      <w:proofErr w:type="spellEnd"/>
      <w:r>
        <w:rPr>
          <w:rFonts w:ascii="Arial" w:hAnsi="Arial" w:cs="Arial"/>
          <w:sz w:val="22"/>
          <w:szCs w:val="22"/>
        </w:rPr>
        <w:t xml:space="preserve"> </w:t>
      </w:r>
      <w:proofErr w:type="spellStart"/>
      <w:r>
        <w:rPr>
          <w:rFonts w:ascii="Arial" w:hAnsi="Arial" w:cs="Arial"/>
          <w:sz w:val="22"/>
          <w:szCs w:val="22"/>
        </w:rPr>
        <w:t>HCl</w:t>
      </w:r>
      <w:proofErr w:type="spellEnd"/>
      <w:r>
        <w:rPr>
          <w:rFonts w:ascii="Arial" w:hAnsi="Arial" w:cs="Arial"/>
          <w:sz w:val="22"/>
          <w:szCs w:val="22"/>
        </w:rPr>
        <w:t xml:space="preserve"> is </w:t>
      </w:r>
      <w:proofErr w:type="gramStart"/>
      <w:r>
        <w:rPr>
          <w:rFonts w:ascii="Arial" w:hAnsi="Arial" w:cs="Arial"/>
          <w:sz w:val="22"/>
          <w:szCs w:val="22"/>
        </w:rPr>
        <w:t>an off</w:t>
      </w:r>
      <w:proofErr w:type="gramEnd"/>
      <w:r>
        <w:rPr>
          <w:rFonts w:ascii="Arial" w:hAnsi="Arial" w:cs="Arial"/>
          <w:sz w:val="22"/>
          <w:szCs w:val="22"/>
        </w:rPr>
        <w:t xml:space="preserve">-white to yellow powder with </w:t>
      </w:r>
      <w:proofErr w:type="spellStart"/>
      <w:r>
        <w:rPr>
          <w:rFonts w:ascii="Arial" w:hAnsi="Arial" w:cs="Arial"/>
          <w:sz w:val="22"/>
          <w:szCs w:val="22"/>
        </w:rPr>
        <w:t>pKa</w:t>
      </w:r>
      <w:proofErr w:type="spellEnd"/>
      <w:r>
        <w:rPr>
          <w:rFonts w:ascii="Arial" w:hAnsi="Arial" w:cs="Arial"/>
          <w:sz w:val="22"/>
          <w:szCs w:val="22"/>
        </w:rPr>
        <w:t xml:space="preserve"> of 2.77 and 7.8.  The solubility of </w:t>
      </w:r>
      <w:proofErr w:type="spellStart"/>
      <w:r>
        <w:rPr>
          <w:rFonts w:ascii="Arial" w:hAnsi="Arial" w:cs="Arial"/>
          <w:sz w:val="22"/>
          <w:szCs w:val="22"/>
        </w:rPr>
        <w:t>ponatinib</w:t>
      </w:r>
      <w:proofErr w:type="spellEnd"/>
      <w:r>
        <w:rPr>
          <w:rFonts w:ascii="Arial" w:hAnsi="Arial" w:cs="Arial"/>
          <w:sz w:val="22"/>
          <w:szCs w:val="22"/>
        </w:rPr>
        <w:t xml:space="preserve"> in pH 1.7, 2.7, and 7.5 buffers is 7790 mcg/mL, </w:t>
      </w:r>
      <w:proofErr w:type="gramStart"/>
      <w:r>
        <w:rPr>
          <w:rFonts w:ascii="Arial" w:hAnsi="Arial" w:cs="Arial"/>
          <w:sz w:val="22"/>
          <w:szCs w:val="22"/>
        </w:rPr>
        <w:t>3.44 mcg/mL,</w:t>
      </w:r>
      <w:proofErr w:type="gramEnd"/>
      <w:r>
        <w:rPr>
          <w:rFonts w:ascii="Arial" w:hAnsi="Arial" w:cs="Arial"/>
          <w:sz w:val="22"/>
          <w:szCs w:val="22"/>
        </w:rPr>
        <w:t xml:space="preserve"> and 0.16 mcg/mL, respectively, indicating a decrease in solubility with increasing </w:t>
      </w:r>
      <w:proofErr w:type="spellStart"/>
      <w:r>
        <w:rPr>
          <w:rFonts w:ascii="Arial" w:hAnsi="Arial" w:cs="Arial"/>
          <w:sz w:val="22"/>
          <w:szCs w:val="22"/>
        </w:rPr>
        <w:t>pH</w:t>
      </w:r>
      <w:r w:rsidR="00F427CC">
        <w:rPr>
          <w:rFonts w:ascii="Arial" w:hAnsi="Arial" w:cs="Arial"/>
          <w:sz w:val="22"/>
          <w:szCs w:val="22"/>
        </w:rPr>
        <w:t>.</w:t>
      </w:r>
      <w:proofErr w:type="spellEnd"/>
    </w:p>
    <w:p w14:paraId="17400E26" w14:textId="77777777" w:rsidR="006C2398" w:rsidRDefault="006C2398" w:rsidP="008E0092">
      <w:pPr>
        <w:rPr>
          <w:rFonts w:ascii="Arial" w:hAnsi="Arial" w:cs="Arial"/>
          <w:sz w:val="22"/>
          <w:szCs w:val="22"/>
        </w:rPr>
      </w:pPr>
    </w:p>
    <w:p w14:paraId="495178E5" w14:textId="630FB224" w:rsidR="0048713B" w:rsidRPr="00D10ED2" w:rsidRDefault="00D413DC" w:rsidP="008E0092">
      <w:pPr>
        <w:rPr>
          <w:rFonts w:ascii="Arial" w:hAnsi="Arial" w:cs="Arial"/>
          <w:sz w:val="22"/>
          <w:szCs w:val="22"/>
        </w:rPr>
      </w:pPr>
      <w:r w:rsidRPr="00D10ED2">
        <w:rPr>
          <w:rFonts w:ascii="Arial" w:hAnsi="Arial" w:cs="Arial"/>
          <w:sz w:val="22"/>
          <w:szCs w:val="22"/>
        </w:rPr>
        <w:lastRenderedPageBreak/>
        <w:t xml:space="preserve">ICLUSIG </w:t>
      </w:r>
      <w:r w:rsidR="006C2398" w:rsidRPr="006C2398">
        <w:rPr>
          <w:rFonts w:ascii="Arial" w:hAnsi="Arial" w:cs="Arial"/>
          <w:sz w:val="22"/>
          <w:szCs w:val="22"/>
        </w:rPr>
        <w:t xml:space="preserve">tablets are available as white, round, film-coated tablets for oral administration. Each tablet contains </w:t>
      </w:r>
      <w:proofErr w:type="spellStart"/>
      <w:r w:rsidR="006C2398" w:rsidRPr="006C2398">
        <w:rPr>
          <w:rFonts w:ascii="Arial" w:hAnsi="Arial" w:cs="Arial"/>
          <w:sz w:val="22"/>
          <w:szCs w:val="22"/>
        </w:rPr>
        <w:t>ponatinib</w:t>
      </w:r>
      <w:proofErr w:type="spellEnd"/>
      <w:r w:rsidR="006C2398" w:rsidRPr="006C2398">
        <w:rPr>
          <w:rFonts w:ascii="Arial" w:hAnsi="Arial" w:cs="Arial"/>
          <w:sz w:val="22"/>
          <w:szCs w:val="22"/>
        </w:rPr>
        <w:t xml:space="preserve"> hydrochloride equivalent to 15 or 45 mg </w:t>
      </w:r>
      <w:proofErr w:type="spellStart"/>
      <w:r w:rsidR="006C2398" w:rsidRPr="006C2398">
        <w:rPr>
          <w:rFonts w:ascii="Arial" w:hAnsi="Arial" w:cs="Arial"/>
          <w:sz w:val="22"/>
          <w:szCs w:val="22"/>
        </w:rPr>
        <w:t>ponatinib</w:t>
      </w:r>
      <w:proofErr w:type="spellEnd"/>
      <w:r w:rsidR="006C2398" w:rsidRPr="006C2398">
        <w:rPr>
          <w:rFonts w:ascii="Arial" w:hAnsi="Arial" w:cs="Arial"/>
          <w:sz w:val="22"/>
          <w:szCs w:val="22"/>
        </w:rPr>
        <w:t xml:space="preserve"> with the following inactive ingredients: lactose monohydrate, microcrystalline cellulose, sodium starch </w:t>
      </w:r>
      <w:proofErr w:type="spellStart"/>
      <w:r w:rsidR="006C2398" w:rsidRPr="006C2398">
        <w:rPr>
          <w:rFonts w:ascii="Arial" w:hAnsi="Arial" w:cs="Arial"/>
          <w:sz w:val="22"/>
          <w:szCs w:val="22"/>
        </w:rPr>
        <w:t>glycolate</w:t>
      </w:r>
      <w:proofErr w:type="spellEnd"/>
      <w:r w:rsidR="006C2398" w:rsidRPr="006C2398">
        <w:rPr>
          <w:rFonts w:ascii="Arial" w:hAnsi="Arial" w:cs="Arial"/>
          <w:sz w:val="22"/>
          <w:szCs w:val="22"/>
        </w:rPr>
        <w:t xml:space="preserve"> (type B), colloidal silicon dioxide, magnesium stearate and a tablet coating.  The tablet film coating consists of talc, </w:t>
      </w:r>
      <w:proofErr w:type="spellStart"/>
      <w:r w:rsidR="006C2398" w:rsidRPr="006C2398">
        <w:rPr>
          <w:rFonts w:ascii="Arial" w:hAnsi="Arial" w:cs="Arial"/>
          <w:sz w:val="22"/>
          <w:szCs w:val="22"/>
        </w:rPr>
        <w:t>macrogol</w:t>
      </w:r>
      <w:proofErr w:type="spellEnd"/>
      <w:r w:rsidR="006C2398" w:rsidRPr="006C2398">
        <w:rPr>
          <w:rFonts w:ascii="Arial" w:hAnsi="Arial" w:cs="Arial"/>
          <w:sz w:val="22"/>
          <w:szCs w:val="22"/>
        </w:rPr>
        <w:t xml:space="preserve"> 4000, </w:t>
      </w:r>
      <w:proofErr w:type="spellStart"/>
      <w:r w:rsidR="006C2398" w:rsidRPr="006C2398">
        <w:rPr>
          <w:rFonts w:ascii="Arial" w:hAnsi="Arial" w:cs="Arial"/>
          <w:sz w:val="22"/>
          <w:szCs w:val="22"/>
        </w:rPr>
        <w:t>polvviny</w:t>
      </w:r>
      <w:r w:rsidR="006C2398">
        <w:rPr>
          <w:rFonts w:ascii="Arial" w:hAnsi="Arial" w:cs="Arial"/>
          <w:sz w:val="22"/>
          <w:szCs w:val="22"/>
        </w:rPr>
        <w:t>l</w:t>
      </w:r>
      <w:proofErr w:type="spellEnd"/>
      <w:r w:rsidR="006C2398">
        <w:rPr>
          <w:rFonts w:ascii="Arial" w:hAnsi="Arial" w:cs="Arial"/>
          <w:sz w:val="22"/>
          <w:szCs w:val="22"/>
        </w:rPr>
        <w:t xml:space="preserve"> alcohol, and titanium dioxide</w:t>
      </w:r>
      <w:r w:rsidR="00F411B7" w:rsidRPr="00D10ED2">
        <w:rPr>
          <w:rFonts w:ascii="Arial" w:hAnsi="Arial" w:cs="Arial"/>
          <w:sz w:val="22"/>
          <w:szCs w:val="22"/>
        </w:rPr>
        <w:t>.</w:t>
      </w:r>
    </w:p>
    <w:p w14:paraId="6574A79B" w14:textId="77777777" w:rsidR="00DC00CC" w:rsidRPr="00DC00CC" w:rsidRDefault="00DC00CC" w:rsidP="00DC00CC">
      <w:pPr>
        <w:rPr>
          <w:rFonts w:ascii="Times New Roman" w:hAnsi="Times New Roman" w:cs="Times New Roman"/>
          <w:sz w:val="20"/>
        </w:rPr>
      </w:pPr>
    </w:p>
    <w:p w14:paraId="71CB1DF3" w14:textId="77777777" w:rsidR="00E70B03" w:rsidRPr="00D10ED2" w:rsidRDefault="00E70B03" w:rsidP="00DE5AE7">
      <w:pPr>
        <w:keepNext/>
        <w:keepLines/>
        <w:rPr>
          <w:rFonts w:ascii="Arial" w:hAnsi="Arial" w:cs="Arial"/>
          <w:sz w:val="22"/>
          <w:szCs w:val="22"/>
        </w:rPr>
      </w:pPr>
      <w:r w:rsidRPr="00D10ED2">
        <w:rPr>
          <w:rFonts w:ascii="Arial" w:hAnsi="Arial" w:cs="Arial"/>
          <w:b/>
          <w:sz w:val="28"/>
          <w:szCs w:val="28"/>
        </w:rPr>
        <w:t>Pharmacology</w:t>
      </w:r>
    </w:p>
    <w:p w14:paraId="1848E625" w14:textId="77777777" w:rsidR="00F008B8" w:rsidRPr="00D10ED2" w:rsidRDefault="00F008B8" w:rsidP="00DE5AE7">
      <w:pPr>
        <w:keepNext/>
        <w:keepLines/>
        <w:rPr>
          <w:rFonts w:ascii="Arial" w:hAnsi="Arial" w:cs="Arial"/>
          <w:sz w:val="22"/>
          <w:szCs w:val="22"/>
        </w:rPr>
      </w:pPr>
    </w:p>
    <w:p w14:paraId="0C12866D" w14:textId="68340580" w:rsidR="000F28D9" w:rsidRPr="00D10ED2" w:rsidRDefault="000F28D9" w:rsidP="00DE5AE7">
      <w:pPr>
        <w:pStyle w:val="Heading2"/>
        <w:keepLines/>
        <w:numPr>
          <w:ilvl w:val="0"/>
          <w:numId w:val="0"/>
        </w:numPr>
        <w:spacing w:before="0" w:after="0"/>
        <w:rPr>
          <w:rFonts w:ascii="Arial" w:hAnsi="Arial" w:cs="Arial"/>
          <w:sz w:val="22"/>
          <w:szCs w:val="22"/>
        </w:rPr>
      </w:pPr>
      <w:proofErr w:type="spellStart"/>
      <w:r w:rsidRPr="00D10ED2">
        <w:rPr>
          <w:rFonts w:ascii="Arial" w:hAnsi="Arial" w:cs="Arial"/>
          <w:sz w:val="22"/>
          <w:szCs w:val="22"/>
        </w:rPr>
        <w:t>Pharmacodynamic</w:t>
      </w:r>
      <w:proofErr w:type="spellEnd"/>
      <w:r w:rsidRPr="00D10ED2">
        <w:rPr>
          <w:rFonts w:ascii="Arial" w:hAnsi="Arial" w:cs="Arial"/>
          <w:sz w:val="22"/>
          <w:szCs w:val="22"/>
        </w:rPr>
        <w:t xml:space="preserve"> properties</w:t>
      </w:r>
    </w:p>
    <w:p w14:paraId="74B2D7ED" w14:textId="77777777" w:rsidR="000F28D9" w:rsidRPr="00D10ED2" w:rsidRDefault="000F28D9" w:rsidP="00E70B03">
      <w:pPr>
        <w:rPr>
          <w:rFonts w:ascii="Arial" w:hAnsi="Arial" w:cs="Arial"/>
          <w:sz w:val="22"/>
          <w:szCs w:val="22"/>
        </w:rPr>
      </w:pPr>
    </w:p>
    <w:p w14:paraId="3FB1DE73" w14:textId="79CB1840" w:rsidR="00E70B03" w:rsidRPr="00D10ED2" w:rsidRDefault="00E70B03" w:rsidP="00E70B03">
      <w:pPr>
        <w:rPr>
          <w:rFonts w:ascii="Arial" w:hAnsi="Arial" w:cs="Arial"/>
          <w:sz w:val="22"/>
          <w:szCs w:val="22"/>
        </w:rPr>
      </w:pPr>
      <w:proofErr w:type="spellStart"/>
      <w:r w:rsidRPr="00D10ED2">
        <w:rPr>
          <w:rFonts w:ascii="Arial" w:hAnsi="Arial" w:cs="Arial"/>
          <w:sz w:val="22"/>
          <w:szCs w:val="22"/>
        </w:rPr>
        <w:t>Pharmacotherapeutic</w:t>
      </w:r>
      <w:proofErr w:type="spellEnd"/>
      <w:r w:rsidRPr="00D10ED2">
        <w:rPr>
          <w:rFonts w:ascii="Arial" w:hAnsi="Arial" w:cs="Arial"/>
          <w:sz w:val="22"/>
          <w:szCs w:val="22"/>
        </w:rPr>
        <w:t xml:space="preserve"> group: antineoplastic agent, protein kinase inhibitor, ATC code: L01XE24</w:t>
      </w:r>
      <w:r w:rsidR="00356A0D">
        <w:rPr>
          <w:rFonts w:ascii="Arial" w:hAnsi="Arial" w:cs="Arial"/>
          <w:sz w:val="22"/>
          <w:szCs w:val="22"/>
        </w:rPr>
        <w:t>.</w:t>
      </w:r>
    </w:p>
    <w:p w14:paraId="25AFC6C8" w14:textId="77777777" w:rsidR="00E70B03" w:rsidRPr="00D10ED2" w:rsidRDefault="00E70B03" w:rsidP="00E70B03">
      <w:pPr>
        <w:rPr>
          <w:rFonts w:ascii="Arial" w:hAnsi="Arial" w:cs="Arial"/>
          <w:sz w:val="22"/>
          <w:szCs w:val="22"/>
        </w:rPr>
      </w:pPr>
    </w:p>
    <w:p w14:paraId="6FC6CA36" w14:textId="26987F9C" w:rsidR="00E11710" w:rsidRPr="00D10ED2" w:rsidRDefault="00E70B03" w:rsidP="00E70B03">
      <w:pPr>
        <w:rPr>
          <w:rFonts w:ascii="Arial" w:hAnsi="Arial" w:cs="Arial"/>
          <w:sz w:val="22"/>
          <w:szCs w:val="22"/>
        </w:rPr>
      </w:pP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a BCR-ABL tyrosine kinase</w:t>
      </w:r>
      <w:r w:rsidR="00E94414">
        <w:rPr>
          <w:rFonts w:ascii="Arial" w:hAnsi="Arial" w:cs="Arial"/>
          <w:sz w:val="22"/>
          <w:szCs w:val="22"/>
        </w:rPr>
        <w:t xml:space="preserve"> inhibitor.</w:t>
      </w:r>
      <w:r w:rsidRPr="00D10ED2">
        <w:rPr>
          <w:rFonts w:ascii="Arial" w:hAnsi="Arial" w:cs="Arial"/>
          <w:sz w:val="22"/>
          <w:szCs w:val="22"/>
        </w:rPr>
        <w:t xml:space="preserve"> </w:t>
      </w:r>
      <w:r w:rsidR="00E94414" w:rsidRPr="00E607DF">
        <w:rPr>
          <w:rFonts w:ascii="Arial" w:hAnsi="Arial" w:cs="Arial"/>
          <w:i/>
          <w:sz w:val="22"/>
          <w:szCs w:val="22"/>
        </w:rPr>
        <w:t>In vitro</w:t>
      </w:r>
      <w:r w:rsidR="00E94414">
        <w:rPr>
          <w:rFonts w:ascii="Arial" w:hAnsi="Arial" w:cs="Arial"/>
          <w:sz w:val="22"/>
          <w:szCs w:val="22"/>
        </w:rPr>
        <w:t xml:space="preserve">, </w:t>
      </w:r>
      <w:proofErr w:type="spellStart"/>
      <w:r w:rsidR="00E94414">
        <w:rPr>
          <w:rFonts w:ascii="Arial" w:hAnsi="Arial" w:cs="Arial"/>
          <w:sz w:val="22"/>
          <w:szCs w:val="22"/>
        </w:rPr>
        <w:t>ponatinib</w:t>
      </w:r>
      <w:proofErr w:type="spellEnd"/>
      <w:r w:rsidR="00E94414">
        <w:rPr>
          <w:rFonts w:ascii="Arial" w:hAnsi="Arial" w:cs="Arial"/>
          <w:sz w:val="22"/>
          <w:szCs w:val="22"/>
        </w:rPr>
        <w:t xml:space="preserve"> inhibited the tyrosine kinase </w:t>
      </w:r>
      <w:r w:rsidRPr="00D10ED2">
        <w:rPr>
          <w:rFonts w:ascii="Arial" w:hAnsi="Arial" w:cs="Arial"/>
          <w:sz w:val="22"/>
          <w:szCs w:val="22"/>
        </w:rPr>
        <w:t>activity of ABL and T315I mutant ABL with IC</w:t>
      </w:r>
      <w:r w:rsidRPr="00D10ED2">
        <w:rPr>
          <w:rFonts w:ascii="Arial" w:hAnsi="Arial" w:cs="Arial"/>
          <w:sz w:val="22"/>
          <w:szCs w:val="22"/>
          <w:vertAlign w:val="subscript"/>
        </w:rPr>
        <w:t>50</w:t>
      </w:r>
      <w:r w:rsidRPr="00D10ED2">
        <w:rPr>
          <w:rFonts w:ascii="Arial" w:hAnsi="Arial" w:cs="Arial"/>
          <w:sz w:val="22"/>
          <w:szCs w:val="22"/>
        </w:rPr>
        <w:t xml:space="preserve"> values of 0.4 and 2.0 </w:t>
      </w:r>
      <w:proofErr w:type="spellStart"/>
      <w:r w:rsidRPr="00D10ED2">
        <w:rPr>
          <w:rFonts w:ascii="Arial" w:hAnsi="Arial" w:cs="Arial"/>
          <w:sz w:val="22"/>
          <w:szCs w:val="22"/>
        </w:rPr>
        <w:t>nM</w:t>
      </w:r>
      <w:proofErr w:type="spellEnd"/>
      <w:r w:rsidRPr="00D10ED2">
        <w:rPr>
          <w:rFonts w:ascii="Arial" w:hAnsi="Arial" w:cs="Arial"/>
          <w:sz w:val="22"/>
          <w:szCs w:val="22"/>
        </w:rPr>
        <w:t xml:space="preserve">, respectively. </w:t>
      </w:r>
      <w:proofErr w:type="spellStart"/>
      <w:r w:rsidR="00E11710" w:rsidRPr="00D10ED2">
        <w:rPr>
          <w:rFonts w:ascii="Arial" w:hAnsi="Arial" w:cs="Arial"/>
          <w:sz w:val="22"/>
          <w:szCs w:val="22"/>
        </w:rPr>
        <w:t>Ponatinib</w:t>
      </w:r>
      <w:proofErr w:type="spellEnd"/>
      <w:r w:rsidR="00E11710" w:rsidRPr="00D10ED2">
        <w:rPr>
          <w:rFonts w:ascii="Arial" w:hAnsi="Arial" w:cs="Arial"/>
          <w:sz w:val="22"/>
          <w:szCs w:val="22"/>
        </w:rPr>
        <w:t xml:space="preserve"> inhibits the </w:t>
      </w:r>
      <w:r w:rsidR="00E94414" w:rsidRPr="00E607DF">
        <w:rPr>
          <w:rFonts w:ascii="Arial" w:hAnsi="Arial" w:cs="Arial"/>
          <w:i/>
          <w:sz w:val="22"/>
          <w:szCs w:val="22"/>
        </w:rPr>
        <w:t>in vitro</w:t>
      </w:r>
      <w:r w:rsidR="00E94414">
        <w:rPr>
          <w:rFonts w:ascii="Arial" w:hAnsi="Arial" w:cs="Arial"/>
          <w:sz w:val="22"/>
          <w:szCs w:val="22"/>
        </w:rPr>
        <w:t xml:space="preserve"> </w:t>
      </w:r>
      <w:r w:rsidR="00E11710" w:rsidRPr="00D10ED2">
        <w:rPr>
          <w:rFonts w:ascii="Arial" w:hAnsi="Arial" w:cs="Arial"/>
          <w:sz w:val="22"/>
          <w:szCs w:val="22"/>
        </w:rPr>
        <w:t>activity of other kinases</w:t>
      </w:r>
      <w:r w:rsidR="00E94414">
        <w:rPr>
          <w:rFonts w:ascii="Arial" w:hAnsi="Arial" w:cs="Arial"/>
          <w:sz w:val="22"/>
          <w:szCs w:val="22"/>
        </w:rPr>
        <w:t>,</w:t>
      </w:r>
      <w:r w:rsidR="00E11710" w:rsidRPr="00D10ED2">
        <w:rPr>
          <w:rFonts w:ascii="Arial" w:hAnsi="Arial" w:cs="Arial"/>
          <w:sz w:val="22"/>
          <w:szCs w:val="22"/>
        </w:rPr>
        <w:t xml:space="preserve"> </w:t>
      </w:r>
      <w:r w:rsidR="00E94414">
        <w:rPr>
          <w:rFonts w:ascii="Arial" w:hAnsi="Arial" w:cs="Arial"/>
          <w:sz w:val="22"/>
          <w:szCs w:val="22"/>
        </w:rPr>
        <w:t>including</w:t>
      </w:r>
      <w:r w:rsidR="00E11710" w:rsidRPr="00D10ED2">
        <w:rPr>
          <w:rFonts w:ascii="Arial" w:hAnsi="Arial" w:cs="Arial"/>
          <w:sz w:val="22"/>
          <w:szCs w:val="22"/>
        </w:rPr>
        <w:t xml:space="preserve"> RET, FLT3, and KIT and members of the FGFR, PDGFR, VEGFR</w:t>
      </w:r>
      <w:r w:rsidR="00E94414">
        <w:rPr>
          <w:rFonts w:ascii="Arial" w:hAnsi="Arial" w:cs="Arial"/>
          <w:sz w:val="22"/>
          <w:szCs w:val="22"/>
        </w:rPr>
        <w:t>, EPH and SRC</w:t>
      </w:r>
      <w:r w:rsidR="00E11710" w:rsidRPr="00D10ED2">
        <w:rPr>
          <w:rFonts w:ascii="Arial" w:hAnsi="Arial" w:cs="Arial"/>
          <w:sz w:val="22"/>
          <w:szCs w:val="22"/>
        </w:rPr>
        <w:t xml:space="preserve"> families of kinases</w:t>
      </w:r>
      <w:r w:rsidR="00E94414">
        <w:rPr>
          <w:rFonts w:ascii="Arial" w:hAnsi="Arial" w:cs="Arial"/>
          <w:sz w:val="22"/>
          <w:szCs w:val="22"/>
        </w:rPr>
        <w:t xml:space="preserve"> with IC</w:t>
      </w:r>
      <w:r w:rsidR="00E94414" w:rsidRPr="00E607DF">
        <w:rPr>
          <w:rFonts w:ascii="Arial" w:hAnsi="Arial" w:cs="Arial"/>
          <w:sz w:val="22"/>
          <w:szCs w:val="22"/>
          <w:vertAlign w:val="subscript"/>
        </w:rPr>
        <w:t>50</w:t>
      </w:r>
      <w:r w:rsidR="00E94414">
        <w:rPr>
          <w:rFonts w:ascii="Arial" w:hAnsi="Arial" w:cs="Arial"/>
          <w:sz w:val="22"/>
          <w:szCs w:val="22"/>
        </w:rPr>
        <w:t xml:space="preserve"> values below 20 </w:t>
      </w:r>
      <w:proofErr w:type="spellStart"/>
      <w:r w:rsidR="00E94414">
        <w:rPr>
          <w:rFonts w:ascii="Arial" w:hAnsi="Arial" w:cs="Arial"/>
          <w:sz w:val="22"/>
          <w:szCs w:val="22"/>
        </w:rPr>
        <w:t>nM</w:t>
      </w:r>
      <w:proofErr w:type="spellEnd"/>
      <w:r w:rsidR="00E11710" w:rsidRPr="00D10ED2">
        <w:rPr>
          <w:rFonts w:ascii="Arial" w:hAnsi="Arial" w:cs="Arial"/>
          <w:sz w:val="22"/>
          <w:szCs w:val="22"/>
        </w:rPr>
        <w:t>.</w:t>
      </w:r>
    </w:p>
    <w:p w14:paraId="4AB09613" w14:textId="77777777" w:rsidR="00E11710" w:rsidRPr="00D10ED2" w:rsidRDefault="00E11710" w:rsidP="00E70B03">
      <w:pPr>
        <w:rPr>
          <w:rFonts w:ascii="Arial" w:hAnsi="Arial" w:cs="Arial"/>
          <w:sz w:val="22"/>
          <w:szCs w:val="22"/>
        </w:rPr>
      </w:pPr>
    </w:p>
    <w:p w14:paraId="2C7BE69D" w14:textId="72AE571F" w:rsidR="00C73383" w:rsidRPr="00D10ED2" w:rsidRDefault="00E70B03" w:rsidP="00E70B03">
      <w:pPr>
        <w:rPr>
          <w:rFonts w:ascii="Arial" w:hAnsi="Arial" w:cs="Arial"/>
          <w:sz w:val="22"/>
          <w:szCs w:val="22"/>
        </w:rPr>
      </w:pPr>
      <w:r w:rsidRPr="00D10ED2">
        <w:rPr>
          <w:rFonts w:ascii="Arial" w:hAnsi="Arial" w:cs="Arial"/>
          <w:sz w:val="22"/>
          <w:szCs w:val="22"/>
        </w:rPr>
        <w:t xml:space="preserve">In cellular assays,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w:t>
      </w:r>
      <w:r w:rsidR="00E94414">
        <w:rPr>
          <w:rFonts w:ascii="Arial" w:hAnsi="Arial" w:cs="Arial"/>
          <w:sz w:val="22"/>
          <w:szCs w:val="22"/>
        </w:rPr>
        <w:t>reduced the viability of cells expressing various</w:t>
      </w:r>
      <w:r w:rsidRPr="00D10ED2">
        <w:rPr>
          <w:rFonts w:ascii="Arial" w:hAnsi="Arial" w:cs="Arial"/>
          <w:sz w:val="22"/>
          <w:szCs w:val="22"/>
        </w:rPr>
        <w:t xml:space="preserve"> BCR-ABL muta</w:t>
      </w:r>
      <w:r w:rsidR="00E94414">
        <w:rPr>
          <w:rFonts w:ascii="Arial" w:hAnsi="Arial" w:cs="Arial"/>
          <w:sz w:val="22"/>
          <w:szCs w:val="22"/>
        </w:rPr>
        <w:t xml:space="preserve">nts, </w:t>
      </w:r>
      <w:r w:rsidR="00E94414" w:rsidRPr="00E94414">
        <w:rPr>
          <w:rFonts w:ascii="Arial" w:hAnsi="Arial" w:cs="Arial"/>
          <w:sz w:val="22"/>
          <w:szCs w:val="22"/>
        </w:rPr>
        <w:t xml:space="preserve">including those resistant to </w:t>
      </w:r>
      <w:proofErr w:type="spellStart"/>
      <w:r w:rsidR="00E94414" w:rsidRPr="00E94414">
        <w:rPr>
          <w:rFonts w:ascii="Arial" w:hAnsi="Arial" w:cs="Arial"/>
          <w:sz w:val="22"/>
          <w:szCs w:val="22"/>
        </w:rPr>
        <w:t>imatinib</w:t>
      </w:r>
      <w:proofErr w:type="spellEnd"/>
      <w:r w:rsidR="00E94414" w:rsidRPr="00E94414">
        <w:rPr>
          <w:rFonts w:ascii="Arial" w:hAnsi="Arial" w:cs="Arial"/>
          <w:sz w:val="22"/>
          <w:szCs w:val="22"/>
        </w:rPr>
        <w:t xml:space="preserve">, </w:t>
      </w:r>
      <w:proofErr w:type="spellStart"/>
      <w:r w:rsidR="00E94414" w:rsidRPr="00E94414">
        <w:rPr>
          <w:rFonts w:ascii="Arial" w:hAnsi="Arial" w:cs="Arial"/>
          <w:sz w:val="22"/>
          <w:szCs w:val="22"/>
        </w:rPr>
        <w:t>dasatinib</w:t>
      </w:r>
      <w:proofErr w:type="spellEnd"/>
      <w:r w:rsidR="00E94414" w:rsidRPr="00E94414">
        <w:rPr>
          <w:rFonts w:ascii="Arial" w:hAnsi="Arial" w:cs="Arial"/>
          <w:sz w:val="22"/>
          <w:szCs w:val="22"/>
        </w:rPr>
        <w:t xml:space="preserve">, and/or </w:t>
      </w:r>
      <w:proofErr w:type="spellStart"/>
      <w:r w:rsidR="00E94414" w:rsidRPr="00E94414">
        <w:rPr>
          <w:rFonts w:ascii="Arial" w:hAnsi="Arial" w:cs="Arial"/>
          <w:sz w:val="22"/>
          <w:szCs w:val="22"/>
        </w:rPr>
        <w:t>nilotinib</w:t>
      </w:r>
      <w:proofErr w:type="spellEnd"/>
      <w:r w:rsidRPr="00D10ED2">
        <w:rPr>
          <w:rFonts w:ascii="Arial" w:hAnsi="Arial" w:cs="Arial"/>
          <w:sz w:val="22"/>
          <w:szCs w:val="22"/>
        </w:rPr>
        <w:t xml:space="preserve">. </w:t>
      </w:r>
      <w:proofErr w:type="spellStart"/>
      <w:r w:rsidR="00E94414" w:rsidRPr="00E94414">
        <w:rPr>
          <w:rFonts w:ascii="Arial" w:hAnsi="Arial" w:cs="Arial"/>
          <w:sz w:val="22"/>
          <w:szCs w:val="22"/>
        </w:rPr>
        <w:t>Ponatinib</w:t>
      </w:r>
      <w:proofErr w:type="spellEnd"/>
      <w:r w:rsidR="00E94414" w:rsidRPr="00E94414">
        <w:rPr>
          <w:rFonts w:ascii="Arial" w:hAnsi="Arial" w:cs="Arial"/>
          <w:sz w:val="22"/>
          <w:szCs w:val="22"/>
        </w:rPr>
        <w:t xml:space="preserve"> elicited </w:t>
      </w:r>
      <w:proofErr w:type="spellStart"/>
      <w:r w:rsidR="00E94414" w:rsidRPr="00E94414">
        <w:rPr>
          <w:rFonts w:ascii="Arial" w:hAnsi="Arial" w:cs="Arial"/>
          <w:sz w:val="22"/>
          <w:szCs w:val="22"/>
        </w:rPr>
        <w:t>tumour</w:t>
      </w:r>
      <w:proofErr w:type="spellEnd"/>
      <w:r w:rsidR="00E94414" w:rsidRPr="00E94414">
        <w:rPr>
          <w:rFonts w:ascii="Arial" w:hAnsi="Arial" w:cs="Arial"/>
          <w:sz w:val="22"/>
          <w:szCs w:val="22"/>
        </w:rPr>
        <w:t xml:space="preserve"> shrinkage and prolonged survival in mice bearing </w:t>
      </w:r>
      <w:proofErr w:type="spellStart"/>
      <w:r w:rsidR="00E94414" w:rsidRPr="00E94414">
        <w:rPr>
          <w:rFonts w:ascii="Arial" w:hAnsi="Arial" w:cs="Arial"/>
          <w:sz w:val="22"/>
          <w:szCs w:val="22"/>
        </w:rPr>
        <w:t>tumours</w:t>
      </w:r>
      <w:proofErr w:type="spellEnd"/>
      <w:r w:rsidR="00E94414" w:rsidRPr="00E94414">
        <w:rPr>
          <w:rFonts w:ascii="Arial" w:hAnsi="Arial" w:cs="Arial"/>
          <w:sz w:val="22"/>
          <w:szCs w:val="22"/>
        </w:rPr>
        <w:t xml:space="preserve"> expressing</w:t>
      </w:r>
      <w:r w:rsidR="002F711C">
        <w:rPr>
          <w:rFonts w:ascii="Arial" w:hAnsi="Arial" w:cs="Arial"/>
          <w:sz w:val="22"/>
          <w:szCs w:val="22"/>
        </w:rPr>
        <w:t xml:space="preserve"> native or T315I mutant BCR-ABL. </w:t>
      </w:r>
      <w:r w:rsidRPr="00D10ED2">
        <w:rPr>
          <w:rFonts w:ascii="Arial" w:hAnsi="Arial" w:cs="Arial"/>
          <w:sz w:val="22"/>
          <w:szCs w:val="22"/>
        </w:rPr>
        <w:t>In preclinical studies, 40 </w:t>
      </w:r>
      <w:proofErr w:type="spellStart"/>
      <w:r w:rsidRPr="00D10ED2">
        <w:rPr>
          <w:rFonts w:ascii="Arial" w:hAnsi="Arial" w:cs="Arial"/>
          <w:sz w:val="22"/>
          <w:szCs w:val="22"/>
        </w:rPr>
        <w:t>nM</w:t>
      </w:r>
      <w:proofErr w:type="spellEnd"/>
      <w:r w:rsidRPr="00D10ED2">
        <w:rPr>
          <w:rFonts w:ascii="Arial" w:hAnsi="Arial" w:cs="Arial"/>
          <w:sz w:val="22"/>
          <w:szCs w:val="22"/>
        </w:rPr>
        <w:t xml:space="preserve"> was determined as the concentration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sufficient to inhibit viability of cells expressing all tested BCR-ABL mutants by &gt;50% (including T315I). </w:t>
      </w:r>
    </w:p>
    <w:p w14:paraId="5BFEEB42" w14:textId="77777777" w:rsidR="00C73383" w:rsidRPr="00D10ED2" w:rsidRDefault="00C73383" w:rsidP="00E70B03">
      <w:pPr>
        <w:rPr>
          <w:rFonts w:ascii="Arial" w:hAnsi="Arial" w:cs="Arial"/>
          <w:sz w:val="22"/>
          <w:szCs w:val="22"/>
        </w:rPr>
      </w:pPr>
    </w:p>
    <w:p w14:paraId="156B4008" w14:textId="4E843F1C" w:rsidR="00DC00CC" w:rsidRPr="00DC00CC" w:rsidRDefault="00C73383" w:rsidP="00DC00CC">
      <w:pPr>
        <w:rPr>
          <w:rFonts w:ascii="Arial" w:hAnsi="Arial" w:cs="Arial"/>
          <w:sz w:val="22"/>
          <w:szCs w:val="22"/>
        </w:rPr>
      </w:pPr>
      <w:r w:rsidRPr="00D10ED2">
        <w:rPr>
          <w:rFonts w:ascii="Arial" w:hAnsi="Arial" w:cs="Arial"/>
          <w:sz w:val="22"/>
          <w:szCs w:val="22"/>
        </w:rPr>
        <w:t>In the phase 1 study, plasma steady</w:t>
      </w:r>
      <w:r w:rsidR="0098645D" w:rsidRPr="00D10ED2">
        <w:rPr>
          <w:rFonts w:ascii="Arial" w:hAnsi="Arial" w:cs="Arial"/>
          <w:sz w:val="22"/>
          <w:szCs w:val="22"/>
        </w:rPr>
        <w:t>-</w:t>
      </w:r>
      <w:r w:rsidRPr="00D10ED2">
        <w:rPr>
          <w:rFonts w:ascii="Arial" w:hAnsi="Arial" w:cs="Arial"/>
          <w:sz w:val="22"/>
          <w:szCs w:val="22"/>
        </w:rPr>
        <w:t xml:space="preserve">state trough concentrations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typically exceeded</w:t>
      </w:r>
      <w:r w:rsidR="00C820C1" w:rsidRPr="00D10ED2">
        <w:rPr>
          <w:rFonts w:ascii="Arial" w:hAnsi="Arial" w:cs="Arial"/>
          <w:sz w:val="22"/>
          <w:szCs w:val="22"/>
        </w:rPr>
        <w:t xml:space="preserve"> </w:t>
      </w:r>
      <w:r w:rsidRPr="00D10ED2">
        <w:rPr>
          <w:rFonts w:ascii="Arial" w:hAnsi="Arial" w:cs="Arial"/>
          <w:sz w:val="22"/>
          <w:szCs w:val="22"/>
        </w:rPr>
        <w:t xml:space="preserve">21 ng/mL (40 </w:t>
      </w:r>
      <w:proofErr w:type="spellStart"/>
      <w:r w:rsidRPr="00D10ED2">
        <w:rPr>
          <w:rFonts w:ascii="Arial" w:hAnsi="Arial" w:cs="Arial"/>
          <w:sz w:val="22"/>
          <w:szCs w:val="22"/>
        </w:rPr>
        <w:t>nM</w:t>
      </w:r>
      <w:proofErr w:type="spellEnd"/>
      <w:r w:rsidRPr="00D10ED2">
        <w:rPr>
          <w:rFonts w:ascii="Arial" w:hAnsi="Arial" w:cs="Arial"/>
          <w:sz w:val="22"/>
          <w:szCs w:val="22"/>
        </w:rPr>
        <w:t xml:space="preserve">) at doses of 30 mg or greater. </w:t>
      </w:r>
      <w:r w:rsidR="00E70B03" w:rsidRPr="00D10ED2">
        <w:rPr>
          <w:rFonts w:ascii="Arial" w:hAnsi="Arial" w:cs="Arial"/>
          <w:sz w:val="22"/>
          <w:szCs w:val="22"/>
        </w:rPr>
        <w:t xml:space="preserve"> At doses of 15 mg or greater, 32 of 34 patients (94%) demonstrated a ≥50% reduction of CRKL phosphorylation, a biomarker of BCR-ABL inhibition, in peripheral blood mononuclear cells. </w:t>
      </w:r>
      <w:r w:rsidR="00DC00CC" w:rsidRPr="00DC00CC">
        <w:rPr>
          <w:rFonts w:ascii="Arial" w:hAnsi="Arial" w:cs="Arial"/>
          <w:sz w:val="22"/>
          <w:szCs w:val="22"/>
        </w:rPr>
        <w:t>The clinical utility of CRKL phosphorylation as a biomarker has not been established.</w:t>
      </w:r>
    </w:p>
    <w:p w14:paraId="6A3023A3" w14:textId="77777777" w:rsidR="00E70B03" w:rsidRPr="00D10ED2" w:rsidRDefault="00E70B03" w:rsidP="00E70B03">
      <w:pPr>
        <w:rPr>
          <w:rFonts w:ascii="Arial" w:hAnsi="Arial" w:cs="Arial"/>
          <w:sz w:val="22"/>
          <w:szCs w:val="22"/>
        </w:rPr>
      </w:pPr>
    </w:p>
    <w:p w14:paraId="07EB816D" w14:textId="77777777" w:rsidR="00757ADF" w:rsidRPr="00D10ED2" w:rsidRDefault="00757ADF" w:rsidP="00757ADF">
      <w:pPr>
        <w:rPr>
          <w:rFonts w:ascii="Arial" w:hAnsi="Arial" w:cs="Arial"/>
          <w:sz w:val="22"/>
          <w:szCs w:val="22"/>
        </w:rPr>
      </w:pPr>
      <w:r w:rsidRPr="00D10ED2">
        <w:rPr>
          <w:rFonts w:ascii="Arial" w:hAnsi="Arial" w:cs="Arial"/>
          <w:sz w:val="22"/>
          <w:szCs w:val="22"/>
          <w:u w:val="single"/>
        </w:rPr>
        <w:t>Cardiac electrophysiology</w:t>
      </w:r>
    </w:p>
    <w:p w14:paraId="70D0DFC7" w14:textId="15CA2921" w:rsidR="00757ADF" w:rsidRPr="00D10ED2" w:rsidRDefault="00757ADF" w:rsidP="00CC4AFB">
      <w:pPr>
        <w:rPr>
          <w:rFonts w:ascii="Arial" w:hAnsi="Arial" w:cs="Arial"/>
          <w:sz w:val="22"/>
          <w:szCs w:val="22"/>
        </w:rPr>
      </w:pPr>
      <w:r w:rsidRPr="00D10ED2">
        <w:rPr>
          <w:rFonts w:ascii="Arial" w:hAnsi="Arial" w:cs="Arial"/>
          <w:sz w:val="22"/>
          <w:szCs w:val="22"/>
        </w:rPr>
        <w:t xml:space="preserve">The QT interval prolongation potential of ICLUSIG was assessed in 39 </w:t>
      </w:r>
      <w:proofErr w:type="spellStart"/>
      <w:r w:rsidRPr="00D10ED2">
        <w:rPr>
          <w:rFonts w:ascii="Arial" w:hAnsi="Arial" w:cs="Arial"/>
          <w:sz w:val="22"/>
          <w:szCs w:val="22"/>
        </w:rPr>
        <w:t>leukaemia</w:t>
      </w:r>
      <w:proofErr w:type="spellEnd"/>
      <w:r w:rsidRPr="00D10ED2">
        <w:rPr>
          <w:rFonts w:ascii="Arial" w:hAnsi="Arial" w:cs="Arial"/>
          <w:sz w:val="22"/>
          <w:szCs w:val="22"/>
        </w:rPr>
        <w:t xml:space="preserve"> patients who received 30</w:t>
      </w:r>
      <w:r w:rsidRPr="00D10ED2">
        <w:rPr>
          <w:rFonts w:ascii="Arial" w:hAnsi="Arial" w:cs="Arial"/>
        </w:rPr>
        <w:t> </w:t>
      </w:r>
      <w:r w:rsidRPr="00D10ED2">
        <w:rPr>
          <w:rFonts w:ascii="Arial" w:hAnsi="Arial" w:cs="Arial"/>
          <w:sz w:val="22"/>
          <w:szCs w:val="22"/>
        </w:rPr>
        <w:t>mg, 45</w:t>
      </w:r>
      <w:r w:rsidRPr="00D10ED2">
        <w:rPr>
          <w:rFonts w:ascii="Arial" w:hAnsi="Arial" w:cs="Arial"/>
        </w:rPr>
        <w:t> </w:t>
      </w:r>
      <w:r w:rsidRPr="00D10ED2">
        <w:rPr>
          <w:rFonts w:ascii="Arial" w:hAnsi="Arial" w:cs="Arial"/>
          <w:sz w:val="22"/>
          <w:szCs w:val="22"/>
        </w:rPr>
        <w:t>mg, or 60</w:t>
      </w:r>
      <w:r w:rsidRPr="00D10ED2">
        <w:rPr>
          <w:rFonts w:ascii="Arial" w:hAnsi="Arial" w:cs="Arial"/>
        </w:rPr>
        <w:t> </w:t>
      </w:r>
      <w:r w:rsidRPr="00D10ED2">
        <w:rPr>
          <w:rFonts w:ascii="Arial" w:hAnsi="Arial" w:cs="Arial"/>
          <w:sz w:val="22"/>
          <w:szCs w:val="22"/>
        </w:rPr>
        <w:t xml:space="preserve">mg ICLUSIG once daily. Serial ECGs in triplicate were collected at baseline and at steady state to evaluate the effect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on QT intervals. No clinically significant changes in the mean </w:t>
      </w:r>
      <w:proofErr w:type="spellStart"/>
      <w:r w:rsidRPr="00D10ED2">
        <w:rPr>
          <w:rFonts w:ascii="Arial" w:hAnsi="Arial" w:cs="Arial"/>
          <w:sz w:val="22"/>
          <w:szCs w:val="22"/>
        </w:rPr>
        <w:t>QTc</w:t>
      </w:r>
      <w:proofErr w:type="spellEnd"/>
      <w:r w:rsidRPr="00D10ED2">
        <w:rPr>
          <w:rFonts w:ascii="Arial" w:hAnsi="Arial" w:cs="Arial"/>
          <w:sz w:val="22"/>
          <w:szCs w:val="22"/>
        </w:rPr>
        <w:t xml:space="preserve"> interval (i.e., &gt; 20 </w:t>
      </w:r>
      <w:proofErr w:type="spellStart"/>
      <w:r w:rsidRPr="00D10ED2">
        <w:rPr>
          <w:rFonts w:ascii="Arial" w:hAnsi="Arial" w:cs="Arial"/>
          <w:sz w:val="22"/>
          <w:szCs w:val="22"/>
        </w:rPr>
        <w:t>ms</w:t>
      </w:r>
      <w:proofErr w:type="spellEnd"/>
      <w:r w:rsidRPr="00D10ED2">
        <w:rPr>
          <w:rFonts w:ascii="Arial" w:hAnsi="Arial" w:cs="Arial"/>
          <w:sz w:val="22"/>
          <w:szCs w:val="22"/>
        </w:rPr>
        <w:t>) from baseline were detected in the study. In addition, the pharmacokinetic-</w:t>
      </w:r>
      <w:proofErr w:type="spellStart"/>
      <w:r w:rsidRPr="00D10ED2">
        <w:rPr>
          <w:rFonts w:ascii="Arial" w:hAnsi="Arial" w:cs="Arial"/>
          <w:sz w:val="22"/>
          <w:szCs w:val="22"/>
        </w:rPr>
        <w:t>pharmacodynamic</w:t>
      </w:r>
      <w:proofErr w:type="spellEnd"/>
      <w:r w:rsidRPr="00D10ED2">
        <w:rPr>
          <w:rFonts w:ascii="Arial" w:hAnsi="Arial" w:cs="Arial"/>
          <w:sz w:val="22"/>
          <w:szCs w:val="22"/>
        </w:rPr>
        <w:t xml:space="preserve"> models show no exposure-effect relationship, with an estimated </w:t>
      </w:r>
      <w:proofErr w:type="spellStart"/>
      <w:r w:rsidRPr="00D10ED2">
        <w:rPr>
          <w:rFonts w:ascii="Arial" w:hAnsi="Arial" w:cs="Arial"/>
          <w:sz w:val="22"/>
          <w:szCs w:val="22"/>
        </w:rPr>
        <w:t>QTcF</w:t>
      </w:r>
      <w:proofErr w:type="spellEnd"/>
      <w:r w:rsidRPr="00D10ED2">
        <w:rPr>
          <w:rFonts w:ascii="Arial" w:hAnsi="Arial" w:cs="Arial"/>
          <w:sz w:val="22"/>
          <w:szCs w:val="22"/>
        </w:rPr>
        <w:t xml:space="preserve"> mean change of –6.4 </w:t>
      </w:r>
      <w:proofErr w:type="spellStart"/>
      <w:r w:rsidRPr="00D10ED2">
        <w:rPr>
          <w:rFonts w:ascii="Arial" w:hAnsi="Arial" w:cs="Arial"/>
          <w:sz w:val="22"/>
          <w:szCs w:val="22"/>
        </w:rPr>
        <w:t>ms</w:t>
      </w:r>
      <w:proofErr w:type="spellEnd"/>
      <w:r w:rsidRPr="00D10ED2">
        <w:rPr>
          <w:rFonts w:ascii="Arial" w:hAnsi="Arial" w:cs="Arial"/>
          <w:sz w:val="22"/>
          <w:szCs w:val="22"/>
        </w:rPr>
        <w:t xml:space="preserve"> (upper confidence interval –0.9 </w:t>
      </w:r>
      <w:proofErr w:type="spellStart"/>
      <w:r w:rsidRPr="00D10ED2">
        <w:rPr>
          <w:rFonts w:ascii="Arial" w:hAnsi="Arial" w:cs="Arial"/>
          <w:sz w:val="22"/>
          <w:szCs w:val="22"/>
        </w:rPr>
        <w:t>ms</w:t>
      </w:r>
      <w:proofErr w:type="spellEnd"/>
      <w:r w:rsidRPr="00D10ED2">
        <w:rPr>
          <w:rFonts w:ascii="Arial" w:hAnsi="Arial" w:cs="Arial"/>
          <w:sz w:val="22"/>
          <w:szCs w:val="22"/>
        </w:rPr>
        <w:t xml:space="preserve">) at </w:t>
      </w:r>
      <w:proofErr w:type="spellStart"/>
      <w:r w:rsidRPr="00D10ED2">
        <w:rPr>
          <w:rFonts w:ascii="Arial" w:hAnsi="Arial" w:cs="Arial"/>
          <w:sz w:val="22"/>
          <w:szCs w:val="22"/>
        </w:rPr>
        <w:t>C</w:t>
      </w:r>
      <w:r w:rsidRPr="00D10ED2">
        <w:rPr>
          <w:rFonts w:ascii="Arial" w:hAnsi="Arial" w:cs="Arial"/>
          <w:sz w:val="22"/>
          <w:szCs w:val="22"/>
          <w:vertAlign w:val="subscript"/>
        </w:rPr>
        <w:t>max</w:t>
      </w:r>
      <w:proofErr w:type="spellEnd"/>
      <w:r w:rsidRPr="00D10ED2">
        <w:rPr>
          <w:rFonts w:ascii="Arial" w:hAnsi="Arial" w:cs="Arial"/>
          <w:sz w:val="22"/>
          <w:szCs w:val="22"/>
        </w:rPr>
        <w:t xml:space="preserve"> for the 60</w:t>
      </w:r>
      <w:r w:rsidRPr="00D10ED2">
        <w:rPr>
          <w:rFonts w:ascii="Arial" w:hAnsi="Arial" w:cs="Arial"/>
        </w:rPr>
        <w:t> </w:t>
      </w:r>
      <w:r w:rsidRPr="00D10ED2">
        <w:rPr>
          <w:rFonts w:ascii="Arial" w:hAnsi="Arial" w:cs="Arial"/>
          <w:sz w:val="22"/>
          <w:szCs w:val="22"/>
        </w:rPr>
        <w:t xml:space="preserve">mg group. </w:t>
      </w:r>
      <w:r w:rsidR="00CC4AFB" w:rsidRPr="00CC4AFB">
        <w:rPr>
          <w:rFonts w:ascii="Arial" w:hAnsi="Arial" w:cs="Arial"/>
          <w:sz w:val="22"/>
          <w:szCs w:val="22"/>
        </w:rPr>
        <w:t>However, due to limitations in the design of th</w:t>
      </w:r>
      <w:r w:rsidR="00CC4AFB">
        <w:rPr>
          <w:rFonts w:ascii="Arial" w:hAnsi="Arial" w:cs="Arial"/>
          <w:sz w:val="22"/>
          <w:szCs w:val="22"/>
        </w:rPr>
        <w:t xml:space="preserve">is study, the possibility of QT prolongation </w:t>
      </w:r>
      <w:r w:rsidR="00CC4AFB" w:rsidRPr="00CC4AFB">
        <w:rPr>
          <w:rFonts w:ascii="Arial" w:hAnsi="Arial" w:cs="Arial"/>
          <w:sz w:val="22"/>
          <w:szCs w:val="22"/>
        </w:rPr>
        <w:t xml:space="preserve">due to </w:t>
      </w:r>
      <w:proofErr w:type="spellStart"/>
      <w:r w:rsidR="00CC4AFB" w:rsidRPr="00CC4AFB">
        <w:rPr>
          <w:rFonts w:ascii="Arial" w:hAnsi="Arial" w:cs="Arial"/>
          <w:sz w:val="22"/>
          <w:szCs w:val="22"/>
        </w:rPr>
        <w:t>po</w:t>
      </w:r>
      <w:r w:rsidR="008605A2">
        <w:rPr>
          <w:rFonts w:ascii="Arial" w:hAnsi="Arial" w:cs="Arial"/>
          <w:sz w:val="22"/>
          <w:szCs w:val="22"/>
        </w:rPr>
        <w:t>natinib</w:t>
      </w:r>
      <w:proofErr w:type="spellEnd"/>
      <w:r w:rsidR="008605A2">
        <w:rPr>
          <w:rFonts w:ascii="Arial" w:hAnsi="Arial" w:cs="Arial"/>
          <w:sz w:val="22"/>
          <w:szCs w:val="22"/>
        </w:rPr>
        <w:t xml:space="preserve"> has not been excluded (</w:t>
      </w:r>
      <w:r w:rsidR="008605A2" w:rsidRPr="008605A2">
        <w:rPr>
          <w:rFonts w:ascii="Arial" w:hAnsi="Arial" w:cs="Arial"/>
          <w:b/>
          <w:sz w:val="22"/>
          <w:szCs w:val="22"/>
        </w:rPr>
        <w:t>s</w:t>
      </w:r>
      <w:r w:rsidR="00CC4AFB" w:rsidRPr="008605A2">
        <w:rPr>
          <w:rFonts w:ascii="Arial" w:hAnsi="Arial" w:cs="Arial"/>
          <w:b/>
          <w:sz w:val="22"/>
          <w:szCs w:val="22"/>
        </w:rPr>
        <w:t>ee</w:t>
      </w:r>
      <w:r w:rsidR="00CC4AFB" w:rsidRPr="00CC4AFB">
        <w:rPr>
          <w:rFonts w:ascii="Arial" w:hAnsi="Arial" w:cs="Arial"/>
          <w:sz w:val="22"/>
          <w:szCs w:val="22"/>
        </w:rPr>
        <w:t xml:space="preserve"> </w:t>
      </w:r>
      <w:r w:rsidR="00CC4AFB" w:rsidRPr="008605A2">
        <w:rPr>
          <w:rFonts w:ascii="Arial" w:hAnsi="Arial" w:cs="Arial"/>
          <w:b/>
          <w:sz w:val="22"/>
          <w:szCs w:val="22"/>
        </w:rPr>
        <w:t>Precautions</w:t>
      </w:r>
      <w:r w:rsidR="00CC4AFB" w:rsidRPr="00CC4AFB">
        <w:rPr>
          <w:rFonts w:ascii="Arial" w:hAnsi="Arial" w:cs="Arial"/>
          <w:sz w:val="22"/>
          <w:szCs w:val="22"/>
        </w:rPr>
        <w:t>)</w:t>
      </w:r>
      <w:r w:rsidR="00CC4AFB">
        <w:rPr>
          <w:rFonts w:ascii="Arial" w:hAnsi="Arial" w:cs="Arial"/>
          <w:sz w:val="22"/>
          <w:szCs w:val="22"/>
        </w:rPr>
        <w:t>.</w:t>
      </w:r>
    </w:p>
    <w:p w14:paraId="53D403E6" w14:textId="77777777" w:rsidR="00E70B03" w:rsidRPr="00D10ED2" w:rsidRDefault="00E70B03" w:rsidP="00E70B03">
      <w:pPr>
        <w:pStyle w:val="Heading2"/>
        <w:numPr>
          <w:ilvl w:val="0"/>
          <w:numId w:val="0"/>
        </w:numPr>
        <w:spacing w:before="0" w:after="0"/>
        <w:rPr>
          <w:rFonts w:ascii="Arial" w:hAnsi="Arial" w:cs="Arial"/>
          <w:sz w:val="22"/>
          <w:szCs w:val="22"/>
        </w:rPr>
      </w:pPr>
      <w:r w:rsidRPr="00D10ED2">
        <w:rPr>
          <w:rFonts w:ascii="Arial" w:hAnsi="Arial" w:cs="Arial"/>
          <w:sz w:val="22"/>
          <w:szCs w:val="22"/>
        </w:rPr>
        <w:lastRenderedPageBreak/>
        <w:t>Pharmacokinetic properties</w:t>
      </w:r>
    </w:p>
    <w:p w14:paraId="07A666AD" w14:textId="77777777" w:rsidR="00E70B03" w:rsidRPr="00D10ED2" w:rsidRDefault="00E70B03" w:rsidP="00E70B03">
      <w:pPr>
        <w:keepNext/>
        <w:keepLines/>
        <w:rPr>
          <w:rFonts w:ascii="Arial" w:hAnsi="Arial" w:cs="Arial"/>
          <w:sz w:val="22"/>
          <w:szCs w:val="22"/>
          <w:u w:val="single"/>
        </w:rPr>
      </w:pPr>
    </w:p>
    <w:p w14:paraId="15BD9F57" w14:textId="77777777" w:rsidR="00E70B03" w:rsidRPr="00D10ED2" w:rsidRDefault="00E70B03" w:rsidP="00E70B03">
      <w:pPr>
        <w:keepNext/>
        <w:keepLines/>
        <w:rPr>
          <w:rFonts w:ascii="Arial" w:hAnsi="Arial" w:cs="Arial"/>
          <w:sz w:val="22"/>
          <w:szCs w:val="22"/>
          <w:u w:val="single"/>
        </w:rPr>
      </w:pPr>
      <w:r w:rsidRPr="00D10ED2">
        <w:rPr>
          <w:rFonts w:ascii="Arial" w:hAnsi="Arial" w:cs="Arial"/>
          <w:sz w:val="22"/>
          <w:szCs w:val="22"/>
          <w:u w:val="single"/>
        </w:rPr>
        <w:t>Absorption</w:t>
      </w:r>
    </w:p>
    <w:p w14:paraId="269691B1" w14:textId="6706E9CE" w:rsidR="00E70B03" w:rsidRPr="00D10ED2" w:rsidRDefault="00E70B03" w:rsidP="00E70B03">
      <w:pPr>
        <w:keepNext/>
        <w:keepLines/>
        <w:rPr>
          <w:rFonts w:ascii="Arial" w:hAnsi="Arial" w:cs="Arial"/>
          <w:sz w:val="22"/>
          <w:szCs w:val="22"/>
        </w:rPr>
      </w:pPr>
      <w:r w:rsidRPr="00D10ED2">
        <w:rPr>
          <w:rFonts w:ascii="Arial" w:hAnsi="Arial" w:cs="Arial"/>
          <w:sz w:val="22"/>
          <w:szCs w:val="22"/>
        </w:rPr>
        <w:t xml:space="preserve">Peak concentrations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are observed approximately 4 hours after oral administration. Within the range of clinically relevant doses evaluated in patients (15 mg to 60 mg),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exhibited dose proportional increases in both </w:t>
      </w:r>
      <w:proofErr w:type="spellStart"/>
      <w:r w:rsidRPr="00D10ED2">
        <w:rPr>
          <w:rFonts w:ascii="Arial" w:hAnsi="Arial" w:cs="Arial"/>
          <w:sz w:val="22"/>
          <w:szCs w:val="22"/>
        </w:rPr>
        <w:t>C</w:t>
      </w:r>
      <w:r w:rsidRPr="00D10ED2">
        <w:rPr>
          <w:rFonts w:ascii="Arial" w:hAnsi="Arial" w:cs="Arial"/>
          <w:sz w:val="22"/>
          <w:szCs w:val="22"/>
          <w:vertAlign w:val="subscript"/>
        </w:rPr>
        <w:t>max</w:t>
      </w:r>
      <w:proofErr w:type="spellEnd"/>
      <w:r w:rsidRPr="00D10ED2">
        <w:rPr>
          <w:rFonts w:ascii="Arial" w:hAnsi="Arial" w:cs="Arial"/>
          <w:sz w:val="22"/>
          <w:szCs w:val="22"/>
        </w:rPr>
        <w:t xml:space="preserve"> and AUC. The geometric mean (</w:t>
      </w:r>
      <w:proofErr w:type="gramStart"/>
      <w:r w:rsidRPr="00D10ED2">
        <w:rPr>
          <w:rFonts w:ascii="Arial" w:hAnsi="Arial" w:cs="Arial"/>
          <w:sz w:val="22"/>
          <w:szCs w:val="22"/>
        </w:rPr>
        <w:t>CV%</w:t>
      </w:r>
      <w:proofErr w:type="gramEnd"/>
      <w:r w:rsidRPr="00D10ED2">
        <w:rPr>
          <w:rFonts w:ascii="Arial" w:hAnsi="Arial" w:cs="Arial"/>
          <w:sz w:val="22"/>
          <w:szCs w:val="22"/>
        </w:rPr>
        <w:t xml:space="preserve">) </w:t>
      </w:r>
      <w:proofErr w:type="spellStart"/>
      <w:r w:rsidRPr="00D10ED2">
        <w:rPr>
          <w:rFonts w:ascii="Arial" w:hAnsi="Arial" w:cs="Arial"/>
          <w:sz w:val="22"/>
          <w:szCs w:val="22"/>
        </w:rPr>
        <w:t>C</w:t>
      </w:r>
      <w:r w:rsidRPr="00D10ED2">
        <w:rPr>
          <w:rFonts w:ascii="Arial" w:hAnsi="Arial" w:cs="Arial"/>
          <w:sz w:val="22"/>
          <w:szCs w:val="22"/>
          <w:vertAlign w:val="subscript"/>
        </w:rPr>
        <w:t>max</w:t>
      </w:r>
      <w:proofErr w:type="spellEnd"/>
      <w:r w:rsidRPr="00D10ED2">
        <w:rPr>
          <w:rFonts w:ascii="Arial" w:hAnsi="Arial" w:cs="Arial"/>
          <w:sz w:val="22"/>
          <w:szCs w:val="22"/>
        </w:rPr>
        <w:t xml:space="preserve"> and AUC</w:t>
      </w:r>
      <w:r w:rsidRPr="00D10ED2">
        <w:rPr>
          <w:rFonts w:ascii="Arial" w:hAnsi="Arial" w:cs="Arial"/>
          <w:sz w:val="22"/>
          <w:szCs w:val="22"/>
          <w:vertAlign w:val="subscript"/>
        </w:rPr>
        <w:t>(0-τ)</w:t>
      </w:r>
      <w:r w:rsidRPr="00D10ED2">
        <w:rPr>
          <w:rFonts w:ascii="Arial" w:hAnsi="Arial" w:cs="Arial"/>
          <w:sz w:val="22"/>
          <w:szCs w:val="22"/>
        </w:rPr>
        <w:t xml:space="preserve"> exposures achieved for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45 mg daily at steady state were 77 ng/mL (50%) and 1296 </w:t>
      </w:r>
      <w:proofErr w:type="spellStart"/>
      <w:r w:rsidRPr="00D10ED2">
        <w:rPr>
          <w:rFonts w:ascii="Arial" w:hAnsi="Arial" w:cs="Arial"/>
          <w:sz w:val="22"/>
          <w:szCs w:val="22"/>
        </w:rPr>
        <w:t>ng•hr</w:t>
      </w:r>
      <w:proofErr w:type="spellEnd"/>
      <w:r w:rsidRPr="00D10ED2">
        <w:rPr>
          <w:rFonts w:ascii="Arial" w:hAnsi="Arial" w:cs="Arial"/>
          <w:sz w:val="22"/>
          <w:szCs w:val="22"/>
        </w:rPr>
        <w:t xml:space="preserve">/mL (48%), respectively. </w:t>
      </w:r>
      <w:r w:rsidR="0062642D" w:rsidRPr="00CC4AFB">
        <w:rPr>
          <w:rFonts w:ascii="Arial" w:hAnsi="Arial" w:cs="Arial"/>
          <w:sz w:val="22"/>
          <w:szCs w:val="22"/>
        </w:rPr>
        <w:t xml:space="preserve">The absolute bioavailability of </w:t>
      </w:r>
      <w:proofErr w:type="spellStart"/>
      <w:r w:rsidR="0062642D">
        <w:rPr>
          <w:rFonts w:ascii="Arial" w:hAnsi="Arial" w:cs="Arial"/>
          <w:sz w:val="22"/>
          <w:szCs w:val="22"/>
        </w:rPr>
        <w:t>ponatinib</w:t>
      </w:r>
      <w:proofErr w:type="spellEnd"/>
      <w:r w:rsidR="0062642D">
        <w:rPr>
          <w:rFonts w:ascii="Arial" w:hAnsi="Arial" w:cs="Arial"/>
          <w:sz w:val="22"/>
          <w:szCs w:val="22"/>
        </w:rPr>
        <w:t xml:space="preserve"> </w:t>
      </w:r>
      <w:r w:rsidR="0062642D" w:rsidRPr="00CC4AFB">
        <w:rPr>
          <w:rFonts w:ascii="Arial" w:hAnsi="Arial" w:cs="Arial"/>
          <w:sz w:val="22"/>
          <w:szCs w:val="22"/>
        </w:rPr>
        <w:t>has not been determined.</w:t>
      </w:r>
      <w:r w:rsidR="0062642D">
        <w:rPr>
          <w:rFonts w:ascii="Arial" w:hAnsi="Arial" w:cs="Arial"/>
          <w:sz w:val="22"/>
          <w:szCs w:val="22"/>
        </w:rPr>
        <w:t xml:space="preserve"> </w:t>
      </w:r>
      <w:r w:rsidRPr="00D10ED2">
        <w:rPr>
          <w:rFonts w:ascii="Arial" w:hAnsi="Arial" w:cs="Arial"/>
          <w:sz w:val="22"/>
          <w:szCs w:val="22"/>
        </w:rPr>
        <w:t xml:space="preserve">Following either a high-fat and low-fat meal, plasma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exposures (</w:t>
      </w:r>
      <w:proofErr w:type="spellStart"/>
      <w:r w:rsidRPr="00D10ED2">
        <w:rPr>
          <w:rFonts w:ascii="Arial" w:hAnsi="Arial" w:cs="Arial"/>
          <w:sz w:val="22"/>
          <w:szCs w:val="22"/>
        </w:rPr>
        <w:t>C</w:t>
      </w:r>
      <w:r w:rsidRPr="00D10ED2">
        <w:rPr>
          <w:rFonts w:ascii="Arial" w:hAnsi="Arial" w:cs="Arial"/>
          <w:sz w:val="22"/>
          <w:szCs w:val="22"/>
          <w:vertAlign w:val="subscript"/>
        </w:rPr>
        <w:t>max</w:t>
      </w:r>
      <w:proofErr w:type="spellEnd"/>
      <w:r w:rsidRPr="00D10ED2">
        <w:rPr>
          <w:rFonts w:ascii="Arial" w:hAnsi="Arial" w:cs="Arial"/>
          <w:sz w:val="22"/>
          <w:szCs w:val="22"/>
        </w:rPr>
        <w:t xml:space="preserve"> and AUC) were not different versus fasting conditions. </w:t>
      </w:r>
      <w:r w:rsidR="0011623F" w:rsidRPr="00D10ED2">
        <w:rPr>
          <w:rFonts w:ascii="Arial" w:hAnsi="Arial" w:cs="Arial"/>
          <w:sz w:val="22"/>
          <w:szCs w:val="22"/>
        </w:rPr>
        <w:t>ICLUSIG</w:t>
      </w:r>
      <w:r w:rsidRPr="00D10ED2">
        <w:rPr>
          <w:rFonts w:ascii="Arial" w:hAnsi="Arial" w:cs="Arial"/>
          <w:sz w:val="22"/>
          <w:szCs w:val="22"/>
        </w:rPr>
        <w:t xml:space="preserve"> may be administered with or without food.</w:t>
      </w:r>
    </w:p>
    <w:p w14:paraId="795FF8E8" w14:textId="77777777" w:rsidR="00E70B03" w:rsidRPr="00D10ED2" w:rsidRDefault="00E70B03" w:rsidP="00E70B03">
      <w:pPr>
        <w:keepNext/>
        <w:keepLines/>
        <w:rPr>
          <w:rFonts w:ascii="Arial" w:hAnsi="Arial" w:cs="Arial"/>
          <w:sz w:val="22"/>
          <w:szCs w:val="22"/>
        </w:rPr>
      </w:pPr>
    </w:p>
    <w:p w14:paraId="71DCD2AA" w14:textId="77777777" w:rsidR="00E70B03" w:rsidRPr="00D10ED2" w:rsidRDefault="00E70B03" w:rsidP="00E70B03">
      <w:pPr>
        <w:rPr>
          <w:rFonts w:ascii="Arial" w:hAnsi="Arial" w:cs="Arial"/>
          <w:sz w:val="22"/>
          <w:szCs w:val="22"/>
          <w:u w:val="single"/>
        </w:rPr>
      </w:pPr>
      <w:r w:rsidRPr="00D10ED2">
        <w:rPr>
          <w:rFonts w:ascii="Arial" w:hAnsi="Arial" w:cs="Arial"/>
          <w:sz w:val="22"/>
          <w:szCs w:val="22"/>
          <w:u w:val="single"/>
        </w:rPr>
        <w:t>Distribution</w:t>
      </w:r>
    </w:p>
    <w:p w14:paraId="3F8AC3A9" w14:textId="4EF37E86" w:rsidR="00E70B03" w:rsidRPr="00D10ED2" w:rsidRDefault="00E70B03" w:rsidP="007F180D">
      <w:pPr>
        <w:rPr>
          <w:rFonts w:ascii="Arial" w:hAnsi="Arial" w:cs="Arial"/>
          <w:sz w:val="22"/>
          <w:szCs w:val="22"/>
        </w:rPr>
      </w:pP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highly bound (&gt;99%) to plasma proteins </w:t>
      </w:r>
      <w:r w:rsidRPr="00D10ED2">
        <w:rPr>
          <w:rFonts w:ascii="Arial" w:hAnsi="Arial" w:cs="Arial"/>
          <w:i/>
          <w:sz w:val="22"/>
          <w:szCs w:val="22"/>
        </w:rPr>
        <w:t>in vitro</w:t>
      </w:r>
      <w:r w:rsidRPr="00D10ED2">
        <w:rPr>
          <w:rFonts w:ascii="Arial" w:hAnsi="Arial" w:cs="Arial"/>
          <w:sz w:val="22"/>
          <w:szCs w:val="22"/>
        </w:rPr>
        <w:t xml:space="preserve">. The blood/plasma </w:t>
      </w:r>
      <w:r w:rsidR="0098645D" w:rsidRPr="00D10ED2">
        <w:rPr>
          <w:rFonts w:ascii="Arial" w:hAnsi="Arial" w:cs="Arial"/>
          <w:sz w:val="22"/>
          <w:szCs w:val="22"/>
        </w:rPr>
        <w:t>partition</w:t>
      </w:r>
      <w:r w:rsidR="00EA2E93">
        <w:rPr>
          <w:rFonts w:ascii="Arial" w:hAnsi="Arial" w:cs="Arial"/>
          <w:sz w:val="22"/>
          <w:szCs w:val="22"/>
        </w:rPr>
        <w:t xml:space="preserve"> </w:t>
      </w:r>
      <w:r w:rsidRPr="00D10ED2">
        <w:rPr>
          <w:rFonts w:ascii="Arial" w:hAnsi="Arial" w:cs="Arial"/>
          <w:sz w:val="22"/>
          <w:szCs w:val="22"/>
        </w:rPr>
        <w:t xml:space="preserve">ratio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0.96. </w:t>
      </w:r>
      <w:r w:rsidRPr="00D10ED2">
        <w:rPr>
          <w:rFonts w:ascii="Arial" w:hAnsi="Arial" w:cs="Arial"/>
          <w:i/>
          <w:sz w:val="22"/>
          <w:szCs w:val="22"/>
        </w:rPr>
        <w:t>In vitro</w:t>
      </w:r>
      <w:r w:rsidRPr="00D10ED2">
        <w:rPr>
          <w:rFonts w:ascii="Arial" w:hAnsi="Arial" w:cs="Arial"/>
          <w:sz w:val="22"/>
          <w:szCs w:val="22"/>
        </w:rPr>
        <w:t xml:space="preserve"> studies suggested that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either not a substrate or is a weak substrate for both P-</w:t>
      </w:r>
      <w:proofErr w:type="spellStart"/>
      <w:r w:rsidRPr="00D10ED2">
        <w:rPr>
          <w:rFonts w:ascii="Arial" w:hAnsi="Arial" w:cs="Arial"/>
          <w:sz w:val="22"/>
          <w:szCs w:val="22"/>
        </w:rPr>
        <w:t>gp</w:t>
      </w:r>
      <w:proofErr w:type="spellEnd"/>
      <w:r w:rsidRPr="00D10ED2">
        <w:rPr>
          <w:rFonts w:ascii="Arial" w:hAnsi="Arial" w:cs="Arial"/>
          <w:sz w:val="22"/>
          <w:szCs w:val="22"/>
        </w:rPr>
        <w:t xml:space="preserve"> and breast cancer resistance protein BCRP.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not a substrate for the human organic anion transporting polypeptides OATP1B1, OATP1B3 and the organic </w:t>
      </w:r>
      <w:proofErr w:type="spellStart"/>
      <w:r w:rsidRPr="00D10ED2">
        <w:rPr>
          <w:rFonts w:ascii="Arial" w:hAnsi="Arial" w:cs="Arial"/>
          <w:sz w:val="22"/>
          <w:szCs w:val="22"/>
        </w:rPr>
        <w:t>cation</w:t>
      </w:r>
      <w:proofErr w:type="spellEnd"/>
      <w:r w:rsidRPr="00D10ED2">
        <w:rPr>
          <w:rFonts w:ascii="Arial" w:hAnsi="Arial" w:cs="Arial"/>
          <w:sz w:val="22"/>
          <w:szCs w:val="22"/>
        </w:rPr>
        <w:t xml:space="preserve"> transporter OCT-1.</w:t>
      </w:r>
    </w:p>
    <w:p w14:paraId="498106A2" w14:textId="77777777" w:rsidR="00E70B03" w:rsidRPr="00D10ED2" w:rsidRDefault="00E70B03" w:rsidP="00E70B03">
      <w:pPr>
        <w:rPr>
          <w:rFonts w:ascii="Arial" w:hAnsi="Arial" w:cs="Arial"/>
          <w:sz w:val="22"/>
          <w:szCs w:val="22"/>
        </w:rPr>
      </w:pPr>
    </w:p>
    <w:p w14:paraId="75E83F54" w14:textId="77777777" w:rsidR="00E70B03" w:rsidRPr="00D10ED2" w:rsidRDefault="004F36D6" w:rsidP="00E70B03">
      <w:pPr>
        <w:rPr>
          <w:rFonts w:ascii="Arial" w:hAnsi="Arial" w:cs="Arial"/>
          <w:sz w:val="22"/>
          <w:szCs w:val="22"/>
          <w:u w:val="single"/>
        </w:rPr>
      </w:pPr>
      <w:r w:rsidRPr="00D10ED2">
        <w:rPr>
          <w:rFonts w:ascii="Arial" w:hAnsi="Arial" w:cs="Arial"/>
          <w:sz w:val="22"/>
          <w:szCs w:val="22"/>
          <w:u w:val="single"/>
        </w:rPr>
        <w:t>Metabolism</w:t>
      </w:r>
    </w:p>
    <w:p w14:paraId="69D2687B" w14:textId="7E149A5C" w:rsidR="00E70B03" w:rsidRPr="00D10ED2" w:rsidRDefault="00F917E9" w:rsidP="00E70B03">
      <w:pPr>
        <w:rPr>
          <w:rFonts w:ascii="Arial" w:hAnsi="Arial" w:cs="Arial"/>
          <w:sz w:val="22"/>
          <w:szCs w:val="22"/>
        </w:rPr>
      </w:pPr>
      <w:proofErr w:type="spellStart"/>
      <w:r w:rsidRPr="00F917E9">
        <w:rPr>
          <w:rFonts w:ascii="Arial" w:hAnsi="Arial" w:cs="Arial"/>
          <w:sz w:val="22"/>
          <w:szCs w:val="22"/>
        </w:rPr>
        <w:t>Ponatinib</w:t>
      </w:r>
      <w:proofErr w:type="spellEnd"/>
      <w:r w:rsidRPr="00F917E9">
        <w:rPr>
          <w:rFonts w:ascii="Arial" w:hAnsi="Arial" w:cs="Arial"/>
          <w:sz w:val="22"/>
          <w:szCs w:val="22"/>
        </w:rPr>
        <w:t xml:space="preserve"> undergoes extensive metabolism with 74% of the circulating drug-related material consisting of metabolites.</w:t>
      </w:r>
      <w:r>
        <w:rPr>
          <w:rFonts w:ascii="Arial" w:hAnsi="Arial" w:cs="Arial"/>
          <w:sz w:val="22"/>
          <w:szCs w:val="22"/>
        </w:rPr>
        <w:t xml:space="preserve"> </w:t>
      </w:r>
      <w:proofErr w:type="spellStart"/>
      <w:r w:rsidR="00E70B03" w:rsidRPr="00D10ED2">
        <w:rPr>
          <w:rFonts w:ascii="Arial" w:hAnsi="Arial" w:cs="Arial"/>
          <w:sz w:val="22"/>
          <w:szCs w:val="22"/>
        </w:rPr>
        <w:t>Ponatinib</w:t>
      </w:r>
      <w:proofErr w:type="spellEnd"/>
      <w:r w:rsidR="00E70B03" w:rsidRPr="00D10ED2">
        <w:rPr>
          <w:rFonts w:ascii="Arial" w:hAnsi="Arial" w:cs="Arial"/>
          <w:sz w:val="22"/>
          <w:szCs w:val="22"/>
        </w:rPr>
        <w:t xml:space="preserve"> is </w:t>
      </w:r>
      <w:proofErr w:type="spellStart"/>
      <w:r w:rsidR="00E70B03" w:rsidRPr="00D10ED2">
        <w:rPr>
          <w:rFonts w:ascii="Arial" w:hAnsi="Arial" w:cs="Arial"/>
          <w:sz w:val="22"/>
          <w:szCs w:val="22"/>
        </w:rPr>
        <w:t>metaboli</w:t>
      </w:r>
      <w:r w:rsidR="00131E68" w:rsidRPr="00D10ED2">
        <w:rPr>
          <w:rFonts w:ascii="Arial" w:hAnsi="Arial" w:cs="Arial"/>
          <w:sz w:val="22"/>
          <w:szCs w:val="22"/>
        </w:rPr>
        <w:t>s</w:t>
      </w:r>
      <w:r w:rsidR="00E70B03" w:rsidRPr="00D10ED2">
        <w:rPr>
          <w:rFonts w:ascii="Arial" w:hAnsi="Arial" w:cs="Arial"/>
          <w:sz w:val="22"/>
          <w:szCs w:val="22"/>
        </w:rPr>
        <w:t>ed</w:t>
      </w:r>
      <w:proofErr w:type="spellEnd"/>
      <w:r w:rsidR="00E70B03" w:rsidRPr="00D10ED2">
        <w:rPr>
          <w:rFonts w:ascii="Arial" w:hAnsi="Arial" w:cs="Arial"/>
          <w:sz w:val="22"/>
          <w:szCs w:val="22"/>
        </w:rPr>
        <w:t xml:space="preserve"> to an inactive carboxylic acid by </w:t>
      </w:r>
      <w:proofErr w:type="spellStart"/>
      <w:r w:rsidR="00E70B03" w:rsidRPr="00D10ED2">
        <w:rPr>
          <w:rFonts w:ascii="Arial" w:hAnsi="Arial" w:cs="Arial"/>
          <w:sz w:val="22"/>
          <w:szCs w:val="22"/>
        </w:rPr>
        <w:t>esterases</w:t>
      </w:r>
      <w:proofErr w:type="spellEnd"/>
      <w:r w:rsidR="00E70B03" w:rsidRPr="00D10ED2">
        <w:rPr>
          <w:rFonts w:ascii="Arial" w:hAnsi="Arial" w:cs="Arial"/>
          <w:sz w:val="22"/>
          <w:szCs w:val="22"/>
        </w:rPr>
        <w:t xml:space="preserve"> and/or </w:t>
      </w:r>
      <w:proofErr w:type="gramStart"/>
      <w:r w:rsidR="00E70B03" w:rsidRPr="00D10ED2">
        <w:rPr>
          <w:rFonts w:ascii="Arial" w:hAnsi="Arial" w:cs="Arial"/>
          <w:sz w:val="22"/>
          <w:szCs w:val="22"/>
        </w:rPr>
        <w:t>amidases,</w:t>
      </w:r>
      <w:proofErr w:type="gramEnd"/>
      <w:r w:rsidR="00E70B03" w:rsidRPr="00D10ED2">
        <w:rPr>
          <w:rFonts w:ascii="Arial" w:hAnsi="Arial" w:cs="Arial"/>
          <w:sz w:val="22"/>
          <w:szCs w:val="22"/>
        </w:rPr>
        <w:t xml:space="preserve"> and </w:t>
      </w:r>
      <w:r w:rsidRPr="00F917E9">
        <w:rPr>
          <w:rFonts w:ascii="Arial" w:hAnsi="Arial" w:cs="Arial"/>
          <w:sz w:val="22"/>
          <w:szCs w:val="22"/>
        </w:rPr>
        <w:t>to oxidative metabolites</w:t>
      </w:r>
      <w:r>
        <w:rPr>
          <w:rFonts w:ascii="Arial" w:hAnsi="Arial" w:cs="Arial"/>
          <w:sz w:val="22"/>
          <w:szCs w:val="22"/>
        </w:rPr>
        <w:t xml:space="preserve"> </w:t>
      </w:r>
      <w:r w:rsidR="00E70B03" w:rsidRPr="00D10ED2">
        <w:rPr>
          <w:rFonts w:ascii="Arial" w:hAnsi="Arial" w:cs="Arial"/>
          <w:sz w:val="22"/>
          <w:szCs w:val="22"/>
        </w:rPr>
        <w:t>by CYP3A4</w:t>
      </w:r>
      <w:r>
        <w:rPr>
          <w:rFonts w:ascii="Arial" w:hAnsi="Arial" w:cs="Arial"/>
          <w:sz w:val="22"/>
          <w:szCs w:val="22"/>
        </w:rPr>
        <w:t xml:space="preserve"> </w:t>
      </w:r>
      <w:r w:rsidRPr="00F917E9">
        <w:rPr>
          <w:rFonts w:ascii="Arial" w:hAnsi="Arial" w:cs="Arial"/>
          <w:sz w:val="22"/>
          <w:szCs w:val="22"/>
        </w:rPr>
        <w:t>and to a lesser extent</w:t>
      </w:r>
      <w:r w:rsidR="00F52252" w:rsidRPr="00F52252">
        <w:t xml:space="preserve"> </w:t>
      </w:r>
      <w:r w:rsidR="00F52252" w:rsidRPr="00F52252">
        <w:rPr>
          <w:rFonts w:ascii="Arial" w:hAnsi="Arial" w:cs="Arial"/>
          <w:sz w:val="22"/>
          <w:szCs w:val="22"/>
        </w:rPr>
        <w:t>by CYP2C8 and CYP2D6</w:t>
      </w:r>
      <w:r w:rsidR="00E70B03" w:rsidRPr="00D10ED2">
        <w:rPr>
          <w:rFonts w:ascii="Arial" w:hAnsi="Arial" w:cs="Arial"/>
          <w:sz w:val="22"/>
          <w:szCs w:val="22"/>
        </w:rPr>
        <w:t>.</w:t>
      </w:r>
    </w:p>
    <w:p w14:paraId="546A7F3C" w14:textId="77777777" w:rsidR="00E70B03" w:rsidRPr="00D10ED2" w:rsidRDefault="00E70B03" w:rsidP="00E70B03">
      <w:pPr>
        <w:rPr>
          <w:rFonts w:ascii="Arial" w:hAnsi="Arial" w:cs="Arial"/>
          <w:sz w:val="22"/>
          <w:szCs w:val="22"/>
        </w:rPr>
      </w:pPr>
    </w:p>
    <w:p w14:paraId="14A00A99" w14:textId="77777777" w:rsidR="00E70B03" w:rsidRPr="00D10ED2" w:rsidRDefault="00E70B03" w:rsidP="00E70B03">
      <w:pPr>
        <w:rPr>
          <w:rFonts w:ascii="Arial" w:hAnsi="Arial" w:cs="Arial"/>
          <w:sz w:val="22"/>
          <w:szCs w:val="22"/>
          <w:u w:val="single"/>
        </w:rPr>
      </w:pPr>
      <w:r w:rsidRPr="00D10ED2">
        <w:rPr>
          <w:rFonts w:ascii="Arial" w:hAnsi="Arial" w:cs="Arial"/>
          <w:sz w:val="22"/>
          <w:szCs w:val="22"/>
          <w:u w:val="single"/>
        </w:rPr>
        <w:t>E</w:t>
      </w:r>
      <w:r w:rsidR="004F36D6" w:rsidRPr="00D10ED2">
        <w:rPr>
          <w:rFonts w:ascii="Arial" w:hAnsi="Arial" w:cs="Arial"/>
          <w:sz w:val="22"/>
          <w:szCs w:val="22"/>
          <w:u w:val="single"/>
        </w:rPr>
        <w:t>xcretion</w:t>
      </w:r>
    </w:p>
    <w:p w14:paraId="5AC35557" w14:textId="5F5AE303" w:rsidR="00E70B03" w:rsidRPr="00D10ED2" w:rsidRDefault="00E70B03" w:rsidP="00E70B03">
      <w:pPr>
        <w:rPr>
          <w:rFonts w:ascii="Arial" w:hAnsi="Arial" w:cs="Arial"/>
          <w:sz w:val="22"/>
          <w:szCs w:val="22"/>
        </w:rPr>
      </w:pPr>
      <w:r w:rsidRPr="00D10ED2">
        <w:rPr>
          <w:rFonts w:ascii="Arial" w:hAnsi="Arial" w:cs="Arial"/>
          <w:sz w:val="22"/>
          <w:szCs w:val="22"/>
        </w:rPr>
        <w:t xml:space="preserve">Following single and multiple 45 mg doses of </w:t>
      </w:r>
      <w:r w:rsidR="0011623F" w:rsidRPr="00D10ED2">
        <w:rPr>
          <w:rFonts w:ascii="Arial" w:hAnsi="Arial" w:cs="Arial"/>
          <w:sz w:val="22"/>
          <w:szCs w:val="22"/>
        </w:rPr>
        <w:t>ICLUSIG</w:t>
      </w:r>
      <w:r w:rsidRPr="00D10ED2">
        <w:rPr>
          <w:rFonts w:ascii="Arial" w:hAnsi="Arial" w:cs="Arial"/>
          <w:sz w:val="22"/>
          <w:szCs w:val="22"/>
        </w:rPr>
        <w:t xml:space="preserve">, the terminal elimination half-life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was 22 hours, and steady</w:t>
      </w:r>
      <w:r w:rsidR="009E2F77" w:rsidRPr="00D10ED2">
        <w:rPr>
          <w:rFonts w:ascii="Arial" w:hAnsi="Arial" w:cs="Arial"/>
          <w:sz w:val="22"/>
          <w:szCs w:val="22"/>
        </w:rPr>
        <w:t>-</w:t>
      </w:r>
      <w:r w:rsidRPr="00D10ED2">
        <w:rPr>
          <w:rFonts w:ascii="Arial" w:hAnsi="Arial" w:cs="Arial"/>
          <w:sz w:val="22"/>
          <w:szCs w:val="22"/>
        </w:rPr>
        <w:t xml:space="preserve">state conditions are typically achieved within 1 week of continuous dosing. With once-daily dosing, plasma exposures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are increased by approximately 1.5-fold between first</w:t>
      </w:r>
      <w:r w:rsidR="009E2F77" w:rsidRPr="00D10ED2">
        <w:rPr>
          <w:rFonts w:ascii="Arial" w:hAnsi="Arial" w:cs="Arial"/>
          <w:sz w:val="22"/>
          <w:szCs w:val="22"/>
        </w:rPr>
        <w:t>-</w:t>
      </w:r>
      <w:r w:rsidRPr="00D10ED2">
        <w:rPr>
          <w:rFonts w:ascii="Arial" w:hAnsi="Arial" w:cs="Arial"/>
          <w:sz w:val="22"/>
          <w:szCs w:val="22"/>
        </w:rPr>
        <w:t>dose and steady</w:t>
      </w:r>
      <w:r w:rsidR="009E2F77" w:rsidRPr="00D10ED2">
        <w:rPr>
          <w:rFonts w:ascii="Arial" w:hAnsi="Arial" w:cs="Arial"/>
          <w:sz w:val="22"/>
          <w:szCs w:val="22"/>
        </w:rPr>
        <w:t>-</w:t>
      </w:r>
      <w:r w:rsidRPr="00D10ED2">
        <w:rPr>
          <w:rFonts w:ascii="Arial" w:hAnsi="Arial" w:cs="Arial"/>
          <w:sz w:val="22"/>
          <w:szCs w:val="22"/>
        </w:rPr>
        <w:t xml:space="preserve">state conditions.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mainly eliminated via </w:t>
      </w:r>
      <w:proofErr w:type="spellStart"/>
      <w:r w:rsidRPr="00D10ED2">
        <w:rPr>
          <w:rFonts w:ascii="Arial" w:hAnsi="Arial" w:cs="Arial"/>
          <w:sz w:val="22"/>
          <w:szCs w:val="22"/>
        </w:rPr>
        <w:t>f</w:t>
      </w:r>
      <w:r w:rsidR="009E2F77" w:rsidRPr="00D10ED2">
        <w:rPr>
          <w:rFonts w:ascii="Arial" w:hAnsi="Arial" w:cs="Arial"/>
          <w:sz w:val="22"/>
          <w:szCs w:val="22"/>
        </w:rPr>
        <w:t>a</w:t>
      </w:r>
      <w:r w:rsidRPr="00D10ED2">
        <w:rPr>
          <w:rFonts w:ascii="Arial" w:hAnsi="Arial" w:cs="Arial"/>
          <w:sz w:val="22"/>
          <w:szCs w:val="22"/>
        </w:rPr>
        <w:t>eces</w:t>
      </w:r>
      <w:proofErr w:type="spellEnd"/>
      <w:r w:rsidRPr="00D10ED2">
        <w:rPr>
          <w:rFonts w:ascii="Arial" w:hAnsi="Arial" w:cs="Arial"/>
          <w:sz w:val="22"/>
          <w:szCs w:val="22"/>
        </w:rPr>
        <w:t>. Following a single oral dose of [</w:t>
      </w:r>
      <w:r w:rsidRPr="00D10ED2">
        <w:rPr>
          <w:rFonts w:ascii="Arial" w:hAnsi="Arial" w:cs="Arial"/>
          <w:sz w:val="22"/>
          <w:szCs w:val="22"/>
          <w:vertAlign w:val="superscript"/>
        </w:rPr>
        <w:t>14</w:t>
      </w:r>
      <w:r w:rsidRPr="00D10ED2">
        <w:rPr>
          <w:rFonts w:ascii="Arial" w:hAnsi="Arial" w:cs="Arial"/>
          <w:sz w:val="22"/>
          <w:szCs w:val="22"/>
        </w:rPr>
        <w:t xml:space="preserve">C]-labeled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approximately 87% of the radioactive dose is recovered in the </w:t>
      </w:r>
      <w:proofErr w:type="spellStart"/>
      <w:r w:rsidRPr="00D10ED2">
        <w:rPr>
          <w:rFonts w:ascii="Arial" w:hAnsi="Arial" w:cs="Arial"/>
          <w:sz w:val="22"/>
          <w:szCs w:val="22"/>
        </w:rPr>
        <w:t>f</w:t>
      </w:r>
      <w:r w:rsidR="009E2F77" w:rsidRPr="00D10ED2">
        <w:rPr>
          <w:rFonts w:ascii="Arial" w:hAnsi="Arial" w:cs="Arial"/>
          <w:sz w:val="22"/>
          <w:szCs w:val="22"/>
        </w:rPr>
        <w:t>a</w:t>
      </w:r>
      <w:r w:rsidRPr="00D10ED2">
        <w:rPr>
          <w:rFonts w:ascii="Arial" w:hAnsi="Arial" w:cs="Arial"/>
          <w:sz w:val="22"/>
          <w:szCs w:val="22"/>
        </w:rPr>
        <w:t>eces</w:t>
      </w:r>
      <w:proofErr w:type="spellEnd"/>
      <w:r w:rsidRPr="00D10ED2">
        <w:rPr>
          <w:rFonts w:ascii="Arial" w:hAnsi="Arial" w:cs="Arial"/>
          <w:sz w:val="22"/>
          <w:szCs w:val="22"/>
        </w:rPr>
        <w:t xml:space="preserve"> and approximately 5% in the urine. Unchanged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accounted for 24% and &lt;1% of the administered dose in </w:t>
      </w:r>
      <w:proofErr w:type="spellStart"/>
      <w:r w:rsidRPr="00D10ED2">
        <w:rPr>
          <w:rFonts w:ascii="Arial" w:hAnsi="Arial" w:cs="Arial"/>
          <w:sz w:val="22"/>
          <w:szCs w:val="22"/>
        </w:rPr>
        <w:t>f</w:t>
      </w:r>
      <w:r w:rsidR="009E2F77" w:rsidRPr="00D10ED2">
        <w:rPr>
          <w:rFonts w:ascii="Arial" w:hAnsi="Arial" w:cs="Arial"/>
          <w:sz w:val="22"/>
          <w:szCs w:val="22"/>
        </w:rPr>
        <w:t>a</w:t>
      </w:r>
      <w:r w:rsidRPr="00D10ED2">
        <w:rPr>
          <w:rFonts w:ascii="Arial" w:hAnsi="Arial" w:cs="Arial"/>
          <w:sz w:val="22"/>
          <w:szCs w:val="22"/>
        </w:rPr>
        <w:t>eces</w:t>
      </w:r>
      <w:proofErr w:type="spellEnd"/>
      <w:r w:rsidRPr="00D10ED2">
        <w:rPr>
          <w:rFonts w:ascii="Arial" w:hAnsi="Arial" w:cs="Arial"/>
          <w:sz w:val="22"/>
          <w:szCs w:val="22"/>
        </w:rPr>
        <w:t xml:space="preserve"> and urine, respectively, with the remainder of the dose comprising metabolites.</w:t>
      </w:r>
    </w:p>
    <w:p w14:paraId="12ADC892" w14:textId="77777777" w:rsidR="00E70B03" w:rsidRPr="00D10ED2" w:rsidRDefault="00E70B03" w:rsidP="00E70B03">
      <w:pPr>
        <w:rPr>
          <w:rFonts w:ascii="Arial" w:hAnsi="Arial" w:cs="Arial"/>
          <w:sz w:val="22"/>
          <w:szCs w:val="22"/>
        </w:rPr>
      </w:pPr>
    </w:p>
    <w:p w14:paraId="2FF433F9" w14:textId="3A991B30" w:rsidR="00E70B03" w:rsidRPr="00D10ED2" w:rsidRDefault="00E70B03" w:rsidP="00E70B03">
      <w:pPr>
        <w:rPr>
          <w:rFonts w:ascii="Arial" w:hAnsi="Arial" w:cs="Arial"/>
          <w:sz w:val="22"/>
          <w:szCs w:val="22"/>
          <w:u w:val="single"/>
        </w:rPr>
      </w:pPr>
      <w:r w:rsidRPr="00D10ED2">
        <w:rPr>
          <w:rFonts w:ascii="Arial" w:hAnsi="Arial" w:cs="Arial"/>
          <w:sz w:val="22"/>
          <w:szCs w:val="22"/>
          <w:u w:val="single"/>
        </w:rPr>
        <w:t xml:space="preserve">Renal impairment </w:t>
      </w:r>
    </w:p>
    <w:p w14:paraId="467AB45E" w14:textId="78FAF7CC" w:rsidR="00E70B03" w:rsidRPr="00D10ED2" w:rsidRDefault="0011623F" w:rsidP="00E70B03">
      <w:pPr>
        <w:rPr>
          <w:rFonts w:ascii="Arial" w:hAnsi="Arial" w:cs="Arial"/>
          <w:sz w:val="22"/>
          <w:szCs w:val="22"/>
        </w:rPr>
      </w:pPr>
      <w:r w:rsidRPr="00D10ED2">
        <w:rPr>
          <w:rFonts w:ascii="Arial" w:hAnsi="Arial" w:cs="Arial"/>
          <w:sz w:val="22"/>
          <w:szCs w:val="22"/>
        </w:rPr>
        <w:t>ICLUSIG</w:t>
      </w:r>
      <w:r w:rsidR="00E70B03" w:rsidRPr="00D10ED2">
        <w:rPr>
          <w:rFonts w:ascii="Arial" w:hAnsi="Arial" w:cs="Arial"/>
          <w:sz w:val="22"/>
          <w:szCs w:val="22"/>
        </w:rPr>
        <w:t xml:space="preserve"> has not been studied in patients with renal impairment. </w:t>
      </w:r>
      <w:r w:rsidR="00D8406A">
        <w:rPr>
          <w:rFonts w:ascii="Arial" w:hAnsi="Arial" w:cs="Arial"/>
          <w:sz w:val="22"/>
          <w:szCs w:val="22"/>
        </w:rPr>
        <w:t>R</w:t>
      </w:r>
      <w:r w:rsidR="00E70B03" w:rsidRPr="00D10ED2">
        <w:rPr>
          <w:rFonts w:ascii="Arial" w:hAnsi="Arial" w:cs="Arial"/>
          <w:sz w:val="22"/>
          <w:szCs w:val="22"/>
        </w:rPr>
        <w:t xml:space="preserve">enal excretion is not a major route of </w:t>
      </w:r>
      <w:proofErr w:type="spellStart"/>
      <w:r w:rsidR="00E70B03" w:rsidRPr="00D10ED2">
        <w:rPr>
          <w:rFonts w:ascii="Arial" w:hAnsi="Arial" w:cs="Arial"/>
          <w:sz w:val="22"/>
          <w:szCs w:val="22"/>
        </w:rPr>
        <w:t>ponatinib</w:t>
      </w:r>
      <w:proofErr w:type="spellEnd"/>
      <w:r w:rsidR="00E70B03" w:rsidRPr="00D10ED2">
        <w:rPr>
          <w:rFonts w:ascii="Arial" w:hAnsi="Arial" w:cs="Arial"/>
          <w:sz w:val="22"/>
          <w:szCs w:val="22"/>
        </w:rPr>
        <w:t xml:space="preserve"> elimination, the potential for moderate or severe renal impairment to affect </w:t>
      </w:r>
      <w:r w:rsidR="00E213D6">
        <w:rPr>
          <w:rFonts w:ascii="Arial" w:hAnsi="Arial" w:cs="Arial"/>
          <w:sz w:val="22"/>
          <w:szCs w:val="22"/>
        </w:rPr>
        <w:t>renal</w:t>
      </w:r>
      <w:r w:rsidR="00E213D6" w:rsidRPr="00D10ED2">
        <w:rPr>
          <w:rFonts w:ascii="Arial" w:hAnsi="Arial" w:cs="Arial"/>
          <w:sz w:val="22"/>
          <w:szCs w:val="22"/>
        </w:rPr>
        <w:t xml:space="preserve"> </w:t>
      </w:r>
      <w:r w:rsidR="00E70B03" w:rsidRPr="00D10ED2">
        <w:rPr>
          <w:rFonts w:ascii="Arial" w:hAnsi="Arial" w:cs="Arial"/>
          <w:sz w:val="22"/>
          <w:szCs w:val="22"/>
        </w:rPr>
        <w:t>elimination has not been determined (</w:t>
      </w:r>
      <w:r w:rsidR="00F008B8" w:rsidRPr="00D10ED2">
        <w:rPr>
          <w:rFonts w:ascii="Arial" w:hAnsi="Arial" w:cs="Arial"/>
          <w:sz w:val="22"/>
          <w:szCs w:val="22"/>
        </w:rPr>
        <w:t xml:space="preserve">See </w:t>
      </w:r>
      <w:r w:rsidR="00F008B8" w:rsidRPr="00E647B9">
        <w:rPr>
          <w:rFonts w:ascii="Arial" w:hAnsi="Arial" w:cs="Arial"/>
          <w:b/>
          <w:sz w:val="22"/>
          <w:szCs w:val="22"/>
        </w:rPr>
        <w:t>Dosage and Administration</w:t>
      </w:r>
      <w:r w:rsidR="00E70B03" w:rsidRPr="00D10ED2">
        <w:rPr>
          <w:rFonts w:ascii="Arial" w:hAnsi="Arial" w:cs="Arial"/>
          <w:sz w:val="22"/>
          <w:szCs w:val="22"/>
        </w:rPr>
        <w:t>).</w:t>
      </w:r>
    </w:p>
    <w:p w14:paraId="6C665CFA" w14:textId="77777777" w:rsidR="00E70B03" w:rsidRPr="00D10ED2" w:rsidRDefault="00E70B03" w:rsidP="00E70B03">
      <w:pPr>
        <w:rPr>
          <w:rFonts w:ascii="Arial" w:hAnsi="Arial" w:cs="Arial"/>
          <w:sz w:val="22"/>
          <w:szCs w:val="22"/>
          <w:u w:val="single"/>
        </w:rPr>
      </w:pPr>
    </w:p>
    <w:p w14:paraId="2E09D310" w14:textId="77777777" w:rsidR="00E70B03" w:rsidRPr="00D10ED2" w:rsidRDefault="00E70B03" w:rsidP="00E70B03">
      <w:pPr>
        <w:rPr>
          <w:rFonts w:ascii="Arial" w:hAnsi="Arial" w:cs="Arial"/>
          <w:sz w:val="22"/>
          <w:szCs w:val="22"/>
          <w:u w:val="single"/>
        </w:rPr>
      </w:pPr>
      <w:r w:rsidRPr="00D10ED2">
        <w:rPr>
          <w:rFonts w:ascii="Arial" w:hAnsi="Arial" w:cs="Arial"/>
          <w:sz w:val="22"/>
          <w:szCs w:val="22"/>
          <w:u w:val="single"/>
        </w:rPr>
        <w:t xml:space="preserve">Hepatic impairment </w:t>
      </w:r>
    </w:p>
    <w:p w14:paraId="2A33AF07" w14:textId="0C8C43AD" w:rsidR="00383C66" w:rsidRPr="00D10ED2" w:rsidRDefault="00383C66" w:rsidP="00383C66">
      <w:pPr>
        <w:rPr>
          <w:rFonts w:ascii="Arial" w:hAnsi="Arial" w:cs="Arial"/>
          <w:sz w:val="22"/>
          <w:szCs w:val="22"/>
        </w:rPr>
      </w:pPr>
      <w:r w:rsidRPr="00383C66">
        <w:rPr>
          <w:rFonts w:ascii="Arial" w:hAnsi="Arial" w:cs="Arial"/>
          <w:sz w:val="22"/>
          <w:szCs w:val="22"/>
        </w:rPr>
        <w:t>Hepatic elimination is a major route of excretion for ICLUSIG. Single</w:t>
      </w:r>
      <w:r>
        <w:rPr>
          <w:rFonts w:ascii="Arial" w:hAnsi="Arial" w:cs="Arial"/>
          <w:sz w:val="22"/>
          <w:szCs w:val="22"/>
        </w:rPr>
        <w:t xml:space="preserve"> </w:t>
      </w:r>
      <w:r w:rsidRPr="00383C66">
        <w:rPr>
          <w:rFonts w:ascii="Arial" w:hAnsi="Arial" w:cs="Arial"/>
          <w:sz w:val="22"/>
          <w:szCs w:val="22"/>
        </w:rPr>
        <w:t xml:space="preserve">doses of </w:t>
      </w:r>
      <w:proofErr w:type="spellStart"/>
      <w:r w:rsidRPr="00383C66">
        <w:rPr>
          <w:rFonts w:ascii="Arial" w:hAnsi="Arial" w:cs="Arial"/>
          <w:sz w:val="22"/>
          <w:szCs w:val="22"/>
        </w:rPr>
        <w:t>ponatinib</w:t>
      </w:r>
      <w:proofErr w:type="spellEnd"/>
      <w:r w:rsidRPr="00383C66">
        <w:rPr>
          <w:rFonts w:ascii="Arial" w:hAnsi="Arial" w:cs="Arial"/>
          <w:sz w:val="22"/>
          <w:szCs w:val="22"/>
        </w:rPr>
        <w:t xml:space="preserve"> 30 mg were administered to patients with mild, moderate and severe hepatic</w:t>
      </w:r>
      <w:r>
        <w:rPr>
          <w:rFonts w:ascii="Arial" w:hAnsi="Arial" w:cs="Arial"/>
          <w:sz w:val="22"/>
          <w:szCs w:val="22"/>
        </w:rPr>
        <w:t xml:space="preserve"> </w:t>
      </w:r>
      <w:r w:rsidRPr="00383C66">
        <w:rPr>
          <w:rFonts w:ascii="Arial" w:hAnsi="Arial" w:cs="Arial"/>
          <w:sz w:val="22"/>
          <w:szCs w:val="22"/>
        </w:rPr>
        <w:t>impairment (Child-Pugh Classes A, B, &amp; C) and to control healthy subjects. Overall no major</w:t>
      </w:r>
      <w:r>
        <w:rPr>
          <w:rFonts w:ascii="Arial" w:hAnsi="Arial" w:cs="Arial"/>
          <w:sz w:val="22"/>
          <w:szCs w:val="22"/>
        </w:rPr>
        <w:t xml:space="preserve"> </w:t>
      </w:r>
      <w:r w:rsidRPr="00383C66">
        <w:rPr>
          <w:rFonts w:ascii="Arial" w:hAnsi="Arial" w:cs="Arial"/>
          <w:sz w:val="22"/>
          <w:szCs w:val="22"/>
        </w:rPr>
        <w:t xml:space="preserve">differences in </w:t>
      </w:r>
      <w:proofErr w:type="spellStart"/>
      <w:r w:rsidRPr="00383C66">
        <w:rPr>
          <w:rFonts w:ascii="Arial" w:hAnsi="Arial" w:cs="Arial"/>
          <w:sz w:val="22"/>
          <w:szCs w:val="22"/>
        </w:rPr>
        <w:t>ponatinib</w:t>
      </w:r>
      <w:proofErr w:type="spellEnd"/>
      <w:r w:rsidRPr="00383C66">
        <w:rPr>
          <w:rFonts w:ascii="Arial" w:hAnsi="Arial" w:cs="Arial"/>
          <w:sz w:val="22"/>
          <w:szCs w:val="22"/>
        </w:rPr>
        <w:t xml:space="preserve"> PK were observed in patients with varying degrees of hepatic</w:t>
      </w:r>
      <w:r>
        <w:rPr>
          <w:rFonts w:ascii="Arial" w:hAnsi="Arial" w:cs="Arial"/>
          <w:sz w:val="22"/>
          <w:szCs w:val="22"/>
        </w:rPr>
        <w:t xml:space="preserve"> </w:t>
      </w:r>
      <w:r w:rsidRPr="00383C66">
        <w:rPr>
          <w:rFonts w:ascii="Arial" w:hAnsi="Arial" w:cs="Arial"/>
          <w:sz w:val="22"/>
          <w:szCs w:val="22"/>
        </w:rPr>
        <w:t>impairment as compared to healthy subjects. Based on these single</w:t>
      </w:r>
      <w:r>
        <w:rPr>
          <w:rFonts w:ascii="Arial" w:hAnsi="Arial" w:cs="Arial"/>
          <w:sz w:val="22"/>
          <w:szCs w:val="22"/>
        </w:rPr>
        <w:t xml:space="preserve"> </w:t>
      </w:r>
      <w:r w:rsidRPr="00383C66">
        <w:rPr>
          <w:rFonts w:ascii="Arial" w:hAnsi="Arial" w:cs="Arial"/>
          <w:sz w:val="22"/>
          <w:szCs w:val="22"/>
        </w:rPr>
        <w:t>dose</w:t>
      </w:r>
      <w:r>
        <w:rPr>
          <w:rFonts w:ascii="Arial" w:hAnsi="Arial" w:cs="Arial"/>
          <w:sz w:val="22"/>
          <w:szCs w:val="22"/>
        </w:rPr>
        <w:t xml:space="preserve"> </w:t>
      </w:r>
      <w:r w:rsidRPr="00383C66">
        <w:rPr>
          <w:rFonts w:ascii="Arial" w:hAnsi="Arial" w:cs="Arial"/>
          <w:sz w:val="22"/>
          <w:szCs w:val="22"/>
        </w:rPr>
        <w:t>pharmacokinetics data, a</w:t>
      </w:r>
      <w:r>
        <w:rPr>
          <w:rFonts w:ascii="Arial" w:hAnsi="Arial" w:cs="Arial"/>
          <w:sz w:val="22"/>
          <w:szCs w:val="22"/>
        </w:rPr>
        <w:t xml:space="preserve"> </w:t>
      </w:r>
      <w:r w:rsidRPr="00383C66">
        <w:rPr>
          <w:rFonts w:ascii="Arial" w:hAnsi="Arial" w:cs="Arial"/>
          <w:sz w:val="22"/>
          <w:szCs w:val="22"/>
        </w:rPr>
        <w:t xml:space="preserve">reduction of the starting dose of </w:t>
      </w:r>
      <w:proofErr w:type="spellStart"/>
      <w:r w:rsidRPr="00383C66">
        <w:rPr>
          <w:rFonts w:ascii="Arial" w:hAnsi="Arial" w:cs="Arial"/>
          <w:sz w:val="22"/>
          <w:szCs w:val="22"/>
        </w:rPr>
        <w:t>ponatinib</w:t>
      </w:r>
      <w:proofErr w:type="spellEnd"/>
      <w:r w:rsidRPr="00383C66">
        <w:rPr>
          <w:rFonts w:ascii="Arial" w:hAnsi="Arial" w:cs="Arial"/>
          <w:sz w:val="22"/>
          <w:szCs w:val="22"/>
        </w:rPr>
        <w:t xml:space="preserve"> in patients with hepatic impairment is not necessary.</w:t>
      </w:r>
      <w:r>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83C66">
        <w:rPr>
          <w:rFonts w:ascii="Arial" w:hAnsi="Arial" w:cs="Arial"/>
          <w:sz w:val="22"/>
          <w:szCs w:val="22"/>
        </w:rPr>
        <w:lastRenderedPageBreak/>
        <w:t xml:space="preserve">Caution is recommended when administering ICLUSIG to patients with </w:t>
      </w:r>
      <w:r w:rsidR="00E213D6">
        <w:rPr>
          <w:rFonts w:ascii="Arial" w:hAnsi="Arial" w:cs="Arial"/>
          <w:sz w:val="22"/>
          <w:szCs w:val="22"/>
        </w:rPr>
        <w:t xml:space="preserve">moderate to severe </w:t>
      </w:r>
      <w:r w:rsidRPr="00383C66">
        <w:rPr>
          <w:rFonts w:ascii="Arial" w:hAnsi="Arial" w:cs="Arial"/>
          <w:sz w:val="22"/>
          <w:szCs w:val="22"/>
        </w:rPr>
        <w:t>hepatic impairment.</w:t>
      </w:r>
    </w:p>
    <w:p w14:paraId="071CDF9E" w14:textId="77777777" w:rsidR="00E70B03" w:rsidRPr="00D10ED2" w:rsidRDefault="00E70B03" w:rsidP="00E70B03">
      <w:pPr>
        <w:rPr>
          <w:rFonts w:ascii="Arial" w:hAnsi="Arial" w:cs="Arial"/>
          <w:sz w:val="22"/>
          <w:szCs w:val="22"/>
          <w:u w:val="single"/>
        </w:rPr>
      </w:pPr>
    </w:p>
    <w:p w14:paraId="79BB734E" w14:textId="77777777" w:rsidR="00E70B03" w:rsidRPr="00D10ED2" w:rsidRDefault="00E70B03" w:rsidP="00E70B03">
      <w:pPr>
        <w:rPr>
          <w:rFonts w:ascii="Arial" w:hAnsi="Arial" w:cs="Arial"/>
          <w:sz w:val="22"/>
          <w:szCs w:val="22"/>
          <w:u w:val="single"/>
        </w:rPr>
      </w:pPr>
      <w:r w:rsidRPr="00D10ED2">
        <w:rPr>
          <w:rFonts w:ascii="Arial" w:hAnsi="Arial" w:cs="Arial"/>
          <w:sz w:val="22"/>
          <w:szCs w:val="22"/>
          <w:u w:val="single"/>
        </w:rPr>
        <w:t xml:space="preserve">Intrinsic factors affecting </w:t>
      </w:r>
      <w:proofErr w:type="spellStart"/>
      <w:r w:rsidRPr="00D10ED2">
        <w:rPr>
          <w:rFonts w:ascii="Arial" w:hAnsi="Arial" w:cs="Arial"/>
          <w:sz w:val="22"/>
          <w:szCs w:val="22"/>
          <w:u w:val="single"/>
        </w:rPr>
        <w:t>ponatinib</w:t>
      </w:r>
      <w:proofErr w:type="spellEnd"/>
      <w:r w:rsidRPr="00D10ED2">
        <w:rPr>
          <w:rFonts w:ascii="Arial" w:hAnsi="Arial" w:cs="Arial"/>
          <w:sz w:val="22"/>
          <w:szCs w:val="22"/>
          <w:u w:val="single"/>
        </w:rPr>
        <w:t xml:space="preserve"> pharmacokinetics</w:t>
      </w:r>
    </w:p>
    <w:p w14:paraId="27437F68" w14:textId="77777777" w:rsidR="00E70B03" w:rsidRPr="00D10ED2" w:rsidRDefault="00E70B03" w:rsidP="00E70B03">
      <w:pPr>
        <w:rPr>
          <w:rFonts w:ascii="Arial" w:hAnsi="Arial" w:cs="Arial"/>
          <w:sz w:val="22"/>
          <w:szCs w:val="22"/>
        </w:rPr>
      </w:pPr>
      <w:r w:rsidRPr="00D10ED2">
        <w:rPr>
          <w:rFonts w:ascii="Arial" w:hAnsi="Arial" w:cs="Arial"/>
          <w:sz w:val="22"/>
          <w:szCs w:val="22"/>
        </w:rPr>
        <w:t xml:space="preserve">No specific studies have been performed to evaluate the effects of gender, age, race, and body weight on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pharmacokinetics. An integrated population pharmacokinetic analysis completed for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suggests that age may be predictive of variability for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apparent oral clearance (CL/F).  Gender, race and body weight were not predictive in explaining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pharmacokinetic </w:t>
      </w:r>
      <w:proofErr w:type="spellStart"/>
      <w:r w:rsidRPr="00D10ED2">
        <w:rPr>
          <w:rFonts w:ascii="Arial" w:hAnsi="Arial" w:cs="Arial"/>
          <w:sz w:val="22"/>
          <w:szCs w:val="22"/>
        </w:rPr>
        <w:t>intersubject</w:t>
      </w:r>
      <w:proofErr w:type="spellEnd"/>
      <w:r w:rsidRPr="00D10ED2">
        <w:rPr>
          <w:rFonts w:ascii="Arial" w:hAnsi="Arial" w:cs="Arial"/>
          <w:sz w:val="22"/>
          <w:szCs w:val="22"/>
        </w:rPr>
        <w:t xml:space="preserve"> variability.</w:t>
      </w:r>
    </w:p>
    <w:p w14:paraId="637B8D39" w14:textId="77777777" w:rsidR="00E70B03" w:rsidRPr="00D10ED2" w:rsidRDefault="00E70B03" w:rsidP="00E70B03">
      <w:pPr>
        <w:pStyle w:val="Heading2"/>
        <w:numPr>
          <w:ilvl w:val="0"/>
          <w:numId w:val="0"/>
        </w:numPr>
        <w:spacing w:before="0" w:after="0"/>
        <w:rPr>
          <w:rFonts w:ascii="Arial" w:hAnsi="Arial" w:cs="Arial"/>
          <w:sz w:val="22"/>
          <w:szCs w:val="22"/>
        </w:rPr>
      </w:pPr>
    </w:p>
    <w:p w14:paraId="15E5B8BF" w14:textId="77777777" w:rsidR="00E70B03" w:rsidRPr="00D10ED2" w:rsidRDefault="00E70B03" w:rsidP="00E70B03">
      <w:pPr>
        <w:pStyle w:val="Heading2"/>
        <w:numPr>
          <w:ilvl w:val="0"/>
          <w:numId w:val="0"/>
        </w:numPr>
        <w:spacing w:before="0" w:after="0"/>
        <w:rPr>
          <w:rFonts w:ascii="Arial" w:hAnsi="Arial" w:cs="Arial"/>
          <w:sz w:val="28"/>
        </w:rPr>
      </w:pPr>
      <w:r w:rsidRPr="00D10ED2">
        <w:rPr>
          <w:rFonts w:ascii="Arial" w:hAnsi="Arial" w:cs="Arial"/>
          <w:sz w:val="28"/>
        </w:rPr>
        <w:t>Clinical Studies</w:t>
      </w:r>
    </w:p>
    <w:p w14:paraId="28ED4696" w14:textId="77777777" w:rsidR="00E70B03" w:rsidRPr="00D10ED2" w:rsidRDefault="00E70B03" w:rsidP="00E70B03">
      <w:pPr>
        <w:pStyle w:val="Heading2"/>
        <w:numPr>
          <w:ilvl w:val="0"/>
          <w:numId w:val="0"/>
        </w:numPr>
        <w:spacing w:before="0" w:after="0"/>
        <w:rPr>
          <w:rFonts w:ascii="Arial" w:hAnsi="Arial" w:cs="Arial"/>
          <w:sz w:val="22"/>
          <w:szCs w:val="22"/>
        </w:rPr>
      </w:pPr>
    </w:p>
    <w:p w14:paraId="31B9C21C" w14:textId="77777777" w:rsidR="00E70B03" w:rsidRPr="00D10ED2" w:rsidRDefault="00E70B03" w:rsidP="00E70B03">
      <w:pPr>
        <w:rPr>
          <w:rFonts w:ascii="Arial" w:hAnsi="Arial" w:cs="Arial"/>
          <w:sz w:val="22"/>
          <w:szCs w:val="22"/>
          <w:u w:val="single"/>
        </w:rPr>
      </w:pPr>
      <w:r w:rsidRPr="00D10ED2">
        <w:rPr>
          <w:rFonts w:ascii="Arial" w:hAnsi="Arial" w:cs="Arial"/>
          <w:sz w:val="22"/>
          <w:szCs w:val="22"/>
          <w:u w:val="single"/>
        </w:rPr>
        <w:t>Clinical efficacy and safety</w:t>
      </w:r>
    </w:p>
    <w:p w14:paraId="3E5868F0" w14:textId="060FEE1A" w:rsidR="00E70B03" w:rsidRPr="00D10ED2" w:rsidRDefault="00E70B03" w:rsidP="007F180D">
      <w:pPr>
        <w:rPr>
          <w:rFonts w:ascii="Arial" w:hAnsi="Arial" w:cs="Arial"/>
          <w:sz w:val="22"/>
          <w:szCs w:val="22"/>
        </w:rPr>
      </w:pPr>
      <w:r w:rsidRPr="00D10ED2">
        <w:rPr>
          <w:rFonts w:ascii="Arial" w:hAnsi="Arial" w:cs="Arial"/>
          <w:sz w:val="22"/>
          <w:szCs w:val="22"/>
        </w:rPr>
        <w:t xml:space="preserve">The safety and efficacy of </w:t>
      </w:r>
      <w:r w:rsidR="0011623F" w:rsidRPr="00D10ED2">
        <w:rPr>
          <w:rFonts w:ascii="Arial" w:hAnsi="Arial" w:cs="Arial"/>
          <w:sz w:val="22"/>
          <w:szCs w:val="22"/>
        </w:rPr>
        <w:t>ICLUSIG</w:t>
      </w:r>
      <w:r w:rsidRPr="00D10ED2">
        <w:rPr>
          <w:rFonts w:ascii="Arial" w:hAnsi="Arial" w:cs="Arial"/>
          <w:sz w:val="22"/>
          <w:szCs w:val="22"/>
        </w:rPr>
        <w:t xml:space="preserve"> in </w:t>
      </w:r>
      <w:r w:rsidR="007F180D" w:rsidRPr="007F180D">
        <w:rPr>
          <w:rFonts w:ascii="Arial" w:hAnsi="Arial" w:cs="Arial"/>
          <w:sz w:val="22"/>
          <w:szCs w:val="22"/>
        </w:rPr>
        <w:t>chronic myeloid</w:t>
      </w:r>
      <w:r w:rsidR="007F180D">
        <w:rPr>
          <w:rFonts w:ascii="Arial" w:hAnsi="Arial" w:cs="Arial"/>
          <w:sz w:val="22"/>
          <w:szCs w:val="22"/>
        </w:rPr>
        <w:t xml:space="preserve"> l</w:t>
      </w:r>
      <w:r w:rsidR="007F180D" w:rsidRPr="007F180D">
        <w:rPr>
          <w:rFonts w:ascii="Arial" w:hAnsi="Arial" w:cs="Arial"/>
          <w:sz w:val="22"/>
          <w:szCs w:val="22"/>
        </w:rPr>
        <w:t>eukemia</w:t>
      </w:r>
      <w:r w:rsidR="007F180D">
        <w:rPr>
          <w:rFonts w:ascii="Arial" w:hAnsi="Arial" w:cs="Arial"/>
          <w:sz w:val="22"/>
          <w:szCs w:val="22"/>
        </w:rPr>
        <w:t xml:space="preserve"> (</w:t>
      </w:r>
      <w:r w:rsidRPr="00D10ED2">
        <w:rPr>
          <w:rFonts w:ascii="Arial" w:hAnsi="Arial" w:cs="Arial"/>
          <w:sz w:val="22"/>
          <w:szCs w:val="22"/>
        </w:rPr>
        <w:t>CML</w:t>
      </w:r>
      <w:r w:rsidR="007F180D">
        <w:rPr>
          <w:rFonts w:ascii="Arial" w:hAnsi="Arial" w:cs="Arial"/>
          <w:sz w:val="22"/>
          <w:szCs w:val="22"/>
        </w:rPr>
        <w:t>)</w:t>
      </w:r>
      <w:r w:rsidRPr="00D10ED2">
        <w:rPr>
          <w:rFonts w:ascii="Arial" w:hAnsi="Arial" w:cs="Arial"/>
          <w:sz w:val="22"/>
          <w:szCs w:val="22"/>
        </w:rPr>
        <w:t xml:space="preserve"> and </w:t>
      </w:r>
      <w:r w:rsidR="007F180D" w:rsidRPr="007F180D">
        <w:rPr>
          <w:rFonts w:ascii="Arial" w:hAnsi="Arial" w:cs="Arial"/>
          <w:sz w:val="22"/>
          <w:szCs w:val="22"/>
        </w:rPr>
        <w:t>Philade</w:t>
      </w:r>
      <w:r w:rsidR="007F180D">
        <w:rPr>
          <w:rFonts w:ascii="Arial" w:hAnsi="Arial" w:cs="Arial"/>
          <w:sz w:val="22"/>
          <w:szCs w:val="22"/>
        </w:rPr>
        <w:t xml:space="preserve">lphia chromosome positive acute </w:t>
      </w:r>
      <w:r w:rsidR="007F180D" w:rsidRPr="007F180D">
        <w:rPr>
          <w:rFonts w:ascii="Arial" w:hAnsi="Arial" w:cs="Arial"/>
          <w:sz w:val="22"/>
          <w:szCs w:val="22"/>
        </w:rPr>
        <w:t>lymphoblastic leukemia</w:t>
      </w:r>
      <w:r w:rsidR="007F180D">
        <w:rPr>
          <w:rFonts w:ascii="Arial" w:hAnsi="Arial" w:cs="Arial"/>
          <w:sz w:val="22"/>
          <w:szCs w:val="22"/>
        </w:rPr>
        <w:t xml:space="preserve"> (</w:t>
      </w:r>
      <w:proofErr w:type="spellStart"/>
      <w:r w:rsidRPr="00D10ED2">
        <w:rPr>
          <w:rFonts w:ascii="Arial" w:hAnsi="Arial" w:cs="Arial"/>
          <w:sz w:val="22"/>
          <w:szCs w:val="22"/>
        </w:rPr>
        <w:t>Ph</w:t>
      </w:r>
      <w:proofErr w:type="spellEnd"/>
      <w:r w:rsidRPr="00D10ED2">
        <w:rPr>
          <w:rFonts w:ascii="Arial" w:hAnsi="Arial" w:cs="Arial"/>
          <w:sz w:val="22"/>
          <w:szCs w:val="22"/>
        </w:rPr>
        <w:t>+ ALL</w:t>
      </w:r>
      <w:r w:rsidR="007F180D">
        <w:rPr>
          <w:rFonts w:ascii="Arial" w:hAnsi="Arial" w:cs="Arial"/>
          <w:sz w:val="22"/>
          <w:szCs w:val="22"/>
        </w:rPr>
        <w:t>)</w:t>
      </w:r>
      <w:r w:rsidRPr="00D10ED2">
        <w:rPr>
          <w:rFonts w:ascii="Arial" w:hAnsi="Arial" w:cs="Arial"/>
          <w:sz w:val="22"/>
          <w:szCs w:val="22"/>
        </w:rPr>
        <w:t xml:space="preserve"> patients who were resistant or intolerant to </w:t>
      </w:r>
      <w:proofErr w:type="spellStart"/>
      <w:r w:rsidR="008C24A7" w:rsidRPr="008C24A7">
        <w:rPr>
          <w:rFonts w:ascii="Arial" w:hAnsi="Arial" w:cs="Arial"/>
          <w:sz w:val="22"/>
          <w:szCs w:val="22"/>
        </w:rPr>
        <w:t>nil</w:t>
      </w:r>
      <w:r w:rsidR="008C24A7">
        <w:rPr>
          <w:rFonts w:ascii="Arial" w:hAnsi="Arial" w:cs="Arial"/>
          <w:sz w:val="22"/>
          <w:szCs w:val="22"/>
        </w:rPr>
        <w:t>otinib</w:t>
      </w:r>
      <w:proofErr w:type="spellEnd"/>
      <w:r w:rsidR="008C24A7">
        <w:rPr>
          <w:rFonts w:ascii="Arial" w:hAnsi="Arial" w:cs="Arial"/>
          <w:sz w:val="22"/>
          <w:szCs w:val="22"/>
        </w:rPr>
        <w:t xml:space="preserve"> or </w:t>
      </w:r>
      <w:proofErr w:type="spellStart"/>
      <w:r w:rsidR="008C24A7">
        <w:rPr>
          <w:rFonts w:ascii="Arial" w:hAnsi="Arial" w:cs="Arial"/>
          <w:sz w:val="22"/>
          <w:szCs w:val="22"/>
        </w:rPr>
        <w:t>dasatinib</w:t>
      </w:r>
      <w:proofErr w:type="spellEnd"/>
      <w:r w:rsidR="008C24A7">
        <w:rPr>
          <w:rFonts w:ascii="Arial" w:hAnsi="Arial" w:cs="Arial"/>
          <w:sz w:val="22"/>
          <w:szCs w:val="22"/>
        </w:rPr>
        <w:t xml:space="preserve">, or who had </w:t>
      </w:r>
      <w:r w:rsidR="008C24A7" w:rsidRPr="008C24A7">
        <w:rPr>
          <w:rFonts w:ascii="Arial" w:hAnsi="Arial" w:cs="Arial"/>
          <w:sz w:val="22"/>
          <w:szCs w:val="22"/>
        </w:rPr>
        <w:t>the T315I mutation</w:t>
      </w:r>
      <w:r w:rsidR="008C24A7">
        <w:rPr>
          <w:rFonts w:ascii="Arial" w:hAnsi="Arial" w:cs="Arial"/>
          <w:sz w:val="22"/>
          <w:szCs w:val="22"/>
        </w:rPr>
        <w:t xml:space="preserve"> </w:t>
      </w:r>
      <w:r w:rsidRPr="00D10ED2">
        <w:rPr>
          <w:rFonts w:ascii="Arial" w:hAnsi="Arial" w:cs="Arial"/>
          <w:sz w:val="22"/>
          <w:szCs w:val="22"/>
        </w:rPr>
        <w:t xml:space="preserve">were evaluated in a single-arm, </w:t>
      </w:r>
      <w:r w:rsidR="00DC00CC">
        <w:rPr>
          <w:rFonts w:ascii="Arial" w:hAnsi="Arial" w:cs="Arial"/>
          <w:sz w:val="22"/>
          <w:szCs w:val="22"/>
        </w:rPr>
        <w:t xml:space="preserve">phase 2, </w:t>
      </w:r>
      <w:r w:rsidRPr="00D10ED2">
        <w:rPr>
          <w:rFonts w:ascii="Arial" w:hAnsi="Arial" w:cs="Arial"/>
          <w:sz w:val="22"/>
          <w:szCs w:val="22"/>
        </w:rPr>
        <w:t xml:space="preserve">open-label, international, </w:t>
      </w:r>
      <w:proofErr w:type="spellStart"/>
      <w:r w:rsidRPr="00D10ED2">
        <w:rPr>
          <w:rFonts w:ascii="Arial" w:hAnsi="Arial" w:cs="Arial"/>
          <w:sz w:val="22"/>
          <w:szCs w:val="22"/>
        </w:rPr>
        <w:t>multicent</w:t>
      </w:r>
      <w:r w:rsidR="00DC00CC">
        <w:rPr>
          <w:rFonts w:ascii="Arial" w:hAnsi="Arial" w:cs="Arial"/>
          <w:sz w:val="22"/>
          <w:szCs w:val="22"/>
        </w:rPr>
        <w:t>r</w:t>
      </w:r>
      <w:r w:rsidRPr="00D10ED2">
        <w:rPr>
          <w:rFonts w:ascii="Arial" w:hAnsi="Arial" w:cs="Arial"/>
          <w:sz w:val="22"/>
          <w:szCs w:val="22"/>
        </w:rPr>
        <w:t>e</w:t>
      </w:r>
      <w:proofErr w:type="spellEnd"/>
      <w:r w:rsidRPr="00D10ED2">
        <w:rPr>
          <w:rFonts w:ascii="Arial" w:hAnsi="Arial" w:cs="Arial"/>
          <w:sz w:val="22"/>
          <w:szCs w:val="22"/>
        </w:rPr>
        <w:t xml:space="preserve"> trial. All patients were administered 45 mg of </w:t>
      </w:r>
      <w:r w:rsidR="0011623F" w:rsidRPr="00D10ED2">
        <w:rPr>
          <w:rFonts w:ascii="Arial" w:hAnsi="Arial" w:cs="Arial"/>
          <w:sz w:val="22"/>
          <w:szCs w:val="22"/>
        </w:rPr>
        <w:t>ICLUSIG</w:t>
      </w:r>
      <w:r w:rsidRPr="00D10ED2">
        <w:rPr>
          <w:rFonts w:ascii="Arial" w:hAnsi="Arial" w:cs="Arial"/>
          <w:sz w:val="22"/>
          <w:szCs w:val="22"/>
        </w:rPr>
        <w:t xml:space="preserve"> once-daily with the possibility of dose de-escalations and dose interruptions followed by dose resumption and re-escalation. Patients were assigned to one of six cohorts based on disease phase (</w:t>
      </w:r>
      <w:r w:rsidR="007F180D" w:rsidRPr="007F180D">
        <w:rPr>
          <w:rFonts w:ascii="Arial" w:hAnsi="Arial" w:cs="Arial"/>
          <w:sz w:val="22"/>
          <w:szCs w:val="22"/>
        </w:rPr>
        <w:t>chronic phase</w:t>
      </w:r>
      <w:r w:rsidR="007F180D">
        <w:rPr>
          <w:rFonts w:ascii="Arial" w:hAnsi="Arial" w:cs="Arial"/>
          <w:sz w:val="22"/>
          <w:szCs w:val="22"/>
        </w:rPr>
        <w:t xml:space="preserve"> (</w:t>
      </w:r>
      <w:r w:rsidRPr="00D10ED2">
        <w:rPr>
          <w:rFonts w:ascii="Arial" w:hAnsi="Arial" w:cs="Arial"/>
          <w:sz w:val="22"/>
          <w:szCs w:val="22"/>
        </w:rPr>
        <w:t>CP</w:t>
      </w:r>
      <w:r w:rsidR="007F180D">
        <w:rPr>
          <w:rFonts w:ascii="Arial" w:hAnsi="Arial" w:cs="Arial"/>
          <w:sz w:val="22"/>
          <w:szCs w:val="22"/>
        </w:rPr>
        <w:t>)</w:t>
      </w:r>
      <w:r w:rsidRPr="00D10ED2">
        <w:rPr>
          <w:rFonts w:ascii="Arial" w:hAnsi="Arial" w:cs="Arial"/>
          <w:sz w:val="22"/>
          <w:szCs w:val="22"/>
        </w:rPr>
        <w:t xml:space="preserve">-CML; </w:t>
      </w:r>
      <w:r w:rsidR="007F180D" w:rsidRPr="007F180D">
        <w:rPr>
          <w:rFonts w:ascii="Arial" w:hAnsi="Arial" w:cs="Arial"/>
          <w:sz w:val="22"/>
          <w:szCs w:val="22"/>
        </w:rPr>
        <w:t>accelerated phase</w:t>
      </w:r>
      <w:r w:rsidR="007F180D">
        <w:rPr>
          <w:rFonts w:ascii="Arial" w:hAnsi="Arial" w:cs="Arial"/>
          <w:sz w:val="22"/>
          <w:szCs w:val="22"/>
        </w:rPr>
        <w:t xml:space="preserve"> (</w:t>
      </w:r>
      <w:r w:rsidRPr="00D10ED2">
        <w:rPr>
          <w:rFonts w:ascii="Arial" w:hAnsi="Arial" w:cs="Arial"/>
          <w:sz w:val="22"/>
          <w:szCs w:val="22"/>
        </w:rPr>
        <w:t>AP</w:t>
      </w:r>
      <w:r w:rsidR="007F180D">
        <w:rPr>
          <w:rFonts w:ascii="Arial" w:hAnsi="Arial" w:cs="Arial"/>
          <w:sz w:val="22"/>
          <w:szCs w:val="22"/>
        </w:rPr>
        <w:t>)</w:t>
      </w:r>
      <w:r w:rsidRPr="00D10ED2">
        <w:rPr>
          <w:rFonts w:ascii="Arial" w:hAnsi="Arial" w:cs="Arial"/>
          <w:sz w:val="22"/>
          <w:szCs w:val="22"/>
        </w:rPr>
        <w:t xml:space="preserve">-CML; or </w:t>
      </w:r>
      <w:r w:rsidR="007F180D" w:rsidRPr="007F180D">
        <w:rPr>
          <w:rFonts w:ascii="Arial" w:hAnsi="Arial" w:cs="Arial"/>
          <w:sz w:val="22"/>
          <w:szCs w:val="22"/>
        </w:rPr>
        <w:t>blast phase</w:t>
      </w:r>
      <w:r w:rsidR="007F180D">
        <w:rPr>
          <w:rFonts w:ascii="Arial" w:hAnsi="Arial" w:cs="Arial"/>
          <w:sz w:val="22"/>
          <w:szCs w:val="22"/>
        </w:rPr>
        <w:t xml:space="preserve"> (</w:t>
      </w:r>
      <w:r w:rsidRPr="00D10ED2">
        <w:rPr>
          <w:rFonts w:ascii="Arial" w:hAnsi="Arial" w:cs="Arial"/>
          <w:sz w:val="22"/>
          <w:szCs w:val="22"/>
        </w:rPr>
        <w:t>BP</w:t>
      </w:r>
      <w:r w:rsidR="007F180D">
        <w:rPr>
          <w:rFonts w:ascii="Arial" w:hAnsi="Arial" w:cs="Arial"/>
          <w:sz w:val="22"/>
          <w:szCs w:val="22"/>
        </w:rPr>
        <w:t>)</w:t>
      </w:r>
      <w:r w:rsidRPr="00D10ED2">
        <w:rPr>
          <w:rFonts w:ascii="Arial" w:hAnsi="Arial" w:cs="Arial"/>
          <w:sz w:val="22"/>
          <w:szCs w:val="22"/>
        </w:rPr>
        <w:t>-CML/</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resistance or intolerance (R/I) to </w:t>
      </w:r>
      <w:proofErr w:type="spellStart"/>
      <w:r w:rsidRPr="00D10ED2">
        <w:rPr>
          <w:rFonts w:ascii="Arial" w:hAnsi="Arial" w:cs="Arial"/>
          <w:sz w:val="22"/>
          <w:szCs w:val="22"/>
        </w:rPr>
        <w:t>dasatinib</w:t>
      </w:r>
      <w:proofErr w:type="spellEnd"/>
      <w:r w:rsidRPr="00D10ED2">
        <w:rPr>
          <w:rFonts w:ascii="Arial" w:hAnsi="Arial" w:cs="Arial"/>
          <w:sz w:val="22"/>
          <w:szCs w:val="22"/>
        </w:rPr>
        <w:t xml:space="preserve"> or </w:t>
      </w:r>
      <w:proofErr w:type="spellStart"/>
      <w:r w:rsidRPr="00D10ED2">
        <w:rPr>
          <w:rFonts w:ascii="Arial" w:hAnsi="Arial" w:cs="Arial"/>
          <w:sz w:val="22"/>
          <w:szCs w:val="22"/>
        </w:rPr>
        <w:t>nilotinib</w:t>
      </w:r>
      <w:proofErr w:type="spellEnd"/>
      <w:r w:rsidRPr="00D10ED2">
        <w:rPr>
          <w:rFonts w:ascii="Arial" w:hAnsi="Arial" w:cs="Arial"/>
          <w:sz w:val="22"/>
          <w:szCs w:val="22"/>
        </w:rPr>
        <w:t>, and the presence of the T315I mutation.</w:t>
      </w:r>
      <w:r w:rsidRPr="00DC00CC">
        <w:rPr>
          <w:rFonts w:ascii="Arial" w:hAnsi="Arial" w:cs="Arial"/>
          <w:sz w:val="22"/>
          <w:szCs w:val="22"/>
        </w:rPr>
        <w:t xml:space="preserve"> </w:t>
      </w:r>
      <w:r w:rsidR="00E647B9">
        <w:rPr>
          <w:rFonts w:ascii="Arial" w:hAnsi="Arial" w:cs="Arial"/>
          <w:sz w:val="22"/>
          <w:szCs w:val="22"/>
        </w:rPr>
        <w:t>Although not an entry requirement, 96% percent</w:t>
      </w:r>
      <w:r w:rsidR="00DC00CC" w:rsidRPr="00DC00CC">
        <w:rPr>
          <w:rFonts w:ascii="Arial" w:hAnsi="Arial" w:cs="Arial"/>
          <w:sz w:val="22"/>
          <w:szCs w:val="22"/>
        </w:rPr>
        <w:t xml:space="preserve"> of patients in the phase 2 trial had experienced failure of prior </w:t>
      </w:r>
      <w:proofErr w:type="spellStart"/>
      <w:r w:rsidR="00DC00CC" w:rsidRPr="00DC00CC">
        <w:rPr>
          <w:rFonts w:ascii="Arial" w:hAnsi="Arial" w:cs="Arial"/>
          <w:sz w:val="22"/>
          <w:szCs w:val="22"/>
        </w:rPr>
        <w:t>imatinib</w:t>
      </w:r>
      <w:proofErr w:type="spellEnd"/>
      <w:r w:rsidR="00DC00CC" w:rsidRPr="00DC00CC">
        <w:rPr>
          <w:rFonts w:ascii="Arial" w:hAnsi="Arial" w:cs="Arial"/>
          <w:sz w:val="22"/>
          <w:szCs w:val="22"/>
        </w:rPr>
        <w:t xml:space="preserve"> therapy.</w:t>
      </w:r>
    </w:p>
    <w:p w14:paraId="60BEA4F0" w14:textId="77777777" w:rsidR="00E70B03" w:rsidRPr="00D10ED2" w:rsidRDefault="00E70B03" w:rsidP="00E70B03">
      <w:pPr>
        <w:rPr>
          <w:rFonts w:ascii="Arial" w:hAnsi="Arial" w:cs="Arial"/>
          <w:sz w:val="22"/>
          <w:szCs w:val="22"/>
        </w:rPr>
      </w:pPr>
    </w:p>
    <w:p w14:paraId="0CCA7EA8" w14:textId="77777777" w:rsidR="00E70B03" w:rsidRPr="00D10ED2" w:rsidRDefault="00E70B03" w:rsidP="00E70B03">
      <w:pPr>
        <w:rPr>
          <w:rFonts w:ascii="Arial" w:hAnsi="Arial" w:cs="Arial"/>
          <w:sz w:val="22"/>
          <w:szCs w:val="22"/>
        </w:rPr>
      </w:pPr>
      <w:r w:rsidRPr="00D10ED2">
        <w:rPr>
          <w:rFonts w:ascii="Arial" w:hAnsi="Arial" w:cs="Arial"/>
          <w:sz w:val="22"/>
          <w:szCs w:val="22"/>
        </w:rPr>
        <w:t xml:space="preserve">Resistance in CP-CML was defined as failure to achieve either a complete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(by 3 months), a minor cytogenetic response (by 6 months), or a major cytogenetic response (by 12 months) while on </w:t>
      </w:r>
      <w:proofErr w:type="spellStart"/>
      <w:r w:rsidRPr="00D10ED2">
        <w:rPr>
          <w:rFonts w:ascii="Arial" w:hAnsi="Arial" w:cs="Arial"/>
          <w:sz w:val="22"/>
          <w:szCs w:val="22"/>
        </w:rPr>
        <w:t>dasatinib</w:t>
      </w:r>
      <w:proofErr w:type="spellEnd"/>
      <w:r w:rsidRPr="00D10ED2">
        <w:rPr>
          <w:rFonts w:ascii="Arial" w:hAnsi="Arial" w:cs="Arial"/>
          <w:sz w:val="22"/>
          <w:szCs w:val="22"/>
        </w:rPr>
        <w:t xml:space="preserve"> or </w:t>
      </w:r>
      <w:proofErr w:type="spellStart"/>
      <w:r w:rsidRPr="00D10ED2">
        <w:rPr>
          <w:rFonts w:ascii="Arial" w:hAnsi="Arial" w:cs="Arial"/>
          <w:sz w:val="22"/>
          <w:szCs w:val="22"/>
        </w:rPr>
        <w:t>nilotinib</w:t>
      </w:r>
      <w:proofErr w:type="spellEnd"/>
      <w:r w:rsidRPr="00D10ED2">
        <w:rPr>
          <w:rFonts w:ascii="Arial" w:hAnsi="Arial" w:cs="Arial"/>
          <w:sz w:val="22"/>
          <w:szCs w:val="22"/>
        </w:rPr>
        <w:t>. CP-CML patients who experienced a loss of response or development of a kinase domain mutation in the absence of a complete cytogenetic response or progression to AP-CML or BP</w:t>
      </w:r>
      <w:r w:rsidRPr="00D10ED2">
        <w:rPr>
          <w:rFonts w:ascii="Arial" w:hAnsi="Arial" w:cs="Arial"/>
          <w:sz w:val="22"/>
          <w:szCs w:val="22"/>
        </w:rPr>
        <w:noBreakHyphen/>
        <w:t xml:space="preserve">CML at any time on </w:t>
      </w:r>
      <w:proofErr w:type="spellStart"/>
      <w:r w:rsidRPr="00D10ED2">
        <w:rPr>
          <w:rFonts w:ascii="Arial" w:hAnsi="Arial" w:cs="Arial"/>
          <w:sz w:val="22"/>
          <w:szCs w:val="22"/>
        </w:rPr>
        <w:t>dasatinib</w:t>
      </w:r>
      <w:proofErr w:type="spellEnd"/>
      <w:r w:rsidRPr="00D10ED2">
        <w:rPr>
          <w:rFonts w:ascii="Arial" w:hAnsi="Arial" w:cs="Arial"/>
          <w:sz w:val="22"/>
          <w:szCs w:val="22"/>
        </w:rPr>
        <w:t xml:space="preserve"> or </w:t>
      </w:r>
      <w:proofErr w:type="spellStart"/>
      <w:r w:rsidRPr="00D10ED2">
        <w:rPr>
          <w:rFonts w:ascii="Arial" w:hAnsi="Arial" w:cs="Arial"/>
          <w:sz w:val="22"/>
          <w:szCs w:val="22"/>
        </w:rPr>
        <w:t>nilotinib</w:t>
      </w:r>
      <w:proofErr w:type="spellEnd"/>
      <w:r w:rsidRPr="00D10ED2">
        <w:rPr>
          <w:rFonts w:ascii="Arial" w:hAnsi="Arial" w:cs="Arial"/>
          <w:sz w:val="22"/>
          <w:szCs w:val="22"/>
        </w:rPr>
        <w:t xml:space="preserve"> were also considered resistant. Resistance in AP-CML and BP</w:t>
      </w:r>
      <w:r w:rsidRPr="00D10ED2">
        <w:rPr>
          <w:rFonts w:ascii="Arial" w:hAnsi="Arial" w:cs="Arial"/>
          <w:sz w:val="22"/>
          <w:szCs w:val="22"/>
        </w:rPr>
        <w:noBreakHyphen/>
        <w:t>CML/</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was defined as failure to achieve either a major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(AP-CML by 3 months, BP-CML/</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by 1 month), loss of major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(at any time), or development of kinase domain mutation in the absence of a major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while on </w:t>
      </w:r>
      <w:proofErr w:type="spellStart"/>
      <w:r w:rsidRPr="00D10ED2">
        <w:rPr>
          <w:rFonts w:ascii="Arial" w:hAnsi="Arial" w:cs="Arial"/>
          <w:sz w:val="22"/>
          <w:szCs w:val="22"/>
        </w:rPr>
        <w:t>dasatinib</w:t>
      </w:r>
      <w:proofErr w:type="spellEnd"/>
      <w:r w:rsidRPr="00D10ED2">
        <w:rPr>
          <w:rFonts w:ascii="Arial" w:hAnsi="Arial" w:cs="Arial"/>
          <w:sz w:val="22"/>
          <w:szCs w:val="22"/>
        </w:rPr>
        <w:t xml:space="preserve"> or </w:t>
      </w:r>
      <w:proofErr w:type="spellStart"/>
      <w:r w:rsidRPr="00D10ED2">
        <w:rPr>
          <w:rFonts w:ascii="Arial" w:hAnsi="Arial" w:cs="Arial"/>
          <w:sz w:val="22"/>
          <w:szCs w:val="22"/>
        </w:rPr>
        <w:t>nilotinib</w:t>
      </w:r>
      <w:proofErr w:type="spellEnd"/>
      <w:r w:rsidRPr="00D10ED2">
        <w:rPr>
          <w:rFonts w:ascii="Arial" w:hAnsi="Arial" w:cs="Arial"/>
          <w:sz w:val="22"/>
          <w:szCs w:val="22"/>
        </w:rPr>
        <w:t xml:space="preserve">. </w:t>
      </w:r>
    </w:p>
    <w:p w14:paraId="4F69A2FC" w14:textId="77777777" w:rsidR="00E70B03" w:rsidRPr="00D10ED2" w:rsidRDefault="00E70B03" w:rsidP="00E70B03">
      <w:pPr>
        <w:rPr>
          <w:rFonts w:ascii="Arial" w:hAnsi="Arial" w:cs="Arial"/>
          <w:sz w:val="22"/>
          <w:szCs w:val="22"/>
        </w:rPr>
      </w:pPr>
    </w:p>
    <w:p w14:paraId="229E80FB" w14:textId="1E4B2BBC" w:rsidR="00E70B03" w:rsidRPr="00D10ED2" w:rsidRDefault="00E70B03" w:rsidP="00E70B03">
      <w:pPr>
        <w:rPr>
          <w:rFonts w:ascii="Arial" w:hAnsi="Arial" w:cs="Arial"/>
          <w:sz w:val="22"/>
          <w:szCs w:val="22"/>
        </w:rPr>
      </w:pPr>
      <w:r w:rsidRPr="00D10ED2">
        <w:rPr>
          <w:rFonts w:ascii="Arial" w:hAnsi="Arial" w:cs="Arial"/>
          <w:sz w:val="22"/>
          <w:szCs w:val="22"/>
        </w:rPr>
        <w:t xml:space="preserve">Intolerance was defined as the discontinuation of </w:t>
      </w:r>
      <w:proofErr w:type="spellStart"/>
      <w:r w:rsidRPr="00D10ED2">
        <w:rPr>
          <w:rFonts w:ascii="Arial" w:hAnsi="Arial" w:cs="Arial"/>
          <w:sz w:val="22"/>
          <w:szCs w:val="22"/>
        </w:rPr>
        <w:t>dasatinib</w:t>
      </w:r>
      <w:proofErr w:type="spellEnd"/>
      <w:r w:rsidRPr="00D10ED2">
        <w:rPr>
          <w:rFonts w:ascii="Arial" w:hAnsi="Arial" w:cs="Arial"/>
          <w:sz w:val="22"/>
          <w:szCs w:val="22"/>
        </w:rPr>
        <w:t xml:space="preserve"> or </w:t>
      </w:r>
      <w:proofErr w:type="spellStart"/>
      <w:r w:rsidRPr="00D10ED2">
        <w:rPr>
          <w:rFonts w:ascii="Arial" w:hAnsi="Arial" w:cs="Arial"/>
          <w:sz w:val="22"/>
          <w:szCs w:val="22"/>
        </w:rPr>
        <w:t>nilotinib</w:t>
      </w:r>
      <w:proofErr w:type="spellEnd"/>
      <w:r w:rsidRPr="00D10ED2">
        <w:rPr>
          <w:rFonts w:ascii="Arial" w:hAnsi="Arial" w:cs="Arial"/>
          <w:sz w:val="22"/>
          <w:szCs w:val="22"/>
        </w:rPr>
        <w:t xml:space="preserve"> due to toxicities despite optimal management in the absence of a complete cytogenetic response for CP</w:t>
      </w:r>
      <w:r w:rsidR="00100740" w:rsidRPr="00D10ED2">
        <w:rPr>
          <w:rFonts w:ascii="Arial" w:hAnsi="Arial" w:cs="Arial"/>
          <w:sz w:val="22"/>
          <w:szCs w:val="22"/>
        </w:rPr>
        <w:t>-</w:t>
      </w:r>
      <w:r w:rsidRPr="00D10ED2">
        <w:rPr>
          <w:rFonts w:ascii="Arial" w:hAnsi="Arial" w:cs="Arial"/>
          <w:sz w:val="22"/>
          <w:szCs w:val="22"/>
        </w:rPr>
        <w:t xml:space="preserve">CML patients or major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for AP</w:t>
      </w:r>
      <w:r w:rsidR="00100740" w:rsidRPr="00D10ED2">
        <w:rPr>
          <w:rFonts w:ascii="Arial" w:hAnsi="Arial" w:cs="Arial"/>
          <w:sz w:val="22"/>
          <w:szCs w:val="22"/>
        </w:rPr>
        <w:t>-</w:t>
      </w:r>
      <w:r w:rsidRPr="00D10ED2">
        <w:rPr>
          <w:rFonts w:ascii="Arial" w:hAnsi="Arial" w:cs="Arial"/>
          <w:sz w:val="22"/>
          <w:szCs w:val="22"/>
        </w:rPr>
        <w:t>CML, BP</w:t>
      </w:r>
      <w:r w:rsidR="00100740" w:rsidRPr="00D10ED2">
        <w:rPr>
          <w:rFonts w:ascii="Arial" w:hAnsi="Arial" w:cs="Arial"/>
          <w:sz w:val="22"/>
          <w:szCs w:val="22"/>
        </w:rPr>
        <w:t>-</w:t>
      </w:r>
      <w:r w:rsidRPr="00D10ED2">
        <w:rPr>
          <w:rFonts w:ascii="Arial" w:hAnsi="Arial" w:cs="Arial"/>
          <w:sz w:val="22"/>
          <w:szCs w:val="22"/>
        </w:rPr>
        <w:t xml:space="preserve">CML, or </w:t>
      </w:r>
      <w:proofErr w:type="spellStart"/>
      <w:r w:rsidRPr="00D10ED2">
        <w:rPr>
          <w:rFonts w:ascii="Arial" w:hAnsi="Arial" w:cs="Arial"/>
          <w:sz w:val="22"/>
          <w:szCs w:val="22"/>
        </w:rPr>
        <w:t>Ph</w:t>
      </w:r>
      <w:proofErr w:type="spellEnd"/>
      <w:r w:rsidRPr="00D10ED2">
        <w:rPr>
          <w:rFonts w:ascii="Arial" w:hAnsi="Arial" w:cs="Arial"/>
          <w:sz w:val="22"/>
          <w:szCs w:val="22"/>
        </w:rPr>
        <w:t>+ ALL patients.</w:t>
      </w:r>
    </w:p>
    <w:p w14:paraId="35C6D215" w14:textId="77777777" w:rsidR="00E70B03" w:rsidRPr="00D10ED2" w:rsidRDefault="00E70B03" w:rsidP="00E70B03">
      <w:pPr>
        <w:rPr>
          <w:rFonts w:ascii="Arial" w:hAnsi="Arial" w:cs="Arial"/>
          <w:sz w:val="22"/>
          <w:szCs w:val="22"/>
        </w:rPr>
      </w:pPr>
    </w:p>
    <w:p w14:paraId="2776529C" w14:textId="77777777" w:rsidR="00E70B03" w:rsidRPr="00D10ED2" w:rsidRDefault="00E70B03" w:rsidP="00E70B03">
      <w:pPr>
        <w:rPr>
          <w:rFonts w:ascii="Arial" w:hAnsi="Arial" w:cs="Arial"/>
          <w:sz w:val="22"/>
          <w:szCs w:val="22"/>
        </w:rPr>
      </w:pPr>
      <w:r w:rsidRPr="00D10ED2">
        <w:rPr>
          <w:rFonts w:ascii="Arial" w:hAnsi="Arial" w:cs="Arial"/>
          <w:sz w:val="22"/>
          <w:szCs w:val="22"/>
        </w:rPr>
        <w:t>The primary efficacy endpoint in CP-CML was major cytogenetic response (</w:t>
      </w:r>
      <w:proofErr w:type="spellStart"/>
      <w:r w:rsidRPr="00D10ED2">
        <w:rPr>
          <w:rFonts w:ascii="Arial" w:hAnsi="Arial" w:cs="Arial"/>
          <w:sz w:val="22"/>
          <w:szCs w:val="22"/>
        </w:rPr>
        <w:t>MCyR</w:t>
      </w:r>
      <w:proofErr w:type="spellEnd"/>
      <w:r w:rsidRPr="00D10ED2">
        <w:rPr>
          <w:rFonts w:ascii="Arial" w:hAnsi="Arial" w:cs="Arial"/>
          <w:sz w:val="22"/>
          <w:szCs w:val="22"/>
        </w:rPr>
        <w:t>), which included complete and partial cytogenetic responses (</w:t>
      </w:r>
      <w:proofErr w:type="spellStart"/>
      <w:r w:rsidRPr="00D10ED2">
        <w:rPr>
          <w:rFonts w:ascii="Arial" w:hAnsi="Arial" w:cs="Arial"/>
          <w:sz w:val="22"/>
          <w:szCs w:val="22"/>
        </w:rPr>
        <w:t>CCyR</w:t>
      </w:r>
      <w:proofErr w:type="spellEnd"/>
      <w:r w:rsidRPr="00D10ED2">
        <w:rPr>
          <w:rFonts w:ascii="Arial" w:hAnsi="Arial" w:cs="Arial"/>
          <w:sz w:val="22"/>
          <w:szCs w:val="22"/>
        </w:rPr>
        <w:t xml:space="preserve"> and </w:t>
      </w:r>
      <w:proofErr w:type="spellStart"/>
      <w:r w:rsidRPr="00D10ED2">
        <w:rPr>
          <w:rFonts w:ascii="Arial" w:hAnsi="Arial" w:cs="Arial"/>
          <w:sz w:val="22"/>
          <w:szCs w:val="22"/>
        </w:rPr>
        <w:t>PCyR</w:t>
      </w:r>
      <w:proofErr w:type="spellEnd"/>
      <w:r w:rsidRPr="00D10ED2">
        <w:rPr>
          <w:rFonts w:ascii="Arial" w:hAnsi="Arial" w:cs="Arial"/>
          <w:sz w:val="22"/>
          <w:szCs w:val="22"/>
        </w:rPr>
        <w:t xml:space="preserve">). The secondary efficacy endpoints in CP-CML were complete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(CHR) and major molecular response (MMR).</w:t>
      </w:r>
    </w:p>
    <w:p w14:paraId="014C027E" w14:textId="77777777" w:rsidR="00E70B03" w:rsidRPr="00D10ED2" w:rsidRDefault="00E70B03" w:rsidP="00E70B03">
      <w:pPr>
        <w:rPr>
          <w:rFonts w:ascii="Arial" w:hAnsi="Arial" w:cs="Arial"/>
          <w:sz w:val="22"/>
          <w:szCs w:val="22"/>
        </w:rPr>
      </w:pPr>
    </w:p>
    <w:p w14:paraId="5C084AC1" w14:textId="77777777" w:rsidR="00E70B03" w:rsidRPr="00D10ED2" w:rsidRDefault="00E70B03" w:rsidP="00E70B03">
      <w:pPr>
        <w:rPr>
          <w:rFonts w:ascii="Arial" w:hAnsi="Arial" w:cs="Arial"/>
          <w:sz w:val="22"/>
          <w:szCs w:val="22"/>
        </w:rPr>
      </w:pPr>
      <w:r w:rsidRPr="00D10ED2">
        <w:rPr>
          <w:rFonts w:ascii="Arial" w:hAnsi="Arial" w:cs="Arial"/>
          <w:sz w:val="22"/>
          <w:szCs w:val="22"/>
        </w:rPr>
        <w:t>The primary efficacy endpoint in AP-CML and BP-CML/</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was major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w:t>
      </w:r>
      <w:proofErr w:type="spellStart"/>
      <w:r w:rsidRPr="00D10ED2">
        <w:rPr>
          <w:rFonts w:ascii="Arial" w:hAnsi="Arial" w:cs="Arial"/>
          <w:sz w:val="22"/>
          <w:szCs w:val="22"/>
        </w:rPr>
        <w:t>MaHR</w:t>
      </w:r>
      <w:proofErr w:type="spellEnd"/>
      <w:r w:rsidRPr="00D10ED2">
        <w:rPr>
          <w:rFonts w:ascii="Arial" w:hAnsi="Arial" w:cs="Arial"/>
          <w:sz w:val="22"/>
          <w:szCs w:val="22"/>
        </w:rPr>
        <w:t xml:space="preserve">), defined as either a complete </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response (CHR) or no evidence of </w:t>
      </w:r>
      <w:proofErr w:type="spellStart"/>
      <w:r w:rsidRPr="00D10ED2">
        <w:rPr>
          <w:rFonts w:ascii="Arial" w:hAnsi="Arial" w:cs="Arial"/>
          <w:sz w:val="22"/>
          <w:szCs w:val="22"/>
        </w:rPr>
        <w:t>leukaemia</w:t>
      </w:r>
      <w:proofErr w:type="spellEnd"/>
      <w:r w:rsidRPr="00D10ED2">
        <w:rPr>
          <w:rFonts w:ascii="Arial" w:hAnsi="Arial" w:cs="Arial"/>
          <w:sz w:val="22"/>
          <w:szCs w:val="22"/>
        </w:rPr>
        <w:t xml:space="preserve"> (NEL). The secondary efficacy endpoints in AP-CML and BP-CML/</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were </w:t>
      </w:r>
      <w:proofErr w:type="spellStart"/>
      <w:r w:rsidRPr="00D10ED2">
        <w:rPr>
          <w:rFonts w:ascii="Arial" w:hAnsi="Arial" w:cs="Arial"/>
          <w:sz w:val="22"/>
          <w:szCs w:val="22"/>
        </w:rPr>
        <w:t>MCyR</w:t>
      </w:r>
      <w:proofErr w:type="spellEnd"/>
      <w:r w:rsidRPr="00D10ED2">
        <w:rPr>
          <w:rFonts w:ascii="Arial" w:hAnsi="Arial" w:cs="Arial"/>
          <w:sz w:val="22"/>
          <w:szCs w:val="22"/>
        </w:rPr>
        <w:t xml:space="preserve"> and MMR.</w:t>
      </w:r>
    </w:p>
    <w:p w14:paraId="4528A3AF" w14:textId="77777777" w:rsidR="00E70B03" w:rsidRPr="00D10ED2" w:rsidRDefault="00E70B03" w:rsidP="00E70B03">
      <w:pPr>
        <w:rPr>
          <w:rFonts w:ascii="Arial" w:hAnsi="Arial" w:cs="Arial"/>
          <w:sz w:val="22"/>
          <w:szCs w:val="22"/>
        </w:rPr>
      </w:pPr>
    </w:p>
    <w:p w14:paraId="431C4026" w14:textId="77777777" w:rsidR="00E70B03" w:rsidRPr="00D10ED2" w:rsidRDefault="00E70B03" w:rsidP="00E70B03">
      <w:pPr>
        <w:rPr>
          <w:rFonts w:ascii="Arial" w:hAnsi="Arial" w:cs="Arial"/>
          <w:sz w:val="22"/>
          <w:szCs w:val="22"/>
        </w:rPr>
      </w:pPr>
      <w:r w:rsidRPr="00D10ED2">
        <w:rPr>
          <w:rFonts w:ascii="Arial" w:hAnsi="Arial" w:cs="Arial"/>
          <w:sz w:val="22"/>
          <w:szCs w:val="22"/>
        </w:rPr>
        <w:t xml:space="preserve">For all patients, additional secondary efficacy endpoints included: confirmed </w:t>
      </w:r>
      <w:proofErr w:type="spellStart"/>
      <w:r w:rsidRPr="00D10ED2">
        <w:rPr>
          <w:rFonts w:ascii="Arial" w:hAnsi="Arial" w:cs="Arial"/>
          <w:sz w:val="22"/>
          <w:szCs w:val="22"/>
        </w:rPr>
        <w:t>MCyR</w:t>
      </w:r>
      <w:proofErr w:type="spellEnd"/>
      <w:r w:rsidRPr="00D10ED2">
        <w:rPr>
          <w:rFonts w:ascii="Arial" w:hAnsi="Arial" w:cs="Arial"/>
          <w:sz w:val="22"/>
          <w:szCs w:val="22"/>
        </w:rPr>
        <w:t>, time to response, duration of response, progression free survival, and overall survival.</w:t>
      </w:r>
    </w:p>
    <w:p w14:paraId="2DD5C7E6" w14:textId="77777777" w:rsidR="00E70B03" w:rsidRPr="00D10ED2" w:rsidRDefault="00E70B03" w:rsidP="00E70B03">
      <w:pPr>
        <w:rPr>
          <w:rFonts w:ascii="Arial" w:hAnsi="Arial" w:cs="Arial"/>
          <w:sz w:val="22"/>
          <w:szCs w:val="22"/>
        </w:rPr>
      </w:pPr>
    </w:p>
    <w:p w14:paraId="7D629113" w14:textId="3D4C1596" w:rsidR="00E70B03" w:rsidRPr="00D10ED2" w:rsidRDefault="00E70B03" w:rsidP="00E70B03">
      <w:pPr>
        <w:rPr>
          <w:rFonts w:ascii="Arial" w:hAnsi="Arial" w:cs="Arial"/>
          <w:sz w:val="22"/>
          <w:szCs w:val="22"/>
        </w:rPr>
      </w:pPr>
      <w:r w:rsidRPr="00D10ED2">
        <w:rPr>
          <w:rFonts w:ascii="Arial" w:hAnsi="Arial" w:cs="Arial"/>
          <w:sz w:val="22"/>
          <w:szCs w:val="22"/>
        </w:rPr>
        <w:t xml:space="preserve">The trial enrolled 449 patients of which 444 were eligible for analysis: 267 CP-CML patients (R/I Cohort: n=203, T315I Cohort: n=64), 83 AP-CML patients (R/I Cohort: n=65, T315I Cohort: n=18), 62 BP-CML (R/I Cohort: n=38, T315I Cohort: n=24), and 32 </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patients (R/I Cohort: n=10, T315I Cohort: n=22). </w:t>
      </w:r>
      <w:r w:rsidRPr="00D10ED2">
        <w:rPr>
          <w:rFonts w:ascii="Arial" w:hAnsi="Arial" w:cs="Arial"/>
          <w:color w:val="000000"/>
          <w:sz w:val="22"/>
          <w:szCs w:val="22"/>
        </w:rPr>
        <w:t xml:space="preserve">A prior </w:t>
      </w:r>
      <w:proofErr w:type="spellStart"/>
      <w:r w:rsidRPr="00D10ED2">
        <w:rPr>
          <w:rFonts w:ascii="Arial" w:hAnsi="Arial" w:cs="Arial"/>
          <w:color w:val="000000"/>
          <w:sz w:val="22"/>
          <w:szCs w:val="22"/>
        </w:rPr>
        <w:t>MCyR</w:t>
      </w:r>
      <w:proofErr w:type="spellEnd"/>
      <w:r w:rsidRPr="00D10ED2">
        <w:rPr>
          <w:rFonts w:ascii="Arial" w:hAnsi="Arial" w:cs="Arial"/>
          <w:color w:val="000000"/>
          <w:sz w:val="22"/>
          <w:szCs w:val="22"/>
        </w:rPr>
        <w:t xml:space="preserve"> or better (</w:t>
      </w:r>
      <w:proofErr w:type="spellStart"/>
      <w:r w:rsidRPr="00D10ED2">
        <w:rPr>
          <w:rFonts w:ascii="Arial" w:hAnsi="Arial" w:cs="Arial"/>
          <w:color w:val="000000"/>
          <w:sz w:val="22"/>
          <w:szCs w:val="22"/>
        </w:rPr>
        <w:t>MCyR</w:t>
      </w:r>
      <w:proofErr w:type="spellEnd"/>
      <w:r w:rsidRPr="00D10ED2">
        <w:rPr>
          <w:rFonts w:ascii="Arial" w:hAnsi="Arial" w:cs="Arial"/>
          <w:color w:val="000000"/>
          <w:sz w:val="22"/>
          <w:szCs w:val="22"/>
        </w:rPr>
        <w:t xml:space="preserve">, MMR, or CMR) to </w:t>
      </w:r>
      <w:proofErr w:type="spellStart"/>
      <w:r w:rsidRPr="00D10ED2">
        <w:rPr>
          <w:rFonts w:ascii="Arial" w:hAnsi="Arial" w:cs="Arial"/>
          <w:color w:val="000000"/>
          <w:sz w:val="22"/>
          <w:szCs w:val="22"/>
        </w:rPr>
        <w:t>dasatinib</w:t>
      </w:r>
      <w:proofErr w:type="spellEnd"/>
      <w:r w:rsidRPr="00D10ED2">
        <w:rPr>
          <w:rFonts w:ascii="Arial" w:hAnsi="Arial" w:cs="Arial"/>
          <w:color w:val="000000"/>
          <w:sz w:val="22"/>
          <w:szCs w:val="22"/>
        </w:rPr>
        <w:t xml:space="preserve"> or </w:t>
      </w:r>
      <w:proofErr w:type="spellStart"/>
      <w:r w:rsidRPr="00D10ED2">
        <w:rPr>
          <w:rFonts w:ascii="Arial" w:hAnsi="Arial" w:cs="Arial"/>
          <w:color w:val="000000"/>
          <w:sz w:val="22"/>
          <w:szCs w:val="22"/>
        </w:rPr>
        <w:t>nilotinib</w:t>
      </w:r>
      <w:proofErr w:type="spellEnd"/>
      <w:r w:rsidRPr="00D10ED2">
        <w:rPr>
          <w:rFonts w:ascii="Arial" w:hAnsi="Arial" w:cs="Arial"/>
          <w:color w:val="000000"/>
          <w:sz w:val="22"/>
          <w:szCs w:val="22"/>
        </w:rPr>
        <w:t xml:space="preserve"> was only achieved in 26% patients with CP-CML and a prior </w:t>
      </w:r>
      <w:proofErr w:type="spellStart"/>
      <w:r w:rsidRPr="00D10ED2">
        <w:rPr>
          <w:rFonts w:ascii="Arial" w:hAnsi="Arial" w:cs="Arial"/>
          <w:color w:val="000000"/>
          <w:sz w:val="22"/>
          <w:szCs w:val="22"/>
        </w:rPr>
        <w:t>MaHR</w:t>
      </w:r>
      <w:proofErr w:type="spellEnd"/>
      <w:r w:rsidRPr="00D10ED2">
        <w:rPr>
          <w:rFonts w:ascii="Arial" w:hAnsi="Arial" w:cs="Arial"/>
          <w:color w:val="000000"/>
          <w:sz w:val="22"/>
          <w:szCs w:val="22"/>
        </w:rPr>
        <w:t xml:space="preserve"> or better (</w:t>
      </w:r>
      <w:proofErr w:type="spellStart"/>
      <w:r w:rsidRPr="00D10ED2">
        <w:rPr>
          <w:rFonts w:ascii="Arial" w:hAnsi="Arial" w:cs="Arial"/>
          <w:color w:val="000000"/>
          <w:sz w:val="22"/>
          <w:szCs w:val="22"/>
        </w:rPr>
        <w:t>MaHR</w:t>
      </w:r>
      <w:proofErr w:type="spellEnd"/>
      <w:r w:rsidRPr="00D10ED2">
        <w:rPr>
          <w:rFonts w:ascii="Arial" w:hAnsi="Arial" w:cs="Arial"/>
          <w:color w:val="000000"/>
          <w:sz w:val="22"/>
          <w:szCs w:val="22"/>
        </w:rPr>
        <w:t xml:space="preserve">, </w:t>
      </w:r>
      <w:proofErr w:type="spellStart"/>
      <w:r w:rsidRPr="00D10ED2">
        <w:rPr>
          <w:rFonts w:ascii="Arial" w:hAnsi="Arial" w:cs="Arial"/>
          <w:color w:val="000000"/>
          <w:sz w:val="22"/>
          <w:szCs w:val="22"/>
        </w:rPr>
        <w:t>MCyR</w:t>
      </w:r>
      <w:proofErr w:type="spellEnd"/>
      <w:r w:rsidRPr="00D10ED2">
        <w:rPr>
          <w:rFonts w:ascii="Arial" w:hAnsi="Arial" w:cs="Arial"/>
          <w:color w:val="000000"/>
          <w:sz w:val="22"/>
          <w:szCs w:val="22"/>
        </w:rPr>
        <w:t>, MMR, or CMR) was only achieved in 21%, and 24% of AP-CML, and BP-CML/</w:t>
      </w:r>
      <w:proofErr w:type="spellStart"/>
      <w:r w:rsidRPr="00D10ED2">
        <w:rPr>
          <w:rFonts w:ascii="Arial" w:hAnsi="Arial" w:cs="Arial"/>
          <w:color w:val="000000"/>
          <w:sz w:val="22"/>
          <w:szCs w:val="22"/>
        </w:rPr>
        <w:t>Ph+ALL</w:t>
      </w:r>
      <w:proofErr w:type="spellEnd"/>
      <w:r w:rsidRPr="00D10ED2">
        <w:rPr>
          <w:rFonts w:ascii="Arial" w:hAnsi="Arial" w:cs="Arial"/>
          <w:color w:val="000000"/>
          <w:sz w:val="22"/>
          <w:szCs w:val="22"/>
        </w:rPr>
        <w:t xml:space="preserve"> patients, respectively.</w:t>
      </w:r>
      <w:r w:rsidRPr="00D10ED2">
        <w:rPr>
          <w:rFonts w:ascii="Arial" w:hAnsi="Arial" w:cs="Arial"/>
          <w:color w:val="1F497D"/>
        </w:rPr>
        <w:t xml:space="preserve"> </w:t>
      </w:r>
      <w:r w:rsidRPr="00D10ED2">
        <w:rPr>
          <w:rFonts w:ascii="Arial" w:hAnsi="Arial" w:cs="Arial"/>
          <w:sz w:val="22"/>
          <w:szCs w:val="22"/>
        </w:rPr>
        <w:t>At the time of analysis, patients had a minimum follow-up of 6 months (median follow-up: 10 months). Baseline demographic characte</w:t>
      </w:r>
      <w:r w:rsidR="00F747C6" w:rsidRPr="00D10ED2">
        <w:rPr>
          <w:rFonts w:ascii="Arial" w:hAnsi="Arial" w:cs="Arial"/>
          <w:sz w:val="22"/>
          <w:szCs w:val="22"/>
        </w:rPr>
        <w:t>ristics are described in Table 1</w:t>
      </w:r>
      <w:r w:rsidRPr="00D10ED2">
        <w:rPr>
          <w:rFonts w:ascii="Arial" w:hAnsi="Arial" w:cs="Arial"/>
          <w:sz w:val="22"/>
          <w:szCs w:val="22"/>
        </w:rPr>
        <w:t xml:space="preserve"> below.</w:t>
      </w:r>
    </w:p>
    <w:p w14:paraId="496493E4" w14:textId="77777777" w:rsidR="00E70B03" w:rsidRPr="00D10ED2" w:rsidRDefault="00E70B03" w:rsidP="00E70B03">
      <w:pPr>
        <w:rPr>
          <w:rFonts w:ascii="Arial" w:hAnsi="Arial" w:cs="Arial"/>
          <w:sz w:val="22"/>
          <w:szCs w:val="22"/>
        </w:rPr>
      </w:pPr>
    </w:p>
    <w:p w14:paraId="328A73C3" w14:textId="77777777" w:rsidR="00E70B03" w:rsidRPr="00D10ED2" w:rsidRDefault="00F747C6" w:rsidP="00EC45EA">
      <w:pPr>
        <w:pStyle w:val="Table"/>
        <w:tabs>
          <w:tab w:val="clear" w:pos="1008"/>
        </w:tabs>
        <w:spacing w:after="0"/>
        <w:ind w:left="1138" w:hanging="1138"/>
        <w:jc w:val="left"/>
        <w:rPr>
          <w:rFonts w:ascii="Arial" w:hAnsi="Arial" w:cs="Arial"/>
          <w:sz w:val="22"/>
          <w:szCs w:val="22"/>
        </w:rPr>
      </w:pPr>
      <w:r w:rsidRPr="00D10ED2">
        <w:rPr>
          <w:rFonts w:ascii="Arial" w:hAnsi="Arial" w:cs="Arial"/>
          <w:sz w:val="22"/>
          <w:szCs w:val="22"/>
        </w:rPr>
        <w:t>Table 1</w:t>
      </w:r>
      <w:r w:rsidR="00E70B03" w:rsidRPr="00D10ED2">
        <w:rPr>
          <w:rFonts w:ascii="Arial" w:hAnsi="Arial" w:cs="Arial"/>
          <w:sz w:val="22"/>
          <w:szCs w:val="22"/>
        </w:rPr>
        <w:tab/>
        <w:t>Demographics and disease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gridCol w:w="2887"/>
      </w:tblGrid>
      <w:tr w:rsidR="00E70B03" w:rsidRPr="00D10ED2" w14:paraId="1D21C3D7" w14:textId="77777777" w:rsidTr="00EC45EA">
        <w:tc>
          <w:tcPr>
            <w:tcW w:w="3305" w:type="pct"/>
            <w:vAlign w:val="center"/>
          </w:tcPr>
          <w:p w14:paraId="0487C2D4"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Patient characteristics at entry</w:t>
            </w:r>
          </w:p>
        </w:tc>
        <w:tc>
          <w:tcPr>
            <w:tcW w:w="1695" w:type="pct"/>
            <w:vAlign w:val="bottom"/>
          </w:tcPr>
          <w:p w14:paraId="674A0153"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Total safety population</w:t>
            </w:r>
            <w:r w:rsidRPr="00D10ED2">
              <w:rPr>
                <w:rFonts w:ascii="Arial" w:hAnsi="Arial" w:cs="Arial"/>
                <w:sz w:val="22"/>
                <w:szCs w:val="22"/>
              </w:rPr>
              <w:br/>
              <w:t>N=449</w:t>
            </w:r>
          </w:p>
        </w:tc>
      </w:tr>
      <w:tr w:rsidR="00E70B03" w:rsidRPr="00D10ED2" w14:paraId="72F17035" w14:textId="77777777" w:rsidTr="00EC45EA">
        <w:tc>
          <w:tcPr>
            <w:tcW w:w="5000" w:type="pct"/>
            <w:gridSpan w:val="2"/>
            <w:vAlign w:val="bottom"/>
          </w:tcPr>
          <w:p w14:paraId="3362DE28" w14:textId="77777777" w:rsidR="00E70B03" w:rsidRPr="00D10ED2" w:rsidRDefault="00E70B03" w:rsidP="00E70B03">
            <w:pPr>
              <w:pStyle w:val="TableText10"/>
              <w:rPr>
                <w:rFonts w:ascii="Arial" w:hAnsi="Arial" w:cs="Arial"/>
                <w:b/>
                <w:sz w:val="22"/>
                <w:szCs w:val="22"/>
              </w:rPr>
            </w:pPr>
            <w:r w:rsidRPr="00D10ED2">
              <w:rPr>
                <w:rFonts w:ascii="Arial" w:hAnsi="Arial" w:cs="Arial"/>
                <w:b/>
                <w:sz w:val="22"/>
                <w:szCs w:val="22"/>
                <w:lang w:val="it-IT"/>
              </w:rPr>
              <w:t>Age</w:t>
            </w:r>
          </w:p>
        </w:tc>
      </w:tr>
      <w:tr w:rsidR="00E70B03" w:rsidRPr="00D10ED2" w14:paraId="6C979500" w14:textId="77777777" w:rsidTr="00EC45EA">
        <w:tc>
          <w:tcPr>
            <w:tcW w:w="3305" w:type="pct"/>
            <w:vAlign w:val="bottom"/>
          </w:tcPr>
          <w:p w14:paraId="336A8CA1" w14:textId="77777777" w:rsidR="00E70B03" w:rsidRPr="00D10ED2" w:rsidRDefault="00E70B03" w:rsidP="00E70B03">
            <w:pPr>
              <w:pStyle w:val="TableText10"/>
              <w:ind w:left="180"/>
              <w:rPr>
                <w:rFonts w:ascii="Arial" w:hAnsi="Arial" w:cs="Arial"/>
                <w:sz w:val="22"/>
                <w:szCs w:val="22"/>
                <w:lang w:val="it-IT"/>
              </w:rPr>
            </w:pPr>
            <w:r w:rsidRPr="00D10ED2">
              <w:rPr>
                <w:rFonts w:ascii="Arial" w:hAnsi="Arial" w:cs="Arial"/>
                <w:sz w:val="22"/>
                <w:szCs w:val="22"/>
                <w:lang w:val="it-IT"/>
              </w:rPr>
              <w:t>Median, years (range)</w:t>
            </w:r>
          </w:p>
        </w:tc>
        <w:tc>
          <w:tcPr>
            <w:tcW w:w="1695" w:type="pct"/>
            <w:vAlign w:val="bottom"/>
          </w:tcPr>
          <w:p w14:paraId="19A1BB35"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59 (18 - 94)</w:t>
            </w:r>
          </w:p>
        </w:tc>
      </w:tr>
      <w:tr w:rsidR="00E70B03" w:rsidRPr="00D10ED2" w14:paraId="331AA1EA" w14:textId="77777777" w:rsidTr="00EC45EA">
        <w:tc>
          <w:tcPr>
            <w:tcW w:w="5000" w:type="pct"/>
            <w:gridSpan w:val="2"/>
            <w:vAlign w:val="bottom"/>
          </w:tcPr>
          <w:p w14:paraId="0E3C1C69" w14:textId="77777777" w:rsidR="00E70B03" w:rsidRPr="00D10ED2" w:rsidRDefault="00E70B03" w:rsidP="00E70B03">
            <w:pPr>
              <w:pStyle w:val="TableText10"/>
              <w:rPr>
                <w:rFonts w:ascii="Arial" w:hAnsi="Arial" w:cs="Arial"/>
                <w:b/>
                <w:sz w:val="22"/>
                <w:szCs w:val="22"/>
              </w:rPr>
            </w:pPr>
            <w:r w:rsidRPr="00D10ED2">
              <w:rPr>
                <w:rFonts w:ascii="Arial" w:hAnsi="Arial" w:cs="Arial"/>
                <w:b/>
                <w:sz w:val="22"/>
                <w:szCs w:val="22"/>
                <w:lang w:val="it-IT"/>
              </w:rPr>
              <w:t>Gender, n (%)</w:t>
            </w:r>
          </w:p>
        </w:tc>
      </w:tr>
      <w:tr w:rsidR="00E70B03" w:rsidRPr="00D10ED2" w14:paraId="6C5DCEBC" w14:textId="77777777" w:rsidTr="00EC45EA">
        <w:tc>
          <w:tcPr>
            <w:tcW w:w="3305" w:type="pct"/>
            <w:vAlign w:val="bottom"/>
          </w:tcPr>
          <w:p w14:paraId="1FC26993" w14:textId="77777777" w:rsidR="00E70B03" w:rsidRPr="00D10ED2" w:rsidRDefault="00E70B03" w:rsidP="00E70B03">
            <w:pPr>
              <w:pStyle w:val="TableText10"/>
              <w:ind w:left="180"/>
              <w:rPr>
                <w:rFonts w:ascii="Arial" w:hAnsi="Arial" w:cs="Arial"/>
                <w:sz w:val="22"/>
                <w:szCs w:val="22"/>
              </w:rPr>
            </w:pPr>
            <w:r w:rsidRPr="00D10ED2">
              <w:rPr>
                <w:rFonts w:ascii="Arial" w:hAnsi="Arial" w:cs="Arial"/>
                <w:sz w:val="22"/>
                <w:szCs w:val="22"/>
                <w:lang w:val="it-IT"/>
              </w:rPr>
              <w:t>Male</w:t>
            </w:r>
          </w:p>
        </w:tc>
        <w:tc>
          <w:tcPr>
            <w:tcW w:w="1695" w:type="pct"/>
            <w:vAlign w:val="bottom"/>
          </w:tcPr>
          <w:p w14:paraId="0058DE89"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238 (53%)</w:t>
            </w:r>
          </w:p>
        </w:tc>
      </w:tr>
      <w:tr w:rsidR="00E70B03" w:rsidRPr="00D10ED2" w14:paraId="1DE6CDCF" w14:textId="77777777" w:rsidTr="00EC45EA">
        <w:tc>
          <w:tcPr>
            <w:tcW w:w="5000" w:type="pct"/>
            <w:gridSpan w:val="2"/>
            <w:vAlign w:val="bottom"/>
          </w:tcPr>
          <w:p w14:paraId="65D0FF80" w14:textId="77777777" w:rsidR="00E70B03" w:rsidRPr="00D10ED2" w:rsidRDefault="00E70B03" w:rsidP="00E70B03">
            <w:pPr>
              <w:pStyle w:val="TableText10"/>
              <w:rPr>
                <w:rFonts w:ascii="Arial" w:hAnsi="Arial" w:cs="Arial"/>
                <w:b/>
                <w:sz w:val="22"/>
                <w:szCs w:val="22"/>
              </w:rPr>
            </w:pPr>
            <w:r w:rsidRPr="00D10ED2">
              <w:rPr>
                <w:rFonts w:ascii="Arial" w:hAnsi="Arial" w:cs="Arial"/>
                <w:b/>
                <w:sz w:val="22"/>
                <w:szCs w:val="22"/>
              </w:rPr>
              <w:t>Race, n (%)</w:t>
            </w:r>
          </w:p>
        </w:tc>
      </w:tr>
      <w:tr w:rsidR="00E70B03" w:rsidRPr="00D10ED2" w14:paraId="5B5FA992" w14:textId="77777777" w:rsidTr="00EC45EA">
        <w:tc>
          <w:tcPr>
            <w:tcW w:w="3305" w:type="pct"/>
            <w:vAlign w:val="bottom"/>
          </w:tcPr>
          <w:p w14:paraId="3A723ECA" w14:textId="77777777" w:rsidR="00E70B03" w:rsidRPr="00D10ED2" w:rsidRDefault="00E70B03" w:rsidP="00E70B03">
            <w:pPr>
              <w:pStyle w:val="TableText10"/>
              <w:ind w:left="180"/>
              <w:rPr>
                <w:rFonts w:ascii="Arial" w:hAnsi="Arial" w:cs="Arial"/>
                <w:sz w:val="22"/>
                <w:szCs w:val="22"/>
                <w:lang w:val="it-IT"/>
              </w:rPr>
            </w:pPr>
            <w:r w:rsidRPr="00D10ED2">
              <w:rPr>
                <w:rFonts w:ascii="Arial" w:hAnsi="Arial" w:cs="Arial"/>
                <w:sz w:val="22"/>
                <w:szCs w:val="22"/>
                <w:lang w:val="it-IT"/>
              </w:rPr>
              <w:t>Asian</w:t>
            </w:r>
          </w:p>
        </w:tc>
        <w:tc>
          <w:tcPr>
            <w:tcW w:w="1695" w:type="pct"/>
            <w:vAlign w:val="bottom"/>
          </w:tcPr>
          <w:p w14:paraId="4BDF94E3"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59 (13%)</w:t>
            </w:r>
          </w:p>
        </w:tc>
      </w:tr>
      <w:tr w:rsidR="00E70B03" w:rsidRPr="00D10ED2" w14:paraId="040CBAF2" w14:textId="77777777" w:rsidTr="00EC45EA">
        <w:tc>
          <w:tcPr>
            <w:tcW w:w="3305" w:type="pct"/>
            <w:vAlign w:val="bottom"/>
          </w:tcPr>
          <w:p w14:paraId="7FF92F76" w14:textId="77777777" w:rsidR="00E70B03" w:rsidRPr="00D10ED2" w:rsidRDefault="00E70B03" w:rsidP="00E70B03">
            <w:pPr>
              <w:pStyle w:val="TableText10"/>
              <w:ind w:left="180"/>
              <w:rPr>
                <w:rFonts w:ascii="Arial" w:hAnsi="Arial" w:cs="Arial"/>
                <w:sz w:val="22"/>
                <w:szCs w:val="22"/>
                <w:lang w:val="it-IT"/>
              </w:rPr>
            </w:pPr>
            <w:r w:rsidRPr="00D10ED2">
              <w:rPr>
                <w:rFonts w:ascii="Arial" w:hAnsi="Arial" w:cs="Arial"/>
                <w:sz w:val="22"/>
                <w:szCs w:val="22"/>
                <w:lang w:val="it-IT"/>
              </w:rPr>
              <w:t>Black/African American</w:t>
            </w:r>
          </w:p>
        </w:tc>
        <w:tc>
          <w:tcPr>
            <w:tcW w:w="1695" w:type="pct"/>
            <w:vAlign w:val="bottom"/>
          </w:tcPr>
          <w:p w14:paraId="159EB183"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25 (6%)</w:t>
            </w:r>
          </w:p>
        </w:tc>
      </w:tr>
      <w:tr w:rsidR="00E70B03" w:rsidRPr="00D10ED2" w14:paraId="7004B153" w14:textId="77777777" w:rsidTr="00EC45EA">
        <w:tc>
          <w:tcPr>
            <w:tcW w:w="3305" w:type="pct"/>
            <w:vAlign w:val="bottom"/>
          </w:tcPr>
          <w:p w14:paraId="776C8CE9" w14:textId="77777777" w:rsidR="00E70B03" w:rsidRPr="00D10ED2" w:rsidRDefault="00E70B03" w:rsidP="00E70B03">
            <w:pPr>
              <w:pStyle w:val="TableText10"/>
              <w:ind w:left="180"/>
              <w:rPr>
                <w:rFonts w:ascii="Arial" w:hAnsi="Arial" w:cs="Arial"/>
                <w:sz w:val="22"/>
                <w:szCs w:val="22"/>
                <w:lang w:val="it-IT"/>
              </w:rPr>
            </w:pPr>
            <w:r w:rsidRPr="00D10ED2">
              <w:rPr>
                <w:rFonts w:ascii="Arial" w:hAnsi="Arial" w:cs="Arial"/>
                <w:sz w:val="22"/>
                <w:szCs w:val="22"/>
                <w:lang w:val="it-IT"/>
              </w:rPr>
              <w:t>White</w:t>
            </w:r>
          </w:p>
        </w:tc>
        <w:tc>
          <w:tcPr>
            <w:tcW w:w="1695" w:type="pct"/>
            <w:vAlign w:val="bottom"/>
          </w:tcPr>
          <w:p w14:paraId="1A66ACED"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352 (78%)</w:t>
            </w:r>
          </w:p>
        </w:tc>
      </w:tr>
      <w:tr w:rsidR="00E70B03" w:rsidRPr="00D10ED2" w14:paraId="35C72F77" w14:textId="77777777" w:rsidTr="00EC45EA">
        <w:tc>
          <w:tcPr>
            <w:tcW w:w="3305" w:type="pct"/>
            <w:vAlign w:val="bottom"/>
          </w:tcPr>
          <w:p w14:paraId="7F13A3F3" w14:textId="77777777" w:rsidR="00E70B03" w:rsidRPr="00D10ED2" w:rsidRDefault="00E70B03" w:rsidP="00E70B03">
            <w:pPr>
              <w:pStyle w:val="TableText10"/>
              <w:ind w:left="180"/>
              <w:rPr>
                <w:rFonts w:ascii="Arial" w:hAnsi="Arial" w:cs="Arial"/>
                <w:sz w:val="22"/>
                <w:szCs w:val="22"/>
                <w:lang w:val="it-IT"/>
              </w:rPr>
            </w:pPr>
            <w:r w:rsidRPr="00D10ED2">
              <w:rPr>
                <w:rFonts w:ascii="Arial" w:hAnsi="Arial" w:cs="Arial"/>
                <w:sz w:val="22"/>
                <w:szCs w:val="22"/>
                <w:lang w:val="it-IT"/>
              </w:rPr>
              <w:t>Other</w:t>
            </w:r>
          </w:p>
        </w:tc>
        <w:tc>
          <w:tcPr>
            <w:tcW w:w="1695" w:type="pct"/>
            <w:vAlign w:val="bottom"/>
          </w:tcPr>
          <w:p w14:paraId="2F85A993"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13 (3%)</w:t>
            </w:r>
          </w:p>
        </w:tc>
      </w:tr>
      <w:tr w:rsidR="00E70B03" w:rsidRPr="00D10ED2" w14:paraId="58CABACA" w14:textId="77777777" w:rsidTr="00EC45EA">
        <w:tc>
          <w:tcPr>
            <w:tcW w:w="5000" w:type="pct"/>
            <w:gridSpan w:val="2"/>
            <w:vAlign w:val="bottom"/>
          </w:tcPr>
          <w:p w14:paraId="3574B183" w14:textId="77777777" w:rsidR="00E70B03" w:rsidRPr="00D10ED2" w:rsidRDefault="00E70B03" w:rsidP="00E70B03">
            <w:pPr>
              <w:pStyle w:val="TableText10"/>
              <w:rPr>
                <w:rFonts w:ascii="Arial" w:hAnsi="Arial" w:cs="Arial"/>
                <w:b/>
                <w:sz w:val="22"/>
                <w:szCs w:val="22"/>
              </w:rPr>
            </w:pPr>
            <w:r w:rsidRPr="00D10ED2">
              <w:rPr>
                <w:rFonts w:ascii="Arial" w:hAnsi="Arial" w:cs="Arial"/>
                <w:b/>
                <w:sz w:val="22"/>
                <w:szCs w:val="22"/>
              </w:rPr>
              <w:t>ECOG Performance Status, n (%)</w:t>
            </w:r>
          </w:p>
        </w:tc>
      </w:tr>
      <w:tr w:rsidR="00E70B03" w:rsidRPr="00D10ED2" w14:paraId="012210ED" w14:textId="77777777" w:rsidTr="00EC45EA">
        <w:tc>
          <w:tcPr>
            <w:tcW w:w="3305" w:type="pct"/>
            <w:vAlign w:val="bottom"/>
          </w:tcPr>
          <w:p w14:paraId="746CCD2B" w14:textId="77777777" w:rsidR="00E70B03" w:rsidRPr="00D10ED2" w:rsidRDefault="00E70B03" w:rsidP="00E70B03">
            <w:pPr>
              <w:pStyle w:val="TableText10"/>
              <w:ind w:left="180"/>
              <w:rPr>
                <w:rFonts w:ascii="Arial" w:hAnsi="Arial" w:cs="Arial"/>
                <w:sz w:val="22"/>
                <w:szCs w:val="22"/>
              </w:rPr>
            </w:pPr>
            <w:r w:rsidRPr="00D10ED2">
              <w:rPr>
                <w:rFonts w:ascii="Arial" w:hAnsi="Arial" w:cs="Arial"/>
                <w:sz w:val="22"/>
                <w:szCs w:val="22"/>
                <w:lang w:val="it-IT"/>
              </w:rPr>
              <w:t>ECOG</w:t>
            </w:r>
            <w:r w:rsidRPr="00D10ED2">
              <w:rPr>
                <w:rFonts w:ascii="Arial" w:hAnsi="Arial" w:cs="Arial"/>
                <w:sz w:val="22"/>
                <w:szCs w:val="22"/>
              </w:rPr>
              <w:t>=0 or 1</w:t>
            </w:r>
          </w:p>
        </w:tc>
        <w:tc>
          <w:tcPr>
            <w:tcW w:w="1695" w:type="pct"/>
            <w:vAlign w:val="bottom"/>
          </w:tcPr>
          <w:p w14:paraId="0D07D925"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414 (92%)</w:t>
            </w:r>
          </w:p>
        </w:tc>
      </w:tr>
      <w:tr w:rsidR="00E70B03" w:rsidRPr="00D10ED2" w14:paraId="1A9F23C3" w14:textId="77777777" w:rsidTr="00EC45EA">
        <w:tc>
          <w:tcPr>
            <w:tcW w:w="5000" w:type="pct"/>
            <w:gridSpan w:val="2"/>
            <w:vAlign w:val="bottom"/>
          </w:tcPr>
          <w:p w14:paraId="12EFF538" w14:textId="77777777" w:rsidR="00E70B03" w:rsidRPr="00D10ED2" w:rsidRDefault="00E70B03" w:rsidP="00E70B03">
            <w:pPr>
              <w:pStyle w:val="TableText10"/>
              <w:rPr>
                <w:rFonts w:ascii="Arial" w:hAnsi="Arial" w:cs="Arial"/>
                <w:b/>
                <w:color w:val="000000"/>
                <w:sz w:val="22"/>
                <w:szCs w:val="22"/>
              </w:rPr>
            </w:pPr>
            <w:r w:rsidRPr="00D10ED2">
              <w:rPr>
                <w:rFonts w:ascii="Arial" w:hAnsi="Arial" w:cs="Arial"/>
                <w:b/>
                <w:color w:val="000000"/>
                <w:sz w:val="22"/>
                <w:szCs w:val="22"/>
              </w:rPr>
              <w:t>Disease History</w:t>
            </w:r>
          </w:p>
        </w:tc>
      </w:tr>
      <w:tr w:rsidR="00E70B03" w:rsidRPr="00D10ED2" w14:paraId="7481038F" w14:textId="77777777" w:rsidTr="00EC45EA">
        <w:tc>
          <w:tcPr>
            <w:tcW w:w="3305" w:type="pct"/>
          </w:tcPr>
          <w:p w14:paraId="662BBA94" w14:textId="77777777" w:rsidR="00E70B03" w:rsidRPr="00D10ED2" w:rsidRDefault="00E70B03" w:rsidP="00E70B03">
            <w:pPr>
              <w:pStyle w:val="TableText10"/>
              <w:ind w:left="180"/>
              <w:rPr>
                <w:rFonts w:ascii="Arial" w:hAnsi="Arial" w:cs="Arial"/>
                <w:sz w:val="22"/>
                <w:szCs w:val="22"/>
              </w:rPr>
            </w:pPr>
            <w:r w:rsidRPr="00D10ED2">
              <w:rPr>
                <w:rFonts w:ascii="Arial" w:hAnsi="Arial" w:cs="Arial"/>
                <w:sz w:val="22"/>
                <w:szCs w:val="22"/>
              </w:rPr>
              <w:t>Median time from diagnosis to first dose, years (range)</w:t>
            </w:r>
          </w:p>
        </w:tc>
        <w:tc>
          <w:tcPr>
            <w:tcW w:w="1695" w:type="pct"/>
            <w:vAlign w:val="bottom"/>
          </w:tcPr>
          <w:p w14:paraId="36A1B3F1"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6.09 (0.33 - 28.47)</w:t>
            </w:r>
          </w:p>
        </w:tc>
      </w:tr>
      <w:tr w:rsidR="00E70B03" w:rsidRPr="00D10ED2" w14:paraId="2370D16B" w14:textId="77777777" w:rsidTr="00EC45EA">
        <w:tc>
          <w:tcPr>
            <w:tcW w:w="3305" w:type="pct"/>
          </w:tcPr>
          <w:p w14:paraId="14726B14" w14:textId="77777777" w:rsidR="00E70B03" w:rsidRPr="00D10ED2" w:rsidRDefault="00E70B03" w:rsidP="00E70B03">
            <w:pPr>
              <w:pStyle w:val="TableText10"/>
              <w:rPr>
                <w:rFonts w:ascii="Arial" w:hAnsi="Arial" w:cs="Arial"/>
                <w:sz w:val="22"/>
                <w:szCs w:val="22"/>
              </w:rPr>
            </w:pPr>
            <w:r w:rsidRPr="00D10ED2">
              <w:rPr>
                <w:rFonts w:ascii="Arial" w:hAnsi="Arial" w:cs="Arial"/>
                <w:sz w:val="22"/>
                <w:szCs w:val="22"/>
              </w:rPr>
              <w:t xml:space="preserve">  Resistant to Prior TKI Therapy*, n (%)</w:t>
            </w:r>
          </w:p>
        </w:tc>
        <w:tc>
          <w:tcPr>
            <w:tcW w:w="1695" w:type="pct"/>
            <w:vAlign w:val="bottom"/>
          </w:tcPr>
          <w:p w14:paraId="0482A7ED"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374 (88%)</w:t>
            </w:r>
          </w:p>
        </w:tc>
      </w:tr>
      <w:tr w:rsidR="006048A6" w:rsidRPr="00D10ED2" w14:paraId="7AB3BFB0" w14:textId="77777777" w:rsidTr="00B8200B">
        <w:tc>
          <w:tcPr>
            <w:tcW w:w="3305" w:type="pct"/>
            <w:shd w:val="clear" w:color="auto" w:fill="auto"/>
          </w:tcPr>
          <w:p w14:paraId="1B66642A" w14:textId="77777777" w:rsidR="006048A6" w:rsidRPr="00D10ED2" w:rsidRDefault="006048A6" w:rsidP="00B8200B">
            <w:pPr>
              <w:pStyle w:val="TableText10"/>
              <w:rPr>
                <w:rFonts w:ascii="Arial" w:hAnsi="Arial" w:cs="Arial"/>
                <w:sz w:val="22"/>
                <w:szCs w:val="22"/>
              </w:rPr>
            </w:pPr>
            <w:r>
              <w:rPr>
                <w:rFonts w:ascii="Arial" w:hAnsi="Arial" w:cs="Arial"/>
                <w:sz w:val="22"/>
                <w:szCs w:val="22"/>
              </w:rPr>
              <w:t xml:space="preserve">  </w:t>
            </w:r>
            <w:r w:rsidRPr="007E56F5">
              <w:rPr>
                <w:rFonts w:ascii="Arial" w:hAnsi="Arial" w:cs="Arial"/>
                <w:sz w:val="22"/>
                <w:szCs w:val="22"/>
              </w:rPr>
              <w:t>Experie</w:t>
            </w:r>
            <w:r>
              <w:rPr>
                <w:rFonts w:ascii="Arial" w:hAnsi="Arial" w:cs="Arial"/>
                <w:sz w:val="22"/>
                <w:szCs w:val="22"/>
              </w:rPr>
              <w:t xml:space="preserve">nced failure of prior </w:t>
            </w:r>
            <w:proofErr w:type="spellStart"/>
            <w:r>
              <w:rPr>
                <w:rFonts w:ascii="Arial" w:hAnsi="Arial" w:cs="Arial"/>
                <w:sz w:val="22"/>
                <w:szCs w:val="22"/>
              </w:rPr>
              <w:t>imatinib</w:t>
            </w:r>
            <w:proofErr w:type="spellEnd"/>
            <w:r w:rsidRPr="007E56F5">
              <w:rPr>
                <w:rFonts w:ascii="Arial" w:hAnsi="Arial" w:cs="Arial"/>
                <w:sz w:val="22"/>
                <w:szCs w:val="22"/>
              </w:rPr>
              <w:t>, n (%)</w:t>
            </w:r>
          </w:p>
        </w:tc>
        <w:tc>
          <w:tcPr>
            <w:tcW w:w="1695" w:type="pct"/>
            <w:shd w:val="clear" w:color="auto" w:fill="auto"/>
            <w:vAlign w:val="bottom"/>
          </w:tcPr>
          <w:p w14:paraId="421D5787" w14:textId="77777777" w:rsidR="006048A6" w:rsidRPr="00D10ED2" w:rsidRDefault="006048A6" w:rsidP="00B8200B">
            <w:pPr>
              <w:pStyle w:val="TableText10"/>
              <w:ind w:left="240"/>
              <w:jc w:val="center"/>
              <w:rPr>
                <w:rFonts w:ascii="Arial" w:hAnsi="Arial" w:cs="Arial"/>
                <w:sz w:val="22"/>
                <w:szCs w:val="22"/>
              </w:rPr>
            </w:pPr>
            <w:r>
              <w:rPr>
                <w:rFonts w:ascii="Arial" w:hAnsi="Arial" w:cs="Arial"/>
                <w:sz w:val="22"/>
                <w:szCs w:val="22"/>
              </w:rPr>
              <w:t>430 (96%)</w:t>
            </w:r>
          </w:p>
        </w:tc>
      </w:tr>
      <w:tr w:rsidR="00864BF0" w:rsidRPr="00D10ED2" w14:paraId="6849C209" w14:textId="77777777" w:rsidTr="00EC45EA">
        <w:tc>
          <w:tcPr>
            <w:tcW w:w="3305" w:type="pct"/>
            <w:shd w:val="clear" w:color="auto" w:fill="auto"/>
          </w:tcPr>
          <w:p w14:paraId="3A1EB0B1" w14:textId="2F57C89E"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Prior TKI therapy– number of regimens, n (%)</w:t>
            </w:r>
          </w:p>
        </w:tc>
        <w:tc>
          <w:tcPr>
            <w:tcW w:w="1695" w:type="pct"/>
            <w:shd w:val="clear" w:color="auto" w:fill="auto"/>
            <w:vAlign w:val="bottom"/>
          </w:tcPr>
          <w:p w14:paraId="466D4054" w14:textId="55B833F5" w:rsidR="00864BF0" w:rsidRPr="00D10ED2" w:rsidRDefault="00864BF0" w:rsidP="00E70B03">
            <w:pPr>
              <w:pStyle w:val="TableText10"/>
              <w:ind w:left="240"/>
              <w:jc w:val="center"/>
              <w:rPr>
                <w:rFonts w:ascii="Arial" w:hAnsi="Arial" w:cs="Arial"/>
                <w:sz w:val="22"/>
                <w:szCs w:val="22"/>
              </w:rPr>
            </w:pPr>
          </w:p>
        </w:tc>
      </w:tr>
      <w:tr w:rsidR="00864BF0" w:rsidRPr="00D10ED2" w14:paraId="1ABFB54F" w14:textId="77777777" w:rsidTr="00EC45EA">
        <w:tc>
          <w:tcPr>
            <w:tcW w:w="3305" w:type="pct"/>
            <w:shd w:val="clear" w:color="auto" w:fill="auto"/>
          </w:tcPr>
          <w:p w14:paraId="70A5C635" w14:textId="16AE20B0"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1</w:t>
            </w:r>
          </w:p>
        </w:tc>
        <w:tc>
          <w:tcPr>
            <w:tcW w:w="1695" w:type="pct"/>
            <w:shd w:val="clear" w:color="auto" w:fill="auto"/>
            <w:vAlign w:val="bottom"/>
          </w:tcPr>
          <w:p w14:paraId="22B1D186" w14:textId="3128BBE2" w:rsidR="00864BF0" w:rsidRPr="00D10ED2" w:rsidRDefault="00864BF0" w:rsidP="00E70B03">
            <w:pPr>
              <w:pStyle w:val="TableText10"/>
              <w:jc w:val="center"/>
              <w:rPr>
                <w:rFonts w:ascii="Arial" w:hAnsi="Arial" w:cs="Arial"/>
                <w:sz w:val="22"/>
                <w:szCs w:val="22"/>
              </w:rPr>
            </w:pPr>
            <w:r w:rsidRPr="00D10ED2">
              <w:rPr>
                <w:rFonts w:ascii="Arial" w:hAnsi="Arial" w:cs="Arial"/>
                <w:sz w:val="22"/>
                <w:szCs w:val="22"/>
              </w:rPr>
              <w:t>32 (7%)</w:t>
            </w:r>
          </w:p>
        </w:tc>
      </w:tr>
      <w:tr w:rsidR="00864BF0" w:rsidRPr="00D10ED2" w14:paraId="5803A5C9" w14:textId="77777777" w:rsidTr="00EC45EA">
        <w:tc>
          <w:tcPr>
            <w:tcW w:w="3305" w:type="pct"/>
            <w:shd w:val="clear" w:color="auto" w:fill="auto"/>
          </w:tcPr>
          <w:p w14:paraId="479B50F2" w14:textId="02BC8C92"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2</w:t>
            </w:r>
          </w:p>
        </w:tc>
        <w:tc>
          <w:tcPr>
            <w:tcW w:w="1695" w:type="pct"/>
            <w:shd w:val="clear" w:color="auto" w:fill="auto"/>
            <w:vAlign w:val="bottom"/>
          </w:tcPr>
          <w:p w14:paraId="2C7D2510" w14:textId="16696AC0" w:rsidR="00864BF0" w:rsidRPr="00D10ED2" w:rsidRDefault="00864BF0" w:rsidP="00E70B03">
            <w:pPr>
              <w:pStyle w:val="TableText10"/>
              <w:jc w:val="center"/>
              <w:rPr>
                <w:rFonts w:ascii="Arial" w:hAnsi="Arial" w:cs="Arial"/>
                <w:sz w:val="22"/>
                <w:szCs w:val="22"/>
              </w:rPr>
            </w:pPr>
            <w:r w:rsidRPr="00D10ED2">
              <w:rPr>
                <w:rFonts w:ascii="Arial" w:hAnsi="Arial" w:cs="Arial"/>
                <w:sz w:val="22"/>
                <w:szCs w:val="22"/>
              </w:rPr>
              <w:t>155 (35%)</w:t>
            </w:r>
          </w:p>
        </w:tc>
      </w:tr>
      <w:tr w:rsidR="00864BF0" w:rsidRPr="00D10ED2" w14:paraId="7FADB975" w14:textId="77777777" w:rsidTr="00EC45EA">
        <w:tc>
          <w:tcPr>
            <w:tcW w:w="3305" w:type="pct"/>
            <w:shd w:val="clear" w:color="auto" w:fill="auto"/>
          </w:tcPr>
          <w:p w14:paraId="1EFBFB18" w14:textId="6530F395"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≥3</w:t>
            </w:r>
          </w:p>
        </w:tc>
        <w:tc>
          <w:tcPr>
            <w:tcW w:w="1695" w:type="pct"/>
            <w:shd w:val="clear" w:color="auto" w:fill="auto"/>
            <w:vAlign w:val="bottom"/>
          </w:tcPr>
          <w:p w14:paraId="43DC90D9" w14:textId="0356CBE8" w:rsidR="00864BF0" w:rsidRPr="00D10ED2" w:rsidRDefault="00864BF0" w:rsidP="00E70B03">
            <w:pPr>
              <w:pStyle w:val="TableText10"/>
              <w:jc w:val="center"/>
              <w:rPr>
                <w:rFonts w:ascii="Arial" w:hAnsi="Arial" w:cs="Arial"/>
                <w:sz w:val="22"/>
                <w:szCs w:val="22"/>
              </w:rPr>
            </w:pPr>
            <w:r w:rsidRPr="00D10ED2">
              <w:rPr>
                <w:rFonts w:ascii="Arial" w:hAnsi="Arial" w:cs="Arial"/>
                <w:sz w:val="22"/>
                <w:szCs w:val="22"/>
              </w:rPr>
              <w:t>262 (58%)</w:t>
            </w:r>
          </w:p>
        </w:tc>
      </w:tr>
      <w:tr w:rsidR="00864BF0" w:rsidRPr="00D10ED2" w14:paraId="67BEE1E6" w14:textId="77777777" w:rsidTr="00EC45EA">
        <w:tc>
          <w:tcPr>
            <w:tcW w:w="3305" w:type="pct"/>
          </w:tcPr>
          <w:p w14:paraId="46B0BB89" w14:textId="21FD95F0"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BCR-ABL mutation detected at entry, n (%)</w:t>
            </w:r>
          </w:p>
        </w:tc>
        <w:tc>
          <w:tcPr>
            <w:tcW w:w="1695" w:type="pct"/>
            <w:vAlign w:val="bottom"/>
          </w:tcPr>
          <w:p w14:paraId="05173E54" w14:textId="186DE6DD" w:rsidR="00864BF0" w:rsidRPr="00D10ED2" w:rsidRDefault="00864BF0" w:rsidP="00E70B03">
            <w:pPr>
              <w:pStyle w:val="TableText10"/>
              <w:ind w:left="240"/>
              <w:jc w:val="center"/>
              <w:rPr>
                <w:rFonts w:ascii="Arial" w:hAnsi="Arial" w:cs="Arial"/>
                <w:sz w:val="22"/>
                <w:szCs w:val="22"/>
              </w:rPr>
            </w:pPr>
          </w:p>
        </w:tc>
      </w:tr>
      <w:tr w:rsidR="00864BF0" w:rsidRPr="00D10ED2" w14:paraId="59FE9C05" w14:textId="77777777" w:rsidTr="00EC45EA">
        <w:tc>
          <w:tcPr>
            <w:tcW w:w="3305" w:type="pct"/>
          </w:tcPr>
          <w:p w14:paraId="20ED160A" w14:textId="4B3E7B7C"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None</w:t>
            </w:r>
          </w:p>
        </w:tc>
        <w:tc>
          <w:tcPr>
            <w:tcW w:w="1695" w:type="pct"/>
            <w:vAlign w:val="bottom"/>
          </w:tcPr>
          <w:p w14:paraId="42733D2C" w14:textId="37141DA9" w:rsidR="00864BF0" w:rsidRPr="00D10ED2" w:rsidRDefault="00864BF0" w:rsidP="00E70B03">
            <w:pPr>
              <w:pStyle w:val="TableText10"/>
              <w:jc w:val="center"/>
              <w:rPr>
                <w:rFonts w:ascii="Arial" w:hAnsi="Arial" w:cs="Arial"/>
                <w:sz w:val="22"/>
                <w:szCs w:val="22"/>
              </w:rPr>
            </w:pPr>
            <w:r w:rsidRPr="00D10ED2">
              <w:rPr>
                <w:rFonts w:ascii="Arial" w:hAnsi="Arial" w:cs="Arial"/>
                <w:color w:val="000000"/>
                <w:sz w:val="22"/>
                <w:szCs w:val="22"/>
              </w:rPr>
              <w:t>198 (44%)</w:t>
            </w:r>
          </w:p>
        </w:tc>
      </w:tr>
      <w:tr w:rsidR="00864BF0" w:rsidRPr="00D10ED2" w14:paraId="35C91CF7" w14:textId="77777777" w:rsidTr="00EC45EA">
        <w:tc>
          <w:tcPr>
            <w:tcW w:w="3305" w:type="pct"/>
          </w:tcPr>
          <w:p w14:paraId="17B46042" w14:textId="19C2BF87"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1</w:t>
            </w:r>
          </w:p>
        </w:tc>
        <w:tc>
          <w:tcPr>
            <w:tcW w:w="1695" w:type="pct"/>
            <w:vAlign w:val="bottom"/>
          </w:tcPr>
          <w:p w14:paraId="7DDD81CA" w14:textId="5F3A5D6E" w:rsidR="00864BF0" w:rsidRPr="00D10ED2" w:rsidRDefault="00864BF0" w:rsidP="00E70B03">
            <w:pPr>
              <w:pStyle w:val="TableText10"/>
              <w:jc w:val="center"/>
              <w:rPr>
                <w:rFonts w:ascii="Arial" w:hAnsi="Arial" w:cs="Arial"/>
                <w:sz w:val="22"/>
                <w:szCs w:val="22"/>
              </w:rPr>
            </w:pPr>
            <w:r w:rsidRPr="00D10ED2">
              <w:rPr>
                <w:rFonts w:ascii="Arial" w:hAnsi="Arial" w:cs="Arial"/>
                <w:color w:val="000000"/>
                <w:sz w:val="22"/>
                <w:szCs w:val="22"/>
              </w:rPr>
              <w:t>192 (43%)</w:t>
            </w:r>
          </w:p>
        </w:tc>
      </w:tr>
      <w:tr w:rsidR="00864BF0" w:rsidRPr="00D10ED2" w14:paraId="1866997A" w14:textId="77777777" w:rsidTr="00EC45EA">
        <w:tc>
          <w:tcPr>
            <w:tcW w:w="3305" w:type="pct"/>
          </w:tcPr>
          <w:p w14:paraId="7F690FDC" w14:textId="11C483EB" w:rsidR="00864BF0" w:rsidRPr="00D10ED2" w:rsidRDefault="00864BF0" w:rsidP="00E70B03">
            <w:pPr>
              <w:pStyle w:val="TableText10"/>
              <w:rPr>
                <w:rFonts w:ascii="Arial" w:hAnsi="Arial" w:cs="Arial"/>
                <w:sz w:val="22"/>
                <w:szCs w:val="22"/>
              </w:rPr>
            </w:pPr>
            <w:r w:rsidRPr="00D10ED2">
              <w:rPr>
                <w:rFonts w:ascii="Arial" w:hAnsi="Arial" w:cs="Arial"/>
                <w:sz w:val="22"/>
                <w:szCs w:val="22"/>
              </w:rPr>
              <w:t xml:space="preserve">     ≥2</w:t>
            </w:r>
          </w:p>
        </w:tc>
        <w:tc>
          <w:tcPr>
            <w:tcW w:w="1695" w:type="pct"/>
          </w:tcPr>
          <w:p w14:paraId="7C926CD8" w14:textId="1D94782D" w:rsidR="00864BF0" w:rsidRPr="00D10ED2" w:rsidRDefault="00864BF0" w:rsidP="00E70B03">
            <w:pPr>
              <w:pStyle w:val="TableText10"/>
              <w:jc w:val="center"/>
              <w:rPr>
                <w:rFonts w:ascii="Arial" w:hAnsi="Arial" w:cs="Arial"/>
                <w:sz w:val="22"/>
                <w:szCs w:val="22"/>
              </w:rPr>
            </w:pPr>
            <w:r w:rsidRPr="00D10ED2">
              <w:rPr>
                <w:rFonts w:ascii="Arial" w:hAnsi="Arial" w:cs="Arial"/>
                <w:sz w:val="22"/>
                <w:szCs w:val="22"/>
              </w:rPr>
              <w:t>54 (12%)</w:t>
            </w:r>
          </w:p>
        </w:tc>
      </w:tr>
      <w:tr w:rsidR="00864BF0" w:rsidRPr="00D10ED2" w14:paraId="1C853B8B" w14:textId="77777777" w:rsidTr="00EC45EA">
        <w:tc>
          <w:tcPr>
            <w:tcW w:w="5000" w:type="pct"/>
            <w:gridSpan w:val="2"/>
          </w:tcPr>
          <w:p w14:paraId="331A8C4D" w14:textId="4D0AE9A9" w:rsidR="00864BF0" w:rsidRPr="00812012" w:rsidRDefault="00864BF0" w:rsidP="007E56F5">
            <w:pPr>
              <w:pStyle w:val="TableSource10"/>
              <w:spacing w:before="0" w:after="0"/>
              <w:rPr>
                <w:rFonts w:ascii="Arial" w:hAnsi="Arial" w:cs="Arial"/>
                <w:sz w:val="22"/>
                <w:szCs w:val="22"/>
              </w:rPr>
            </w:pPr>
            <w:r w:rsidRPr="00D10ED2">
              <w:rPr>
                <w:rFonts w:ascii="Arial" w:hAnsi="Arial" w:cs="Arial"/>
                <w:sz w:val="22"/>
                <w:szCs w:val="22"/>
              </w:rPr>
              <w:t xml:space="preserve">* of 427 patients reporting prior TKI therapy with </w:t>
            </w:r>
            <w:proofErr w:type="spellStart"/>
            <w:r w:rsidRPr="00D10ED2">
              <w:rPr>
                <w:rFonts w:ascii="Arial" w:hAnsi="Arial" w:cs="Arial"/>
                <w:sz w:val="22"/>
                <w:szCs w:val="22"/>
              </w:rPr>
              <w:t>dasatinib</w:t>
            </w:r>
            <w:proofErr w:type="spellEnd"/>
            <w:r w:rsidRPr="00D10ED2">
              <w:rPr>
                <w:rFonts w:ascii="Arial" w:hAnsi="Arial" w:cs="Arial"/>
                <w:sz w:val="22"/>
                <w:szCs w:val="22"/>
              </w:rPr>
              <w:t xml:space="preserve"> or </w:t>
            </w:r>
            <w:proofErr w:type="spellStart"/>
            <w:r w:rsidRPr="00D10ED2">
              <w:rPr>
                <w:rFonts w:ascii="Arial" w:hAnsi="Arial" w:cs="Arial"/>
                <w:sz w:val="22"/>
                <w:szCs w:val="22"/>
              </w:rPr>
              <w:t>nilotinib</w:t>
            </w:r>
            <w:proofErr w:type="spellEnd"/>
          </w:p>
        </w:tc>
      </w:tr>
    </w:tbl>
    <w:p w14:paraId="3E4A079B" w14:textId="77777777" w:rsidR="00E70B03" w:rsidRPr="00D10ED2" w:rsidRDefault="00E70B03" w:rsidP="00E70B03">
      <w:pPr>
        <w:rPr>
          <w:rFonts w:ascii="Arial" w:hAnsi="Arial" w:cs="Arial"/>
          <w:sz w:val="22"/>
          <w:szCs w:val="22"/>
        </w:rPr>
      </w:pPr>
    </w:p>
    <w:p w14:paraId="3912A36B" w14:textId="6CEA5FB2" w:rsidR="00E70B03" w:rsidRPr="00D10ED2" w:rsidRDefault="00E70B03" w:rsidP="00E70B03">
      <w:pPr>
        <w:rPr>
          <w:rFonts w:ascii="Arial" w:hAnsi="Arial" w:cs="Arial"/>
          <w:sz w:val="22"/>
          <w:szCs w:val="22"/>
        </w:rPr>
      </w:pPr>
      <w:r w:rsidRPr="00D10ED2">
        <w:rPr>
          <w:rFonts w:ascii="Arial" w:hAnsi="Arial" w:cs="Arial"/>
          <w:sz w:val="22"/>
          <w:szCs w:val="22"/>
        </w:rPr>
        <w:t xml:space="preserve">Overall, 55% of patients had one or more BCR-ABL kinase domain mutation at entry with the most frequent being: T315I (29%), F317L (8%), E255K (4%) and </w:t>
      </w:r>
      <w:r w:rsidR="00513A5F" w:rsidRPr="00D10ED2">
        <w:rPr>
          <w:rFonts w:ascii="Arial" w:hAnsi="Arial" w:cs="Arial"/>
          <w:sz w:val="22"/>
          <w:szCs w:val="22"/>
        </w:rPr>
        <w:t>F</w:t>
      </w:r>
      <w:r w:rsidRPr="00D10ED2">
        <w:rPr>
          <w:rFonts w:ascii="Arial" w:hAnsi="Arial" w:cs="Arial"/>
          <w:sz w:val="22"/>
          <w:szCs w:val="22"/>
        </w:rPr>
        <w:t>359V (4%). In 67% of CP-CML patients in the R/I cohort, no mutations were detected at study entry.</w:t>
      </w:r>
    </w:p>
    <w:p w14:paraId="1B141F1C" w14:textId="77777777" w:rsidR="00E70B03" w:rsidRPr="00D10ED2" w:rsidRDefault="00E70B03" w:rsidP="00E70B03">
      <w:pPr>
        <w:rPr>
          <w:rFonts w:ascii="Arial" w:hAnsi="Arial" w:cs="Arial"/>
          <w:sz w:val="22"/>
          <w:szCs w:val="22"/>
        </w:rPr>
      </w:pPr>
    </w:p>
    <w:p w14:paraId="6DFA237A" w14:textId="13566F09" w:rsidR="00E70B03" w:rsidRPr="00D10ED2" w:rsidRDefault="00E70B03" w:rsidP="00E70B03">
      <w:pPr>
        <w:rPr>
          <w:rFonts w:ascii="Arial" w:hAnsi="Arial" w:cs="Arial"/>
          <w:sz w:val="22"/>
          <w:szCs w:val="22"/>
        </w:rPr>
      </w:pPr>
      <w:r w:rsidRPr="00D10ED2">
        <w:rPr>
          <w:rFonts w:ascii="Arial" w:hAnsi="Arial" w:cs="Arial"/>
          <w:sz w:val="22"/>
          <w:szCs w:val="22"/>
        </w:rPr>
        <w:lastRenderedPageBreak/>
        <w:t xml:space="preserve">At the time of analysis, median duration of </w:t>
      </w:r>
      <w:r w:rsidR="0011623F" w:rsidRPr="00D10ED2">
        <w:rPr>
          <w:rFonts w:ascii="Arial" w:hAnsi="Arial" w:cs="Arial"/>
          <w:sz w:val="22"/>
          <w:szCs w:val="22"/>
        </w:rPr>
        <w:t>ICLUSIG</w:t>
      </w:r>
      <w:r w:rsidRPr="00D10ED2">
        <w:rPr>
          <w:rFonts w:ascii="Arial" w:hAnsi="Arial" w:cs="Arial"/>
          <w:sz w:val="22"/>
          <w:szCs w:val="22"/>
        </w:rPr>
        <w:t xml:space="preserve"> treatment was 281 days in CP-CML patients, 286 days in AP-CML patients, </w:t>
      </w:r>
      <w:r w:rsidR="00F03977" w:rsidRPr="00D10ED2">
        <w:rPr>
          <w:rFonts w:ascii="Arial" w:hAnsi="Arial" w:cs="Arial"/>
          <w:sz w:val="22"/>
          <w:szCs w:val="22"/>
        </w:rPr>
        <w:t>86 </w:t>
      </w:r>
      <w:r w:rsidRPr="00D10ED2">
        <w:rPr>
          <w:rFonts w:ascii="Arial" w:hAnsi="Arial" w:cs="Arial"/>
          <w:sz w:val="22"/>
          <w:szCs w:val="22"/>
        </w:rPr>
        <w:t>days in BP-CML</w:t>
      </w:r>
      <w:r w:rsidR="00F03977" w:rsidRPr="00D10ED2">
        <w:rPr>
          <w:rFonts w:ascii="Arial" w:hAnsi="Arial" w:cs="Arial"/>
          <w:sz w:val="22"/>
          <w:szCs w:val="22"/>
        </w:rPr>
        <w:t>/</w:t>
      </w:r>
      <w:proofErr w:type="spellStart"/>
      <w:r w:rsidRPr="00D10ED2">
        <w:rPr>
          <w:rFonts w:ascii="Arial" w:hAnsi="Arial" w:cs="Arial"/>
          <w:sz w:val="22"/>
          <w:szCs w:val="22"/>
        </w:rPr>
        <w:t>Ph</w:t>
      </w:r>
      <w:proofErr w:type="spellEnd"/>
      <w:r w:rsidRPr="00D10ED2">
        <w:rPr>
          <w:rFonts w:ascii="Arial" w:hAnsi="Arial" w:cs="Arial"/>
          <w:sz w:val="22"/>
          <w:szCs w:val="22"/>
        </w:rPr>
        <w:t>+ ALL</w:t>
      </w:r>
      <w:r w:rsidR="000B45D4" w:rsidRPr="00D10ED2">
        <w:rPr>
          <w:rFonts w:ascii="Arial" w:hAnsi="Arial" w:cs="Arial"/>
          <w:sz w:val="22"/>
          <w:szCs w:val="22"/>
        </w:rPr>
        <w:t xml:space="preserve"> patients</w:t>
      </w:r>
      <w:r w:rsidRPr="00D10ED2">
        <w:rPr>
          <w:rFonts w:ascii="Arial" w:hAnsi="Arial" w:cs="Arial"/>
          <w:sz w:val="22"/>
          <w:szCs w:val="22"/>
        </w:rPr>
        <w:t>. Efficacy r</w:t>
      </w:r>
      <w:r w:rsidR="00F747C6" w:rsidRPr="00D10ED2">
        <w:rPr>
          <w:rFonts w:ascii="Arial" w:hAnsi="Arial" w:cs="Arial"/>
          <w:sz w:val="22"/>
          <w:szCs w:val="22"/>
        </w:rPr>
        <w:t xml:space="preserve">esults are </w:t>
      </w:r>
      <w:proofErr w:type="spellStart"/>
      <w:r w:rsidR="001A0B38" w:rsidRPr="00D10ED2">
        <w:rPr>
          <w:rFonts w:ascii="Arial" w:hAnsi="Arial" w:cs="Arial"/>
          <w:sz w:val="22"/>
          <w:szCs w:val="22"/>
        </w:rPr>
        <w:t>summarised</w:t>
      </w:r>
      <w:proofErr w:type="spellEnd"/>
      <w:r w:rsidR="001A0B38" w:rsidRPr="00D10ED2">
        <w:rPr>
          <w:rFonts w:ascii="Arial" w:hAnsi="Arial" w:cs="Arial"/>
          <w:sz w:val="22"/>
          <w:szCs w:val="22"/>
        </w:rPr>
        <w:t xml:space="preserve"> </w:t>
      </w:r>
      <w:r w:rsidR="00F747C6" w:rsidRPr="00D10ED2">
        <w:rPr>
          <w:rFonts w:ascii="Arial" w:hAnsi="Arial" w:cs="Arial"/>
          <w:sz w:val="22"/>
          <w:szCs w:val="22"/>
        </w:rPr>
        <w:t>in Table 2</w:t>
      </w:r>
      <w:r w:rsidR="00F03977" w:rsidRPr="00D10ED2">
        <w:rPr>
          <w:rFonts w:ascii="Arial" w:hAnsi="Arial" w:cs="Arial"/>
          <w:sz w:val="22"/>
          <w:szCs w:val="22"/>
        </w:rPr>
        <w:t xml:space="preserve"> and</w:t>
      </w:r>
      <w:r w:rsidR="00F747C6" w:rsidRPr="00D10ED2">
        <w:rPr>
          <w:rFonts w:ascii="Arial" w:hAnsi="Arial" w:cs="Arial"/>
          <w:sz w:val="22"/>
          <w:szCs w:val="22"/>
        </w:rPr>
        <w:t xml:space="preserve"> Table 3</w:t>
      </w:r>
      <w:r w:rsidRPr="00D10ED2">
        <w:rPr>
          <w:rFonts w:ascii="Arial" w:hAnsi="Arial" w:cs="Arial"/>
          <w:sz w:val="22"/>
          <w:szCs w:val="22"/>
        </w:rPr>
        <w:t>.</w:t>
      </w:r>
    </w:p>
    <w:p w14:paraId="302FE2E7" w14:textId="77777777" w:rsidR="00E70B03" w:rsidRPr="00D10ED2" w:rsidRDefault="00E70B03" w:rsidP="00E70B03">
      <w:pPr>
        <w:rPr>
          <w:rFonts w:ascii="Arial" w:hAnsi="Arial" w:cs="Arial"/>
          <w:sz w:val="22"/>
          <w:szCs w:val="22"/>
        </w:rPr>
      </w:pPr>
    </w:p>
    <w:p w14:paraId="38207AD4" w14:textId="0C1BF5DB" w:rsidR="00E70B03" w:rsidRPr="00D10ED2" w:rsidRDefault="00F747C6" w:rsidP="00E70B03">
      <w:pPr>
        <w:pStyle w:val="Table"/>
        <w:keepNext/>
        <w:keepLines/>
        <w:tabs>
          <w:tab w:val="clear" w:pos="1008"/>
        </w:tabs>
        <w:spacing w:after="0"/>
        <w:ind w:left="1134" w:hanging="1134"/>
        <w:jc w:val="left"/>
        <w:rPr>
          <w:rFonts w:ascii="Arial" w:hAnsi="Arial" w:cs="Arial"/>
          <w:sz w:val="22"/>
          <w:szCs w:val="22"/>
        </w:rPr>
      </w:pPr>
      <w:r w:rsidRPr="00D10ED2">
        <w:rPr>
          <w:rFonts w:ascii="Arial" w:hAnsi="Arial" w:cs="Arial"/>
          <w:sz w:val="22"/>
          <w:szCs w:val="22"/>
        </w:rPr>
        <w:t>Table 2</w:t>
      </w:r>
      <w:r w:rsidR="00E70B03" w:rsidRPr="00D10ED2">
        <w:rPr>
          <w:rFonts w:ascii="Arial" w:hAnsi="Arial" w:cs="Arial"/>
          <w:sz w:val="22"/>
          <w:szCs w:val="22"/>
        </w:rPr>
        <w:tab/>
        <w:t xml:space="preserve">Efficacy of </w:t>
      </w:r>
      <w:r w:rsidR="0011623F" w:rsidRPr="00D10ED2">
        <w:rPr>
          <w:rFonts w:ascii="Arial" w:hAnsi="Arial" w:cs="Arial"/>
          <w:sz w:val="22"/>
          <w:szCs w:val="22"/>
        </w:rPr>
        <w:t>ICLUSIG</w:t>
      </w:r>
      <w:r w:rsidR="00E70B03" w:rsidRPr="00D10ED2">
        <w:rPr>
          <w:rFonts w:ascii="Arial" w:hAnsi="Arial" w:cs="Arial"/>
          <w:sz w:val="22"/>
          <w:szCs w:val="22"/>
        </w:rPr>
        <w:t xml:space="preserve"> in resistant or intolerant chronic phase CML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766"/>
        <w:gridCol w:w="2005"/>
        <w:gridCol w:w="1988"/>
      </w:tblGrid>
      <w:tr w:rsidR="00E70B03" w:rsidRPr="00D10ED2" w14:paraId="082D643D" w14:textId="77777777" w:rsidTr="00E70B03">
        <w:trPr>
          <w:trHeight w:val="260"/>
        </w:trPr>
        <w:tc>
          <w:tcPr>
            <w:tcW w:w="2985" w:type="dxa"/>
            <w:vMerge w:val="restart"/>
          </w:tcPr>
          <w:p w14:paraId="5114F8B9" w14:textId="77777777" w:rsidR="00E70B03" w:rsidRPr="00D10ED2" w:rsidRDefault="00E70B03" w:rsidP="00E70B03">
            <w:pPr>
              <w:pStyle w:val="TableHeader10"/>
              <w:keepNext/>
              <w:keepLines/>
              <w:rPr>
                <w:rFonts w:ascii="Arial" w:hAnsi="Arial" w:cs="Arial"/>
                <w:sz w:val="22"/>
                <w:szCs w:val="22"/>
              </w:rPr>
            </w:pPr>
          </w:p>
        </w:tc>
        <w:tc>
          <w:tcPr>
            <w:tcW w:w="1900" w:type="dxa"/>
            <w:vMerge w:val="restart"/>
          </w:tcPr>
          <w:p w14:paraId="2C96A5A7" w14:textId="77777777" w:rsidR="00E70B03" w:rsidRPr="00D10ED2" w:rsidRDefault="00E70B03" w:rsidP="00E70B03">
            <w:pPr>
              <w:pStyle w:val="TableHeader10"/>
              <w:keepNext/>
              <w:keepLines/>
              <w:rPr>
                <w:rFonts w:ascii="Arial" w:hAnsi="Arial" w:cs="Arial"/>
                <w:sz w:val="22"/>
                <w:szCs w:val="22"/>
                <w:lang w:val="en-GB"/>
              </w:rPr>
            </w:pPr>
            <w:r w:rsidRPr="00D10ED2">
              <w:rPr>
                <w:rFonts w:ascii="Arial" w:hAnsi="Arial" w:cs="Arial"/>
                <w:sz w:val="22"/>
                <w:szCs w:val="22"/>
                <w:lang w:val="en-GB"/>
              </w:rPr>
              <w:t>Overall</w:t>
            </w:r>
          </w:p>
          <w:p w14:paraId="2A5DC658" w14:textId="77777777" w:rsidR="00E70B03" w:rsidRPr="00D10ED2" w:rsidRDefault="00E70B03" w:rsidP="00E70B03">
            <w:pPr>
              <w:pStyle w:val="TableHeader10"/>
              <w:keepNext/>
              <w:keepLines/>
              <w:rPr>
                <w:rFonts w:ascii="Arial" w:hAnsi="Arial" w:cs="Arial"/>
                <w:sz w:val="22"/>
                <w:szCs w:val="22"/>
                <w:lang w:val="en-GB"/>
              </w:rPr>
            </w:pPr>
            <w:r w:rsidRPr="00D10ED2">
              <w:rPr>
                <w:rFonts w:ascii="Arial" w:hAnsi="Arial" w:cs="Arial"/>
                <w:sz w:val="22"/>
                <w:szCs w:val="22"/>
                <w:lang w:val="en-GB"/>
              </w:rPr>
              <w:t>(N=267)</w:t>
            </w:r>
          </w:p>
        </w:tc>
        <w:tc>
          <w:tcPr>
            <w:tcW w:w="4358" w:type="dxa"/>
            <w:gridSpan w:val="2"/>
          </w:tcPr>
          <w:p w14:paraId="6A8EED2A" w14:textId="77777777" w:rsidR="00E70B03" w:rsidRPr="00D10ED2" w:rsidRDefault="00E70B03" w:rsidP="00E70B03">
            <w:pPr>
              <w:pStyle w:val="TableHeader10"/>
              <w:keepNext/>
              <w:keepLines/>
              <w:rPr>
                <w:rFonts w:ascii="Arial" w:hAnsi="Arial" w:cs="Arial"/>
                <w:sz w:val="22"/>
                <w:szCs w:val="22"/>
              </w:rPr>
            </w:pPr>
            <w:r w:rsidRPr="00D10ED2">
              <w:rPr>
                <w:rFonts w:ascii="Arial" w:hAnsi="Arial" w:cs="Arial"/>
                <w:sz w:val="22"/>
                <w:szCs w:val="22"/>
              </w:rPr>
              <w:t>Resistant or Intolerant</w:t>
            </w:r>
          </w:p>
        </w:tc>
      </w:tr>
      <w:tr w:rsidR="00E70B03" w:rsidRPr="00D10ED2" w14:paraId="23ED0CDE" w14:textId="77777777" w:rsidTr="00E70B03">
        <w:tc>
          <w:tcPr>
            <w:tcW w:w="2985" w:type="dxa"/>
            <w:vMerge/>
          </w:tcPr>
          <w:p w14:paraId="506B34ED" w14:textId="77777777" w:rsidR="00E70B03" w:rsidRPr="00D10ED2" w:rsidRDefault="00E70B03" w:rsidP="00E70B03">
            <w:pPr>
              <w:pStyle w:val="TableHeader10"/>
              <w:keepNext/>
              <w:keepLines/>
              <w:ind w:left="480"/>
              <w:rPr>
                <w:rFonts w:ascii="Arial" w:hAnsi="Arial" w:cs="Arial"/>
                <w:sz w:val="22"/>
                <w:szCs w:val="22"/>
              </w:rPr>
            </w:pPr>
          </w:p>
        </w:tc>
        <w:tc>
          <w:tcPr>
            <w:tcW w:w="1900" w:type="dxa"/>
            <w:vMerge/>
          </w:tcPr>
          <w:p w14:paraId="3BDA4DDA" w14:textId="77777777" w:rsidR="00E70B03" w:rsidRPr="00D10ED2" w:rsidRDefault="00E70B03" w:rsidP="00E70B03">
            <w:pPr>
              <w:pStyle w:val="TableHeader10"/>
              <w:keepNext/>
              <w:keepLines/>
              <w:ind w:left="480"/>
              <w:rPr>
                <w:rFonts w:ascii="Arial" w:hAnsi="Arial" w:cs="Arial"/>
                <w:sz w:val="22"/>
                <w:szCs w:val="22"/>
                <w:lang w:val="en-GB"/>
              </w:rPr>
            </w:pPr>
          </w:p>
        </w:tc>
        <w:tc>
          <w:tcPr>
            <w:tcW w:w="2182" w:type="dxa"/>
          </w:tcPr>
          <w:p w14:paraId="40E9714C" w14:textId="77777777" w:rsidR="00E70B03" w:rsidRPr="00D10ED2" w:rsidRDefault="00E70B03" w:rsidP="00E70B03">
            <w:pPr>
              <w:pStyle w:val="TableHeader10"/>
              <w:keepNext/>
              <w:keepLines/>
              <w:rPr>
                <w:rFonts w:ascii="Arial" w:hAnsi="Arial" w:cs="Arial"/>
                <w:sz w:val="22"/>
                <w:szCs w:val="22"/>
              </w:rPr>
            </w:pPr>
            <w:r w:rsidRPr="00D10ED2">
              <w:rPr>
                <w:rFonts w:ascii="Arial" w:hAnsi="Arial" w:cs="Arial"/>
                <w:sz w:val="22"/>
                <w:szCs w:val="22"/>
              </w:rPr>
              <w:t xml:space="preserve">R/I </w:t>
            </w:r>
          </w:p>
          <w:p w14:paraId="56AC46ED" w14:textId="77777777" w:rsidR="00E70B03" w:rsidRPr="00D10ED2" w:rsidRDefault="00E70B03" w:rsidP="00E70B03">
            <w:pPr>
              <w:pStyle w:val="TableHeader10"/>
              <w:keepNext/>
              <w:keepLines/>
              <w:rPr>
                <w:rFonts w:ascii="Arial" w:hAnsi="Arial" w:cs="Arial"/>
                <w:sz w:val="22"/>
                <w:szCs w:val="22"/>
              </w:rPr>
            </w:pPr>
            <w:r w:rsidRPr="00D10ED2">
              <w:rPr>
                <w:rFonts w:ascii="Arial" w:hAnsi="Arial" w:cs="Arial"/>
                <w:sz w:val="22"/>
                <w:szCs w:val="22"/>
              </w:rPr>
              <w:t>Cohort</w:t>
            </w:r>
          </w:p>
          <w:p w14:paraId="2A29D587" w14:textId="77777777" w:rsidR="00E70B03" w:rsidRPr="00D10ED2" w:rsidRDefault="00E70B03" w:rsidP="00E70B03">
            <w:pPr>
              <w:pStyle w:val="TableHeader10"/>
              <w:keepNext/>
              <w:keepLines/>
              <w:rPr>
                <w:rFonts w:ascii="Arial" w:hAnsi="Arial" w:cs="Arial"/>
                <w:sz w:val="22"/>
                <w:szCs w:val="22"/>
              </w:rPr>
            </w:pPr>
            <w:r w:rsidRPr="00D10ED2">
              <w:rPr>
                <w:rFonts w:ascii="Arial" w:hAnsi="Arial" w:cs="Arial"/>
                <w:sz w:val="22"/>
                <w:szCs w:val="22"/>
              </w:rPr>
              <w:t>(N=203)</w:t>
            </w:r>
          </w:p>
        </w:tc>
        <w:tc>
          <w:tcPr>
            <w:tcW w:w="2176" w:type="dxa"/>
          </w:tcPr>
          <w:p w14:paraId="21F1774F" w14:textId="77777777" w:rsidR="00E70B03" w:rsidRPr="00D10ED2" w:rsidRDefault="00E70B03" w:rsidP="00E70B03">
            <w:pPr>
              <w:pStyle w:val="TableHeader10"/>
              <w:keepNext/>
              <w:keepLines/>
              <w:rPr>
                <w:rFonts w:ascii="Arial" w:hAnsi="Arial" w:cs="Arial"/>
                <w:sz w:val="22"/>
                <w:szCs w:val="22"/>
              </w:rPr>
            </w:pPr>
            <w:r w:rsidRPr="00D10ED2">
              <w:rPr>
                <w:rFonts w:ascii="Arial" w:hAnsi="Arial" w:cs="Arial"/>
                <w:sz w:val="22"/>
                <w:szCs w:val="22"/>
              </w:rPr>
              <w:t>T315I</w:t>
            </w:r>
          </w:p>
          <w:p w14:paraId="477ACE51" w14:textId="77777777" w:rsidR="00E70B03" w:rsidRPr="00D10ED2" w:rsidRDefault="00E70B03" w:rsidP="00E70B03">
            <w:pPr>
              <w:pStyle w:val="TableHeader10"/>
              <w:keepNext/>
              <w:keepLines/>
              <w:rPr>
                <w:rFonts w:ascii="Arial" w:hAnsi="Arial" w:cs="Arial"/>
                <w:sz w:val="22"/>
                <w:szCs w:val="22"/>
              </w:rPr>
            </w:pPr>
            <w:r w:rsidRPr="00D10ED2">
              <w:rPr>
                <w:rFonts w:ascii="Arial" w:hAnsi="Arial" w:cs="Arial"/>
                <w:sz w:val="22"/>
                <w:szCs w:val="22"/>
              </w:rPr>
              <w:t>Cohort</w:t>
            </w:r>
          </w:p>
          <w:p w14:paraId="4D49D13E" w14:textId="77777777" w:rsidR="00E70B03" w:rsidRPr="00D10ED2" w:rsidRDefault="00E70B03" w:rsidP="00E70B03">
            <w:pPr>
              <w:pStyle w:val="TableHeader10"/>
              <w:keepNext/>
              <w:keepLines/>
              <w:rPr>
                <w:rFonts w:ascii="Arial" w:hAnsi="Arial" w:cs="Arial"/>
                <w:sz w:val="22"/>
                <w:szCs w:val="22"/>
              </w:rPr>
            </w:pPr>
            <w:r w:rsidRPr="00D10ED2">
              <w:rPr>
                <w:rFonts w:ascii="Arial" w:hAnsi="Arial" w:cs="Arial"/>
                <w:sz w:val="22"/>
                <w:szCs w:val="22"/>
              </w:rPr>
              <w:t>(N=64)</w:t>
            </w:r>
          </w:p>
        </w:tc>
      </w:tr>
      <w:tr w:rsidR="00E70B03" w:rsidRPr="00D10ED2" w14:paraId="2AD3A5B8" w14:textId="77777777" w:rsidTr="00E70B03">
        <w:tc>
          <w:tcPr>
            <w:tcW w:w="2985" w:type="dxa"/>
          </w:tcPr>
          <w:p w14:paraId="58137637" w14:textId="77777777" w:rsidR="00E70B03" w:rsidRPr="00D10ED2" w:rsidRDefault="00E70B03" w:rsidP="00E70B03">
            <w:pPr>
              <w:pStyle w:val="TableText10"/>
              <w:keepNext/>
              <w:keepLines/>
              <w:rPr>
                <w:rFonts w:ascii="Arial" w:hAnsi="Arial" w:cs="Arial"/>
                <w:b/>
                <w:sz w:val="22"/>
                <w:szCs w:val="22"/>
              </w:rPr>
            </w:pPr>
            <w:r w:rsidRPr="00D10ED2">
              <w:rPr>
                <w:rFonts w:ascii="Arial" w:hAnsi="Arial" w:cs="Arial"/>
                <w:b/>
                <w:sz w:val="22"/>
                <w:szCs w:val="22"/>
              </w:rPr>
              <w:t>Cytogenetic Response</w:t>
            </w:r>
            <w:r w:rsidRPr="00D10ED2">
              <w:rPr>
                <w:rFonts w:ascii="Arial" w:hAnsi="Arial" w:cs="Arial"/>
                <w:b/>
                <w:sz w:val="22"/>
                <w:szCs w:val="22"/>
                <w:vertAlign w:val="superscript"/>
              </w:rPr>
              <w:t xml:space="preserve"> </w:t>
            </w:r>
          </w:p>
        </w:tc>
        <w:tc>
          <w:tcPr>
            <w:tcW w:w="1900" w:type="dxa"/>
          </w:tcPr>
          <w:p w14:paraId="7DAB0673" w14:textId="77777777" w:rsidR="00E70B03" w:rsidRPr="00D10ED2" w:rsidRDefault="00E70B03" w:rsidP="00E70B03">
            <w:pPr>
              <w:pStyle w:val="TableText10"/>
              <w:keepNext/>
              <w:keepLines/>
              <w:rPr>
                <w:rFonts w:ascii="Arial" w:hAnsi="Arial" w:cs="Arial"/>
                <w:sz w:val="22"/>
                <w:szCs w:val="22"/>
                <w:lang w:val="en-GB"/>
              </w:rPr>
            </w:pPr>
          </w:p>
        </w:tc>
        <w:tc>
          <w:tcPr>
            <w:tcW w:w="2182" w:type="dxa"/>
          </w:tcPr>
          <w:p w14:paraId="25236E41" w14:textId="77777777" w:rsidR="00E70B03" w:rsidRPr="00D10ED2" w:rsidRDefault="00E70B03" w:rsidP="00E70B03">
            <w:pPr>
              <w:pStyle w:val="TableText10"/>
              <w:keepNext/>
              <w:keepLines/>
              <w:rPr>
                <w:rFonts w:ascii="Arial" w:hAnsi="Arial" w:cs="Arial"/>
                <w:sz w:val="22"/>
                <w:szCs w:val="22"/>
              </w:rPr>
            </w:pPr>
          </w:p>
        </w:tc>
        <w:tc>
          <w:tcPr>
            <w:tcW w:w="2176" w:type="dxa"/>
          </w:tcPr>
          <w:p w14:paraId="5B496C7C" w14:textId="77777777" w:rsidR="00E70B03" w:rsidRPr="00D10ED2" w:rsidRDefault="00E70B03" w:rsidP="00E70B03">
            <w:pPr>
              <w:pStyle w:val="TableText10"/>
              <w:keepNext/>
              <w:keepLines/>
              <w:rPr>
                <w:rFonts w:ascii="Arial" w:hAnsi="Arial" w:cs="Arial"/>
                <w:sz w:val="22"/>
                <w:szCs w:val="22"/>
              </w:rPr>
            </w:pPr>
          </w:p>
        </w:tc>
      </w:tr>
      <w:tr w:rsidR="00E70B03" w:rsidRPr="00D10ED2" w14:paraId="24B37E53" w14:textId="77777777" w:rsidTr="00E70B03">
        <w:tc>
          <w:tcPr>
            <w:tcW w:w="2985" w:type="dxa"/>
          </w:tcPr>
          <w:p w14:paraId="14894110" w14:textId="77777777" w:rsidR="00E70B03" w:rsidRPr="00D10ED2" w:rsidRDefault="00E70B03" w:rsidP="00E70B03">
            <w:pPr>
              <w:pStyle w:val="TableText10"/>
              <w:keepNext/>
              <w:keepLines/>
              <w:rPr>
                <w:rFonts w:ascii="Arial" w:hAnsi="Arial" w:cs="Arial"/>
                <w:sz w:val="22"/>
                <w:szCs w:val="22"/>
              </w:rPr>
            </w:pPr>
            <w:r w:rsidRPr="00D10ED2">
              <w:rPr>
                <w:rFonts w:ascii="Arial" w:hAnsi="Arial" w:cs="Arial"/>
                <w:sz w:val="22"/>
                <w:szCs w:val="22"/>
              </w:rPr>
              <w:t xml:space="preserve">  Major</w:t>
            </w:r>
            <w:r w:rsidRPr="00D10ED2">
              <w:rPr>
                <w:rFonts w:ascii="Arial" w:hAnsi="Arial" w:cs="Arial"/>
                <w:sz w:val="22"/>
                <w:szCs w:val="22"/>
                <w:u w:val="single"/>
                <w:vertAlign w:val="superscript"/>
              </w:rPr>
              <w:t xml:space="preserve"> </w:t>
            </w:r>
            <w:r w:rsidRPr="00D10ED2">
              <w:rPr>
                <w:rFonts w:ascii="Arial" w:hAnsi="Arial" w:cs="Arial"/>
                <w:sz w:val="22"/>
                <w:szCs w:val="22"/>
              </w:rPr>
              <w:t>(</w:t>
            </w:r>
            <w:proofErr w:type="spellStart"/>
            <w:r w:rsidRPr="00D10ED2">
              <w:rPr>
                <w:rFonts w:ascii="Arial" w:hAnsi="Arial" w:cs="Arial"/>
                <w:sz w:val="22"/>
                <w:szCs w:val="22"/>
              </w:rPr>
              <w:t>MCyR</w:t>
            </w:r>
            <w:proofErr w:type="spellEnd"/>
            <w:r w:rsidRPr="00D10ED2">
              <w:rPr>
                <w:rFonts w:ascii="Arial" w:hAnsi="Arial" w:cs="Arial"/>
                <w:sz w:val="22"/>
                <w:szCs w:val="22"/>
              </w:rPr>
              <w:t xml:space="preserve">) </w:t>
            </w:r>
            <w:r w:rsidRPr="00D10ED2">
              <w:rPr>
                <w:rFonts w:ascii="Arial" w:hAnsi="Arial" w:cs="Arial"/>
                <w:sz w:val="22"/>
                <w:szCs w:val="22"/>
                <w:vertAlign w:val="superscript"/>
              </w:rPr>
              <w:t>a</w:t>
            </w:r>
            <w:r w:rsidRPr="00D10ED2">
              <w:rPr>
                <w:rFonts w:ascii="Arial" w:hAnsi="Arial" w:cs="Arial"/>
                <w:sz w:val="22"/>
                <w:szCs w:val="22"/>
              </w:rPr>
              <w:t xml:space="preserve"> </w:t>
            </w:r>
          </w:p>
          <w:p w14:paraId="7091C5A5" w14:textId="77777777" w:rsidR="00E70B03" w:rsidRPr="00D10ED2" w:rsidRDefault="00E70B03" w:rsidP="00E70B03">
            <w:pPr>
              <w:pStyle w:val="TableText10"/>
              <w:keepNext/>
              <w:keepLines/>
              <w:rPr>
                <w:rFonts w:ascii="Arial" w:hAnsi="Arial" w:cs="Arial"/>
                <w:sz w:val="22"/>
                <w:szCs w:val="22"/>
              </w:rPr>
            </w:pPr>
            <w:r w:rsidRPr="00D10ED2">
              <w:rPr>
                <w:rFonts w:ascii="Arial" w:hAnsi="Arial" w:cs="Arial"/>
                <w:sz w:val="22"/>
                <w:szCs w:val="22"/>
              </w:rPr>
              <w:t xml:space="preserve">  % </w:t>
            </w:r>
          </w:p>
          <w:p w14:paraId="23584C0C" w14:textId="77777777" w:rsidR="00E70B03" w:rsidRPr="00D10ED2" w:rsidRDefault="00E70B03" w:rsidP="00E70B03">
            <w:pPr>
              <w:pStyle w:val="TableText10"/>
              <w:keepNext/>
              <w:keepLines/>
              <w:rPr>
                <w:rFonts w:ascii="Arial" w:hAnsi="Arial" w:cs="Arial"/>
                <w:sz w:val="22"/>
                <w:szCs w:val="22"/>
              </w:rPr>
            </w:pPr>
            <w:r w:rsidRPr="00D10ED2">
              <w:rPr>
                <w:rFonts w:ascii="Arial" w:hAnsi="Arial" w:cs="Arial"/>
                <w:sz w:val="22"/>
                <w:szCs w:val="22"/>
              </w:rPr>
              <w:t xml:space="preserve">  (95% CI)</w:t>
            </w:r>
          </w:p>
        </w:tc>
        <w:tc>
          <w:tcPr>
            <w:tcW w:w="1900" w:type="dxa"/>
          </w:tcPr>
          <w:p w14:paraId="0D6A1AA4" w14:textId="77777777" w:rsidR="00E70B03" w:rsidRPr="00D10ED2" w:rsidRDefault="00E70B03" w:rsidP="00E70B03">
            <w:pPr>
              <w:pStyle w:val="TableText10"/>
              <w:keepNext/>
              <w:keepLines/>
              <w:jc w:val="center"/>
              <w:rPr>
                <w:rFonts w:ascii="Arial" w:hAnsi="Arial" w:cs="Arial"/>
                <w:sz w:val="22"/>
                <w:szCs w:val="22"/>
              </w:rPr>
            </w:pPr>
          </w:p>
          <w:p w14:paraId="3A8CB47C"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54%</w:t>
            </w:r>
          </w:p>
          <w:p w14:paraId="42F4C7A6"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(48-60)</w:t>
            </w:r>
          </w:p>
        </w:tc>
        <w:tc>
          <w:tcPr>
            <w:tcW w:w="2182" w:type="dxa"/>
          </w:tcPr>
          <w:p w14:paraId="439BF389" w14:textId="77777777" w:rsidR="00E70B03" w:rsidRPr="00D10ED2" w:rsidRDefault="00E70B03" w:rsidP="00E70B03">
            <w:pPr>
              <w:pStyle w:val="TableText10"/>
              <w:keepNext/>
              <w:keepLines/>
              <w:jc w:val="center"/>
              <w:rPr>
                <w:rFonts w:ascii="Arial" w:hAnsi="Arial" w:cs="Arial"/>
                <w:sz w:val="22"/>
                <w:szCs w:val="22"/>
              </w:rPr>
            </w:pPr>
          </w:p>
          <w:p w14:paraId="50DAAC81"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49%</w:t>
            </w:r>
          </w:p>
          <w:p w14:paraId="7018B39E"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(42-56)</w:t>
            </w:r>
          </w:p>
        </w:tc>
        <w:tc>
          <w:tcPr>
            <w:tcW w:w="2176" w:type="dxa"/>
          </w:tcPr>
          <w:p w14:paraId="7EAF9DAB" w14:textId="77777777" w:rsidR="00E70B03" w:rsidRPr="00D10ED2" w:rsidRDefault="00E70B03" w:rsidP="00E70B03">
            <w:pPr>
              <w:pStyle w:val="TableText10"/>
              <w:keepNext/>
              <w:keepLines/>
              <w:jc w:val="center"/>
              <w:rPr>
                <w:rFonts w:ascii="Arial" w:hAnsi="Arial" w:cs="Arial"/>
                <w:sz w:val="22"/>
                <w:szCs w:val="22"/>
              </w:rPr>
            </w:pPr>
          </w:p>
          <w:p w14:paraId="3240B144"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70%</w:t>
            </w:r>
          </w:p>
          <w:p w14:paraId="76DD5930"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(58-81)</w:t>
            </w:r>
          </w:p>
        </w:tc>
      </w:tr>
      <w:tr w:rsidR="00E70B03" w:rsidRPr="00D10ED2" w14:paraId="1E1081A5" w14:textId="77777777" w:rsidTr="00E70B03">
        <w:tc>
          <w:tcPr>
            <w:tcW w:w="2985" w:type="dxa"/>
          </w:tcPr>
          <w:p w14:paraId="1502019C" w14:textId="2E29E6D8" w:rsidR="00E70B03" w:rsidRPr="00D10ED2" w:rsidRDefault="00E70B03" w:rsidP="00452608">
            <w:pPr>
              <w:pStyle w:val="TableText10"/>
              <w:keepNext/>
              <w:keepLines/>
              <w:rPr>
                <w:rFonts w:ascii="Arial" w:hAnsi="Arial" w:cs="Arial"/>
                <w:sz w:val="22"/>
                <w:szCs w:val="22"/>
              </w:rPr>
            </w:pPr>
            <w:r w:rsidRPr="00D10ED2">
              <w:rPr>
                <w:rFonts w:ascii="Arial" w:hAnsi="Arial" w:cs="Arial"/>
                <w:sz w:val="22"/>
                <w:szCs w:val="22"/>
              </w:rPr>
              <w:t xml:space="preserve">  Complete (</w:t>
            </w:r>
            <w:proofErr w:type="spellStart"/>
            <w:r w:rsidRPr="00D10ED2">
              <w:rPr>
                <w:rFonts w:ascii="Arial" w:hAnsi="Arial" w:cs="Arial"/>
                <w:sz w:val="22"/>
                <w:szCs w:val="22"/>
              </w:rPr>
              <w:t>CCyR</w:t>
            </w:r>
            <w:proofErr w:type="spellEnd"/>
            <w:r w:rsidRPr="00D10ED2">
              <w:rPr>
                <w:rFonts w:ascii="Arial" w:hAnsi="Arial" w:cs="Arial"/>
                <w:sz w:val="22"/>
                <w:szCs w:val="22"/>
              </w:rPr>
              <w:t xml:space="preserve">) </w:t>
            </w:r>
          </w:p>
          <w:p w14:paraId="09046DC8" w14:textId="1889B501" w:rsidR="00E70B03" w:rsidRPr="00D10ED2" w:rsidRDefault="00E70B03" w:rsidP="00452608">
            <w:pPr>
              <w:pStyle w:val="TableText10"/>
              <w:keepNext/>
              <w:keepLines/>
              <w:rPr>
                <w:rFonts w:ascii="Arial" w:hAnsi="Arial" w:cs="Arial"/>
                <w:sz w:val="22"/>
                <w:szCs w:val="22"/>
              </w:rPr>
            </w:pPr>
            <w:r w:rsidRPr="00D10ED2">
              <w:rPr>
                <w:rFonts w:ascii="Arial" w:hAnsi="Arial" w:cs="Arial"/>
                <w:sz w:val="22"/>
                <w:szCs w:val="22"/>
              </w:rPr>
              <w:t xml:space="preserve">  %</w:t>
            </w:r>
          </w:p>
          <w:p w14:paraId="09F4364D" w14:textId="75F1943E" w:rsidR="00E70B03" w:rsidRPr="00D10ED2" w:rsidRDefault="00E70B03" w:rsidP="00452608">
            <w:pPr>
              <w:pStyle w:val="TableText10"/>
              <w:keepNext/>
              <w:keepLines/>
              <w:rPr>
                <w:rFonts w:ascii="Arial" w:hAnsi="Arial" w:cs="Arial"/>
                <w:sz w:val="22"/>
                <w:szCs w:val="22"/>
              </w:rPr>
            </w:pPr>
            <w:r w:rsidRPr="00D10ED2">
              <w:rPr>
                <w:rFonts w:ascii="Arial" w:hAnsi="Arial" w:cs="Arial"/>
                <w:sz w:val="22"/>
                <w:szCs w:val="22"/>
              </w:rPr>
              <w:t xml:space="preserve">  (95% CI)</w:t>
            </w:r>
          </w:p>
        </w:tc>
        <w:tc>
          <w:tcPr>
            <w:tcW w:w="1900" w:type="dxa"/>
          </w:tcPr>
          <w:p w14:paraId="78D3D4A0" w14:textId="77777777" w:rsidR="00E70B03" w:rsidRPr="00D10ED2" w:rsidRDefault="00E70B03" w:rsidP="00E70B03">
            <w:pPr>
              <w:pStyle w:val="TableText10"/>
              <w:keepNext/>
              <w:keepLines/>
              <w:jc w:val="center"/>
              <w:rPr>
                <w:rFonts w:ascii="Arial" w:hAnsi="Arial" w:cs="Arial"/>
                <w:sz w:val="22"/>
                <w:szCs w:val="22"/>
              </w:rPr>
            </w:pPr>
          </w:p>
          <w:p w14:paraId="71910837"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44%</w:t>
            </w:r>
          </w:p>
          <w:p w14:paraId="63F51D31"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(38-50)</w:t>
            </w:r>
          </w:p>
        </w:tc>
        <w:tc>
          <w:tcPr>
            <w:tcW w:w="2182" w:type="dxa"/>
          </w:tcPr>
          <w:p w14:paraId="4D6DBA57" w14:textId="77777777" w:rsidR="00E70B03" w:rsidRPr="00D10ED2" w:rsidRDefault="00E70B03" w:rsidP="00E70B03">
            <w:pPr>
              <w:pStyle w:val="TableText10"/>
              <w:keepNext/>
              <w:keepLines/>
              <w:jc w:val="center"/>
              <w:rPr>
                <w:rFonts w:ascii="Arial" w:hAnsi="Arial" w:cs="Arial"/>
                <w:sz w:val="22"/>
                <w:szCs w:val="22"/>
              </w:rPr>
            </w:pPr>
          </w:p>
          <w:p w14:paraId="059277C5"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37%</w:t>
            </w:r>
          </w:p>
          <w:p w14:paraId="5F098413"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(31-44)</w:t>
            </w:r>
          </w:p>
        </w:tc>
        <w:tc>
          <w:tcPr>
            <w:tcW w:w="2176" w:type="dxa"/>
          </w:tcPr>
          <w:p w14:paraId="0B1CBFFF" w14:textId="77777777" w:rsidR="00E70B03" w:rsidRPr="00D10ED2" w:rsidRDefault="00E70B03" w:rsidP="00E70B03">
            <w:pPr>
              <w:pStyle w:val="TableText10"/>
              <w:keepNext/>
              <w:keepLines/>
              <w:jc w:val="center"/>
              <w:rPr>
                <w:rFonts w:ascii="Arial" w:hAnsi="Arial" w:cs="Arial"/>
                <w:sz w:val="22"/>
                <w:szCs w:val="22"/>
              </w:rPr>
            </w:pPr>
          </w:p>
          <w:p w14:paraId="68FE4D1C"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66%</w:t>
            </w:r>
          </w:p>
          <w:p w14:paraId="7EE12334"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(53-77)</w:t>
            </w:r>
          </w:p>
        </w:tc>
      </w:tr>
      <w:tr w:rsidR="00E70B03" w:rsidRPr="00D10ED2" w14:paraId="49560D79" w14:textId="77777777" w:rsidTr="00E70B03">
        <w:tc>
          <w:tcPr>
            <w:tcW w:w="2985" w:type="dxa"/>
          </w:tcPr>
          <w:p w14:paraId="7A4A653D" w14:textId="77777777" w:rsidR="00E70B03" w:rsidRPr="00D10ED2" w:rsidRDefault="00E70B03" w:rsidP="00E70B03">
            <w:pPr>
              <w:pStyle w:val="TableText10"/>
              <w:keepNext/>
              <w:keepLines/>
              <w:rPr>
                <w:rFonts w:ascii="Arial" w:hAnsi="Arial" w:cs="Arial"/>
                <w:sz w:val="22"/>
                <w:szCs w:val="22"/>
              </w:rPr>
            </w:pPr>
            <w:r w:rsidRPr="00D10ED2">
              <w:rPr>
                <w:rFonts w:ascii="Arial" w:hAnsi="Arial" w:cs="Arial"/>
                <w:b/>
                <w:sz w:val="22"/>
                <w:szCs w:val="22"/>
              </w:rPr>
              <w:t xml:space="preserve">Major Molecular Response </w:t>
            </w:r>
            <w:r w:rsidRPr="00D10ED2">
              <w:rPr>
                <w:rFonts w:ascii="Arial" w:hAnsi="Arial" w:cs="Arial"/>
                <w:b/>
                <w:sz w:val="22"/>
                <w:szCs w:val="22"/>
                <w:vertAlign w:val="superscript"/>
              </w:rPr>
              <w:t>b</w:t>
            </w:r>
            <w:r w:rsidRPr="00D10ED2">
              <w:rPr>
                <w:rFonts w:ascii="Arial" w:hAnsi="Arial" w:cs="Arial"/>
                <w:sz w:val="22"/>
                <w:szCs w:val="22"/>
              </w:rPr>
              <w:t xml:space="preserve"> % </w:t>
            </w:r>
          </w:p>
          <w:p w14:paraId="131ACE3F" w14:textId="77777777" w:rsidR="00E70B03" w:rsidRPr="00D10ED2" w:rsidRDefault="00E70B03" w:rsidP="00E70B03">
            <w:pPr>
              <w:pStyle w:val="TableText10"/>
              <w:keepNext/>
              <w:keepLines/>
              <w:rPr>
                <w:rFonts w:ascii="Arial" w:hAnsi="Arial" w:cs="Arial"/>
                <w:sz w:val="22"/>
                <w:szCs w:val="22"/>
              </w:rPr>
            </w:pPr>
            <w:r w:rsidRPr="00D10ED2">
              <w:rPr>
                <w:rFonts w:ascii="Arial" w:hAnsi="Arial" w:cs="Arial"/>
                <w:sz w:val="22"/>
                <w:szCs w:val="22"/>
              </w:rPr>
              <w:t>(95% CI)</w:t>
            </w:r>
          </w:p>
        </w:tc>
        <w:tc>
          <w:tcPr>
            <w:tcW w:w="1900" w:type="dxa"/>
          </w:tcPr>
          <w:p w14:paraId="06670EBF" w14:textId="77777777" w:rsidR="00E70B03" w:rsidRPr="00D10ED2" w:rsidRDefault="00E70B03" w:rsidP="00E70B03">
            <w:pPr>
              <w:pStyle w:val="TableText10"/>
              <w:keepNext/>
              <w:keepLines/>
              <w:jc w:val="center"/>
              <w:rPr>
                <w:rFonts w:ascii="Arial" w:hAnsi="Arial" w:cs="Arial"/>
                <w:sz w:val="22"/>
                <w:szCs w:val="22"/>
              </w:rPr>
            </w:pPr>
          </w:p>
          <w:p w14:paraId="3AAD7048"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30%</w:t>
            </w:r>
          </w:p>
          <w:p w14:paraId="2AB94B28"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(24-36)</w:t>
            </w:r>
          </w:p>
        </w:tc>
        <w:tc>
          <w:tcPr>
            <w:tcW w:w="2182" w:type="dxa"/>
          </w:tcPr>
          <w:p w14:paraId="2184FE92" w14:textId="77777777" w:rsidR="00E70B03" w:rsidRPr="00D10ED2" w:rsidRDefault="00E70B03" w:rsidP="00E70B03">
            <w:pPr>
              <w:pStyle w:val="TableText10"/>
              <w:keepNext/>
              <w:keepLines/>
              <w:jc w:val="center"/>
              <w:rPr>
                <w:rFonts w:ascii="Arial" w:hAnsi="Arial" w:cs="Arial"/>
                <w:sz w:val="22"/>
                <w:szCs w:val="22"/>
              </w:rPr>
            </w:pPr>
          </w:p>
          <w:p w14:paraId="0626F3FF"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23%</w:t>
            </w:r>
          </w:p>
          <w:p w14:paraId="1F6B1FA8"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(18-30)</w:t>
            </w:r>
          </w:p>
        </w:tc>
        <w:tc>
          <w:tcPr>
            <w:tcW w:w="2176" w:type="dxa"/>
          </w:tcPr>
          <w:p w14:paraId="6BAA3556" w14:textId="77777777" w:rsidR="00E70B03" w:rsidRPr="00D10ED2" w:rsidRDefault="00E70B03" w:rsidP="00E70B03">
            <w:pPr>
              <w:pStyle w:val="TableText10"/>
              <w:keepNext/>
              <w:keepLines/>
              <w:jc w:val="center"/>
              <w:rPr>
                <w:rFonts w:ascii="Arial" w:hAnsi="Arial" w:cs="Arial"/>
                <w:sz w:val="22"/>
                <w:szCs w:val="22"/>
              </w:rPr>
            </w:pPr>
          </w:p>
          <w:p w14:paraId="7BCD251E"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50%</w:t>
            </w:r>
          </w:p>
          <w:p w14:paraId="0815D9ED" w14:textId="77777777" w:rsidR="00E70B03" w:rsidRPr="00D10ED2" w:rsidRDefault="00E70B03" w:rsidP="00E70B03">
            <w:pPr>
              <w:pStyle w:val="TableText10"/>
              <w:keepNext/>
              <w:keepLines/>
              <w:jc w:val="center"/>
              <w:rPr>
                <w:rFonts w:ascii="Arial" w:hAnsi="Arial" w:cs="Arial"/>
                <w:sz w:val="22"/>
                <w:szCs w:val="22"/>
              </w:rPr>
            </w:pPr>
            <w:r w:rsidRPr="00D10ED2">
              <w:rPr>
                <w:rFonts w:ascii="Arial" w:hAnsi="Arial" w:cs="Arial"/>
                <w:sz w:val="22"/>
                <w:szCs w:val="22"/>
              </w:rPr>
              <w:t>(37-63)</w:t>
            </w:r>
          </w:p>
        </w:tc>
      </w:tr>
      <w:tr w:rsidR="00E70B03" w:rsidRPr="00D10ED2" w14:paraId="676B14E7" w14:textId="77777777" w:rsidTr="00E70B03">
        <w:tc>
          <w:tcPr>
            <w:tcW w:w="9243" w:type="dxa"/>
            <w:gridSpan w:val="4"/>
          </w:tcPr>
          <w:p w14:paraId="054FB387" w14:textId="77777777" w:rsidR="00E70B03" w:rsidRPr="00D10ED2" w:rsidRDefault="00E70B03" w:rsidP="00E70B03">
            <w:pPr>
              <w:pStyle w:val="TableSource10"/>
              <w:keepNext/>
              <w:keepLines/>
              <w:spacing w:before="0" w:after="0"/>
              <w:rPr>
                <w:rFonts w:ascii="Arial" w:hAnsi="Arial" w:cs="Arial"/>
                <w:sz w:val="22"/>
                <w:szCs w:val="22"/>
                <w:lang w:val="en-GB"/>
              </w:rPr>
            </w:pPr>
            <w:proofErr w:type="gramStart"/>
            <w:r w:rsidRPr="00D10ED2">
              <w:rPr>
                <w:rFonts w:ascii="Arial" w:hAnsi="Arial" w:cs="Arial"/>
                <w:sz w:val="22"/>
                <w:szCs w:val="22"/>
                <w:vertAlign w:val="superscript"/>
                <w:lang w:val="en-GB"/>
              </w:rPr>
              <w:t>a</w:t>
            </w:r>
            <w:proofErr w:type="gramEnd"/>
            <w:r w:rsidRPr="00D10ED2">
              <w:rPr>
                <w:rFonts w:ascii="Arial" w:hAnsi="Arial" w:cs="Arial"/>
                <w:sz w:val="22"/>
                <w:szCs w:val="22"/>
                <w:vertAlign w:val="superscript"/>
                <w:lang w:val="en-GB"/>
              </w:rPr>
              <w:t xml:space="preserve"> </w:t>
            </w:r>
            <w:r w:rsidRPr="00D10ED2">
              <w:rPr>
                <w:rFonts w:ascii="Arial" w:hAnsi="Arial" w:cs="Arial"/>
                <w:sz w:val="22"/>
                <w:szCs w:val="22"/>
                <w:lang w:val="en-GB"/>
              </w:rPr>
              <w:t xml:space="preserve">Primary endpoint for CP-CML Cohorts was </w:t>
            </w:r>
            <w:proofErr w:type="spellStart"/>
            <w:r w:rsidRPr="00D10ED2">
              <w:rPr>
                <w:rFonts w:ascii="Arial" w:hAnsi="Arial" w:cs="Arial"/>
                <w:sz w:val="22"/>
                <w:szCs w:val="22"/>
                <w:lang w:val="en-GB"/>
              </w:rPr>
              <w:t>MCyR</w:t>
            </w:r>
            <w:proofErr w:type="spellEnd"/>
            <w:r w:rsidRPr="00D10ED2">
              <w:rPr>
                <w:rFonts w:ascii="Arial" w:hAnsi="Arial" w:cs="Arial"/>
                <w:sz w:val="22"/>
                <w:szCs w:val="22"/>
                <w:lang w:val="en-GB"/>
              </w:rPr>
              <w:t xml:space="preserve">, which combines both complete (No detectable </w:t>
            </w:r>
            <w:proofErr w:type="spellStart"/>
            <w:r w:rsidRPr="00D10ED2">
              <w:rPr>
                <w:rFonts w:ascii="Arial" w:hAnsi="Arial" w:cs="Arial"/>
                <w:sz w:val="22"/>
                <w:szCs w:val="22"/>
                <w:lang w:val="en-GB"/>
              </w:rPr>
              <w:t>Ph</w:t>
            </w:r>
            <w:proofErr w:type="spellEnd"/>
            <w:r w:rsidRPr="00D10ED2">
              <w:rPr>
                <w:rFonts w:ascii="Arial" w:hAnsi="Arial" w:cs="Arial"/>
                <w:sz w:val="22"/>
                <w:szCs w:val="22"/>
                <w:lang w:val="en-GB"/>
              </w:rPr>
              <w:t xml:space="preserve">+ cells) and partial (1% to 35% </w:t>
            </w:r>
            <w:proofErr w:type="spellStart"/>
            <w:r w:rsidRPr="00D10ED2">
              <w:rPr>
                <w:rFonts w:ascii="Arial" w:hAnsi="Arial" w:cs="Arial"/>
                <w:sz w:val="22"/>
                <w:szCs w:val="22"/>
                <w:lang w:val="en-GB"/>
              </w:rPr>
              <w:t>Ph</w:t>
            </w:r>
            <w:proofErr w:type="spellEnd"/>
            <w:r w:rsidRPr="00D10ED2">
              <w:rPr>
                <w:rFonts w:ascii="Arial" w:hAnsi="Arial" w:cs="Arial"/>
                <w:sz w:val="22"/>
                <w:szCs w:val="22"/>
                <w:lang w:val="en-GB"/>
              </w:rPr>
              <w:t>+ cells) cytogenetic responses.</w:t>
            </w:r>
          </w:p>
          <w:p w14:paraId="5DA6E9FA" w14:textId="77777777" w:rsidR="00E70B03" w:rsidRPr="00D10ED2" w:rsidRDefault="00E70B03" w:rsidP="00E70B03">
            <w:pPr>
              <w:pStyle w:val="TableSource10"/>
              <w:keepNext/>
              <w:keepLines/>
              <w:spacing w:before="0" w:after="0"/>
              <w:rPr>
                <w:rFonts w:ascii="Arial" w:hAnsi="Arial" w:cs="Arial"/>
                <w:sz w:val="22"/>
                <w:szCs w:val="22"/>
              </w:rPr>
            </w:pPr>
            <w:proofErr w:type="gramStart"/>
            <w:r w:rsidRPr="00D10ED2">
              <w:rPr>
                <w:rFonts w:ascii="Arial" w:hAnsi="Arial" w:cs="Arial"/>
                <w:sz w:val="22"/>
                <w:szCs w:val="22"/>
                <w:vertAlign w:val="superscript"/>
                <w:lang w:val="en-GB"/>
              </w:rPr>
              <w:t>b</w:t>
            </w:r>
            <w:proofErr w:type="gramEnd"/>
            <w:r w:rsidRPr="00D10ED2">
              <w:rPr>
                <w:rFonts w:ascii="Arial" w:hAnsi="Arial" w:cs="Arial"/>
                <w:sz w:val="22"/>
                <w:szCs w:val="22"/>
                <w:lang w:val="en-GB"/>
              </w:rPr>
              <w:t xml:space="preserve"> Measured in peripheral blood. Defined as a ≤0.1% ratio of BCR-ABL to ABL transcripts on the International Scale (IS) (</w:t>
            </w:r>
            <w:proofErr w:type="spellStart"/>
            <w:r w:rsidRPr="00D10ED2">
              <w:rPr>
                <w:rFonts w:ascii="Arial" w:hAnsi="Arial" w:cs="Arial"/>
                <w:sz w:val="22"/>
                <w:szCs w:val="22"/>
                <w:lang w:val="en-GB"/>
              </w:rPr>
              <w:t>ie</w:t>
            </w:r>
            <w:proofErr w:type="spellEnd"/>
            <w:r w:rsidRPr="00D10ED2">
              <w:rPr>
                <w:rFonts w:ascii="Arial" w:hAnsi="Arial" w:cs="Arial"/>
                <w:sz w:val="22"/>
                <w:szCs w:val="22"/>
                <w:lang w:val="en-GB"/>
              </w:rPr>
              <w:t>, ≤0.1% BCR-ABL</w:t>
            </w:r>
            <w:r w:rsidRPr="00D10ED2">
              <w:rPr>
                <w:rFonts w:ascii="Arial" w:hAnsi="Arial" w:cs="Arial"/>
                <w:sz w:val="22"/>
                <w:szCs w:val="22"/>
                <w:vertAlign w:val="superscript"/>
                <w:lang w:val="en-GB"/>
              </w:rPr>
              <w:t>IS</w:t>
            </w:r>
            <w:r w:rsidRPr="00D10ED2">
              <w:rPr>
                <w:rFonts w:ascii="Arial" w:hAnsi="Arial" w:cs="Arial"/>
                <w:sz w:val="22"/>
                <w:szCs w:val="22"/>
                <w:lang w:val="en-GB"/>
              </w:rPr>
              <w:t>; patients must have the b2a2/b3a2 (p210) transcript), in peripheral blood measured by quantitative reverse transcriptase polymerase chain reaction (</w:t>
            </w:r>
            <w:proofErr w:type="spellStart"/>
            <w:r w:rsidRPr="00D10ED2">
              <w:rPr>
                <w:rFonts w:ascii="Arial" w:hAnsi="Arial" w:cs="Arial"/>
                <w:sz w:val="22"/>
                <w:szCs w:val="22"/>
                <w:lang w:val="en-GB"/>
              </w:rPr>
              <w:t>qRT</w:t>
            </w:r>
            <w:proofErr w:type="spellEnd"/>
            <w:r w:rsidRPr="00D10ED2">
              <w:rPr>
                <w:rFonts w:ascii="Arial" w:hAnsi="Arial" w:cs="Arial"/>
                <w:sz w:val="22"/>
                <w:szCs w:val="22"/>
                <w:lang w:val="en-GB"/>
              </w:rPr>
              <w:t xml:space="preserve"> PCR).</w:t>
            </w:r>
          </w:p>
        </w:tc>
      </w:tr>
    </w:tbl>
    <w:p w14:paraId="120DD024" w14:textId="77777777" w:rsidR="00E70B03" w:rsidRPr="00D10ED2" w:rsidRDefault="00E70B03" w:rsidP="00E70B03">
      <w:pPr>
        <w:rPr>
          <w:rFonts w:ascii="Arial" w:hAnsi="Arial" w:cs="Arial"/>
          <w:sz w:val="22"/>
          <w:szCs w:val="22"/>
        </w:rPr>
      </w:pPr>
    </w:p>
    <w:p w14:paraId="36F6AFF9" w14:textId="5025C573" w:rsidR="00E70B03" w:rsidRPr="00D10ED2" w:rsidRDefault="00E70B03" w:rsidP="00E70B03">
      <w:pPr>
        <w:rPr>
          <w:rFonts w:ascii="Arial" w:hAnsi="Arial" w:cs="Arial"/>
          <w:sz w:val="22"/>
          <w:szCs w:val="22"/>
        </w:rPr>
      </w:pPr>
      <w:r w:rsidRPr="00D10ED2">
        <w:rPr>
          <w:rFonts w:ascii="Arial" w:hAnsi="Arial" w:cs="Arial"/>
          <w:sz w:val="22"/>
          <w:szCs w:val="22"/>
        </w:rPr>
        <w:t xml:space="preserve">CP-CML patients who received fewer prior TKIs attained higher cytogenetic, </w:t>
      </w:r>
      <w:proofErr w:type="spellStart"/>
      <w:r w:rsidRPr="00D10ED2">
        <w:rPr>
          <w:rFonts w:ascii="Arial" w:hAnsi="Arial" w:cs="Arial"/>
          <w:sz w:val="22"/>
          <w:szCs w:val="22"/>
        </w:rPr>
        <w:t>haematological</w:t>
      </w:r>
      <w:proofErr w:type="spellEnd"/>
      <w:r w:rsidRPr="00D10ED2">
        <w:rPr>
          <w:rFonts w:ascii="Arial" w:hAnsi="Arial" w:cs="Arial"/>
          <w:sz w:val="22"/>
          <w:szCs w:val="22"/>
        </w:rPr>
        <w:t>, and molecular responses. Of the CP-CML patients previously treated with one, two, or three prior TKIs, 81% (13/16), 61% (65/</w:t>
      </w:r>
      <w:r w:rsidR="00A124DC" w:rsidRPr="00D10ED2">
        <w:rPr>
          <w:rFonts w:ascii="Arial" w:hAnsi="Arial" w:cs="Arial"/>
          <w:sz w:val="22"/>
          <w:szCs w:val="22"/>
        </w:rPr>
        <w:t>107</w:t>
      </w:r>
      <w:r w:rsidRPr="00D10ED2">
        <w:rPr>
          <w:rFonts w:ascii="Arial" w:hAnsi="Arial" w:cs="Arial"/>
          <w:sz w:val="22"/>
          <w:szCs w:val="22"/>
        </w:rPr>
        <w:t xml:space="preserve">), and 46% (66/143) achieved a </w:t>
      </w:r>
      <w:proofErr w:type="spellStart"/>
      <w:r w:rsidRPr="00D10ED2">
        <w:rPr>
          <w:rFonts w:ascii="Arial" w:hAnsi="Arial" w:cs="Arial"/>
          <w:sz w:val="22"/>
          <w:szCs w:val="22"/>
        </w:rPr>
        <w:t>MCyR</w:t>
      </w:r>
      <w:proofErr w:type="spellEnd"/>
      <w:r w:rsidRPr="00D10ED2">
        <w:rPr>
          <w:rFonts w:ascii="Arial" w:hAnsi="Arial" w:cs="Arial"/>
          <w:sz w:val="22"/>
          <w:szCs w:val="22"/>
        </w:rPr>
        <w:t xml:space="preserve"> while on </w:t>
      </w:r>
      <w:r w:rsidR="0011623F" w:rsidRPr="00D10ED2">
        <w:rPr>
          <w:rFonts w:ascii="Arial" w:hAnsi="Arial" w:cs="Arial"/>
          <w:sz w:val="22"/>
          <w:szCs w:val="22"/>
        </w:rPr>
        <w:t>ICLUSIG</w:t>
      </w:r>
      <w:r w:rsidRPr="00D10ED2">
        <w:rPr>
          <w:rFonts w:ascii="Arial" w:hAnsi="Arial" w:cs="Arial"/>
          <w:sz w:val="22"/>
          <w:szCs w:val="22"/>
        </w:rPr>
        <w:t>, respectively.</w:t>
      </w:r>
    </w:p>
    <w:p w14:paraId="30C9B475" w14:textId="77777777" w:rsidR="00E70B03" w:rsidRPr="00D10ED2" w:rsidRDefault="00E70B03" w:rsidP="00E70B03">
      <w:pPr>
        <w:rPr>
          <w:rFonts w:ascii="Arial" w:hAnsi="Arial" w:cs="Arial"/>
          <w:sz w:val="22"/>
          <w:szCs w:val="22"/>
        </w:rPr>
      </w:pPr>
    </w:p>
    <w:p w14:paraId="451CAD8B" w14:textId="77777777" w:rsidR="00E70B03" w:rsidRPr="00D10ED2" w:rsidRDefault="00E70B03" w:rsidP="00E70B03">
      <w:pPr>
        <w:rPr>
          <w:rFonts w:ascii="Arial" w:hAnsi="Arial" w:cs="Arial"/>
          <w:sz w:val="22"/>
          <w:szCs w:val="22"/>
        </w:rPr>
      </w:pPr>
      <w:r w:rsidRPr="00D10ED2">
        <w:rPr>
          <w:rFonts w:ascii="Arial" w:hAnsi="Arial" w:cs="Arial"/>
          <w:sz w:val="22"/>
          <w:szCs w:val="22"/>
        </w:rPr>
        <w:t xml:space="preserve">Of the CP-CML patients with no mutation detected at entry, 46% (63/136) achieved a </w:t>
      </w:r>
      <w:proofErr w:type="spellStart"/>
      <w:r w:rsidRPr="00D10ED2">
        <w:rPr>
          <w:rFonts w:ascii="Arial" w:hAnsi="Arial" w:cs="Arial"/>
          <w:sz w:val="22"/>
          <w:szCs w:val="22"/>
        </w:rPr>
        <w:t>MCyR</w:t>
      </w:r>
      <w:proofErr w:type="spellEnd"/>
      <w:r w:rsidRPr="00D10ED2">
        <w:rPr>
          <w:rFonts w:ascii="Arial" w:hAnsi="Arial" w:cs="Arial"/>
          <w:sz w:val="22"/>
          <w:szCs w:val="22"/>
        </w:rPr>
        <w:t>.</w:t>
      </w:r>
    </w:p>
    <w:p w14:paraId="783A7A72" w14:textId="77777777" w:rsidR="00E70B03" w:rsidRPr="00D10ED2" w:rsidRDefault="00E70B03" w:rsidP="00E70B03">
      <w:pPr>
        <w:rPr>
          <w:rFonts w:ascii="Arial" w:hAnsi="Arial" w:cs="Arial"/>
          <w:sz w:val="22"/>
          <w:szCs w:val="22"/>
        </w:rPr>
      </w:pPr>
    </w:p>
    <w:p w14:paraId="76785628" w14:textId="1A499DED" w:rsidR="00E70B03" w:rsidRPr="00D10ED2" w:rsidRDefault="00E70B03" w:rsidP="00E70B03">
      <w:pPr>
        <w:rPr>
          <w:rFonts w:ascii="Arial" w:hAnsi="Arial" w:cs="Arial"/>
          <w:sz w:val="22"/>
          <w:szCs w:val="22"/>
        </w:rPr>
      </w:pPr>
      <w:r w:rsidRPr="00D10ED2">
        <w:rPr>
          <w:rFonts w:ascii="Arial" w:hAnsi="Arial" w:cs="Arial"/>
          <w:sz w:val="22"/>
          <w:szCs w:val="22"/>
        </w:rPr>
        <w:t xml:space="preserve">For every BCR-ABL mutation detected in more than one CP-CML patient at entry, a </w:t>
      </w:r>
      <w:proofErr w:type="spellStart"/>
      <w:r w:rsidRPr="00D10ED2">
        <w:rPr>
          <w:rFonts w:ascii="Arial" w:hAnsi="Arial" w:cs="Arial"/>
          <w:sz w:val="22"/>
          <w:szCs w:val="22"/>
        </w:rPr>
        <w:t>MCyR</w:t>
      </w:r>
      <w:proofErr w:type="spellEnd"/>
      <w:r w:rsidRPr="00D10ED2">
        <w:rPr>
          <w:rFonts w:ascii="Arial" w:hAnsi="Arial" w:cs="Arial"/>
          <w:sz w:val="22"/>
          <w:szCs w:val="22"/>
        </w:rPr>
        <w:t xml:space="preserve"> was achieved following treatment with </w:t>
      </w:r>
      <w:r w:rsidR="0011623F" w:rsidRPr="00D10ED2">
        <w:rPr>
          <w:rFonts w:ascii="Arial" w:hAnsi="Arial" w:cs="Arial"/>
          <w:sz w:val="22"/>
          <w:szCs w:val="22"/>
        </w:rPr>
        <w:t>ICLUSIG</w:t>
      </w:r>
      <w:r w:rsidRPr="00D10ED2">
        <w:rPr>
          <w:rFonts w:ascii="Arial" w:hAnsi="Arial" w:cs="Arial"/>
          <w:sz w:val="22"/>
          <w:szCs w:val="22"/>
        </w:rPr>
        <w:t>.</w:t>
      </w:r>
    </w:p>
    <w:p w14:paraId="018E285B" w14:textId="77777777" w:rsidR="00E70B03" w:rsidRPr="00D10ED2" w:rsidRDefault="00E70B03" w:rsidP="00E70B03">
      <w:pPr>
        <w:rPr>
          <w:rFonts w:ascii="Arial" w:hAnsi="Arial" w:cs="Arial"/>
          <w:sz w:val="22"/>
          <w:szCs w:val="22"/>
        </w:rPr>
      </w:pPr>
    </w:p>
    <w:p w14:paraId="45AEED38" w14:textId="3175ED3D" w:rsidR="00E70B03" w:rsidRPr="00D10ED2" w:rsidRDefault="00E70B03" w:rsidP="00E70B03">
      <w:pPr>
        <w:rPr>
          <w:rFonts w:ascii="Arial" w:hAnsi="Arial" w:cs="Arial"/>
          <w:sz w:val="22"/>
          <w:szCs w:val="22"/>
        </w:rPr>
      </w:pPr>
      <w:r w:rsidRPr="00D10ED2">
        <w:rPr>
          <w:rFonts w:ascii="Arial" w:hAnsi="Arial" w:cs="Arial"/>
          <w:sz w:val="22"/>
          <w:szCs w:val="22"/>
        </w:rPr>
        <w:t xml:space="preserve">In CP-CML patients who achieved </w:t>
      </w:r>
      <w:proofErr w:type="spellStart"/>
      <w:r w:rsidRPr="00D10ED2">
        <w:rPr>
          <w:rFonts w:ascii="Arial" w:hAnsi="Arial" w:cs="Arial"/>
          <w:sz w:val="22"/>
          <w:szCs w:val="22"/>
        </w:rPr>
        <w:t>MCyR</w:t>
      </w:r>
      <w:proofErr w:type="spellEnd"/>
      <w:r w:rsidRPr="00D10ED2">
        <w:rPr>
          <w:rFonts w:ascii="Arial" w:hAnsi="Arial" w:cs="Arial"/>
          <w:sz w:val="22"/>
          <w:szCs w:val="22"/>
        </w:rPr>
        <w:t xml:space="preserve">, the median time to </w:t>
      </w:r>
      <w:proofErr w:type="spellStart"/>
      <w:r w:rsidRPr="00D10ED2">
        <w:rPr>
          <w:rFonts w:ascii="Arial" w:hAnsi="Arial" w:cs="Arial"/>
          <w:sz w:val="22"/>
          <w:szCs w:val="22"/>
        </w:rPr>
        <w:t>MCyR</w:t>
      </w:r>
      <w:proofErr w:type="spellEnd"/>
      <w:r w:rsidRPr="00D10ED2">
        <w:rPr>
          <w:rFonts w:ascii="Arial" w:hAnsi="Arial" w:cs="Arial"/>
          <w:sz w:val="22"/>
          <w:szCs w:val="22"/>
        </w:rPr>
        <w:t xml:space="preserve"> was 84 days (range: 49 to 334 days) and in patients who achieved MMR, the median time to MMR was 167 days (range: 55 to 421 days). At the time of reporting, the median durations of </w:t>
      </w:r>
      <w:proofErr w:type="spellStart"/>
      <w:r w:rsidRPr="00D10ED2">
        <w:rPr>
          <w:rFonts w:ascii="Arial" w:hAnsi="Arial" w:cs="Arial"/>
          <w:sz w:val="22"/>
          <w:szCs w:val="22"/>
        </w:rPr>
        <w:t>MCyR</w:t>
      </w:r>
      <w:proofErr w:type="spellEnd"/>
      <w:r w:rsidRPr="00D10ED2">
        <w:rPr>
          <w:rFonts w:ascii="Arial" w:hAnsi="Arial" w:cs="Arial"/>
          <w:sz w:val="22"/>
          <w:szCs w:val="22"/>
        </w:rPr>
        <w:t xml:space="preserve"> and MMR had not yet been reached. Based on the Kaplan-Meier estimates, 9</w:t>
      </w:r>
      <w:r w:rsidR="006D2670" w:rsidRPr="00D10ED2">
        <w:rPr>
          <w:rFonts w:ascii="Arial" w:hAnsi="Arial" w:cs="Arial"/>
          <w:sz w:val="22"/>
          <w:szCs w:val="22"/>
        </w:rPr>
        <w:t>3</w:t>
      </w:r>
      <w:r w:rsidRPr="00D10ED2">
        <w:rPr>
          <w:rFonts w:ascii="Arial" w:hAnsi="Arial" w:cs="Arial"/>
          <w:sz w:val="22"/>
          <w:szCs w:val="22"/>
        </w:rPr>
        <w:t>% (95% CI: [85%–9</w:t>
      </w:r>
      <w:r w:rsidR="006D2670" w:rsidRPr="00D10ED2">
        <w:rPr>
          <w:rFonts w:ascii="Arial" w:hAnsi="Arial" w:cs="Arial"/>
          <w:sz w:val="22"/>
          <w:szCs w:val="22"/>
        </w:rPr>
        <w:t>7</w:t>
      </w:r>
      <w:r w:rsidRPr="00D10ED2">
        <w:rPr>
          <w:rFonts w:ascii="Arial" w:hAnsi="Arial" w:cs="Arial"/>
          <w:sz w:val="22"/>
          <w:szCs w:val="22"/>
        </w:rPr>
        <w:t xml:space="preserve">%]) of CP-CML (median duration of treatment: </w:t>
      </w:r>
      <w:r w:rsidR="006D2670" w:rsidRPr="00D10ED2">
        <w:rPr>
          <w:rFonts w:ascii="Arial" w:hAnsi="Arial" w:cs="Arial"/>
          <w:sz w:val="22"/>
          <w:szCs w:val="22"/>
        </w:rPr>
        <w:t>28</w:t>
      </w:r>
      <w:r w:rsidRPr="00D10ED2">
        <w:rPr>
          <w:rFonts w:ascii="Arial" w:hAnsi="Arial" w:cs="Arial"/>
          <w:sz w:val="22"/>
          <w:szCs w:val="22"/>
        </w:rPr>
        <w:t xml:space="preserve">1 days) patients who achieved a </w:t>
      </w:r>
      <w:proofErr w:type="spellStart"/>
      <w:r w:rsidR="004F36D6" w:rsidRPr="00D10ED2">
        <w:rPr>
          <w:rFonts w:ascii="Arial" w:hAnsi="Arial" w:cs="Arial"/>
          <w:sz w:val="22"/>
          <w:szCs w:val="22"/>
        </w:rPr>
        <w:t>MCyR</w:t>
      </w:r>
      <w:proofErr w:type="spellEnd"/>
      <w:r w:rsidR="004F36D6" w:rsidRPr="00D10ED2">
        <w:rPr>
          <w:rFonts w:ascii="Arial" w:hAnsi="Arial" w:cs="Arial"/>
          <w:sz w:val="22"/>
          <w:szCs w:val="22"/>
        </w:rPr>
        <w:t xml:space="preserve"> and</w:t>
      </w:r>
      <w:r w:rsidRPr="00D10ED2">
        <w:rPr>
          <w:rFonts w:ascii="Arial" w:hAnsi="Arial" w:cs="Arial"/>
          <w:sz w:val="22"/>
          <w:szCs w:val="22"/>
        </w:rPr>
        <w:t xml:space="preserve"> 8</w:t>
      </w:r>
      <w:r w:rsidR="006D2670" w:rsidRPr="00D10ED2">
        <w:rPr>
          <w:rFonts w:ascii="Arial" w:hAnsi="Arial" w:cs="Arial"/>
          <w:sz w:val="22"/>
          <w:szCs w:val="22"/>
        </w:rPr>
        <w:t>4</w:t>
      </w:r>
      <w:r w:rsidRPr="00D10ED2">
        <w:rPr>
          <w:rFonts w:ascii="Arial" w:hAnsi="Arial" w:cs="Arial"/>
          <w:sz w:val="22"/>
          <w:szCs w:val="22"/>
        </w:rPr>
        <w:t>% (95% CI: [7</w:t>
      </w:r>
      <w:r w:rsidR="006D2670" w:rsidRPr="00D10ED2">
        <w:rPr>
          <w:rFonts w:ascii="Arial" w:hAnsi="Arial" w:cs="Arial"/>
          <w:sz w:val="22"/>
          <w:szCs w:val="22"/>
        </w:rPr>
        <w:t>1</w:t>
      </w:r>
      <w:r w:rsidRPr="00D10ED2">
        <w:rPr>
          <w:rFonts w:ascii="Arial" w:hAnsi="Arial" w:cs="Arial"/>
          <w:sz w:val="22"/>
          <w:szCs w:val="22"/>
        </w:rPr>
        <w:t xml:space="preserve">%- </w:t>
      </w:r>
      <w:r w:rsidR="006D2670" w:rsidRPr="00D10ED2">
        <w:rPr>
          <w:rFonts w:ascii="Arial" w:hAnsi="Arial" w:cs="Arial"/>
          <w:sz w:val="22"/>
          <w:szCs w:val="22"/>
        </w:rPr>
        <w:t>91</w:t>
      </w:r>
      <w:r w:rsidRPr="00D10ED2">
        <w:rPr>
          <w:rFonts w:ascii="Arial" w:hAnsi="Arial" w:cs="Arial"/>
          <w:sz w:val="22"/>
          <w:szCs w:val="22"/>
        </w:rPr>
        <w:t>%]) of CP-CML patients who achieved a MMR are projected to maintain that response at 12 months.</w:t>
      </w:r>
    </w:p>
    <w:p w14:paraId="62CF6618" w14:textId="22E719C0" w:rsidR="00E43D6D" w:rsidRPr="00D10ED2" w:rsidRDefault="00E43D6D">
      <w:pPr>
        <w:rPr>
          <w:rFonts w:ascii="Arial" w:eastAsia="Times New Roman" w:hAnsi="Arial" w:cs="Arial"/>
          <w:b/>
          <w:sz w:val="22"/>
          <w:szCs w:val="22"/>
        </w:rPr>
      </w:pPr>
      <w:r w:rsidRPr="00D10ED2">
        <w:rPr>
          <w:rFonts w:ascii="Arial" w:hAnsi="Arial" w:cs="Arial"/>
          <w:sz w:val="22"/>
          <w:szCs w:val="22"/>
        </w:rPr>
        <w:br w:type="page"/>
      </w:r>
    </w:p>
    <w:p w14:paraId="498C8979" w14:textId="5375F2F9" w:rsidR="00E70B03" w:rsidRPr="00D10ED2" w:rsidRDefault="00F747C6" w:rsidP="009D63A2">
      <w:pPr>
        <w:pStyle w:val="Table"/>
        <w:pageBreakBefore/>
        <w:tabs>
          <w:tab w:val="clear" w:pos="1008"/>
        </w:tabs>
        <w:spacing w:after="0"/>
        <w:ind w:left="1138" w:hanging="1138"/>
        <w:jc w:val="left"/>
        <w:rPr>
          <w:rFonts w:ascii="Arial" w:hAnsi="Arial" w:cs="Arial"/>
          <w:sz w:val="22"/>
          <w:szCs w:val="22"/>
        </w:rPr>
      </w:pPr>
      <w:r w:rsidRPr="00D10ED2">
        <w:rPr>
          <w:rFonts w:ascii="Arial" w:hAnsi="Arial" w:cs="Arial"/>
          <w:sz w:val="22"/>
          <w:szCs w:val="22"/>
        </w:rPr>
        <w:lastRenderedPageBreak/>
        <w:t>Table 3</w:t>
      </w:r>
      <w:r w:rsidR="00E70B03" w:rsidRPr="00D10ED2">
        <w:rPr>
          <w:rFonts w:ascii="Arial" w:hAnsi="Arial" w:cs="Arial"/>
          <w:sz w:val="22"/>
          <w:szCs w:val="22"/>
        </w:rPr>
        <w:tab/>
        <w:t xml:space="preserve">Efficacy of </w:t>
      </w:r>
      <w:r w:rsidR="0011623F" w:rsidRPr="00D10ED2">
        <w:rPr>
          <w:rFonts w:ascii="Arial" w:hAnsi="Arial" w:cs="Arial"/>
          <w:sz w:val="22"/>
          <w:szCs w:val="22"/>
        </w:rPr>
        <w:t>ICLUSIG</w:t>
      </w:r>
      <w:r w:rsidR="00E70B03" w:rsidRPr="00D10ED2">
        <w:rPr>
          <w:rFonts w:ascii="Arial" w:hAnsi="Arial" w:cs="Arial"/>
          <w:sz w:val="22"/>
          <w:szCs w:val="22"/>
        </w:rPr>
        <w:t xml:space="preserve"> in resistant or intolerant advanced phase CML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090"/>
        <w:gridCol w:w="1092"/>
        <w:gridCol w:w="1112"/>
        <w:gridCol w:w="995"/>
        <w:gridCol w:w="995"/>
        <w:gridCol w:w="949"/>
      </w:tblGrid>
      <w:tr w:rsidR="00E70B03" w:rsidRPr="00D10ED2" w14:paraId="09E6E95C" w14:textId="77777777" w:rsidTr="0022113F">
        <w:trPr>
          <w:trHeight w:val="179"/>
          <w:tblHeader/>
        </w:trPr>
        <w:tc>
          <w:tcPr>
            <w:tcW w:w="1341" w:type="pct"/>
            <w:vMerge w:val="restart"/>
          </w:tcPr>
          <w:p w14:paraId="2F82D03C" w14:textId="77777777" w:rsidR="00E70B03" w:rsidRPr="00D10ED2" w:rsidRDefault="00E70B03" w:rsidP="00E70B03">
            <w:pPr>
              <w:pStyle w:val="TableHeader10"/>
              <w:ind w:left="240"/>
              <w:rPr>
                <w:rFonts w:ascii="Arial" w:hAnsi="Arial" w:cs="Arial"/>
                <w:sz w:val="22"/>
                <w:szCs w:val="22"/>
              </w:rPr>
            </w:pPr>
          </w:p>
        </w:tc>
        <w:tc>
          <w:tcPr>
            <w:tcW w:w="1934" w:type="pct"/>
            <w:gridSpan w:val="3"/>
          </w:tcPr>
          <w:p w14:paraId="487B4924"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Accelerated Phase CML</w:t>
            </w:r>
          </w:p>
        </w:tc>
        <w:tc>
          <w:tcPr>
            <w:tcW w:w="1725" w:type="pct"/>
            <w:gridSpan w:val="3"/>
          </w:tcPr>
          <w:p w14:paraId="3CB1BE86" w14:textId="62D512A5" w:rsidR="00E70B03" w:rsidRPr="00D10ED2" w:rsidRDefault="00E70B03" w:rsidP="00E70B03">
            <w:pPr>
              <w:pStyle w:val="TableHeader10"/>
              <w:rPr>
                <w:rFonts w:ascii="Arial" w:hAnsi="Arial" w:cs="Arial"/>
                <w:sz w:val="22"/>
                <w:szCs w:val="22"/>
              </w:rPr>
            </w:pPr>
            <w:r w:rsidRPr="00D10ED2">
              <w:rPr>
                <w:rFonts w:ascii="Arial" w:hAnsi="Arial" w:cs="Arial"/>
                <w:sz w:val="22"/>
                <w:szCs w:val="22"/>
              </w:rPr>
              <w:t>Blast Phase CML</w:t>
            </w:r>
            <w:r w:rsidR="00076533" w:rsidRPr="00D10ED2">
              <w:rPr>
                <w:rFonts w:ascii="Arial" w:hAnsi="Arial" w:cs="Arial"/>
                <w:sz w:val="22"/>
                <w:szCs w:val="22"/>
              </w:rPr>
              <w:t>/</w:t>
            </w:r>
            <w:proofErr w:type="spellStart"/>
            <w:r w:rsidR="00076533" w:rsidRPr="00D10ED2">
              <w:rPr>
                <w:rFonts w:ascii="Arial" w:hAnsi="Arial" w:cs="Arial"/>
                <w:sz w:val="22"/>
                <w:szCs w:val="22"/>
              </w:rPr>
              <w:t>Ph</w:t>
            </w:r>
            <w:proofErr w:type="spellEnd"/>
            <w:r w:rsidR="00076533" w:rsidRPr="00D10ED2">
              <w:rPr>
                <w:rFonts w:ascii="Arial" w:hAnsi="Arial" w:cs="Arial"/>
                <w:sz w:val="22"/>
                <w:szCs w:val="22"/>
              </w:rPr>
              <w:t>+ ALL</w:t>
            </w:r>
          </w:p>
        </w:tc>
      </w:tr>
      <w:tr w:rsidR="0022113F" w:rsidRPr="00D10ED2" w14:paraId="7C69BB6E" w14:textId="77777777" w:rsidTr="0022113F">
        <w:trPr>
          <w:trHeight w:val="126"/>
          <w:tblHeader/>
        </w:trPr>
        <w:tc>
          <w:tcPr>
            <w:tcW w:w="1341" w:type="pct"/>
            <w:vMerge/>
          </w:tcPr>
          <w:p w14:paraId="7A931741" w14:textId="77777777" w:rsidR="00E70B03" w:rsidRPr="00D10ED2" w:rsidRDefault="00E70B03" w:rsidP="00E70B03">
            <w:pPr>
              <w:pStyle w:val="TableHeader10"/>
              <w:ind w:left="240"/>
              <w:rPr>
                <w:rFonts w:ascii="Arial" w:hAnsi="Arial" w:cs="Arial"/>
                <w:sz w:val="22"/>
                <w:szCs w:val="22"/>
              </w:rPr>
            </w:pPr>
          </w:p>
        </w:tc>
        <w:tc>
          <w:tcPr>
            <w:tcW w:w="640" w:type="pct"/>
            <w:vMerge w:val="restart"/>
          </w:tcPr>
          <w:p w14:paraId="77F01896" w14:textId="77777777" w:rsidR="00E70B03" w:rsidRPr="00D10ED2" w:rsidRDefault="00E70B03" w:rsidP="00E70B03">
            <w:pPr>
              <w:pStyle w:val="TableHeader10"/>
              <w:rPr>
                <w:rFonts w:ascii="Arial" w:hAnsi="Arial" w:cs="Arial"/>
                <w:sz w:val="22"/>
                <w:szCs w:val="22"/>
                <w:lang w:val="en-GB"/>
              </w:rPr>
            </w:pPr>
            <w:r w:rsidRPr="00D10ED2">
              <w:rPr>
                <w:rFonts w:ascii="Arial" w:hAnsi="Arial" w:cs="Arial"/>
                <w:sz w:val="22"/>
                <w:szCs w:val="22"/>
                <w:lang w:val="en-GB"/>
              </w:rPr>
              <w:t>Overall</w:t>
            </w:r>
          </w:p>
          <w:p w14:paraId="50EC3BFC" w14:textId="77777777" w:rsidR="00E70B03" w:rsidRPr="00D10ED2" w:rsidRDefault="00E70B03" w:rsidP="00E70B03">
            <w:pPr>
              <w:pStyle w:val="TableHeader10"/>
              <w:rPr>
                <w:rFonts w:ascii="Arial" w:hAnsi="Arial" w:cs="Arial"/>
                <w:sz w:val="22"/>
                <w:szCs w:val="22"/>
                <w:lang w:val="en-GB"/>
              </w:rPr>
            </w:pPr>
            <w:r w:rsidRPr="00D10ED2">
              <w:rPr>
                <w:rFonts w:ascii="Arial" w:hAnsi="Arial" w:cs="Arial"/>
                <w:sz w:val="22"/>
                <w:szCs w:val="22"/>
                <w:lang w:val="en-GB"/>
              </w:rPr>
              <w:t>(N=83)</w:t>
            </w:r>
          </w:p>
        </w:tc>
        <w:tc>
          <w:tcPr>
            <w:tcW w:w="1294" w:type="pct"/>
            <w:gridSpan w:val="2"/>
          </w:tcPr>
          <w:p w14:paraId="11C61861"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Resistant or Intolerant</w:t>
            </w:r>
          </w:p>
        </w:tc>
        <w:tc>
          <w:tcPr>
            <w:tcW w:w="584" w:type="pct"/>
            <w:vMerge w:val="restart"/>
          </w:tcPr>
          <w:p w14:paraId="77A1EEF1" w14:textId="77777777" w:rsidR="00E70B03" w:rsidRPr="00D10ED2" w:rsidRDefault="00E70B03" w:rsidP="00E70B03">
            <w:pPr>
              <w:pStyle w:val="TableHeader10"/>
              <w:rPr>
                <w:rFonts w:ascii="Arial" w:hAnsi="Arial" w:cs="Arial"/>
                <w:sz w:val="22"/>
                <w:szCs w:val="22"/>
                <w:lang w:val="en-GB"/>
              </w:rPr>
            </w:pPr>
            <w:r w:rsidRPr="00D10ED2">
              <w:rPr>
                <w:rFonts w:ascii="Arial" w:hAnsi="Arial" w:cs="Arial"/>
                <w:sz w:val="22"/>
                <w:szCs w:val="22"/>
                <w:lang w:val="en-GB"/>
              </w:rPr>
              <w:t>Overall</w:t>
            </w:r>
          </w:p>
          <w:p w14:paraId="1A588C1D" w14:textId="5CDB5549" w:rsidR="00E70B03" w:rsidRPr="00D10ED2" w:rsidRDefault="00E70B03" w:rsidP="00E70B03">
            <w:pPr>
              <w:pStyle w:val="TableHeader10"/>
              <w:rPr>
                <w:rFonts w:ascii="Arial" w:hAnsi="Arial" w:cs="Arial"/>
                <w:sz w:val="22"/>
                <w:szCs w:val="22"/>
                <w:lang w:val="en-GB"/>
              </w:rPr>
            </w:pPr>
            <w:r w:rsidRPr="00D10ED2">
              <w:rPr>
                <w:rFonts w:ascii="Arial" w:hAnsi="Arial" w:cs="Arial"/>
                <w:sz w:val="22"/>
                <w:szCs w:val="22"/>
                <w:lang w:val="en-GB"/>
              </w:rPr>
              <w:t>(N=</w:t>
            </w:r>
            <w:r w:rsidR="00916906" w:rsidRPr="00D10ED2">
              <w:rPr>
                <w:rFonts w:ascii="Arial" w:hAnsi="Arial" w:cs="Arial"/>
                <w:sz w:val="22"/>
                <w:szCs w:val="22"/>
                <w:lang w:val="en-GB"/>
              </w:rPr>
              <w:t>94</w:t>
            </w:r>
            <w:r w:rsidRPr="00D10ED2">
              <w:rPr>
                <w:rFonts w:ascii="Arial" w:hAnsi="Arial" w:cs="Arial"/>
                <w:sz w:val="22"/>
                <w:szCs w:val="22"/>
                <w:lang w:val="en-GB"/>
              </w:rPr>
              <w:t>)</w:t>
            </w:r>
          </w:p>
        </w:tc>
        <w:tc>
          <w:tcPr>
            <w:tcW w:w="1141" w:type="pct"/>
            <w:gridSpan w:val="2"/>
          </w:tcPr>
          <w:p w14:paraId="5203F20D"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Resistant or Intolerant</w:t>
            </w:r>
          </w:p>
        </w:tc>
      </w:tr>
      <w:tr w:rsidR="0022113F" w:rsidRPr="00D10ED2" w14:paraId="07C22B09" w14:textId="77777777" w:rsidTr="0022113F">
        <w:trPr>
          <w:trHeight w:val="179"/>
        </w:trPr>
        <w:tc>
          <w:tcPr>
            <w:tcW w:w="1341" w:type="pct"/>
            <w:vMerge/>
          </w:tcPr>
          <w:p w14:paraId="7F485B93" w14:textId="77777777" w:rsidR="00E70B03" w:rsidRPr="00D10ED2" w:rsidRDefault="00E70B03" w:rsidP="00E70B03">
            <w:pPr>
              <w:pStyle w:val="TableHeader10"/>
              <w:ind w:left="240"/>
              <w:rPr>
                <w:rFonts w:ascii="Arial" w:hAnsi="Arial" w:cs="Arial"/>
                <w:sz w:val="22"/>
                <w:szCs w:val="22"/>
              </w:rPr>
            </w:pPr>
          </w:p>
        </w:tc>
        <w:tc>
          <w:tcPr>
            <w:tcW w:w="640" w:type="pct"/>
            <w:vMerge/>
          </w:tcPr>
          <w:p w14:paraId="15EE16E8" w14:textId="77777777" w:rsidR="00E70B03" w:rsidRPr="00D10ED2" w:rsidRDefault="00E70B03" w:rsidP="00E70B03">
            <w:pPr>
              <w:pStyle w:val="TableHeader10"/>
              <w:ind w:left="240"/>
              <w:rPr>
                <w:rFonts w:ascii="Arial" w:hAnsi="Arial" w:cs="Arial"/>
                <w:sz w:val="22"/>
                <w:szCs w:val="22"/>
                <w:lang w:val="en-GB"/>
              </w:rPr>
            </w:pPr>
          </w:p>
        </w:tc>
        <w:tc>
          <w:tcPr>
            <w:tcW w:w="641" w:type="pct"/>
          </w:tcPr>
          <w:p w14:paraId="69F18989"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R/I</w:t>
            </w:r>
          </w:p>
          <w:p w14:paraId="72364301"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Cohort</w:t>
            </w:r>
          </w:p>
          <w:p w14:paraId="26B56F55"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(N=65)</w:t>
            </w:r>
          </w:p>
        </w:tc>
        <w:tc>
          <w:tcPr>
            <w:tcW w:w="653" w:type="pct"/>
          </w:tcPr>
          <w:p w14:paraId="197CCDFF"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T315I</w:t>
            </w:r>
          </w:p>
          <w:p w14:paraId="63F7795D"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Cohort</w:t>
            </w:r>
          </w:p>
          <w:p w14:paraId="27F7DACD"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(N=18)</w:t>
            </w:r>
          </w:p>
        </w:tc>
        <w:tc>
          <w:tcPr>
            <w:tcW w:w="584" w:type="pct"/>
            <w:vMerge/>
          </w:tcPr>
          <w:p w14:paraId="6A91A12B" w14:textId="77777777" w:rsidR="00E70B03" w:rsidRPr="00D10ED2" w:rsidRDefault="00E70B03" w:rsidP="00E70B03">
            <w:pPr>
              <w:pStyle w:val="TableHeader10"/>
              <w:ind w:left="240"/>
              <w:rPr>
                <w:rFonts w:ascii="Arial" w:hAnsi="Arial" w:cs="Arial"/>
                <w:sz w:val="22"/>
                <w:szCs w:val="22"/>
              </w:rPr>
            </w:pPr>
          </w:p>
        </w:tc>
        <w:tc>
          <w:tcPr>
            <w:tcW w:w="584" w:type="pct"/>
          </w:tcPr>
          <w:p w14:paraId="6FE0DF63"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R/I</w:t>
            </w:r>
          </w:p>
          <w:p w14:paraId="20E6C0F8"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Cohort</w:t>
            </w:r>
          </w:p>
          <w:p w14:paraId="4F85A211" w14:textId="141B1115" w:rsidR="00E70B03" w:rsidRPr="00D10ED2" w:rsidRDefault="00E70B03" w:rsidP="00E70B03">
            <w:pPr>
              <w:pStyle w:val="TableHeader10"/>
              <w:rPr>
                <w:rFonts w:ascii="Arial" w:hAnsi="Arial" w:cs="Arial"/>
                <w:sz w:val="22"/>
                <w:szCs w:val="22"/>
              </w:rPr>
            </w:pPr>
            <w:r w:rsidRPr="00D10ED2">
              <w:rPr>
                <w:rFonts w:ascii="Arial" w:hAnsi="Arial" w:cs="Arial"/>
                <w:sz w:val="22"/>
                <w:szCs w:val="22"/>
              </w:rPr>
              <w:t>(N=</w:t>
            </w:r>
            <w:r w:rsidR="00832CC7" w:rsidRPr="00D10ED2">
              <w:rPr>
                <w:rFonts w:ascii="Arial" w:hAnsi="Arial" w:cs="Arial"/>
                <w:sz w:val="22"/>
                <w:szCs w:val="22"/>
              </w:rPr>
              <w:t>4</w:t>
            </w:r>
            <w:r w:rsidRPr="00D10ED2">
              <w:rPr>
                <w:rFonts w:ascii="Arial" w:hAnsi="Arial" w:cs="Arial"/>
                <w:sz w:val="22"/>
                <w:szCs w:val="22"/>
              </w:rPr>
              <w:t>8)</w:t>
            </w:r>
          </w:p>
        </w:tc>
        <w:tc>
          <w:tcPr>
            <w:tcW w:w="557" w:type="pct"/>
          </w:tcPr>
          <w:p w14:paraId="54A733F3"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T315I</w:t>
            </w:r>
          </w:p>
          <w:p w14:paraId="2D80DFF3" w14:textId="77777777" w:rsidR="00E70B03" w:rsidRPr="00D10ED2" w:rsidRDefault="00E70B03" w:rsidP="00E70B03">
            <w:pPr>
              <w:pStyle w:val="TableHeader10"/>
              <w:rPr>
                <w:rFonts w:ascii="Arial" w:hAnsi="Arial" w:cs="Arial"/>
                <w:sz w:val="22"/>
                <w:szCs w:val="22"/>
              </w:rPr>
            </w:pPr>
            <w:r w:rsidRPr="00D10ED2">
              <w:rPr>
                <w:rFonts w:ascii="Arial" w:hAnsi="Arial" w:cs="Arial"/>
                <w:sz w:val="22"/>
                <w:szCs w:val="22"/>
              </w:rPr>
              <w:t>Cohort</w:t>
            </w:r>
          </w:p>
          <w:p w14:paraId="441C2B9E" w14:textId="6D6B16E3" w:rsidR="00E70B03" w:rsidRPr="00D10ED2" w:rsidRDefault="00E70B03" w:rsidP="00E70B03">
            <w:pPr>
              <w:pStyle w:val="TableHeader10"/>
              <w:rPr>
                <w:rFonts w:ascii="Arial" w:hAnsi="Arial" w:cs="Arial"/>
                <w:sz w:val="22"/>
                <w:szCs w:val="22"/>
              </w:rPr>
            </w:pPr>
            <w:r w:rsidRPr="00D10ED2">
              <w:rPr>
                <w:rFonts w:ascii="Arial" w:hAnsi="Arial" w:cs="Arial"/>
                <w:sz w:val="22"/>
                <w:szCs w:val="22"/>
              </w:rPr>
              <w:t>(N=</w:t>
            </w:r>
            <w:r w:rsidR="00832CC7" w:rsidRPr="00D10ED2">
              <w:rPr>
                <w:rFonts w:ascii="Arial" w:hAnsi="Arial" w:cs="Arial"/>
                <w:sz w:val="22"/>
                <w:szCs w:val="22"/>
              </w:rPr>
              <w:t>46</w:t>
            </w:r>
            <w:r w:rsidRPr="00D10ED2">
              <w:rPr>
                <w:rFonts w:ascii="Arial" w:hAnsi="Arial" w:cs="Arial"/>
                <w:sz w:val="22"/>
                <w:szCs w:val="22"/>
              </w:rPr>
              <w:t>)</w:t>
            </w:r>
          </w:p>
        </w:tc>
      </w:tr>
      <w:tr w:rsidR="0022113F" w:rsidRPr="00D10ED2" w14:paraId="64D6BBD9" w14:textId="77777777" w:rsidTr="0022113F">
        <w:trPr>
          <w:trHeight w:val="415"/>
        </w:trPr>
        <w:tc>
          <w:tcPr>
            <w:tcW w:w="1341" w:type="pct"/>
            <w:vAlign w:val="center"/>
          </w:tcPr>
          <w:p w14:paraId="3EF9BB8E" w14:textId="77777777" w:rsidR="00E70B03" w:rsidRPr="00D10ED2" w:rsidRDefault="00E70B03" w:rsidP="00E70B03">
            <w:pPr>
              <w:pStyle w:val="TableText10"/>
              <w:rPr>
                <w:rFonts w:ascii="Arial" w:eastAsia="Calibri" w:hAnsi="Arial" w:cs="Arial"/>
                <w:b/>
                <w:sz w:val="22"/>
                <w:szCs w:val="22"/>
              </w:rPr>
            </w:pPr>
            <w:proofErr w:type="spellStart"/>
            <w:r w:rsidRPr="00D10ED2">
              <w:rPr>
                <w:rFonts w:ascii="Arial" w:hAnsi="Arial" w:cs="Arial"/>
                <w:b/>
                <w:sz w:val="22"/>
                <w:szCs w:val="22"/>
              </w:rPr>
              <w:t>Haematological</w:t>
            </w:r>
            <w:proofErr w:type="spellEnd"/>
            <w:r w:rsidRPr="00D10ED2">
              <w:rPr>
                <w:rFonts w:ascii="Arial" w:hAnsi="Arial" w:cs="Arial"/>
                <w:b/>
                <w:sz w:val="22"/>
                <w:szCs w:val="22"/>
              </w:rPr>
              <w:t xml:space="preserve"> Response Rate</w:t>
            </w:r>
          </w:p>
        </w:tc>
        <w:tc>
          <w:tcPr>
            <w:tcW w:w="640" w:type="pct"/>
            <w:vAlign w:val="center"/>
          </w:tcPr>
          <w:p w14:paraId="0D9D14C6" w14:textId="77777777" w:rsidR="00E70B03" w:rsidRPr="00D10ED2" w:rsidRDefault="00E70B03" w:rsidP="00E70B03">
            <w:pPr>
              <w:pStyle w:val="TableText10"/>
              <w:ind w:left="240"/>
              <w:jc w:val="center"/>
              <w:rPr>
                <w:rFonts w:ascii="Arial" w:hAnsi="Arial" w:cs="Arial"/>
                <w:sz w:val="22"/>
                <w:szCs w:val="22"/>
              </w:rPr>
            </w:pPr>
          </w:p>
        </w:tc>
        <w:tc>
          <w:tcPr>
            <w:tcW w:w="641" w:type="pct"/>
            <w:vAlign w:val="center"/>
          </w:tcPr>
          <w:p w14:paraId="5E32AFC4" w14:textId="77777777" w:rsidR="00E70B03" w:rsidRPr="00D10ED2" w:rsidRDefault="00E70B03" w:rsidP="00E70B03">
            <w:pPr>
              <w:pStyle w:val="TableText10"/>
              <w:ind w:left="240"/>
              <w:jc w:val="center"/>
              <w:rPr>
                <w:rFonts w:ascii="Arial" w:hAnsi="Arial" w:cs="Arial"/>
                <w:sz w:val="22"/>
                <w:szCs w:val="22"/>
              </w:rPr>
            </w:pPr>
          </w:p>
        </w:tc>
        <w:tc>
          <w:tcPr>
            <w:tcW w:w="653" w:type="pct"/>
            <w:vAlign w:val="center"/>
          </w:tcPr>
          <w:p w14:paraId="598DE91D" w14:textId="77777777" w:rsidR="00E70B03" w:rsidRPr="00D10ED2" w:rsidRDefault="00E70B03" w:rsidP="00E70B03">
            <w:pPr>
              <w:pStyle w:val="TableText10"/>
              <w:ind w:left="240"/>
              <w:jc w:val="center"/>
              <w:rPr>
                <w:rFonts w:ascii="Arial" w:hAnsi="Arial" w:cs="Arial"/>
                <w:sz w:val="22"/>
                <w:szCs w:val="22"/>
              </w:rPr>
            </w:pPr>
          </w:p>
        </w:tc>
        <w:tc>
          <w:tcPr>
            <w:tcW w:w="584" w:type="pct"/>
            <w:vAlign w:val="center"/>
          </w:tcPr>
          <w:p w14:paraId="3434E17E" w14:textId="77777777" w:rsidR="00E70B03" w:rsidRPr="00D10ED2" w:rsidRDefault="00E70B03" w:rsidP="00E70B03">
            <w:pPr>
              <w:pStyle w:val="TableText10"/>
              <w:ind w:left="240"/>
              <w:jc w:val="center"/>
              <w:rPr>
                <w:rFonts w:ascii="Arial" w:hAnsi="Arial" w:cs="Arial"/>
                <w:sz w:val="22"/>
                <w:szCs w:val="22"/>
              </w:rPr>
            </w:pPr>
          </w:p>
        </w:tc>
        <w:tc>
          <w:tcPr>
            <w:tcW w:w="584" w:type="pct"/>
            <w:vAlign w:val="center"/>
          </w:tcPr>
          <w:p w14:paraId="6BBB5E16" w14:textId="77777777" w:rsidR="00E70B03" w:rsidRPr="00D10ED2" w:rsidRDefault="00E70B03" w:rsidP="00E70B03">
            <w:pPr>
              <w:pStyle w:val="TableText10"/>
              <w:ind w:left="240"/>
              <w:jc w:val="center"/>
              <w:rPr>
                <w:rFonts w:ascii="Arial" w:hAnsi="Arial" w:cs="Arial"/>
                <w:sz w:val="22"/>
                <w:szCs w:val="22"/>
              </w:rPr>
            </w:pPr>
          </w:p>
        </w:tc>
        <w:tc>
          <w:tcPr>
            <w:tcW w:w="557" w:type="pct"/>
            <w:vAlign w:val="center"/>
          </w:tcPr>
          <w:p w14:paraId="0E155E7E" w14:textId="77777777" w:rsidR="00E70B03" w:rsidRPr="00D10ED2" w:rsidRDefault="00E70B03" w:rsidP="00E70B03">
            <w:pPr>
              <w:pStyle w:val="TableText10"/>
              <w:ind w:left="240"/>
              <w:jc w:val="center"/>
              <w:rPr>
                <w:rFonts w:ascii="Arial" w:hAnsi="Arial" w:cs="Arial"/>
                <w:sz w:val="22"/>
                <w:szCs w:val="22"/>
              </w:rPr>
            </w:pPr>
          </w:p>
        </w:tc>
      </w:tr>
      <w:tr w:rsidR="0022113F" w:rsidRPr="00D10ED2" w14:paraId="121C48A7" w14:textId="77777777" w:rsidTr="0022113F">
        <w:trPr>
          <w:trHeight w:val="415"/>
        </w:trPr>
        <w:tc>
          <w:tcPr>
            <w:tcW w:w="1341" w:type="pct"/>
            <w:vAlign w:val="center"/>
          </w:tcPr>
          <w:p w14:paraId="1CF156E4" w14:textId="77777777" w:rsidR="00E70B03" w:rsidRPr="00D10ED2" w:rsidRDefault="00E70B03" w:rsidP="005D042F">
            <w:pPr>
              <w:pStyle w:val="TableText10"/>
              <w:rPr>
                <w:rFonts w:ascii="Arial" w:eastAsia="Calibri" w:hAnsi="Arial" w:cs="Arial"/>
                <w:b/>
                <w:bCs/>
                <w:iCs/>
                <w:sz w:val="22"/>
                <w:szCs w:val="22"/>
              </w:rPr>
            </w:pPr>
            <w:proofErr w:type="spellStart"/>
            <w:r w:rsidRPr="00D10ED2">
              <w:rPr>
                <w:rFonts w:ascii="Arial" w:eastAsia="Calibri" w:hAnsi="Arial" w:cs="Arial"/>
                <w:sz w:val="22"/>
                <w:szCs w:val="22"/>
              </w:rPr>
              <w:t>Major</w:t>
            </w:r>
            <w:r w:rsidRPr="00D10ED2">
              <w:rPr>
                <w:rFonts w:ascii="Arial" w:hAnsi="Arial" w:cs="Arial"/>
                <w:sz w:val="22"/>
                <w:szCs w:val="22"/>
                <w:vertAlign w:val="superscript"/>
              </w:rPr>
              <w:t>a</w:t>
            </w:r>
            <w:proofErr w:type="spellEnd"/>
            <w:r w:rsidRPr="00D10ED2">
              <w:rPr>
                <w:rFonts w:ascii="Arial" w:eastAsia="Calibri" w:hAnsi="Arial" w:cs="Arial"/>
                <w:sz w:val="22"/>
                <w:szCs w:val="22"/>
              </w:rPr>
              <w:t xml:space="preserve"> (</w:t>
            </w:r>
            <w:proofErr w:type="spellStart"/>
            <w:r w:rsidRPr="00D10ED2">
              <w:rPr>
                <w:rFonts w:ascii="Arial" w:eastAsia="Calibri" w:hAnsi="Arial" w:cs="Arial"/>
                <w:sz w:val="22"/>
                <w:szCs w:val="22"/>
              </w:rPr>
              <w:t>MaHR</w:t>
            </w:r>
            <w:proofErr w:type="spellEnd"/>
            <w:r w:rsidRPr="00D10ED2">
              <w:rPr>
                <w:rFonts w:ascii="Arial" w:eastAsia="Calibri" w:hAnsi="Arial" w:cs="Arial"/>
                <w:sz w:val="22"/>
                <w:szCs w:val="22"/>
              </w:rPr>
              <w:t xml:space="preserve">) </w:t>
            </w:r>
          </w:p>
          <w:p w14:paraId="719F213F" w14:textId="77777777" w:rsidR="00E70B03" w:rsidRPr="00D10ED2" w:rsidRDefault="00E70B03" w:rsidP="005D042F">
            <w:pPr>
              <w:pStyle w:val="TableText10"/>
              <w:rPr>
                <w:rFonts w:ascii="Arial" w:eastAsia="Calibri" w:hAnsi="Arial" w:cs="Arial"/>
                <w:b/>
                <w:bCs/>
                <w:iCs/>
                <w:sz w:val="22"/>
                <w:szCs w:val="22"/>
              </w:rPr>
            </w:pPr>
            <w:r w:rsidRPr="00D10ED2">
              <w:rPr>
                <w:rFonts w:ascii="Arial" w:eastAsia="Calibri" w:hAnsi="Arial" w:cs="Arial"/>
                <w:sz w:val="22"/>
                <w:szCs w:val="22"/>
              </w:rPr>
              <w:t>%</w:t>
            </w:r>
          </w:p>
          <w:p w14:paraId="00CB657A" w14:textId="77777777" w:rsidR="00E70B03" w:rsidRPr="00D10ED2" w:rsidRDefault="00E70B03" w:rsidP="005D042F">
            <w:pPr>
              <w:pStyle w:val="TableText10"/>
              <w:rPr>
                <w:rFonts w:ascii="Arial" w:eastAsia="Calibri" w:hAnsi="Arial" w:cs="Arial"/>
                <w:b/>
                <w:bCs/>
                <w:iCs/>
                <w:sz w:val="22"/>
                <w:szCs w:val="22"/>
              </w:rPr>
            </w:pPr>
            <w:r w:rsidRPr="00D10ED2">
              <w:rPr>
                <w:rFonts w:ascii="Arial" w:hAnsi="Arial" w:cs="Arial"/>
                <w:sz w:val="22"/>
                <w:szCs w:val="22"/>
              </w:rPr>
              <w:t>(95% CI)</w:t>
            </w:r>
          </w:p>
        </w:tc>
        <w:tc>
          <w:tcPr>
            <w:tcW w:w="640" w:type="pct"/>
            <w:vAlign w:val="bottom"/>
          </w:tcPr>
          <w:p w14:paraId="1600A8E7" w14:textId="4059EE83" w:rsidR="00E70B03" w:rsidRPr="00D10ED2" w:rsidRDefault="00832CC7" w:rsidP="00E70B03">
            <w:pPr>
              <w:pStyle w:val="TableText10"/>
              <w:jc w:val="center"/>
              <w:rPr>
                <w:rFonts w:ascii="Arial" w:hAnsi="Arial" w:cs="Arial"/>
                <w:sz w:val="22"/>
                <w:szCs w:val="22"/>
              </w:rPr>
            </w:pPr>
            <w:r w:rsidRPr="00D10ED2">
              <w:rPr>
                <w:rFonts w:ascii="Arial" w:hAnsi="Arial" w:cs="Arial"/>
                <w:sz w:val="22"/>
                <w:szCs w:val="22"/>
              </w:rPr>
              <w:t>57</w:t>
            </w:r>
            <w:r w:rsidR="00E70B03" w:rsidRPr="00D10ED2">
              <w:rPr>
                <w:rFonts w:ascii="Arial" w:hAnsi="Arial" w:cs="Arial"/>
                <w:sz w:val="22"/>
                <w:szCs w:val="22"/>
              </w:rPr>
              <w:t>%</w:t>
            </w:r>
          </w:p>
          <w:p w14:paraId="325C6682" w14:textId="551FEEBB" w:rsidR="00E70B03" w:rsidRPr="00D10ED2" w:rsidRDefault="00E70B03" w:rsidP="00832CC7">
            <w:pPr>
              <w:pStyle w:val="TableText10"/>
              <w:jc w:val="center"/>
              <w:rPr>
                <w:rFonts w:ascii="Arial" w:hAnsi="Arial" w:cs="Arial"/>
                <w:sz w:val="22"/>
                <w:szCs w:val="22"/>
              </w:rPr>
            </w:pPr>
            <w:r w:rsidRPr="00D10ED2">
              <w:rPr>
                <w:rFonts w:ascii="Arial" w:hAnsi="Arial" w:cs="Arial"/>
                <w:sz w:val="22"/>
                <w:szCs w:val="22"/>
              </w:rPr>
              <w:t>(</w:t>
            </w:r>
            <w:r w:rsidR="00832CC7" w:rsidRPr="00D10ED2">
              <w:rPr>
                <w:rFonts w:ascii="Arial" w:hAnsi="Arial" w:cs="Arial"/>
                <w:sz w:val="22"/>
                <w:szCs w:val="22"/>
              </w:rPr>
              <w:t>45-68</w:t>
            </w:r>
            <w:r w:rsidRPr="00D10ED2">
              <w:rPr>
                <w:rFonts w:ascii="Arial" w:hAnsi="Arial" w:cs="Arial"/>
                <w:sz w:val="22"/>
                <w:szCs w:val="22"/>
              </w:rPr>
              <w:t>)</w:t>
            </w:r>
          </w:p>
        </w:tc>
        <w:tc>
          <w:tcPr>
            <w:tcW w:w="641" w:type="pct"/>
            <w:vAlign w:val="bottom"/>
          </w:tcPr>
          <w:p w14:paraId="1DD55E3C" w14:textId="45165F4A" w:rsidR="00E70B03" w:rsidRPr="00D10ED2" w:rsidRDefault="00832CC7" w:rsidP="00E70B03">
            <w:pPr>
              <w:pStyle w:val="TableText10"/>
              <w:jc w:val="center"/>
              <w:rPr>
                <w:rFonts w:ascii="Arial" w:hAnsi="Arial" w:cs="Arial"/>
                <w:sz w:val="22"/>
                <w:szCs w:val="22"/>
              </w:rPr>
            </w:pPr>
            <w:r w:rsidRPr="00D10ED2">
              <w:rPr>
                <w:rFonts w:ascii="Arial" w:hAnsi="Arial" w:cs="Arial"/>
                <w:sz w:val="22"/>
                <w:szCs w:val="22"/>
              </w:rPr>
              <w:t>59</w:t>
            </w:r>
            <w:r w:rsidR="00E70B03" w:rsidRPr="00D10ED2">
              <w:rPr>
                <w:rFonts w:ascii="Arial" w:hAnsi="Arial" w:cs="Arial"/>
                <w:sz w:val="22"/>
                <w:szCs w:val="22"/>
              </w:rPr>
              <w:t>%</w:t>
            </w:r>
          </w:p>
          <w:p w14:paraId="1D8CED31" w14:textId="06526E2E" w:rsidR="00E70B03" w:rsidRPr="00D10ED2" w:rsidRDefault="00E70B03" w:rsidP="00832CC7">
            <w:pPr>
              <w:pStyle w:val="TableText10"/>
              <w:jc w:val="center"/>
              <w:rPr>
                <w:rFonts w:ascii="Arial" w:hAnsi="Arial" w:cs="Arial"/>
                <w:sz w:val="22"/>
                <w:szCs w:val="22"/>
              </w:rPr>
            </w:pPr>
            <w:r w:rsidRPr="00D10ED2">
              <w:rPr>
                <w:rFonts w:ascii="Arial" w:hAnsi="Arial" w:cs="Arial"/>
                <w:sz w:val="22"/>
                <w:szCs w:val="22"/>
              </w:rPr>
              <w:t>(</w:t>
            </w:r>
            <w:r w:rsidR="00832CC7" w:rsidRPr="00D10ED2">
              <w:rPr>
                <w:rFonts w:ascii="Arial" w:hAnsi="Arial" w:cs="Arial"/>
                <w:sz w:val="22"/>
                <w:szCs w:val="22"/>
              </w:rPr>
              <w:t>46-71</w:t>
            </w:r>
            <w:r w:rsidRPr="00D10ED2">
              <w:rPr>
                <w:rFonts w:ascii="Arial" w:hAnsi="Arial" w:cs="Arial"/>
                <w:sz w:val="22"/>
                <w:szCs w:val="22"/>
              </w:rPr>
              <w:t>)</w:t>
            </w:r>
          </w:p>
        </w:tc>
        <w:tc>
          <w:tcPr>
            <w:tcW w:w="653" w:type="pct"/>
            <w:vAlign w:val="bottom"/>
          </w:tcPr>
          <w:p w14:paraId="42743446"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50%</w:t>
            </w:r>
          </w:p>
          <w:p w14:paraId="7F063DDA"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(26 - 74)</w:t>
            </w:r>
          </w:p>
        </w:tc>
        <w:tc>
          <w:tcPr>
            <w:tcW w:w="584" w:type="pct"/>
            <w:vAlign w:val="bottom"/>
          </w:tcPr>
          <w:p w14:paraId="2D7FC33E" w14:textId="23599B73"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3</w:t>
            </w:r>
            <w:r w:rsidR="00832CC7" w:rsidRPr="00D10ED2">
              <w:rPr>
                <w:rFonts w:ascii="Arial" w:hAnsi="Arial" w:cs="Arial"/>
                <w:sz w:val="22"/>
                <w:szCs w:val="22"/>
              </w:rPr>
              <w:t>4</w:t>
            </w:r>
            <w:r w:rsidRPr="00D10ED2">
              <w:rPr>
                <w:rFonts w:ascii="Arial" w:hAnsi="Arial" w:cs="Arial"/>
                <w:sz w:val="22"/>
                <w:szCs w:val="22"/>
              </w:rPr>
              <w:t>%</w:t>
            </w:r>
          </w:p>
          <w:p w14:paraId="1971DC7F" w14:textId="3FAD6238" w:rsidR="00E70B03" w:rsidRPr="00D10ED2" w:rsidRDefault="00E70B03" w:rsidP="00832CC7">
            <w:pPr>
              <w:pStyle w:val="TableText10"/>
              <w:jc w:val="center"/>
              <w:rPr>
                <w:rFonts w:ascii="Arial" w:hAnsi="Arial" w:cs="Arial"/>
                <w:sz w:val="22"/>
                <w:szCs w:val="22"/>
              </w:rPr>
            </w:pPr>
            <w:r w:rsidRPr="00D10ED2">
              <w:rPr>
                <w:rFonts w:ascii="Arial" w:hAnsi="Arial" w:cs="Arial"/>
                <w:sz w:val="22"/>
                <w:szCs w:val="22"/>
              </w:rPr>
              <w:t>(</w:t>
            </w:r>
            <w:r w:rsidR="00832CC7" w:rsidRPr="00D10ED2">
              <w:rPr>
                <w:rFonts w:ascii="Arial" w:hAnsi="Arial" w:cs="Arial"/>
                <w:sz w:val="22"/>
                <w:szCs w:val="22"/>
              </w:rPr>
              <w:t>25-45</w:t>
            </w:r>
            <w:r w:rsidRPr="00D10ED2">
              <w:rPr>
                <w:rFonts w:ascii="Arial" w:hAnsi="Arial" w:cs="Arial"/>
                <w:sz w:val="22"/>
                <w:szCs w:val="22"/>
              </w:rPr>
              <w:t>)</w:t>
            </w:r>
          </w:p>
        </w:tc>
        <w:tc>
          <w:tcPr>
            <w:tcW w:w="584" w:type="pct"/>
            <w:vAlign w:val="bottom"/>
          </w:tcPr>
          <w:p w14:paraId="4024A5BD" w14:textId="799DD735" w:rsidR="00E70B03" w:rsidRPr="00D10ED2" w:rsidRDefault="00832CC7" w:rsidP="00E70B03">
            <w:pPr>
              <w:pStyle w:val="TableText10"/>
              <w:jc w:val="center"/>
              <w:rPr>
                <w:rFonts w:ascii="Arial" w:hAnsi="Arial" w:cs="Arial"/>
                <w:sz w:val="22"/>
                <w:szCs w:val="22"/>
              </w:rPr>
            </w:pPr>
            <w:r w:rsidRPr="00D10ED2">
              <w:rPr>
                <w:rFonts w:ascii="Arial" w:hAnsi="Arial" w:cs="Arial"/>
                <w:sz w:val="22"/>
                <w:szCs w:val="22"/>
              </w:rPr>
              <w:t>35</w:t>
            </w:r>
            <w:r w:rsidR="00E70B03" w:rsidRPr="00D10ED2">
              <w:rPr>
                <w:rFonts w:ascii="Arial" w:hAnsi="Arial" w:cs="Arial"/>
                <w:sz w:val="22"/>
                <w:szCs w:val="22"/>
              </w:rPr>
              <w:t>%</w:t>
            </w:r>
          </w:p>
          <w:p w14:paraId="58F726F0" w14:textId="3755F66E" w:rsidR="00E70B03" w:rsidRPr="00D10ED2" w:rsidRDefault="00E70B03" w:rsidP="00832CC7">
            <w:pPr>
              <w:pStyle w:val="TableText10"/>
              <w:jc w:val="center"/>
              <w:rPr>
                <w:rFonts w:ascii="Arial" w:hAnsi="Arial" w:cs="Arial"/>
                <w:sz w:val="22"/>
                <w:szCs w:val="22"/>
              </w:rPr>
            </w:pPr>
            <w:r w:rsidRPr="00D10ED2">
              <w:rPr>
                <w:rFonts w:ascii="Arial" w:hAnsi="Arial" w:cs="Arial"/>
                <w:sz w:val="22"/>
                <w:szCs w:val="22"/>
              </w:rPr>
              <w:t>(</w:t>
            </w:r>
            <w:r w:rsidR="00832CC7" w:rsidRPr="00D10ED2">
              <w:rPr>
                <w:rFonts w:ascii="Arial" w:hAnsi="Arial" w:cs="Arial"/>
                <w:sz w:val="22"/>
                <w:szCs w:val="22"/>
              </w:rPr>
              <w:t>22-51</w:t>
            </w:r>
            <w:r w:rsidRPr="00D10ED2">
              <w:rPr>
                <w:rFonts w:ascii="Arial" w:hAnsi="Arial" w:cs="Arial"/>
                <w:sz w:val="22"/>
                <w:szCs w:val="22"/>
              </w:rPr>
              <w:t>)</w:t>
            </w:r>
          </w:p>
        </w:tc>
        <w:tc>
          <w:tcPr>
            <w:tcW w:w="557" w:type="pct"/>
            <w:vAlign w:val="bottom"/>
          </w:tcPr>
          <w:p w14:paraId="1C9DB8E1" w14:textId="77DB9C45" w:rsidR="00E70B03" w:rsidRPr="00D10ED2" w:rsidRDefault="00832CC7" w:rsidP="00E70B03">
            <w:pPr>
              <w:pStyle w:val="TableText10"/>
              <w:jc w:val="center"/>
              <w:rPr>
                <w:rFonts w:ascii="Arial" w:hAnsi="Arial" w:cs="Arial"/>
                <w:sz w:val="22"/>
                <w:szCs w:val="22"/>
              </w:rPr>
            </w:pPr>
            <w:r w:rsidRPr="00D10ED2">
              <w:rPr>
                <w:rFonts w:ascii="Arial" w:hAnsi="Arial" w:cs="Arial"/>
                <w:sz w:val="22"/>
                <w:szCs w:val="22"/>
              </w:rPr>
              <w:t>33</w:t>
            </w:r>
            <w:r w:rsidR="00E70B03" w:rsidRPr="00D10ED2">
              <w:rPr>
                <w:rFonts w:ascii="Arial" w:hAnsi="Arial" w:cs="Arial"/>
                <w:sz w:val="22"/>
                <w:szCs w:val="22"/>
              </w:rPr>
              <w:t>%</w:t>
            </w:r>
          </w:p>
          <w:p w14:paraId="69CA5498" w14:textId="3F06F9C1" w:rsidR="00E70B03" w:rsidRPr="00D10ED2" w:rsidRDefault="00E70B03" w:rsidP="00832CC7">
            <w:pPr>
              <w:pStyle w:val="TableText10"/>
              <w:jc w:val="center"/>
              <w:rPr>
                <w:rFonts w:ascii="Arial" w:hAnsi="Arial" w:cs="Arial"/>
                <w:sz w:val="22"/>
                <w:szCs w:val="22"/>
              </w:rPr>
            </w:pPr>
            <w:r w:rsidRPr="00D10ED2">
              <w:rPr>
                <w:rFonts w:ascii="Arial" w:hAnsi="Arial" w:cs="Arial"/>
                <w:sz w:val="22"/>
                <w:szCs w:val="22"/>
              </w:rPr>
              <w:t>(</w:t>
            </w:r>
            <w:r w:rsidR="00832CC7" w:rsidRPr="00D10ED2">
              <w:rPr>
                <w:rFonts w:ascii="Arial" w:hAnsi="Arial" w:cs="Arial"/>
                <w:sz w:val="22"/>
                <w:szCs w:val="22"/>
              </w:rPr>
              <w:t>20-48</w:t>
            </w:r>
            <w:r w:rsidRPr="00D10ED2">
              <w:rPr>
                <w:rFonts w:ascii="Arial" w:hAnsi="Arial" w:cs="Arial"/>
                <w:sz w:val="22"/>
                <w:szCs w:val="22"/>
              </w:rPr>
              <w:t>)</w:t>
            </w:r>
          </w:p>
        </w:tc>
      </w:tr>
      <w:tr w:rsidR="0022113F" w:rsidRPr="00D10ED2" w14:paraId="08AF8EC7" w14:textId="77777777" w:rsidTr="0022113F">
        <w:trPr>
          <w:trHeight w:val="179"/>
        </w:trPr>
        <w:tc>
          <w:tcPr>
            <w:tcW w:w="1341" w:type="pct"/>
            <w:vAlign w:val="center"/>
          </w:tcPr>
          <w:p w14:paraId="621BE4B1" w14:textId="77777777" w:rsidR="00E70B03" w:rsidRPr="00D10ED2" w:rsidRDefault="00E70B03" w:rsidP="005D042F">
            <w:pPr>
              <w:pStyle w:val="TableText10"/>
              <w:rPr>
                <w:rFonts w:ascii="Arial" w:eastAsia="Calibri" w:hAnsi="Arial" w:cs="Arial"/>
                <w:b/>
                <w:bCs/>
                <w:iCs/>
                <w:sz w:val="22"/>
                <w:szCs w:val="22"/>
              </w:rPr>
            </w:pPr>
            <w:proofErr w:type="spellStart"/>
            <w:r w:rsidRPr="00D10ED2">
              <w:rPr>
                <w:rFonts w:ascii="Arial" w:eastAsia="Calibri" w:hAnsi="Arial" w:cs="Arial"/>
                <w:sz w:val="22"/>
                <w:szCs w:val="22"/>
              </w:rPr>
              <w:t>Complete</w:t>
            </w:r>
            <w:r w:rsidRPr="00D10ED2">
              <w:rPr>
                <w:rFonts w:ascii="Arial" w:eastAsia="Calibri" w:hAnsi="Arial" w:cs="Arial"/>
                <w:sz w:val="22"/>
                <w:szCs w:val="22"/>
                <w:vertAlign w:val="superscript"/>
              </w:rPr>
              <w:t>b</w:t>
            </w:r>
            <w:proofErr w:type="spellEnd"/>
            <w:r w:rsidRPr="00D10ED2">
              <w:rPr>
                <w:rFonts w:ascii="Arial" w:eastAsia="Calibri" w:hAnsi="Arial" w:cs="Arial"/>
                <w:sz w:val="22"/>
                <w:szCs w:val="22"/>
              </w:rPr>
              <w:t xml:space="preserve"> (CHR)</w:t>
            </w:r>
          </w:p>
          <w:p w14:paraId="632132B7" w14:textId="77777777" w:rsidR="00E70B03" w:rsidRPr="00D10ED2" w:rsidRDefault="00E70B03" w:rsidP="005D042F">
            <w:pPr>
              <w:pStyle w:val="TableText10"/>
              <w:rPr>
                <w:rFonts w:ascii="Arial" w:eastAsia="Calibri" w:hAnsi="Arial" w:cs="Arial"/>
                <w:b/>
                <w:bCs/>
                <w:iCs/>
                <w:sz w:val="22"/>
                <w:szCs w:val="22"/>
              </w:rPr>
            </w:pPr>
            <w:r w:rsidRPr="00D10ED2">
              <w:rPr>
                <w:rFonts w:ascii="Arial" w:eastAsia="Calibri" w:hAnsi="Arial" w:cs="Arial"/>
                <w:sz w:val="22"/>
                <w:szCs w:val="22"/>
              </w:rPr>
              <w:t xml:space="preserve">% </w:t>
            </w:r>
          </w:p>
          <w:p w14:paraId="0BA37D36" w14:textId="77777777" w:rsidR="00E70B03" w:rsidRPr="00D10ED2" w:rsidRDefault="00E70B03" w:rsidP="005D042F">
            <w:pPr>
              <w:pStyle w:val="TableText10"/>
              <w:rPr>
                <w:rFonts w:ascii="Arial" w:hAnsi="Arial" w:cs="Arial"/>
                <w:b/>
                <w:bCs/>
                <w:iCs/>
                <w:sz w:val="22"/>
                <w:szCs w:val="22"/>
              </w:rPr>
            </w:pPr>
            <w:r w:rsidRPr="00D10ED2">
              <w:rPr>
                <w:rFonts w:ascii="Arial" w:hAnsi="Arial" w:cs="Arial"/>
                <w:sz w:val="22"/>
                <w:szCs w:val="22"/>
              </w:rPr>
              <w:t>(95% CI)</w:t>
            </w:r>
          </w:p>
        </w:tc>
        <w:tc>
          <w:tcPr>
            <w:tcW w:w="640" w:type="pct"/>
            <w:vAlign w:val="bottom"/>
          </w:tcPr>
          <w:p w14:paraId="1A073538"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47%</w:t>
            </w:r>
          </w:p>
          <w:p w14:paraId="21916C74"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(36-58)</w:t>
            </w:r>
          </w:p>
        </w:tc>
        <w:tc>
          <w:tcPr>
            <w:tcW w:w="641" w:type="pct"/>
            <w:vAlign w:val="bottom"/>
          </w:tcPr>
          <w:p w14:paraId="62FA6013" w14:textId="77777777" w:rsidR="00E70B03" w:rsidRPr="00D10ED2" w:rsidRDefault="00E70B03" w:rsidP="00E70B03">
            <w:pPr>
              <w:pStyle w:val="TableText10"/>
              <w:ind w:left="240"/>
              <w:jc w:val="center"/>
              <w:rPr>
                <w:rFonts w:ascii="Arial" w:hAnsi="Arial" w:cs="Arial"/>
                <w:sz w:val="22"/>
                <w:szCs w:val="22"/>
              </w:rPr>
            </w:pPr>
          </w:p>
          <w:p w14:paraId="3A44B31C"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46%</w:t>
            </w:r>
          </w:p>
          <w:p w14:paraId="78981CD3" w14:textId="09A8302B" w:rsidR="00E70B03" w:rsidRPr="00D10ED2" w:rsidRDefault="00E70B03" w:rsidP="00076533">
            <w:pPr>
              <w:pStyle w:val="TableText10"/>
              <w:jc w:val="center"/>
              <w:rPr>
                <w:rFonts w:ascii="Arial" w:hAnsi="Arial" w:cs="Arial"/>
                <w:sz w:val="22"/>
                <w:szCs w:val="22"/>
              </w:rPr>
            </w:pPr>
            <w:r w:rsidRPr="00D10ED2">
              <w:rPr>
                <w:rFonts w:ascii="Arial" w:hAnsi="Arial" w:cs="Arial"/>
                <w:sz w:val="22"/>
                <w:szCs w:val="22"/>
              </w:rPr>
              <w:t>(34-</w:t>
            </w:r>
            <w:r w:rsidR="00076533" w:rsidRPr="00D10ED2">
              <w:rPr>
                <w:rFonts w:ascii="Arial" w:hAnsi="Arial" w:cs="Arial"/>
                <w:sz w:val="22"/>
                <w:szCs w:val="22"/>
              </w:rPr>
              <w:t>59</w:t>
            </w:r>
            <w:r w:rsidRPr="00D10ED2">
              <w:rPr>
                <w:rFonts w:ascii="Arial" w:hAnsi="Arial" w:cs="Arial"/>
                <w:sz w:val="22"/>
                <w:szCs w:val="22"/>
              </w:rPr>
              <w:t>)</w:t>
            </w:r>
          </w:p>
        </w:tc>
        <w:tc>
          <w:tcPr>
            <w:tcW w:w="653" w:type="pct"/>
            <w:vAlign w:val="bottom"/>
          </w:tcPr>
          <w:p w14:paraId="7E96BAD1"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50%</w:t>
            </w:r>
          </w:p>
          <w:p w14:paraId="7789E0FA"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(26-74)</w:t>
            </w:r>
          </w:p>
        </w:tc>
        <w:tc>
          <w:tcPr>
            <w:tcW w:w="584" w:type="pct"/>
            <w:vAlign w:val="bottom"/>
          </w:tcPr>
          <w:p w14:paraId="7F88DD2A" w14:textId="144C86F0" w:rsidR="00E70B03" w:rsidRPr="00D10ED2" w:rsidRDefault="00076533" w:rsidP="00E70B03">
            <w:pPr>
              <w:pStyle w:val="TableText10"/>
              <w:jc w:val="center"/>
              <w:rPr>
                <w:rFonts w:ascii="Arial" w:hAnsi="Arial" w:cs="Arial"/>
                <w:sz w:val="22"/>
                <w:szCs w:val="22"/>
              </w:rPr>
            </w:pPr>
            <w:r w:rsidRPr="00D10ED2">
              <w:rPr>
                <w:rFonts w:ascii="Arial" w:hAnsi="Arial" w:cs="Arial"/>
                <w:sz w:val="22"/>
                <w:szCs w:val="22"/>
              </w:rPr>
              <w:t>26</w:t>
            </w:r>
            <w:r w:rsidR="00E70B03" w:rsidRPr="00D10ED2">
              <w:rPr>
                <w:rFonts w:ascii="Arial" w:hAnsi="Arial" w:cs="Arial"/>
                <w:sz w:val="22"/>
                <w:szCs w:val="22"/>
              </w:rPr>
              <w:t>%</w:t>
            </w:r>
          </w:p>
          <w:p w14:paraId="40998852" w14:textId="56E16A32" w:rsidR="00E70B03" w:rsidRPr="00D10ED2" w:rsidRDefault="00E70B03" w:rsidP="00076533">
            <w:pPr>
              <w:pStyle w:val="TableText10"/>
              <w:jc w:val="center"/>
              <w:rPr>
                <w:rFonts w:ascii="Arial" w:hAnsi="Arial" w:cs="Arial"/>
                <w:sz w:val="22"/>
                <w:szCs w:val="22"/>
              </w:rPr>
            </w:pPr>
            <w:r w:rsidRPr="00D10ED2">
              <w:rPr>
                <w:rFonts w:ascii="Arial" w:hAnsi="Arial" w:cs="Arial"/>
                <w:sz w:val="22"/>
                <w:szCs w:val="22"/>
              </w:rPr>
              <w:t>(</w:t>
            </w:r>
            <w:r w:rsidR="00076533" w:rsidRPr="00D10ED2">
              <w:rPr>
                <w:rFonts w:ascii="Arial" w:hAnsi="Arial" w:cs="Arial"/>
                <w:sz w:val="22"/>
                <w:szCs w:val="22"/>
              </w:rPr>
              <w:t>17-36</w:t>
            </w:r>
            <w:r w:rsidRPr="00D10ED2">
              <w:rPr>
                <w:rFonts w:ascii="Arial" w:hAnsi="Arial" w:cs="Arial"/>
                <w:sz w:val="22"/>
                <w:szCs w:val="22"/>
              </w:rPr>
              <w:t>)</w:t>
            </w:r>
          </w:p>
        </w:tc>
        <w:tc>
          <w:tcPr>
            <w:tcW w:w="584" w:type="pct"/>
            <w:vAlign w:val="bottom"/>
          </w:tcPr>
          <w:p w14:paraId="5D0F9990" w14:textId="20B3E52B" w:rsidR="00E70B03" w:rsidRPr="00D10ED2" w:rsidRDefault="00076533" w:rsidP="00E70B03">
            <w:pPr>
              <w:pStyle w:val="TableText10"/>
              <w:jc w:val="center"/>
              <w:rPr>
                <w:rFonts w:ascii="Arial" w:hAnsi="Arial" w:cs="Arial"/>
                <w:sz w:val="22"/>
                <w:szCs w:val="22"/>
              </w:rPr>
            </w:pPr>
            <w:r w:rsidRPr="00D10ED2">
              <w:rPr>
                <w:rFonts w:ascii="Arial" w:hAnsi="Arial" w:cs="Arial"/>
                <w:sz w:val="22"/>
                <w:szCs w:val="22"/>
              </w:rPr>
              <w:t>27</w:t>
            </w:r>
            <w:r w:rsidR="00E70B03" w:rsidRPr="00D10ED2">
              <w:rPr>
                <w:rFonts w:ascii="Arial" w:hAnsi="Arial" w:cs="Arial"/>
                <w:sz w:val="22"/>
                <w:szCs w:val="22"/>
              </w:rPr>
              <w:t>%</w:t>
            </w:r>
          </w:p>
          <w:p w14:paraId="3A83191B" w14:textId="306B76C4" w:rsidR="00E70B03" w:rsidRPr="00D10ED2" w:rsidRDefault="00E70B03" w:rsidP="00076533">
            <w:pPr>
              <w:pStyle w:val="TableText10"/>
              <w:jc w:val="center"/>
              <w:rPr>
                <w:rFonts w:ascii="Arial" w:hAnsi="Arial" w:cs="Arial"/>
                <w:sz w:val="22"/>
                <w:szCs w:val="22"/>
              </w:rPr>
            </w:pPr>
            <w:r w:rsidRPr="00D10ED2">
              <w:rPr>
                <w:rFonts w:ascii="Arial" w:hAnsi="Arial" w:cs="Arial"/>
                <w:sz w:val="22"/>
                <w:szCs w:val="22"/>
              </w:rPr>
              <w:t>(</w:t>
            </w:r>
            <w:r w:rsidR="00076533" w:rsidRPr="00D10ED2">
              <w:rPr>
                <w:rFonts w:ascii="Arial" w:hAnsi="Arial" w:cs="Arial"/>
                <w:sz w:val="22"/>
                <w:szCs w:val="22"/>
              </w:rPr>
              <w:t>15-42</w:t>
            </w:r>
            <w:r w:rsidRPr="00D10ED2">
              <w:rPr>
                <w:rFonts w:ascii="Arial" w:hAnsi="Arial" w:cs="Arial"/>
                <w:sz w:val="22"/>
                <w:szCs w:val="22"/>
              </w:rPr>
              <w:t>)</w:t>
            </w:r>
          </w:p>
        </w:tc>
        <w:tc>
          <w:tcPr>
            <w:tcW w:w="557" w:type="pct"/>
            <w:vAlign w:val="bottom"/>
          </w:tcPr>
          <w:p w14:paraId="5266FAF2" w14:textId="25B8165F" w:rsidR="00E70B03" w:rsidRPr="00D10ED2" w:rsidRDefault="00076533" w:rsidP="00E70B03">
            <w:pPr>
              <w:pStyle w:val="TableText10"/>
              <w:jc w:val="center"/>
              <w:rPr>
                <w:rFonts w:ascii="Arial" w:hAnsi="Arial" w:cs="Arial"/>
                <w:sz w:val="22"/>
                <w:szCs w:val="22"/>
              </w:rPr>
            </w:pPr>
            <w:r w:rsidRPr="00D10ED2">
              <w:rPr>
                <w:rFonts w:ascii="Arial" w:hAnsi="Arial" w:cs="Arial"/>
                <w:sz w:val="22"/>
                <w:szCs w:val="22"/>
              </w:rPr>
              <w:t>24</w:t>
            </w:r>
            <w:r w:rsidR="00E70B03" w:rsidRPr="00D10ED2">
              <w:rPr>
                <w:rFonts w:ascii="Arial" w:hAnsi="Arial" w:cs="Arial"/>
                <w:sz w:val="22"/>
                <w:szCs w:val="22"/>
              </w:rPr>
              <w:t>%</w:t>
            </w:r>
          </w:p>
          <w:p w14:paraId="53B60375" w14:textId="223EF3D6" w:rsidR="00E70B03" w:rsidRPr="00D10ED2" w:rsidRDefault="00E70B03" w:rsidP="00076533">
            <w:pPr>
              <w:pStyle w:val="TableText10"/>
              <w:jc w:val="center"/>
              <w:rPr>
                <w:rFonts w:ascii="Arial" w:hAnsi="Arial" w:cs="Arial"/>
                <w:sz w:val="22"/>
                <w:szCs w:val="22"/>
              </w:rPr>
            </w:pPr>
            <w:r w:rsidRPr="00D10ED2">
              <w:rPr>
                <w:rFonts w:ascii="Arial" w:hAnsi="Arial" w:cs="Arial"/>
                <w:sz w:val="22"/>
                <w:szCs w:val="22"/>
              </w:rPr>
              <w:t>(</w:t>
            </w:r>
            <w:r w:rsidR="00076533" w:rsidRPr="00D10ED2">
              <w:rPr>
                <w:rFonts w:ascii="Arial" w:hAnsi="Arial" w:cs="Arial"/>
                <w:sz w:val="22"/>
                <w:szCs w:val="22"/>
              </w:rPr>
              <w:t>13-39</w:t>
            </w:r>
            <w:r w:rsidRPr="00D10ED2">
              <w:rPr>
                <w:rFonts w:ascii="Arial" w:hAnsi="Arial" w:cs="Arial"/>
                <w:sz w:val="22"/>
                <w:szCs w:val="22"/>
              </w:rPr>
              <w:t>)</w:t>
            </w:r>
          </w:p>
        </w:tc>
      </w:tr>
      <w:tr w:rsidR="0022113F" w:rsidRPr="00D10ED2" w14:paraId="5E0A65BD" w14:textId="77777777" w:rsidTr="0022113F">
        <w:trPr>
          <w:trHeight w:val="442"/>
        </w:trPr>
        <w:tc>
          <w:tcPr>
            <w:tcW w:w="1341" w:type="pct"/>
            <w:vAlign w:val="center"/>
          </w:tcPr>
          <w:p w14:paraId="520511A7" w14:textId="77777777" w:rsidR="00E70B03" w:rsidRPr="00D10ED2" w:rsidRDefault="00E70B03" w:rsidP="00E70B03">
            <w:pPr>
              <w:pStyle w:val="TableText10"/>
              <w:rPr>
                <w:rFonts w:ascii="Arial" w:hAnsi="Arial" w:cs="Arial"/>
                <w:b/>
                <w:sz w:val="22"/>
                <w:szCs w:val="22"/>
              </w:rPr>
            </w:pPr>
            <w:r w:rsidRPr="00D10ED2">
              <w:rPr>
                <w:rFonts w:ascii="Arial" w:hAnsi="Arial" w:cs="Arial"/>
                <w:b/>
                <w:sz w:val="22"/>
                <w:szCs w:val="22"/>
              </w:rPr>
              <w:t xml:space="preserve">Major Cytogenetic </w:t>
            </w:r>
            <w:proofErr w:type="spellStart"/>
            <w:r w:rsidRPr="00D10ED2">
              <w:rPr>
                <w:rFonts w:ascii="Arial" w:hAnsi="Arial" w:cs="Arial"/>
                <w:b/>
                <w:sz w:val="22"/>
                <w:szCs w:val="22"/>
              </w:rPr>
              <w:t>Response</w:t>
            </w:r>
            <w:r w:rsidRPr="00D10ED2">
              <w:rPr>
                <w:rFonts w:ascii="Arial" w:hAnsi="Arial" w:cs="Arial"/>
                <w:b/>
                <w:sz w:val="22"/>
                <w:szCs w:val="22"/>
                <w:vertAlign w:val="superscript"/>
              </w:rPr>
              <w:t>c</w:t>
            </w:r>
            <w:proofErr w:type="spellEnd"/>
            <w:r w:rsidRPr="00D10ED2">
              <w:rPr>
                <w:rFonts w:ascii="Arial" w:hAnsi="Arial" w:cs="Arial"/>
                <w:b/>
                <w:sz w:val="22"/>
                <w:szCs w:val="22"/>
              </w:rPr>
              <w:t xml:space="preserve"> </w:t>
            </w:r>
          </w:p>
          <w:p w14:paraId="278317B3" w14:textId="77777777" w:rsidR="00E70B03" w:rsidRPr="00D10ED2" w:rsidRDefault="00E70B03" w:rsidP="00E70B03">
            <w:pPr>
              <w:pStyle w:val="TableText10"/>
              <w:rPr>
                <w:rFonts w:ascii="Arial" w:hAnsi="Arial" w:cs="Arial"/>
                <w:sz w:val="22"/>
                <w:szCs w:val="22"/>
              </w:rPr>
            </w:pPr>
            <w:r w:rsidRPr="00D10ED2">
              <w:rPr>
                <w:rFonts w:ascii="Arial" w:hAnsi="Arial" w:cs="Arial"/>
                <w:sz w:val="22"/>
                <w:szCs w:val="22"/>
              </w:rPr>
              <w:t xml:space="preserve">% </w:t>
            </w:r>
          </w:p>
          <w:p w14:paraId="6B30F44F" w14:textId="77777777" w:rsidR="00E70B03" w:rsidRPr="00D10ED2" w:rsidRDefault="00E70B03" w:rsidP="00E70B03">
            <w:pPr>
              <w:pStyle w:val="TableText10"/>
              <w:rPr>
                <w:rFonts w:ascii="Arial" w:hAnsi="Arial" w:cs="Arial"/>
                <w:sz w:val="22"/>
                <w:szCs w:val="22"/>
              </w:rPr>
            </w:pPr>
            <w:r w:rsidRPr="00D10ED2">
              <w:rPr>
                <w:rFonts w:ascii="Arial" w:hAnsi="Arial" w:cs="Arial"/>
                <w:sz w:val="22"/>
                <w:szCs w:val="22"/>
              </w:rPr>
              <w:t>(95% CI)</w:t>
            </w:r>
          </w:p>
        </w:tc>
        <w:tc>
          <w:tcPr>
            <w:tcW w:w="640" w:type="pct"/>
            <w:vAlign w:val="bottom"/>
          </w:tcPr>
          <w:p w14:paraId="50196313"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39%</w:t>
            </w:r>
          </w:p>
          <w:p w14:paraId="78FAAACA"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(28-50)</w:t>
            </w:r>
          </w:p>
        </w:tc>
        <w:tc>
          <w:tcPr>
            <w:tcW w:w="641" w:type="pct"/>
            <w:vAlign w:val="bottom"/>
          </w:tcPr>
          <w:p w14:paraId="4376EDE3"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34%</w:t>
            </w:r>
          </w:p>
          <w:p w14:paraId="4490E386"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(23-47)</w:t>
            </w:r>
          </w:p>
        </w:tc>
        <w:tc>
          <w:tcPr>
            <w:tcW w:w="653" w:type="pct"/>
            <w:vAlign w:val="bottom"/>
          </w:tcPr>
          <w:p w14:paraId="05755F27"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56%</w:t>
            </w:r>
          </w:p>
          <w:p w14:paraId="02D01BFC" w14:textId="77777777" w:rsidR="00E70B03" w:rsidRPr="00D10ED2" w:rsidRDefault="00E70B03" w:rsidP="00E70B03">
            <w:pPr>
              <w:pStyle w:val="TableText10"/>
              <w:jc w:val="center"/>
              <w:rPr>
                <w:rFonts w:ascii="Arial" w:hAnsi="Arial" w:cs="Arial"/>
                <w:sz w:val="22"/>
                <w:szCs w:val="22"/>
              </w:rPr>
            </w:pPr>
            <w:r w:rsidRPr="00D10ED2">
              <w:rPr>
                <w:rFonts w:ascii="Arial" w:hAnsi="Arial" w:cs="Arial"/>
                <w:sz w:val="22"/>
                <w:szCs w:val="22"/>
              </w:rPr>
              <w:t>(31-79)</w:t>
            </w:r>
          </w:p>
        </w:tc>
        <w:tc>
          <w:tcPr>
            <w:tcW w:w="584" w:type="pct"/>
            <w:vAlign w:val="bottom"/>
          </w:tcPr>
          <w:p w14:paraId="04CE4A99" w14:textId="641D0A7E" w:rsidR="00E70B03" w:rsidRPr="00D10ED2" w:rsidRDefault="00E63C90" w:rsidP="00E70B03">
            <w:pPr>
              <w:pStyle w:val="TableText10"/>
              <w:jc w:val="center"/>
              <w:rPr>
                <w:rFonts w:ascii="Arial" w:hAnsi="Arial" w:cs="Arial"/>
                <w:sz w:val="22"/>
                <w:szCs w:val="22"/>
              </w:rPr>
            </w:pPr>
            <w:r w:rsidRPr="00D10ED2">
              <w:rPr>
                <w:rFonts w:ascii="Arial" w:hAnsi="Arial" w:cs="Arial"/>
                <w:sz w:val="22"/>
                <w:szCs w:val="22"/>
              </w:rPr>
              <w:t>31</w:t>
            </w:r>
            <w:r w:rsidR="00E70B03" w:rsidRPr="00D10ED2">
              <w:rPr>
                <w:rFonts w:ascii="Arial" w:hAnsi="Arial" w:cs="Arial"/>
                <w:sz w:val="22"/>
                <w:szCs w:val="22"/>
              </w:rPr>
              <w:t>%</w:t>
            </w:r>
          </w:p>
          <w:p w14:paraId="79107DF6" w14:textId="492874FD" w:rsidR="00E70B03" w:rsidRPr="00D10ED2" w:rsidRDefault="00E70B03" w:rsidP="00E63C90">
            <w:pPr>
              <w:pStyle w:val="TableText10"/>
              <w:jc w:val="center"/>
              <w:rPr>
                <w:rFonts w:ascii="Arial" w:hAnsi="Arial" w:cs="Arial"/>
                <w:sz w:val="22"/>
                <w:szCs w:val="22"/>
              </w:rPr>
            </w:pPr>
            <w:r w:rsidRPr="00D10ED2">
              <w:rPr>
                <w:rFonts w:ascii="Arial" w:hAnsi="Arial" w:cs="Arial"/>
                <w:sz w:val="22"/>
                <w:szCs w:val="22"/>
              </w:rPr>
              <w:t>(</w:t>
            </w:r>
            <w:r w:rsidR="00E63C90" w:rsidRPr="00D10ED2">
              <w:rPr>
                <w:rFonts w:ascii="Arial" w:hAnsi="Arial" w:cs="Arial"/>
                <w:sz w:val="22"/>
                <w:szCs w:val="22"/>
              </w:rPr>
              <w:t>22-41</w:t>
            </w:r>
            <w:r w:rsidRPr="00D10ED2">
              <w:rPr>
                <w:rFonts w:ascii="Arial" w:hAnsi="Arial" w:cs="Arial"/>
                <w:sz w:val="22"/>
                <w:szCs w:val="22"/>
              </w:rPr>
              <w:t>)</w:t>
            </w:r>
          </w:p>
        </w:tc>
        <w:tc>
          <w:tcPr>
            <w:tcW w:w="584" w:type="pct"/>
            <w:vAlign w:val="bottom"/>
          </w:tcPr>
          <w:p w14:paraId="08BD47EA" w14:textId="301CF95C" w:rsidR="00E70B03" w:rsidRPr="00D10ED2" w:rsidRDefault="00E63C90" w:rsidP="00E70B03">
            <w:pPr>
              <w:pStyle w:val="TableText10"/>
              <w:jc w:val="center"/>
              <w:rPr>
                <w:rFonts w:ascii="Arial" w:hAnsi="Arial" w:cs="Arial"/>
                <w:sz w:val="22"/>
                <w:szCs w:val="22"/>
              </w:rPr>
            </w:pPr>
            <w:r w:rsidRPr="00D10ED2">
              <w:rPr>
                <w:rFonts w:ascii="Arial" w:hAnsi="Arial" w:cs="Arial"/>
                <w:sz w:val="22"/>
                <w:szCs w:val="22"/>
              </w:rPr>
              <w:t>27</w:t>
            </w:r>
            <w:r w:rsidR="00E70B03" w:rsidRPr="00D10ED2">
              <w:rPr>
                <w:rFonts w:ascii="Arial" w:hAnsi="Arial" w:cs="Arial"/>
                <w:sz w:val="22"/>
                <w:szCs w:val="22"/>
              </w:rPr>
              <w:t>%</w:t>
            </w:r>
          </w:p>
          <w:p w14:paraId="607C8272" w14:textId="62970407" w:rsidR="00E70B03" w:rsidRPr="00D10ED2" w:rsidRDefault="00E70B03" w:rsidP="00E63C90">
            <w:pPr>
              <w:pStyle w:val="TableText10"/>
              <w:jc w:val="center"/>
              <w:rPr>
                <w:rFonts w:ascii="Arial" w:hAnsi="Arial" w:cs="Arial"/>
                <w:sz w:val="22"/>
                <w:szCs w:val="22"/>
              </w:rPr>
            </w:pPr>
            <w:r w:rsidRPr="00D10ED2">
              <w:rPr>
                <w:rFonts w:ascii="Arial" w:hAnsi="Arial" w:cs="Arial"/>
                <w:sz w:val="22"/>
                <w:szCs w:val="22"/>
              </w:rPr>
              <w:t>(</w:t>
            </w:r>
            <w:r w:rsidR="00E63C90" w:rsidRPr="00D10ED2">
              <w:rPr>
                <w:rFonts w:ascii="Arial" w:hAnsi="Arial" w:cs="Arial"/>
                <w:sz w:val="22"/>
                <w:szCs w:val="22"/>
              </w:rPr>
              <w:t>15-42</w:t>
            </w:r>
            <w:r w:rsidRPr="00D10ED2">
              <w:rPr>
                <w:rFonts w:ascii="Arial" w:hAnsi="Arial" w:cs="Arial"/>
                <w:sz w:val="22"/>
                <w:szCs w:val="22"/>
              </w:rPr>
              <w:t>)</w:t>
            </w:r>
          </w:p>
        </w:tc>
        <w:tc>
          <w:tcPr>
            <w:tcW w:w="557" w:type="pct"/>
            <w:vAlign w:val="bottom"/>
          </w:tcPr>
          <w:p w14:paraId="23A53039" w14:textId="568276EE" w:rsidR="00E70B03" w:rsidRPr="00D10ED2" w:rsidRDefault="00E63C90" w:rsidP="00E70B03">
            <w:pPr>
              <w:pStyle w:val="TableText10"/>
              <w:jc w:val="center"/>
              <w:rPr>
                <w:rFonts w:ascii="Arial" w:hAnsi="Arial" w:cs="Arial"/>
                <w:sz w:val="22"/>
                <w:szCs w:val="22"/>
              </w:rPr>
            </w:pPr>
            <w:r w:rsidRPr="00D10ED2">
              <w:rPr>
                <w:rFonts w:ascii="Arial" w:hAnsi="Arial" w:cs="Arial"/>
                <w:sz w:val="22"/>
                <w:szCs w:val="22"/>
              </w:rPr>
              <w:t>35</w:t>
            </w:r>
            <w:r w:rsidR="00E70B03" w:rsidRPr="00D10ED2">
              <w:rPr>
                <w:rFonts w:ascii="Arial" w:hAnsi="Arial" w:cs="Arial"/>
                <w:sz w:val="22"/>
                <w:szCs w:val="22"/>
              </w:rPr>
              <w:t>%</w:t>
            </w:r>
          </w:p>
          <w:p w14:paraId="1337C843" w14:textId="66196200" w:rsidR="00E70B03" w:rsidRPr="00D10ED2" w:rsidRDefault="00E70B03" w:rsidP="00E63C90">
            <w:pPr>
              <w:pStyle w:val="TableText10"/>
              <w:jc w:val="center"/>
              <w:rPr>
                <w:rFonts w:ascii="Arial" w:hAnsi="Arial" w:cs="Arial"/>
                <w:sz w:val="22"/>
                <w:szCs w:val="22"/>
              </w:rPr>
            </w:pPr>
            <w:r w:rsidRPr="00D10ED2">
              <w:rPr>
                <w:rFonts w:ascii="Arial" w:hAnsi="Arial" w:cs="Arial"/>
                <w:sz w:val="22"/>
                <w:szCs w:val="22"/>
              </w:rPr>
              <w:t>(</w:t>
            </w:r>
            <w:r w:rsidR="00E63C90" w:rsidRPr="00D10ED2">
              <w:rPr>
                <w:rFonts w:ascii="Arial" w:hAnsi="Arial" w:cs="Arial"/>
                <w:sz w:val="22"/>
                <w:szCs w:val="22"/>
              </w:rPr>
              <w:t>21-50</w:t>
            </w:r>
            <w:r w:rsidRPr="00D10ED2">
              <w:rPr>
                <w:rFonts w:ascii="Arial" w:hAnsi="Arial" w:cs="Arial"/>
                <w:sz w:val="22"/>
                <w:szCs w:val="22"/>
              </w:rPr>
              <w:t>)</w:t>
            </w:r>
          </w:p>
        </w:tc>
      </w:tr>
      <w:tr w:rsidR="00E70B03" w:rsidRPr="00D10ED2" w14:paraId="49C7AE08" w14:textId="77777777" w:rsidTr="00E70B03">
        <w:trPr>
          <w:trHeight w:val="442"/>
        </w:trPr>
        <w:tc>
          <w:tcPr>
            <w:tcW w:w="5000" w:type="pct"/>
            <w:gridSpan w:val="7"/>
            <w:vAlign w:val="center"/>
          </w:tcPr>
          <w:p w14:paraId="4FEDF4BA" w14:textId="77777777" w:rsidR="00E70B03" w:rsidRPr="00D10ED2" w:rsidRDefault="00E70B03" w:rsidP="00E70B03">
            <w:pPr>
              <w:pStyle w:val="TableSource10"/>
              <w:spacing w:before="0" w:after="0"/>
              <w:rPr>
                <w:rFonts w:ascii="Arial" w:hAnsi="Arial" w:cs="Arial"/>
                <w:sz w:val="22"/>
                <w:szCs w:val="22"/>
                <w:lang w:val="en-GB"/>
              </w:rPr>
            </w:pPr>
            <w:proofErr w:type="gramStart"/>
            <w:r w:rsidRPr="00D10ED2">
              <w:rPr>
                <w:rFonts w:ascii="Arial" w:hAnsi="Arial" w:cs="Arial"/>
                <w:sz w:val="22"/>
                <w:szCs w:val="22"/>
                <w:vertAlign w:val="superscript"/>
                <w:lang w:val="en-GB"/>
              </w:rPr>
              <w:t>a</w:t>
            </w:r>
            <w:proofErr w:type="gramEnd"/>
            <w:r w:rsidRPr="00D10ED2">
              <w:rPr>
                <w:rFonts w:ascii="Arial" w:hAnsi="Arial" w:cs="Arial"/>
                <w:sz w:val="22"/>
                <w:szCs w:val="22"/>
                <w:lang w:val="en-GB"/>
              </w:rPr>
              <w:t xml:space="preserve"> Primary endpoint for AP-CML and BP-CML/</w:t>
            </w:r>
            <w:proofErr w:type="spellStart"/>
            <w:r w:rsidRPr="00D10ED2">
              <w:rPr>
                <w:rFonts w:ascii="Arial" w:hAnsi="Arial" w:cs="Arial"/>
                <w:sz w:val="22"/>
                <w:szCs w:val="22"/>
                <w:lang w:val="en-GB"/>
              </w:rPr>
              <w:t>Ph</w:t>
            </w:r>
            <w:proofErr w:type="spellEnd"/>
            <w:r w:rsidRPr="00D10ED2">
              <w:rPr>
                <w:rFonts w:ascii="Arial" w:hAnsi="Arial" w:cs="Arial"/>
                <w:sz w:val="22"/>
                <w:szCs w:val="22"/>
                <w:lang w:val="en-GB"/>
              </w:rPr>
              <w:t xml:space="preserve">+ ALL Cohorts was </w:t>
            </w:r>
            <w:proofErr w:type="spellStart"/>
            <w:r w:rsidRPr="00D10ED2">
              <w:rPr>
                <w:rFonts w:ascii="Arial" w:hAnsi="Arial" w:cs="Arial"/>
                <w:sz w:val="22"/>
                <w:szCs w:val="22"/>
                <w:lang w:val="en-GB"/>
              </w:rPr>
              <w:t>MaHR</w:t>
            </w:r>
            <w:proofErr w:type="spellEnd"/>
            <w:r w:rsidRPr="00D10ED2">
              <w:rPr>
                <w:rFonts w:ascii="Arial" w:hAnsi="Arial" w:cs="Arial"/>
                <w:sz w:val="22"/>
                <w:szCs w:val="22"/>
                <w:lang w:val="en-GB"/>
              </w:rPr>
              <w:t xml:space="preserve">, which combines complete haematological responses and no evidence of leukaemia. </w:t>
            </w:r>
          </w:p>
          <w:p w14:paraId="76D26114" w14:textId="0614FB2C" w:rsidR="00E70B03" w:rsidRPr="00D10ED2" w:rsidRDefault="00E70B03" w:rsidP="00E70B03">
            <w:pPr>
              <w:pStyle w:val="TableSource10"/>
              <w:spacing w:before="0" w:after="0"/>
              <w:rPr>
                <w:rFonts w:ascii="Arial" w:hAnsi="Arial" w:cs="Arial"/>
                <w:sz w:val="22"/>
                <w:szCs w:val="22"/>
                <w:lang w:val="en-GB"/>
              </w:rPr>
            </w:pPr>
            <w:proofErr w:type="gramStart"/>
            <w:r w:rsidRPr="00D10ED2">
              <w:rPr>
                <w:rFonts w:ascii="Arial" w:hAnsi="Arial" w:cs="Arial"/>
                <w:sz w:val="22"/>
                <w:szCs w:val="22"/>
                <w:vertAlign w:val="superscript"/>
                <w:lang w:val="en-GB"/>
              </w:rPr>
              <w:t>b</w:t>
            </w:r>
            <w:proofErr w:type="gramEnd"/>
            <w:r w:rsidRPr="00D10ED2">
              <w:rPr>
                <w:rFonts w:ascii="Arial" w:hAnsi="Arial" w:cs="Arial"/>
                <w:sz w:val="22"/>
                <w:szCs w:val="22"/>
                <w:lang w:val="en-GB"/>
              </w:rPr>
              <w:t xml:space="preserve"> CHR: WBC ≤ institutional ULN, ANC </w:t>
            </w:r>
            <w:r w:rsidR="00D05CAE" w:rsidRPr="00D10ED2">
              <w:rPr>
                <w:rFonts w:ascii="Arial" w:hAnsi="Arial" w:cs="Arial"/>
                <w:sz w:val="22"/>
                <w:szCs w:val="22"/>
                <w:lang w:val="en-GB"/>
              </w:rPr>
              <w:t>1 x 10</w:t>
            </w:r>
            <w:r w:rsidR="00D05CAE" w:rsidRPr="00D10ED2">
              <w:rPr>
                <w:rFonts w:ascii="Arial" w:hAnsi="Arial" w:cs="Arial"/>
                <w:sz w:val="22"/>
                <w:szCs w:val="22"/>
                <w:vertAlign w:val="superscript"/>
                <w:lang w:val="en-GB"/>
              </w:rPr>
              <w:t>9</w:t>
            </w:r>
            <w:r w:rsidR="00D05CAE" w:rsidRPr="00D10ED2">
              <w:rPr>
                <w:rFonts w:ascii="Arial" w:hAnsi="Arial" w:cs="Arial"/>
                <w:sz w:val="22"/>
                <w:szCs w:val="22"/>
                <w:lang w:val="en-GB"/>
              </w:rPr>
              <w:t>/L</w:t>
            </w:r>
            <w:r w:rsidRPr="00D10ED2">
              <w:rPr>
                <w:rFonts w:ascii="Arial" w:hAnsi="Arial" w:cs="Arial"/>
                <w:sz w:val="22"/>
                <w:szCs w:val="22"/>
                <w:lang w:val="en-GB"/>
              </w:rPr>
              <w:t xml:space="preserve"> platelets ≥100</w:t>
            </w:r>
            <w:r w:rsidR="00D05CAE" w:rsidRPr="00D10ED2">
              <w:rPr>
                <w:rFonts w:ascii="Arial" w:hAnsi="Arial" w:cs="Arial"/>
                <w:sz w:val="22"/>
                <w:szCs w:val="22"/>
                <w:lang w:val="en-GB"/>
              </w:rPr>
              <w:t xml:space="preserve"> x 10</w:t>
            </w:r>
            <w:r w:rsidR="00D05CAE" w:rsidRPr="00D10ED2">
              <w:rPr>
                <w:rFonts w:ascii="Arial" w:hAnsi="Arial" w:cs="Arial"/>
                <w:sz w:val="22"/>
                <w:szCs w:val="22"/>
                <w:vertAlign w:val="superscript"/>
                <w:lang w:val="en-GB"/>
              </w:rPr>
              <w:t>9</w:t>
            </w:r>
            <w:r w:rsidR="00D05CAE" w:rsidRPr="00D10ED2">
              <w:rPr>
                <w:rFonts w:ascii="Arial" w:hAnsi="Arial" w:cs="Arial"/>
                <w:sz w:val="22"/>
                <w:szCs w:val="22"/>
                <w:lang w:val="en-GB"/>
              </w:rPr>
              <w:t>/L</w:t>
            </w:r>
            <w:r w:rsidRPr="00D10ED2">
              <w:rPr>
                <w:rFonts w:ascii="Arial" w:hAnsi="Arial" w:cs="Arial"/>
                <w:sz w:val="22"/>
                <w:szCs w:val="22"/>
                <w:lang w:val="en-GB"/>
              </w:rPr>
              <w:t xml:space="preserve"> no blasts or </w:t>
            </w:r>
            <w:proofErr w:type="spellStart"/>
            <w:r w:rsidRPr="00D10ED2">
              <w:rPr>
                <w:rFonts w:ascii="Arial" w:hAnsi="Arial" w:cs="Arial"/>
                <w:sz w:val="22"/>
                <w:szCs w:val="22"/>
                <w:lang w:val="en-GB"/>
              </w:rPr>
              <w:t>promyelocytes</w:t>
            </w:r>
            <w:proofErr w:type="spellEnd"/>
            <w:r w:rsidRPr="00D10ED2">
              <w:rPr>
                <w:rFonts w:ascii="Arial" w:hAnsi="Arial" w:cs="Arial"/>
                <w:sz w:val="22"/>
                <w:szCs w:val="22"/>
                <w:lang w:val="en-GB"/>
              </w:rPr>
              <w:t xml:space="preserve"> in peripheral blood, bone marrow blasts ≤5%, &lt;5% </w:t>
            </w:r>
            <w:proofErr w:type="spellStart"/>
            <w:r w:rsidRPr="00D10ED2">
              <w:rPr>
                <w:rFonts w:ascii="Arial" w:hAnsi="Arial" w:cs="Arial"/>
                <w:sz w:val="22"/>
                <w:szCs w:val="22"/>
                <w:lang w:val="en-GB"/>
              </w:rPr>
              <w:t>myelocytes</w:t>
            </w:r>
            <w:proofErr w:type="spellEnd"/>
            <w:r w:rsidRPr="00D10ED2">
              <w:rPr>
                <w:rFonts w:ascii="Arial" w:hAnsi="Arial" w:cs="Arial"/>
                <w:sz w:val="22"/>
                <w:szCs w:val="22"/>
                <w:lang w:val="en-GB"/>
              </w:rPr>
              <w:t xml:space="preserve"> plus </w:t>
            </w:r>
            <w:proofErr w:type="spellStart"/>
            <w:r w:rsidRPr="00D10ED2">
              <w:rPr>
                <w:rFonts w:ascii="Arial" w:hAnsi="Arial" w:cs="Arial"/>
                <w:sz w:val="22"/>
                <w:szCs w:val="22"/>
                <w:lang w:val="en-GB"/>
              </w:rPr>
              <w:t>metamyelocytes</w:t>
            </w:r>
            <w:proofErr w:type="spellEnd"/>
            <w:r w:rsidRPr="00D10ED2">
              <w:rPr>
                <w:rFonts w:ascii="Arial" w:hAnsi="Arial" w:cs="Arial"/>
                <w:sz w:val="22"/>
                <w:szCs w:val="22"/>
                <w:lang w:val="en-GB"/>
              </w:rPr>
              <w:t xml:space="preserve"> in peripheral blood, basophils &lt;5% in peripheral blood, No </w:t>
            </w:r>
            <w:proofErr w:type="spellStart"/>
            <w:r w:rsidRPr="00D10ED2">
              <w:rPr>
                <w:rFonts w:ascii="Arial" w:hAnsi="Arial" w:cs="Arial"/>
                <w:sz w:val="22"/>
                <w:szCs w:val="22"/>
                <w:lang w:val="en-GB"/>
              </w:rPr>
              <w:t>extramedullary</w:t>
            </w:r>
            <w:proofErr w:type="spellEnd"/>
            <w:r w:rsidRPr="00D10ED2">
              <w:rPr>
                <w:rFonts w:ascii="Arial" w:hAnsi="Arial" w:cs="Arial"/>
                <w:sz w:val="22"/>
                <w:szCs w:val="22"/>
                <w:lang w:val="en-GB"/>
              </w:rPr>
              <w:t xml:space="preserve"> involvement (including no hepatomegaly or splenomegaly). </w:t>
            </w:r>
          </w:p>
          <w:p w14:paraId="7FE3307A" w14:textId="77777777" w:rsidR="00E70B03" w:rsidRPr="00D10ED2" w:rsidRDefault="00E70B03" w:rsidP="00E70B03">
            <w:pPr>
              <w:pStyle w:val="TableSource10"/>
              <w:spacing w:before="0" w:after="0"/>
              <w:rPr>
                <w:rFonts w:ascii="Arial" w:hAnsi="Arial" w:cs="Arial"/>
                <w:sz w:val="22"/>
                <w:szCs w:val="22"/>
              </w:rPr>
            </w:pPr>
            <w:proofErr w:type="gramStart"/>
            <w:r w:rsidRPr="00D10ED2">
              <w:rPr>
                <w:rFonts w:ascii="Arial" w:hAnsi="Arial" w:cs="Arial"/>
                <w:sz w:val="22"/>
                <w:szCs w:val="22"/>
                <w:vertAlign w:val="superscript"/>
                <w:lang w:val="en-GB"/>
              </w:rPr>
              <w:t>c</w:t>
            </w:r>
            <w:proofErr w:type="gramEnd"/>
            <w:r w:rsidRPr="00D10ED2">
              <w:rPr>
                <w:rFonts w:ascii="Arial" w:hAnsi="Arial" w:cs="Arial"/>
                <w:sz w:val="22"/>
                <w:szCs w:val="22"/>
              </w:rPr>
              <w:t xml:space="preserve"> </w:t>
            </w:r>
            <w:proofErr w:type="spellStart"/>
            <w:r w:rsidRPr="00D10ED2">
              <w:rPr>
                <w:rFonts w:ascii="Arial" w:hAnsi="Arial" w:cs="Arial"/>
                <w:sz w:val="22"/>
                <w:szCs w:val="22"/>
              </w:rPr>
              <w:t>MCyR</w:t>
            </w:r>
            <w:proofErr w:type="spellEnd"/>
            <w:r w:rsidRPr="00D10ED2">
              <w:rPr>
                <w:rFonts w:ascii="Arial" w:hAnsi="Arial" w:cs="Arial"/>
                <w:sz w:val="22"/>
                <w:szCs w:val="22"/>
              </w:rPr>
              <w:t xml:space="preserve"> combines both complete (No detectable </w:t>
            </w:r>
            <w:proofErr w:type="spellStart"/>
            <w:r w:rsidRPr="00D10ED2">
              <w:rPr>
                <w:rFonts w:ascii="Arial" w:hAnsi="Arial" w:cs="Arial"/>
                <w:sz w:val="22"/>
                <w:szCs w:val="22"/>
              </w:rPr>
              <w:t>Ph</w:t>
            </w:r>
            <w:proofErr w:type="spellEnd"/>
            <w:r w:rsidRPr="00D10ED2">
              <w:rPr>
                <w:rFonts w:ascii="Arial" w:hAnsi="Arial" w:cs="Arial"/>
                <w:sz w:val="22"/>
                <w:szCs w:val="22"/>
              </w:rPr>
              <w:t xml:space="preserve">+ cells) and partial (1% to 35% </w:t>
            </w:r>
            <w:proofErr w:type="spellStart"/>
            <w:r w:rsidRPr="00D10ED2">
              <w:rPr>
                <w:rFonts w:ascii="Arial" w:hAnsi="Arial" w:cs="Arial"/>
                <w:sz w:val="22"/>
                <w:szCs w:val="22"/>
              </w:rPr>
              <w:t>Ph</w:t>
            </w:r>
            <w:proofErr w:type="spellEnd"/>
            <w:r w:rsidRPr="00D10ED2">
              <w:rPr>
                <w:rFonts w:ascii="Arial" w:hAnsi="Arial" w:cs="Arial"/>
                <w:sz w:val="22"/>
                <w:szCs w:val="22"/>
              </w:rPr>
              <w:t>+ cells) cytogenetic responses.</w:t>
            </w:r>
          </w:p>
        </w:tc>
      </w:tr>
    </w:tbl>
    <w:p w14:paraId="333D0008" w14:textId="77777777" w:rsidR="00E70B03" w:rsidRPr="00D10ED2" w:rsidRDefault="00E70B03" w:rsidP="00E70B03">
      <w:pPr>
        <w:rPr>
          <w:rFonts w:ascii="Arial" w:hAnsi="Arial" w:cs="Arial"/>
          <w:sz w:val="22"/>
          <w:szCs w:val="22"/>
        </w:rPr>
      </w:pPr>
    </w:p>
    <w:p w14:paraId="4636FD4F" w14:textId="3D65277A" w:rsidR="00E70B03" w:rsidRPr="00D10ED2" w:rsidRDefault="00E70B03" w:rsidP="00E70B03">
      <w:pPr>
        <w:rPr>
          <w:rFonts w:ascii="Arial" w:hAnsi="Arial" w:cs="Arial"/>
          <w:sz w:val="22"/>
          <w:szCs w:val="22"/>
        </w:rPr>
      </w:pPr>
      <w:r w:rsidRPr="00D10ED2">
        <w:rPr>
          <w:rFonts w:ascii="Arial" w:hAnsi="Arial" w:cs="Arial"/>
          <w:sz w:val="22"/>
          <w:szCs w:val="22"/>
        </w:rPr>
        <w:t xml:space="preserve">The median time to </w:t>
      </w:r>
      <w:proofErr w:type="spellStart"/>
      <w:r w:rsidRPr="00D10ED2">
        <w:rPr>
          <w:rFonts w:ascii="Arial" w:hAnsi="Arial" w:cs="Arial"/>
          <w:sz w:val="22"/>
          <w:szCs w:val="22"/>
        </w:rPr>
        <w:t>MaHR</w:t>
      </w:r>
      <w:proofErr w:type="spellEnd"/>
      <w:r w:rsidRPr="00D10ED2">
        <w:rPr>
          <w:rFonts w:ascii="Arial" w:hAnsi="Arial" w:cs="Arial"/>
          <w:sz w:val="22"/>
          <w:szCs w:val="22"/>
        </w:rPr>
        <w:t xml:space="preserve"> in patients with AP-CML</w:t>
      </w:r>
      <w:r w:rsidR="001A0B38" w:rsidRPr="00D10ED2">
        <w:rPr>
          <w:rFonts w:ascii="Arial" w:hAnsi="Arial" w:cs="Arial"/>
          <w:sz w:val="22"/>
          <w:szCs w:val="22"/>
        </w:rPr>
        <w:t xml:space="preserve"> and </w:t>
      </w:r>
      <w:r w:rsidRPr="00D10ED2">
        <w:rPr>
          <w:rFonts w:ascii="Arial" w:hAnsi="Arial" w:cs="Arial"/>
          <w:sz w:val="22"/>
          <w:szCs w:val="22"/>
        </w:rPr>
        <w:t>BP-CML</w:t>
      </w:r>
      <w:r w:rsidR="001A0B38" w:rsidRPr="00D10ED2">
        <w:rPr>
          <w:rFonts w:ascii="Arial" w:hAnsi="Arial" w:cs="Arial"/>
          <w:sz w:val="22"/>
          <w:szCs w:val="22"/>
        </w:rPr>
        <w:t>/</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w:t>
      </w:r>
      <w:r w:rsidR="001A0B38" w:rsidRPr="00D10ED2">
        <w:rPr>
          <w:rFonts w:ascii="Arial" w:hAnsi="Arial" w:cs="Arial"/>
          <w:sz w:val="22"/>
          <w:szCs w:val="22"/>
        </w:rPr>
        <w:t xml:space="preserve">among responders </w:t>
      </w:r>
      <w:r w:rsidRPr="00D10ED2">
        <w:rPr>
          <w:rFonts w:ascii="Arial" w:hAnsi="Arial" w:cs="Arial"/>
          <w:sz w:val="22"/>
          <w:szCs w:val="22"/>
        </w:rPr>
        <w:t>was 21 days (range: 12 to 176 days)</w:t>
      </w:r>
      <w:r w:rsidR="001A0B38" w:rsidRPr="00D10ED2">
        <w:rPr>
          <w:rFonts w:ascii="Arial" w:hAnsi="Arial" w:cs="Arial"/>
          <w:sz w:val="22"/>
          <w:szCs w:val="22"/>
        </w:rPr>
        <w:t xml:space="preserve"> and </w:t>
      </w:r>
      <w:r w:rsidRPr="00D10ED2">
        <w:rPr>
          <w:rFonts w:ascii="Arial" w:hAnsi="Arial" w:cs="Arial"/>
          <w:sz w:val="22"/>
          <w:szCs w:val="22"/>
        </w:rPr>
        <w:t>2</w:t>
      </w:r>
      <w:r w:rsidR="001A0B38" w:rsidRPr="00D10ED2">
        <w:rPr>
          <w:rFonts w:ascii="Arial" w:hAnsi="Arial" w:cs="Arial"/>
          <w:sz w:val="22"/>
          <w:szCs w:val="22"/>
        </w:rPr>
        <w:t>6</w:t>
      </w:r>
      <w:r w:rsidRPr="00D10ED2">
        <w:rPr>
          <w:rFonts w:ascii="Arial" w:hAnsi="Arial" w:cs="Arial"/>
          <w:sz w:val="22"/>
          <w:szCs w:val="22"/>
        </w:rPr>
        <w:t> days (range: 1</w:t>
      </w:r>
      <w:r w:rsidR="001A0B38" w:rsidRPr="00D10ED2">
        <w:rPr>
          <w:rFonts w:ascii="Arial" w:hAnsi="Arial" w:cs="Arial"/>
          <w:sz w:val="22"/>
          <w:szCs w:val="22"/>
        </w:rPr>
        <w:t>1</w:t>
      </w:r>
      <w:r w:rsidRPr="00D10ED2">
        <w:rPr>
          <w:rFonts w:ascii="Arial" w:hAnsi="Arial" w:cs="Arial"/>
          <w:sz w:val="22"/>
          <w:szCs w:val="22"/>
        </w:rPr>
        <w:t xml:space="preserve"> to 1</w:t>
      </w:r>
      <w:r w:rsidR="001A0B38" w:rsidRPr="00D10ED2">
        <w:rPr>
          <w:rFonts w:ascii="Arial" w:hAnsi="Arial" w:cs="Arial"/>
          <w:sz w:val="22"/>
          <w:szCs w:val="22"/>
        </w:rPr>
        <w:t>68</w:t>
      </w:r>
      <w:r w:rsidRPr="00D10ED2">
        <w:rPr>
          <w:rFonts w:ascii="Arial" w:hAnsi="Arial" w:cs="Arial"/>
          <w:sz w:val="22"/>
          <w:szCs w:val="22"/>
        </w:rPr>
        <w:t xml:space="preserve"> days), respectively. The median duration of </w:t>
      </w:r>
      <w:proofErr w:type="spellStart"/>
      <w:r w:rsidRPr="00D10ED2">
        <w:rPr>
          <w:rFonts w:ascii="Arial" w:hAnsi="Arial" w:cs="Arial"/>
          <w:sz w:val="22"/>
          <w:szCs w:val="22"/>
        </w:rPr>
        <w:t>MaHR</w:t>
      </w:r>
      <w:proofErr w:type="spellEnd"/>
      <w:r w:rsidRPr="00D10ED2">
        <w:rPr>
          <w:rFonts w:ascii="Arial" w:hAnsi="Arial" w:cs="Arial"/>
          <w:sz w:val="22"/>
          <w:szCs w:val="22"/>
        </w:rPr>
        <w:t xml:space="preserve"> for </w:t>
      </w:r>
      <w:r w:rsidR="001A0B38" w:rsidRPr="00D10ED2">
        <w:rPr>
          <w:rFonts w:ascii="Arial" w:hAnsi="Arial" w:cs="Arial"/>
          <w:sz w:val="22"/>
          <w:szCs w:val="22"/>
        </w:rPr>
        <w:t xml:space="preserve">patients with </w:t>
      </w:r>
      <w:r w:rsidRPr="00D10ED2">
        <w:rPr>
          <w:rFonts w:ascii="Arial" w:hAnsi="Arial" w:cs="Arial"/>
          <w:sz w:val="22"/>
          <w:szCs w:val="22"/>
        </w:rPr>
        <w:t xml:space="preserve">AP-CML </w:t>
      </w:r>
      <w:r w:rsidR="001A0B38" w:rsidRPr="00D10ED2">
        <w:rPr>
          <w:rFonts w:ascii="Arial" w:hAnsi="Arial" w:cs="Arial"/>
          <w:sz w:val="22"/>
          <w:szCs w:val="22"/>
        </w:rPr>
        <w:t>and</w:t>
      </w:r>
      <w:r w:rsidRPr="00D10ED2">
        <w:rPr>
          <w:rFonts w:ascii="Arial" w:hAnsi="Arial" w:cs="Arial"/>
          <w:sz w:val="22"/>
          <w:szCs w:val="22"/>
        </w:rPr>
        <w:t xml:space="preserve"> BP-CML</w:t>
      </w:r>
      <w:r w:rsidR="001A0B38" w:rsidRPr="00D10ED2">
        <w:rPr>
          <w:rFonts w:ascii="Arial" w:hAnsi="Arial" w:cs="Arial"/>
          <w:sz w:val="22"/>
          <w:szCs w:val="22"/>
        </w:rPr>
        <w:t>/</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was </w:t>
      </w:r>
      <w:r w:rsidR="001A0B38" w:rsidRPr="00D10ED2">
        <w:rPr>
          <w:rFonts w:ascii="Arial" w:hAnsi="Arial" w:cs="Arial"/>
          <w:sz w:val="22"/>
          <w:szCs w:val="22"/>
        </w:rPr>
        <w:t xml:space="preserve">289 days (range 35 to 538 days) and 108 days (range 30 to 429 days), </w:t>
      </w:r>
      <w:r w:rsidRPr="00D10ED2">
        <w:rPr>
          <w:rFonts w:ascii="Arial" w:hAnsi="Arial" w:cs="Arial"/>
          <w:sz w:val="22"/>
          <w:szCs w:val="22"/>
        </w:rPr>
        <w:t>respectively.</w:t>
      </w:r>
    </w:p>
    <w:p w14:paraId="23C1D0D4" w14:textId="77777777" w:rsidR="00A65402" w:rsidRPr="00D10ED2" w:rsidRDefault="00A65402" w:rsidP="00E70B03">
      <w:pPr>
        <w:rPr>
          <w:rFonts w:ascii="Arial" w:hAnsi="Arial" w:cs="Arial"/>
          <w:i/>
          <w:sz w:val="22"/>
          <w:szCs w:val="22"/>
        </w:rPr>
      </w:pPr>
    </w:p>
    <w:p w14:paraId="28536E79" w14:textId="3DD87B5E" w:rsidR="00A65402" w:rsidRPr="00D10ED2" w:rsidRDefault="00A65402" w:rsidP="00E70B03">
      <w:pPr>
        <w:rPr>
          <w:rFonts w:ascii="Arial" w:hAnsi="Arial" w:cs="Arial"/>
          <w:i/>
          <w:sz w:val="22"/>
          <w:szCs w:val="22"/>
        </w:rPr>
      </w:pPr>
      <w:r w:rsidRPr="00D10ED2">
        <w:rPr>
          <w:rFonts w:ascii="Arial" w:hAnsi="Arial" w:cs="Arial"/>
          <w:i/>
          <w:sz w:val="22"/>
          <w:szCs w:val="22"/>
        </w:rPr>
        <w:t>Dose Escalation Study</w:t>
      </w:r>
    </w:p>
    <w:p w14:paraId="6E276C00" w14:textId="04A69FB4" w:rsidR="00E70B03" w:rsidRPr="00D10ED2" w:rsidRDefault="00E70B03" w:rsidP="00745BC9">
      <w:r w:rsidRPr="00D10ED2">
        <w:rPr>
          <w:rFonts w:ascii="Arial" w:hAnsi="Arial" w:cs="Arial"/>
          <w:sz w:val="22"/>
          <w:szCs w:val="22"/>
        </w:rPr>
        <w:t>The anti-</w:t>
      </w:r>
      <w:proofErr w:type="spellStart"/>
      <w:r w:rsidRPr="00D10ED2">
        <w:rPr>
          <w:rFonts w:ascii="Arial" w:hAnsi="Arial" w:cs="Arial"/>
          <w:sz w:val="22"/>
          <w:szCs w:val="22"/>
        </w:rPr>
        <w:t>leukaemic</w:t>
      </w:r>
      <w:proofErr w:type="spellEnd"/>
      <w:r w:rsidRPr="00D10ED2">
        <w:rPr>
          <w:rFonts w:ascii="Arial" w:hAnsi="Arial" w:cs="Arial"/>
          <w:sz w:val="22"/>
          <w:szCs w:val="22"/>
        </w:rPr>
        <w:t xml:space="preserve"> activity of </w:t>
      </w:r>
      <w:r w:rsidR="0011623F" w:rsidRPr="00D10ED2">
        <w:rPr>
          <w:rFonts w:ascii="Arial" w:hAnsi="Arial" w:cs="Arial"/>
          <w:sz w:val="22"/>
          <w:szCs w:val="22"/>
        </w:rPr>
        <w:t>ICLUSIG</w:t>
      </w:r>
      <w:r w:rsidRPr="00D10ED2">
        <w:rPr>
          <w:rFonts w:ascii="Arial" w:hAnsi="Arial" w:cs="Arial"/>
          <w:sz w:val="22"/>
          <w:szCs w:val="22"/>
        </w:rPr>
        <w:t xml:space="preserve"> was also evaluated in a phase 1 dose escalation study that included 65 CML and </w:t>
      </w:r>
      <w:proofErr w:type="spellStart"/>
      <w:r w:rsidRPr="00D10ED2">
        <w:rPr>
          <w:rFonts w:ascii="Arial" w:hAnsi="Arial" w:cs="Arial"/>
          <w:sz w:val="22"/>
          <w:szCs w:val="22"/>
        </w:rPr>
        <w:t>Ph</w:t>
      </w:r>
      <w:proofErr w:type="spellEnd"/>
      <w:r w:rsidRPr="00D10ED2">
        <w:rPr>
          <w:rFonts w:ascii="Arial" w:hAnsi="Arial" w:cs="Arial"/>
          <w:sz w:val="22"/>
          <w:szCs w:val="22"/>
        </w:rPr>
        <w:t xml:space="preserve">+ ALL patients; the study is ongoing. Of 43 CP-CML patients, 31 CP-CML patients achieved a </w:t>
      </w:r>
      <w:proofErr w:type="spellStart"/>
      <w:r w:rsidRPr="00D10ED2">
        <w:rPr>
          <w:rFonts w:ascii="Arial" w:hAnsi="Arial" w:cs="Arial"/>
          <w:sz w:val="22"/>
          <w:szCs w:val="22"/>
        </w:rPr>
        <w:t>MCyR</w:t>
      </w:r>
      <w:proofErr w:type="spellEnd"/>
      <w:r w:rsidRPr="00D10ED2">
        <w:rPr>
          <w:rFonts w:ascii="Arial" w:hAnsi="Arial" w:cs="Arial"/>
          <w:sz w:val="22"/>
          <w:szCs w:val="22"/>
        </w:rPr>
        <w:t xml:space="preserve"> with a median duration of follow-up of 25.3 months (range: 1.7 to 38.4</w:t>
      </w:r>
      <w:r w:rsidR="00865B9F" w:rsidRPr="00D10ED2">
        <w:rPr>
          <w:rFonts w:ascii="Arial" w:hAnsi="Arial" w:cs="Arial"/>
          <w:sz w:val="22"/>
          <w:szCs w:val="22"/>
        </w:rPr>
        <w:t>+</w:t>
      </w:r>
      <w:r w:rsidRPr="00D10ED2">
        <w:rPr>
          <w:rFonts w:ascii="Arial" w:hAnsi="Arial" w:cs="Arial"/>
          <w:sz w:val="22"/>
          <w:szCs w:val="22"/>
        </w:rPr>
        <w:t xml:space="preserve"> months). At the time of reporting, 25 CP-CML patients were in </w:t>
      </w:r>
      <w:proofErr w:type="spellStart"/>
      <w:r w:rsidRPr="00D10ED2">
        <w:rPr>
          <w:rFonts w:ascii="Arial" w:hAnsi="Arial" w:cs="Arial"/>
          <w:sz w:val="22"/>
          <w:szCs w:val="22"/>
        </w:rPr>
        <w:t>MCyR</w:t>
      </w:r>
      <w:proofErr w:type="spellEnd"/>
      <w:r w:rsidRPr="00D10ED2">
        <w:rPr>
          <w:rFonts w:ascii="Arial" w:hAnsi="Arial" w:cs="Arial"/>
          <w:sz w:val="22"/>
          <w:szCs w:val="22"/>
        </w:rPr>
        <w:t xml:space="preserve"> (</w:t>
      </w:r>
      <w:proofErr w:type="gramStart"/>
      <w:r w:rsidRPr="00D10ED2">
        <w:rPr>
          <w:rFonts w:ascii="Arial" w:hAnsi="Arial" w:cs="Arial"/>
          <w:sz w:val="22"/>
          <w:szCs w:val="22"/>
        </w:rPr>
        <w:t>median</w:t>
      </w:r>
      <w:proofErr w:type="gramEnd"/>
      <w:r w:rsidRPr="00D10ED2">
        <w:rPr>
          <w:rFonts w:ascii="Arial" w:hAnsi="Arial" w:cs="Arial"/>
          <w:sz w:val="22"/>
          <w:szCs w:val="22"/>
        </w:rPr>
        <w:t xml:space="preserve"> duration of </w:t>
      </w:r>
      <w:proofErr w:type="spellStart"/>
      <w:r w:rsidRPr="00D10ED2">
        <w:rPr>
          <w:rFonts w:ascii="Arial" w:hAnsi="Arial" w:cs="Arial"/>
          <w:sz w:val="22"/>
          <w:szCs w:val="22"/>
        </w:rPr>
        <w:t>MCyR</w:t>
      </w:r>
      <w:proofErr w:type="spellEnd"/>
      <w:r w:rsidRPr="00D10ED2">
        <w:rPr>
          <w:rFonts w:ascii="Arial" w:hAnsi="Arial" w:cs="Arial"/>
          <w:sz w:val="22"/>
          <w:szCs w:val="22"/>
        </w:rPr>
        <w:t xml:space="preserve"> had not been reached).</w:t>
      </w:r>
    </w:p>
    <w:p w14:paraId="24421195" w14:textId="2C2E02DC" w:rsidR="007E6971" w:rsidRPr="00D10ED2" w:rsidRDefault="00E70B03" w:rsidP="005329CC">
      <w:pPr>
        <w:rPr>
          <w:rFonts w:ascii="Arial" w:hAnsi="Arial" w:cs="Arial"/>
          <w:b/>
          <w:sz w:val="28"/>
          <w:szCs w:val="28"/>
        </w:rPr>
      </w:pPr>
      <w:r w:rsidRPr="00D10ED2">
        <w:rPr>
          <w:rFonts w:ascii="Arial" w:hAnsi="Arial" w:cs="Arial"/>
          <w:sz w:val="22"/>
          <w:szCs w:val="22"/>
        </w:rPr>
        <w:t xml:space="preserve"> </w:t>
      </w:r>
    </w:p>
    <w:p w14:paraId="3B19C509" w14:textId="77777777" w:rsidR="005329CC" w:rsidRPr="00D10ED2" w:rsidRDefault="005329CC" w:rsidP="005329CC">
      <w:pPr>
        <w:rPr>
          <w:rFonts w:ascii="Arial" w:hAnsi="Arial" w:cs="Arial"/>
          <w:b/>
          <w:sz w:val="28"/>
          <w:szCs w:val="28"/>
        </w:rPr>
      </w:pPr>
      <w:r w:rsidRPr="00D10ED2">
        <w:rPr>
          <w:rFonts w:ascii="Arial" w:hAnsi="Arial" w:cs="Arial"/>
          <w:b/>
          <w:sz w:val="28"/>
          <w:szCs w:val="28"/>
        </w:rPr>
        <w:t>Indications</w:t>
      </w:r>
    </w:p>
    <w:p w14:paraId="66A8CB86" w14:textId="77777777" w:rsidR="005329CC" w:rsidRPr="00D10ED2" w:rsidRDefault="005329CC" w:rsidP="005329CC">
      <w:pPr>
        <w:rPr>
          <w:rFonts w:ascii="Arial" w:hAnsi="Arial" w:cs="Arial"/>
          <w:b/>
          <w:sz w:val="22"/>
          <w:szCs w:val="22"/>
        </w:rPr>
      </w:pPr>
    </w:p>
    <w:p w14:paraId="3B629197" w14:textId="4C8DD0F9" w:rsidR="00E647B9" w:rsidRPr="00767964" w:rsidRDefault="0011623F" w:rsidP="00E647B9">
      <w:pPr>
        <w:autoSpaceDE w:val="0"/>
        <w:autoSpaceDN w:val="0"/>
        <w:adjustRightInd w:val="0"/>
        <w:rPr>
          <w:rFonts w:ascii="Arial" w:hAnsi="Arial" w:cs="Arial"/>
          <w:sz w:val="22"/>
          <w:szCs w:val="20"/>
        </w:rPr>
      </w:pPr>
      <w:r w:rsidRPr="00D10ED2">
        <w:rPr>
          <w:rFonts w:ascii="Arial" w:hAnsi="Arial" w:cs="Arial"/>
          <w:sz w:val="22"/>
          <w:szCs w:val="22"/>
        </w:rPr>
        <w:t>ICLUSIG</w:t>
      </w:r>
      <w:r w:rsidR="00986BA2" w:rsidRPr="00D10ED2">
        <w:rPr>
          <w:rFonts w:ascii="Arial" w:hAnsi="Arial" w:cs="Arial"/>
          <w:sz w:val="22"/>
          <w:szCs w:val="22"/>
        </w:rPr>
        <w:t xml:space="preserve"> </w:t>
      </w:r>
      <w:r w:rsidR="00E647B9" w:rsidRPr="00767964">
        <w:rPr>
          <w:rFonts w:ascii="Arial" w:hAnsi="Arial" w:cs="Arial"/>
          <w:sz w:val="22"/>
          <w:szCs w:val="20"/>
        </w:rPr>
        <w:t>is indicated for the treatment of adult patients with:</w:t>
      </w:r>
    </w:p>
    <w:p w14:paraId="7796C5D5" w14:textId="77777777" w:rsidR="00E647B9" w:rsidRPr="00767964" w:rsidRDefault="00E647B9" w:rsidP="00E647B9">
      <w:pPr>
        <w:autoSpaceDE w:val="0"/>
        <w:autoSpaceDN w:val="0"/>
        <w:adjustRightInd w:val="0"/>
        <w:rPr>
          <w:rFonts w:ascii="Arial" w:hAnsi="Arial" w:cs="Arial"/>
          <w:sz w:val="22"/>
          <w:szCs w:val="20"/>
        </w:rPr>
      </w:pPr>
    </w:p>
    <w:p w14:paraId="4F781782" w14:textId="27BD1221" w:rsidR="00E647B9" w:rsidRPr="00767964" w:rsidRDefault="00E647B9" w:rsidP="00767964">
      <w:pPr>
        <w:pStyle w:val="ListParagraph"/>
        <w:numPr>
          <w:ilvl w:val="0"/>
          <w:numId w:val="32"/>
        </w:numPr>
        <w:autoSpaceDE w:val="0"/>
        <w:autoSpaceDN w:val="0"/>
        <w:adjustRightInd w:val="0"/>
        <w:rPr>
          <w:rFonts w:ascii="Arial" w:hAnsi="Arial" w:cs="Arial"/>
          <w:szCs w:val="20"/>
        </w:rPr>
      </w:pPr>
      <w:r w:rsidRPr="00767964">
        <w:rPr>
          <w:rFonts w:ascii="Arial" w:hAnsi="Arial" w:cs="Arial"/>
          <w:szCs w:val="20"/>
        </w:rPr>
        <w:t xml:space="preserve">Chronic phase, accelerated phase, or blast phase chronic myeloid </w:t>
      </w:r>
      <w:proofErr w:type="spellStart"/>
      <w:r w:rsidRPr="00767964">
        <w:rPr>
          <w:rFonts w:ascii="Arial" w:hAnsi="Arial" w:cs="Arial"/>
          <w:szCs w:val="20"/>
        </w:rPr>
        <w:t>Ieukaemia</w:t>
      </w:r>
      <w:proofErr w:type="spellEnd"/>
      <w:r w:rsidRPr="00767964">
        <w:rPr>
          <w:rFonts w:ascii="Arial" w:hAnsi="Arial" w:cs="Arial"/>
          <w:szCs w:val="20"/>
        </w:rPr>
        <w:t xml:space="preserve"> whose disease is resistant to, or who are </w:t>
      </w:r>
      <w:r w:rsidR="00F72BD1" w:rsidRPr="00767964">
        <w:rPr>
          <w:rFonts w:ascii="Arial" w:hAnsi="Arial" w:cs="Arial"/>
          <w:szCs w:val="20"/>
        </w:rPr>
        <w:t>intolerant</w:t>
      </w:r>
      <w:r w:rsidRPr="00767964">
        <w:rPr>
          <w:rFonts w:ascii="Arial" w:hAnsi="Arial" w:cs="Arial"/>
          <w:szCs w:val="20"/>
        </w:rPr>
        <w:t xml:space="preserve"> of at least two prior tyrosine kinase inhibitors; or where there is a </w:t>
      </w:r>
      <w:r w:rsidR="00487B10" w:rsidRPr="00767964">
        <w:rPr>
          <w:rFonts w:ascii="Arial" w:hAnsi="Arial" w:cs="Arial"/>
          <w:szCs w:val="20"/>
        </w:rPr>
        <w:t>T315</w:t>
      </w:r>
      <w:r w:rsidR="00487B10">
        <w:rPr>
          <w:rFonts w:ascii="Arial" w:hAnsi="Arial" w:cs="Arial"/>
          <w:szCs w:val="20"/>
        </w:rPr>
        <w:t>I</w:t>
      </w:r>
      <w:r w:rsidR="005D042F">
        <w:rPr>
          <w:rFonts w:ascii="Arial" w:hAnsi="Arial" w:cs="Arial"/>
          <w:szCs w:val="20"/>
        </w:rPr>
        <w:t xml:space="preserve"> </w:t>
      </w:r>
      <w:r w:rsidR="00487B10" w:rsidRPr="00767964">
        <w:rPr>
          <w:rFonts w:ascii="Arial" w:hAnsi="Arial" w:cs="Arial"/>
          <w:szCs w:val="20"/>
        </w:rPr>
        <w:t>mutation</w:t>
      </w:r>
      <w:r w:rsidRPr="00767964">
        <w:rPr>
          <w:rFonts w:ascii="Arial" w:hAnsi="Arial" w:cs="Arial"/>
          <w:szCs w:val="20"/>
        </w:rPr>
        <w:t>.</w:t>
      </w:r>
    </w:p>
    <w:p w14:paraId="54B08C02" w14:textId="77777777" w:rsidR="00E647B9" w:rsidRPr="00767964" w:rsidRDefault="00E647B9" w:rsidP="00E647B9">
      <w:pPr>
        <w:autoSpaceDE w:val="0"/>
        <w:autoSpaceDN w:val="0"/>
        <w:adjustRightInd w:val="0"/>
        <w:rPr>
          <w:rFonts w:ascii="Arial" w:hAnsi="Arial" w:cs="Arial"/>
          <w:sz w:val="22"/>
          <w:szCs w:val="20"/>
        </w:rPr>
      </w:pPr>
    </w:p>
    <w:p w14:paraId="40EF9D51" w14:textId="1B6D46D8" w:rsidR="00E647B9" w:rsidRPr="00767964" w:rsidRDefault="00E647B9" w:rsidP="00767964">
      <w:pPr>
        <w:pStyle w:val="ListParagraph"/>
        <w:numPr>
          <w:ilvl w:val="0"/>
          <w:numId w:val="32"/>
        </w:numPr>
        <w:autoSpaceDE w:val="0"/>
        <w:autoSpaceDN w:val="0"/>
        <w:adjustRightInd w:val="0"/>
        <w:rPr>
          <w:rFonts w:ascii="Arial" w:hAnsi="Arial" w:cs="Arial"/>
          <w:szCs w:val="20"/>
        </w:rPr>
      </w:pPr>
      <w:r w:rsidRPr="00767964">
        <w:rPr>
          <w:rFonts w:ascii="Arial" w:hAnsi="Arial" w:cs="Arial"/>
          <w:szCs w:val="20"/>
        </w:rPr>
        <w:lastRenderedPageBreak/>
        <w:t xml:space="preserve">Philadelphia chromosome positive acute lymphoblastic </w:t>
      </w:r>
      <w:proofErr w:type="spellStart"/>
      <w:r w:rsidRPr="00767964">
        <w:rPr>
          <w:rFonts w:ascii="Arial" w:hAnsi="Arial" w:cs="Arial"/>
          <w:szCs w:val="20"/>
        </w:rPr>
        <w:t>Ieukaemia</w:t>
      </w:r>
      <w:proofErr w:type="spellEnd"/>
      <w:r w:rsidRPr="00767964">
        <w:rPr>
          <w:rFonts w:ascii="Arial" w:hAnsi="Arial" w:cs="Arial"/>
          <w:szCs w:val="20"/>
        </w:rPr>
        <w:t xml:space="preserve"> (</w:t>
      </w:r>
      <w:proofErr w:type="spellStart"/>
      <w:r w:rsidRPr="00767964">
        <w:rPr>
          <w:rFonts w:ascii="Arial" w:hAnsi="Arial" w:cs="Arial"/>
          <w:szCs w:val="20"/>
        </w:rPr>
        <w:t>Ph</w:t>
      </w:r>
      <w:proofErr w:type="spellEnd"/>
      <w:r w:rsidRPr="00767964">
        <w:rPr>
          <w:rFonts w:ascii="Arial" w:hAnsi="Arial" w:cs="Arial"/>
          <w:szCs w:val="20"/>
        </w:rPr>
        <w:t>+ ALL)</w:t>
      </w:r>
      <w:r w:rsidR="00F72BD1" w:rsidRPr="00767964">
        <w:rPr>
          <w:rFonts w:ascii="Arial" w:hAnsi="Arial" w:cs="Arial"/>
          <w:szCs w:val="20"/>
        </w:rPr>
        <w:t xml:space="preserve"> </w:t>
      </w:r>
      <w:r w:rsidRPr="00767964">
        <w:rPr>
          <w:rFonts w:ascii="Arial" w:hAnsi="Arial" w:cs="Arial"/>
          <w:szCs w:val="20"/>
        </w:rPr>
        <w:t xml:space="preserve">whose disease is resistant to, or who are </w:t>
      </w:r>
      <w:r w:rsidR="00767964" w:rsidRPr="00767964">
        <w:rPr>
          <w:rFonts w:ascii="Arial" w:hAnsi="Arial" w:cs="Arial"/>
          <w:szCs w:val="20"/>
        </w:rPr>
        <w:t>intolerant</w:t>
      </w:r>
      <w:r w:rsidRPr="00767964">
        <w:rPr>
          <w:rFonts w:ascii="Arial" w:hAnsi="Arial" w:cs="Arial"/>
          <w:szCs w:val="20"/>
        </w:rPr>
        <w:t xml:space="preserve"> of </w:t>
      </w:r>
      <w:proofErr w:type="spellStart"/>
      <w:r w:rsidRPr="00767964">
        <w:rPr>
          <w:rFonts w:ascii="Arial" w:hAnsi="Arial" w:cs="Arial"/>
          <w:szCs w:val="20"/>
        </w:rPr>
        <w:t>dasatinib</w:t>
      </w:r>
      <w:proofErr w:type="spellEnd"/>
      <w:r w:rsidRPr="00767964">
        <w:rPr>
          <w:rFonts w:ascii="Arial" w:hAnsi="Arial" w:cs="Arial"/>
          <w:szCs w:val="20"/>
        </w:rPr>
        <w:t xml:space="preserve"> and for whom</w:t>
      </w:r>
      <w:r w:rsidR="00F72BD1" w:rsidRPr="00767964">
        <w:rPr>
          <w:rFonts w:ascii="Arial" w:hAnsi="Arial" w:cs="Arial"/>
          <w:szCs w:val="20"/>
        </w:rPr>
        <w:t xml:space="preserve"> </w:t>
      </w:r>
      <w:r w:rsidRPr="00767964">
        <w:rPr>
          <w:rFonts w:ascii="Arial" w:hAnsi="Arial" w:cs="Arial"/>
          <w:szCs w:val="20"/>
        </w:rPr>
        <w:t xml:space="preserve">subsequent treatment with </w:t>
      </w:r>
      <w:proofErr w:type="spellStart"/>
      <w:r w:rsidRPr="00767964">
        <w:rPr>
          <w:rFonts w:ascii="Arial" w:hAnsi="Arial" w:cs="Arial"/>
          <w:szCs w:val="20"/>
        </w:rPr>
        <w:t>imatinib</w:t>
      </w:r>
      <w:proofErr w:type="spellEnd"/>
      <w:r w:rsidRPr="00767964">
        <w:rPr>
          <w:rFonts w:ascii="Arial" w:hAnsi="Arial" w:cs="Arial"/>
          <w:szCs w:val="20"/>
        </w:rPr>
        <w:t xml:space="preserve"> is not </w:t>
      </w:r>
      <w:r w:rsidR="00767964" w:rsidRPr="00767964">
        <w:rPr>
          <w:rFonts w:ascii="Arial" w:hAnsi="Arial" w:cs="Arial"/>
          <w:szCs w:val="20"/>
        </w:rPr>
        <w:t>clinically</w:t>
      </w:r>
      <w:r w:rsidRPr="00767964">
        <w:rPr>
          <w:rFonts w:ascii="Arial" w:hAnsi="Arial" w:cs="Arial"/>
          <w:szCs w:val="20"/>
        </w:rPr>
        <w:t xml:space="preserve"> appropriate; or where there is</w:t>
      </w:r>
      <w:r w:rsidR="00F72BD1" w:rsidRPr="00767964">
        <w:rPr>
          <w:rFonts w:ascii="Arial" w:hAnsi="Arial" w:cs="Arial"/>
          <w:szCs w:val="20"/>
        </w:rPr>
        <w:t xml:space="preserve"> </w:t>
      </w:r>
      <w:r w:rsidRPr="00767964">
        <w:rPr>
          <w:rFonts w:ascii="Arial" w:hAnsi="Arial" w:cs="Arial"/>
          <w:szCs w:val="20"/>
        </w:rPr>
        <w:t xml:space="preserve">a </w:t>
      </w:r>
      <w:r w:rsidR="00487B10" w:rsidRPr="00767964">
        <w:rPr>
          <w:rFonts w:ascii="Arial" w:hAnsi="Arial" w:cs="Arial"/>
          <w:szCs w:val="20"/>
        </w:rPr>
        <w:t>T315</w:t>
      </w:r>
      <w:r w:rsidR="00487B10">
        <w:rPr>
          <w:rFonts w:ascii="Arial" w:hAnsi="Arial" w:cs="Arial"/>
          <w:szCs w:val="20"/>
        </w:rPr>
        <w:t>I</w:t>
      </w:r>
      <w:r w:rsidR="00487B10" w:rsidRPr="00767964">
        <w:rPr>
          <w:rFonts w:ascii="Arial" w:hAnsi="Arial" w:cs="Arial"/>
          <w:szCs w:val="20"/>
        </w:rPr>
        <w:t xml:space="preserve"> </w:t>
      </w:r>
      <w:r w:rsidRPr="00767964">
        <w:rPr>
          <w:rFonts w:ascii="Arial" w:hAnsi="Arial" w:cs="Arial"/>
          <w:szCs w:val="20"/>
        </w:rPr>
        <w:t>mutation.</w:t>
      </w:r>
    </w:p>
    <w:p w14:paraId="54CCED18" w14:textId="77777777" w:rsidR="00E647B9" w:rsidRPr="00767964" w:rsidRDefault="00E647B9" w:rsidP="00E647B9">
      <w:pPr>
        <w:autoSpaceDE w:val="0"/>
        <w:autoSpaceDN w:val="0"/>
        <w:adjustRightInd w:val="0"/>
        <w:rPr>
          <w:rFonts w:ascii="Arial" w:hAnsi="Arial" w:cs="Arial"/>
          <w:sz w:val="22"/>
          <w:szCs w:val="20"/>
        </w:rPr>
      </w:pPr>
    </w:p>
    <w:p w14:paraId="63392C99" w14:textId="22F14D9D" w:rsidR="00200658" w:rsidRPr="00F72BD1" w:rsidRDefault="00E647B9" w:rsidP="00767964">
      <w:pPr>
        <w:spacing w:before="120" w:after="120"/>
        <w:rPr>
          <w:rFonts w:ascii="Arial" w:hAnsi="Arial" w:cs="Arial"/>
          <w:sz w:val="20"/>
          <w:szCs w:val="20"/>
        </w:rPr>
      </w:pPr>
      <w:r w:rsidRPr="00767964">
        <w:rPr>
          <w:rFonts w:ascii="Arial" w:hAnsi="Arial" w:cs="Arial"/>
          <w:sz w:val="22"/>
          <w:szCs w:val="20"/>
        </w:rPr>
        <w:t xml:space="preserve">Therapy with </w:t>
      </w:r>
      <w:r w:rsidR="00767964" w:rsidRPr="00767964">
        <w:rPr>
          <w:rFonts w:ascii="Arial" w:hAnsi="Arial" w:cs="Arial"/>
          <w:sz w:val="22"/>
          <w:szCs w:val="20"/>
        </w:rPr>
        <w:t>ICLUSIG</w:t>
      </w:r>
      <w:r w:rsidRPr="00767964">
        <w:rPr>
          <w:rFonts w:ascii="Arial" w:hAnsi="Arial" w:cs="Arial"/>
          <w:sz w:val="22"/>
          <w:szCs w:val="20"/>
        </w:rPr>
        <w:t xml:space="preserve"> should be initiated and monitored by a </w:t>
      </w:r>
      <w:proofErr w:type="spellStart"/>
      <w:r w:rsidRPr="00767964">
        <w:rPr>
          <w:rFonts w:ascii="Arial" w:hAnsi="Arial" w:cs="Arial"/>
          <w:sz w:val="22"/>
          <w:szCs w:val="20"/>
        </w:rPr>
        <w:t>haematologist</w:t>
      </w:r>
      <w:proofErr w:type="spellEnd"/>
      <w:r w:rsidRPr="00767964">
        <w:rPr>
          <w:rFonts w:ascii="Arial" w:hAnsi="Arial" w:cs="Arial"/>
          <w:sz w:val="22"/>
          <w:szCs w:val="20"/>
        </w:rPr>
        <w:t xml:space="preserve"> with expertise in managing adult </w:t>
      </w:r>
      <w:proofErr w:type="spellStart"/>
      <w:r w:rsidRPr="00767964">
        <w:rPr>
          <w:rFonts w:ascii="Arial" w:hAnsi="Arial" w:cs="Arial"/>
          <w:sz w:val="22"/>
          <w:szCs w:val="20"/>
        </w:rPr>
        <w:t>Ieukaemias</w:t>
      </w:r>
      <w:proofErr w:type="spellEnd"/>
      <w:r w:rsidR="00F72BD1" w:rsidRPr="00767964">
        <w:rPr>
          <w:rFonts w:ascii="Arial" w:hAnsi="Arial" w:cs="Arial"/>
          <w:sz w:val="22"/>
          <w:szCs w:val="20"/>
        </w:rPr>
        <w:t xml:space="preserve">. </w:t>
      </w:r>
    </w:p>
    <w:p w14:paraId="25EB788E" w14:textId="77777777" w:rsidR="00200658" w:rsidRPr="00F72BD1" w:rsidRDefault="00200658" w:rsidP="00200658">
      <w:pPr>
        <w:pStyle w:val="ListParagraph"/>
        <w:rPr>
          <w:rFonts w:ascii="Arial" w:hAnsi="Arial" w:cs="Arial"/>
          <w:sz w:val="20"/>
          <w:szCs w:val="20"/>
        </w:rPr>
      </w:pPr>
    </w:p>
    <w:p w14:paraId="1D373E46" w14:textId="77777777" w:rsidR="005329CC" w:rsidRPr="00D10ED2" w:rsidRDefault="0057419A" w:rsidP="005329CC">
      <w:pPr>
        <w:rPr>
          <w:rFonts w:ascii="Arial" w:hAnsi="Arial" w:cs="Arial"/>
          <w:b/>
          <w:sz w:val="28"/>
          <w:szCs w:val="28"/>
        </w:rPr>
      </w:pPr>
      <w:r w:rsidRPr="00D10ED2">
        <w:rPr>
          <w:rFonts w:ascii="Arial" w:hAnsi="Arial" w:cs="Arial"/>
          <w:b/>
          <w:sz w:val="28"/>
          <w:szCs w:val="28"/>
        </w:rPr>
        <w:t>Contraindications</w:t>
      </w:r>
    </w:p>
    <w:p w14:paraId="6B5CC716" w14:textId="77777777" w:rsidR="0057419A" w:rsidRPr="00F72BD1" w:rsidRDefault="0057419A" w:rsidP="005329CC">
      <w:pPr>
        <w:rPr>
          <w:rFonts w:ascii="Arial" w:hAnsi="Arial" w:cs="Arial"/>
          <w:b/>
          <w:sz w:val="22"/>
          <w:szCs w:val="28"/>
        </w:rPr>
      </w:pPr>
    </w:p>
    <w:p w14:paraId="614E9804" w14:textId="61EE1FC3" w:rsidR="008E0092" w:rsidRPr="00D10ED2" w:rsidRDefault="008E0092" w:rsidP="005329CC">
      <w:pPr>
        <w:rPr>
          <w:rFonts w:ascii="Arial" w:hAnsi="Arial" w:cs="Arial"/>
          <w:sz w:val="22"/>
          <w:szCs w:val="22"/>
        </w:rPr>
      </w:pPr>
      <w:proofErr w:type="gramStart"/>
      <w:r w:rsidRPr="00D10ED2">
        <w:rPr>
          <w:rFonts w:ascii="Arial" w:hAnsi="Arial" w:cs="Arial"/>
          <w:sz w:val="22"/>
          <w:szCs w:val="22"/>
        </w:rPr>
        <w:t>Hypersensitivity to the active substance or to any of the excipients</w:t>
      </w:r>
      <w:r w:rsidR="00134D0D" w:rsidRPr="00D10ED2">
        <w:rPr>
          <w:rFonts w:ascii="Arial" w:hAnsi="Arial" w:cs="Arial"/>
          <w:sz w:val="22"/>
          <w:szCs w:val="22"/>
        </w:rPr>
        <w:t>.</w:t>
      </w:r>
      <w:proofErr w:type="gramEnd"/>
    </w:p>
    <w:p w14:paraId="1F2AC991" w14:textId="77777777" w:rsidR="008E0092" w:rsidRPr="00D10ED2" w:rsidRDefault="008E0092" w:rsidP="005329CC">
      <w:pPr>
        <w:rPr>
          <w:rFonts w:ascii="Arial" w:hAnsi="Arial" w:cs="Arial"/>
          <w:b/>
          <w:sz w:val="28"/>
          <w:szCs w:val="28"/>
        </w:rPr>
      </w:pPr>
    </w:p>
    <w:p w14:paraId="478379AC" w14:textId="77777777" w:rsidR="0057419A" w:rsidRPr="00D10ED2" w:rsidRDefault="0057419A" w:rsidP="005329CC">
      <w:pPr>
        <w:rPr>
          <w:rFonts w:ascii="Arial" w:hAnsi="Arial" w:cs="Arial"/>
          <w:b/>
          <w:sz w:val="28"/>
          <w:szCs w:val="28"/>
        </w:rPr>
      </w:pPr>
      <w:r w:rsidRPr="00D10ED2">
        <w:rPr>
          <w:rFonts w:ascii="Arial" w:hAnsi="Arial" w:cs="Arial"/>
          <w:b/>
          <w:sz w:val="28"/>
          <w:szCs w:val="28"/>
        </w:rPr>
        <w:t>Precautions</w:t>
      </w:r>
    </w:p>
    <w:p w14:paraId="75DB85BF" w14:textId="77777777" w:rsidR="003A7AF2" w:rsidRPr="00D10ED2" w:rsidRDefault="003A7AF2" w:rsidP="003A7AF2">
      <w:pPr>
        <w:keepNext/>
        <w:rPr>
          <w:rFonts w:ascii="Arial" w:hAnsi="Arial" w:cs="Arial"/>
          <w:sz w:val="22"/>
          <w:szCs w:val="22"/>
          <w:u w:val="single"/>
        </w:rPr>
      </w:pPr>
    </w:p>
    <w:p w14:paraId="7CFD7E8D" w14:textId="77777777" w:rsidR="0066441C" w:rsidRPr="00593371" w:rsidRDefault="0066441C" w:rsidP="0066441C">
      <w:pPr>
        <w:rPr>
          <w:rFonts w:ascii="Arial" w:hAnsi="Arial" w:cs="Arial"/>
          <w:sz w:val="22"/>
          <w:szCs w:val="22"/>
          <w:u w:val="single"/>
        </w:rPr>
      </w:pPr>
      <w:r w:rsidRPr="00593371">
        <w:rPr>
          <w:rFonts w:ascii="Arial" w:hAnsi="Arial" w:cs="Arial"/>
          <w:sz w:val="22"/>
          <w:szCs w:val="22"/>
          <w:u w:val="single"/>
        </w:rPr>
        <w:t>Vascular occlusion</w:t>
      </w:r>
    </w:p>
    <w:p w14:paraId="4E51DD97" w14:textId="4A43918D" w:rsidR="0068010D" w:rsidRDefault="0066441C" w:rsidP="0066441C">
      <w:pPr>
        <w:rPr>
          <w:rFonts w:ascii="Arial" w:hAnsi="Arial" w:cs="Arial"/>
          <w:sz w:val="22"/>
          <w:szCs w:val="22"/>
        </w:rPr>
      </w:pPr>
      <w:r w:rsidRPr="00D10ED2">
        <w:rPr>
          <w:rFonts w:ascii="Arial" w:hAnsi="Arial" w:cs="Arial"/>
          <w:sz w:val="22"/>
          <w:szCs w:val="22"/>
        </w:rPr>
        <w:t xml:space="preserve">Arterial and venous thrombosis and occlusions, including fatal myocardial infarction, stroke, stenosis of large arterial vessels of the brain, severe peripheral vascular disease, and the need for urgent </w:t>
      </w:r>
      <w:proofErr w:type="spellStart"/>
      <w:r w:rsidRPr="00D10ED2">
        <w:rPr>
          <w:rFonts w:ascii="Arial" w:hAnsi="Arial" w:cs="Arial"/>
          <w:sz w:val="22"/>
          <w:szCs w:val="22"/>
        </w:rPr>
        <w:t>revasculari</w:t>
      </w:r>
      <w:r w:rsidR="00487B10">
        <w:rPr>
          <w:rFonts w:ascii="Arial" w:hAnsi="Arial" w:cs="Arial"/>
          <w:sz w:val="22"/>
          <w:szCs w:val="22"/>
        </w:rPr>
        <w:t>s</w:t>
      </w:r>
      <w:r w:rsidRPr="00D10ED2">
        <w:rPr>
          <w:rFonts w:ascii="Arial" w:hAnsi="Arial" w:cs="Arial"/>
          <w:sz w:val="22"/>
          <w:szCs w:val="22"/>
        </w:rPr>
        <w:t>ation</w:t>
      </w:r>
      <w:proofErr w:type="spellEnd"/>
      <w:r w:rsidRPr="00D10ED2">
        <w:rPr>
          <w:rFonts w:ascii="Arial" w:hAnsi="Arial" w:cs="Arial"/>
          <w:sz w:val="22"/>
          <w:szCs w:val="22"/>
        </w:rPr>
        <w:t xml:space="preserve"> procedures</w:t>
      </w:r>
      <w:r w:rsidR="0068010D">
        <w:rPr>
          <w:rFonts w:ascii="Arial" w:hAnsi="Arial" w:cs="Arial"/>
          <w:sz w:val="22"/>
          <w:szCs w:val="22"/>
        </w:rPr>
        <w:t>, d</w:t>
      </w:r>
      <w:r w:rsidR="0068010D" w:rsidRPr="0068010D">
        <w:rPr>
          <w:rFonts w:ascii="Arial" w:hAnsi="Arial" w:cs="Arial"/>
          <w:sz w:val="22"/>
          <w:szCs w:val="22"/>
        </w:rPr>
        <w:t>eep vein thrombosis</w:t>
      </w:r>
      <w:r w:rsidR="000E3ABA">
        <w:rPr>
          <w:rFonts w:ascii="Arial" w:hAnsi="Arial" w:cs="Arial"/>
          <w:sz w:val="22"/>
          <w:szCs w:val="22"/>
        </w:rPr>
        <w:t>,</w:t>
      </w:r>
      <w:r w:rsidR="0068010D" w:rsidRPr="0068010D">
        <w:rPr>
          <w:rFonts w:ascii="Arial" w:hAnsi="Arial" w:cs="Arial"/>
          <w:sz w:val="22"/>
          <w:szCs w:val="22"/>
        </w:rPr>
        <w:t xml:space="preserve"> </w:t>
      </w:r>
      <w:r w:rsidR="0068010D">
        <w:rPr>
          <w:rFonts w:ascii="Arial" w:hAnsi="Arial" w:cs="Arial"/>
          <w:sz w:val="22"/>
          <w:szCs w:val="22"/>
        </w:rPr>
        <w:t xml:space="preserve">and </w:t>
      </w:r>
      <w:r w:rsidR="0068010D" w:rsidRPr="0068010D">
        <w:rPr>
          <w:rFonts w:ascii="Arial" w:hAnsi="Arial" w:cs="Arial"/>
          <w:sz w:val="22"/>
          <w:szCs w:val="22"/>
        </w:rPr>
        <w:t>pulmonary embolus</w:t>
      </w:r>
      <w:r w:rsidR="0068010D">
        <w:rPr>
          <w:rFonts w:ascii="Arial" w:hAnsi="Arial" w:cs="Arial"/>
          <w:sz w:val="22"/>
          <w:szCs w:val="22"/>
        </w:rPr>
        <w:t>,</w:t>
      </w:r>
      <w:r w:rsidRPr="00D10ED2">
        <w:rPr>
          <w:rFonts w:ascii="Arial" w:hAnsi="Arial" w:cs="Arial"/>
          <w:sz w:val="22"/>
          <w:szCs w:val="22"/>
        </w:rPr>
        <w:t xml:space="preserve"> have occurred in ICLUSIG-treated patients. </w:t>
      </w:r>
      <w:r w:rsidR="0068010D" w:rsidRPr="0068010D">
        <w:rPr>
          <w:rFonts w:ascii="Arial" w:hAnsi="Arial" w:cs="Arial"/>
          <w:sz w:val="22"/>
          <w:szCs w:val="22"/>
        </w:rPr>
        <w:t xml:space="preserve">In the pivotal study, </w:t>
      </w:r>
      <w:r w:rsidR="0068010D">
        <w:rPr>
          <w:rFonts w:ascii="Arial" w:hAnsi="Arial" w:cs="Arial"/>
          <w:sz w:val="22"/>
          <w:szCs w:val="22"/>
        </w:rPr>
        <w:t>patients</w:t>
      </w:r>
      <w:r w:rsidR="0068010D" w:rsidRPr="0068010D">
        <w:rPr>
          <w:rFonts w:ascii="Arial" w:hAnsi="Arial" w:cs="Arial"/>
          <w:sz w:val="22"/>
          <w:szCs w:val="22"/>
        </w:rPr>
        <w:t xml:space="preserve"> with recent (</w:t>
      </w:r>
      <w:r w:rsidR="000E3ABA">
        <w:rPr>
          <w:rFonts w:ascii="Arial" w:hAnsi="Arial" w:cs="Arial"/>
          <w:sz w:val="22"/>
          <w:szCs w:val="22"/>
        </w:rPr>
        <w:t xml:space="preserve">i.e., </w:t>
      </w:r>
      <w:r w:rsidR="0068010D" w:rsidRPr="0068010D">
        <w:rPr>
          <w:rFonts w:ascii="Arial" w:hAnsi="Arial" w:cs="Arial"/>
          <w:sz w:val="22"/>
          <w:szCs w:val="22"/>
        </w:rPr>
        <w:t>within the past 3 months) myocardial infarction or unstable angina were excluded from the trial.</w:t>
      </w:r>
    </w:p>
    <w:p w14:paraId="121434EA" w14:textId="77777777" w:rsidR="0068010D" w:rsidRDefault="0068010D" w:rsidP="0066441C">
      <w:pPr>
        <w:rPr>
          <w:rFonts w:ascii="Arial" w:hAnsi="Arial" w:cs="Arial"/>
          <w:sz w:val="22"/>
          <w:szCs w:val="22"/>
        </w:rPr>
      </w:pPr>
    </w:p>
    <w:p w14:paraId="61C8C128" w14:textId="7A47ACB2" w:rsidR="0066441C" w:rsidRDefault="0066441C" w:rsidP="0066441C">
      <w:pPr>
        <w:rPr>
          <w:rFonts w:ascii="Arial" w:hAnsi="Arial" w:cs="Arial"/>
          <w:sz w:val="22"/>
          <w:szCs w:val="22"/>
        </w:rPr>
      </w:pPr>
      <w:r w:rsidRPr="00D10ED2">
        <w:rPr>
          <w:rFonts w:ascii="Arial" w:hAnsi="Arial" w:cs="Arial"/>
          <w:sz w:val="22"/>
          <w:szCs w:val="22"/>
        </w:rPr>
        <w:t xml:space="preserve">Patients with and without cardiovascular risk factors, including patients age 50 years or younger, experienced these events. Vascular occlusion </w:t>
      </w:r>
      <w:r w:rsidR="0068010D" w:rsidRPr="0068010D">
        <w:rPr>
          <w:rFonts w:ascii="Arial" w:hAnsi="Arial" w:cs="Arial"/>
          <w:sz w:val="22"/>
          <w:szCs w:val="22"/>
        </w:rPr>
        <w:t xml:space="preserve">particularly arterial </w:t>
      </w:r>
      <w:r w:rsidRPr="00D10ED2">
        <w:rPr>
          <w:rFonts w:ascii="Arial" w:hAnsi="Arial" w:cs="Arial"/>
          <w:sz w:val="22"/>
          <w:szCs w:val="22"/>
        </w:rPr>
        <w:t xml:space="preserve">adverse events were more frequent with increasing age and in patients with prior history of </w:t>
      </w:r>
      <w:proofErr w:type="spellStart"/>
      <w:r w:rsidRPr="00D10ED2">
        <w:rPr>
          <w:rFonts w:ascii="Arial" w:hAnsi="Arial" w:cs="Arial"/>
          <w:sz w:val="22"/>
          <w:szCs w:val="22"/>
        </w:rPr>
        <w:t>ischaemia</w:t>
      </w:r>
      <w:proofErr w:type="spellEnd"/>
      <w:r w:rsidRPr="00D10ED2">
        <w:rPr>
          <w:rFonts w:ascii="Arial" w:hAnsi="Arial" w:cs="Arial"/>
          <w:sz w:val="22"/>
          <w:szCs w:val="22"/>
        </w:rPr>
        <w:t>,</w:t>
      </w:r>
      <w:r>
        <w:rPr>
          <w:rFonts w:ascii="Arial" w:hAnsi="Arial" w:cs="Arial"/>
          <w:sz w:val="22"/>
          <w:szCs w:val="22"/>
        </w:rPr>
        <w:t xml:space="preserve"> </w:t>
      </w:r>
      <w:r w:rsidRPr="00D10ED2">
        <w:rPr>
          <w:rFonts w:ascii="Arial" w:hAnsi="Arial" w:cs="Arial"/>
          <w:sz w:val="22"/>
          <w:szCs w:val="22"/>
        </w:rPr>
        <w:t xml:space="preserve">hypertension, diabetes, or </w:t>
      </w:r>
      <w:proofErr w:type="spellStart"/>
      <w:r w:rsidRPr="00D10ED2">
        <w:rPr>
          <w:rFonts w:ascii="Arial" w:hAnsi="Arial" w:cs="Arial"/>
          <w:sz w:val="22"/>
          <w:szCs w:val="22"/>
        </w:rPr>
        <w:t>hyperlipidaemia</w:t>
      </w:r>
      <w:proofErr w:type="spellEnd"/>
      <w:r w:rsidRPr="00D10ED2">
        <w:rPr>
          <w:rFonts w:ascii="Arial" w:hAnsi="Arial" w:cs="Arial"/>
          <w:sz w:val="22"/>
          <w:szCs w:val="22"/>
        </w:rPr>
        <w:t>.</w:t>
      </w:r>
      <w:r w:rsidRPr="00D10ED2">
        <w:rPr>
          <w:rFonts w:ascii="Arial" w:hAnsi="Arial" w:cs="Arial"/>
        </w:rPr>
        <w:t xml:space="preserve"> </w:t>
      </w:r>
      <w:r w:rsidR="00DC00CC" w:rsidRPr="00DC00CC">
        <w:rPr>
          <w:rFonts w:ascii="Arial" w:hAnsi="Arial" w:cs="Arial"/>
          <w:sz w:val="22"/>
          <w:szCs w:val="22"/>
        </w:rPr>
        <w:t>The dose intensity-safety relationship indicated that there are significant increases adverse events over the dose range of 15 to 45 mg once-daily, including vascular occlusion and arterial thrombosis.</w:t>
      </w:r>
    </w:p>
    <w:p w14:paraId="73528DCA" w14:textId="77777777" w:rsidR="00DC00CC" w:rsidRDefault="00DC00CC" w:rsidP="0066441C">
      <w:pPr>
        <w:rPr>
          <w:rFonts w:ascii="Arial" w:hAnsi="Arial" w:cs="Arial"/>
          <w:sz w:val="22"/>
          <w:szCs w:val="22"/>
        </w:rPr>
      </w:pPr>
    </w:p>
    <w:p w14:paraId="13E11640" w14:textId="77777777" w:rsidR="00DC00CC" w:rsidRDefault="00DC00CC" w:rsidP="00DC00CC">
      <w:pPr>
        <w:rPr>
          <w:rFonts w:ascii="Arial" w:hAnsi="Arial" w:cs="Arial"/>
          <w:sz w:val="22"/>
          <w:szCs w:val="22"/>
        </w:rPr>
      </w:pPr>
      <w:r w:rsidRPr="00DC00CC">
        <w:rPr>
          <w:rFonts w:ascii="Arial" w:hAnsi="Arial" w:cs="Arial"/>
          <w:sz w:val="22"/>
          <w:szCs w:val="22"/>
        </w:rPr>
        <w:t>In the phase 2 trial, arterial and venous occlusive adverse reactions (treatment-emergent frequencies) have occurred in 23% (101/449) of patients, and serious arterial and venous occlusive adverse reactions (treatment-emergent frequencies) occurred in 18% (81/449) of patients. In a phase 1 trial in advanced leukemia patients arterial and venous occlusive adverse reactions (treatment-emergent frequencies) have occurred in 35% (28/81) of patients, and serious arterial and venous occlusive adverse reactions (treatment-emergent frequencies) occurred in 26% (21/81) of patients.  In both trials, some patients experienced more than 1 type of event.</w:t>
      </w:r>
    </w:p>
    <w:p w14:paraId="5D600231" w14:textId="77777777" w:rsidR="00DC00CC" w:rsidRPr="00DC00CC" w:rsidRDefault="00DC00CC" w:rsidP="00DC00CC">
      <w:pPr>
        <w:rPr>
          <w:rFonts w:ascii="Arial" w:hAnsi="Arial" w:cs="Arial"/>
          <w:sz w:val="22"/>
          <w:szCs w:val="22"/>
        </w:rPr>
      </w:pPr>
    </w:p>
    <w:p w14:paraId="3D1F4727" w14:textId="1D33BA32" w:rsidR="00DC00CC" w:rsidRDefault="00DC00CC" w:rsidP="00DC00CC">
      <w:pPr>
        <w:rPr>
          <w:rFonts w:ascii="Arial" w:hAnsi="Arial" w:cs="Arial"/>
          <w:sz w:val="22"/>
          <w:szCs w:val="22"/>
        </w:rPr>
      </w:pPr>
      <w:r w:rsidRPr="00DC00CC">
        <w:rPr>
          <w:rFonts w:ascii="Arial" w:hAnsi="Arial" w:cs="Arial"/>
          <w:sz w:val="22"/>
          <w:szCs w:val="22"/>
        </w:rPr>
        <w:t xml:space="preserve">Arterial cardiovascular, cerebrovascular, and peripheral vascular occlusive adverse reactions (treatment emergent frequencies) occurred in 10% (43/449), 7% (33/449), and 7% (31/449) of ICLUSIG-treated patients in the phase 2 trial, respectively. Serious arterial cardiovascular, </w:t>
      </w:r>
      <w:proofErr w:type="gramStart"/>
      <w:r w:rsidRPr="00DC00CC">
        <w:rPr>
          <w:rFonts w:ascii="Arial" w:hAnsi="Arial" w:cs="Arial"/>
          <w:sz w:val="22"/>
          <w:szCs w:val="22"/>
        </w:rPr>
        <w:t>cerebrovascular,</w:t>
      </w:r>
      <w:proofErr w:type="gramEnd"/>
      <w:r w:rsidRPr="00DC00CC">
        <w:rPr>
          <w:rFonts w:ascii="Arial" w:hAnsi="Arial" w:cs="Arial"/>
          <w:sz w:val="22"/>
          <w:szCs w:val="22"/>
        </w:rPr>
        <w:t xml:space="preserve"> and peripheral vascular occlusive adverse reactions (treatment-emergent frequencies) occurred in 7% (30/449), 6% (25/449), and </w:t>
      </w:r>
      <w:r w:rsidR="00487B10">
        <w:rPr>
          <w:rFonts w:ascii="Arial" w:hAnsi="Arial" w:cs="Arial"/>
          <w:sz w:val="22"/>
          <w:szCs w:val="22"/>
        </w:rPr>
        <w:t>4</w:t>
      </w:r>
      <w:r w:rsidRPr="00DC00CC">
        <w:rPr>
          <w:rFonts w:ascii="Arial" w:hAnsi="Arial" w:cs="Arial"/>
          <w:sz w:val="22"/>
          <w:szCs w:val="22"/>
        </w:rPr>
        <w:t>% (20/449) of ICLUSIG- treated patients in the phase 2 trial, respectively.</w:t>
      </w:r>
    </w:p>
    <w:p w14:paraId="335F3BD9" w14:textId="77777777" w:rsidR="000832AD" w:rsidRPr="00DC00CC" w:rsidRDefault="000832AD" w:rsidP="00DC00CC">
      <w:pPr>
        <w:rPr>
          <w:rFonts w:ascii="Arial" w:hAnsi="Arial" w:cs="Arial"/>
          <w:sz w:val="22"/>
          <w:szCs w:val="22"/>
        </w:rPr>
      </w:pPr>
    </w:p>
    <w:p w14:paraId="73F97BF5" w14:textId="77777777" w:rsidR="00DC00CC" w:rsidRPr="00DC00CC" w:rsidRDefault="00DC00CC" w:rsidP="00DC00CC">
      <w:pPr>
        <w:rPr>
          <w:rFonts w:ascii="Arial" w:hAnsi="Arial" w:cs="Arial"/>
          <w:sz w:val="22"/>
          <w:szCs w:val="22"/>
        </w:rPr>
      </w:pPr>
      <w:r w:rsidRPr="00DC00CC">
        <w:rPr>
          <w:rFonts w:ascii="Arial" w:hAnsi="Arial" w:cs="Arial"/>
          <w:sz w:val="22"/>
          <w:szCs w:val="22"/>
        </w:rPr>
        <w:t xml:space="preserve">Venous occlusive reactions (treatment-emergent frequencies) occurred in 5% (24/449) of patients in the phase 2 </w:t>
      </w:r>
      <w:proofErr w:type="gramStart"/>
      <w:r w:rsidRPr="00DC00CC">
        <w:rPr>
          <w:rFonts w:ascii="Arial" w:hAnsi="Arial" w:cs="Arial"/>
          <w:sz w:val="22"/>
          <w:szCs w:val="22"/>
        </w:rPr>
        <w:t>trial</w:t>
      </w:r>
      <w:proofErr w:type="gramEnd"/>
      <w:r w:rsidRPr="00DC00CC">
        <w:rPr>
          <w:rFonts w:ascii="Arial" w:hAnsi="Arial" w:cs="Arial"/>
          <w:sz w:val="22"/>
          <w:szCs w:val="22"/>
        </w:rPr>
        <w:t xml:space="preserve">. Serious venous occlusive reactions </w:t>
      </w:r>
      <w:r w:rsidRPr="00DC00CC">
        <w:rPr>
          <w:rFonts w:ascii="Arial" w:hAnsi="Arial" w:cs="Arial"/>
          <w:sz w:val="22"/>
          <w:szCs w:val="22"/>
        </w:rPr>
        <w:lastRenderedPageBreak/>
        <w:t xml:space="preserve">(treatment-emergent frequencies) occurred in 4% (20/449) of patients in the phase 2 </w:t>
      </w:r>
      <w:proofErr w:type="gramStart"/>
      <w:r w:rsidRPr="00DC00CC">
        <w:rPr>
          <w:rFonts w:ascii="Arial" w:hAnsi="Arial" w:cs="Arial"/>
          <w:sz w:val="22"/>
          <w:szCs w:val="22"/>
        </w:rPr>
        <w:t>trial</w:t>
      </w:r>
      <w:proofErr w:type="gramEnd"/>
      <w:r w:rsidRPr="00DC00CC">
        <w:rPr>
          <w:rFonts w:ascii="Arial" w:hAnsi="Arial" w:cs="Arial"/>
          <w:sz w:val="22"/>
          <w:szCs w:val="22"/>
        </w:rPr>
        <w:t>.</w:t>
      </w:r>
    </w:p>
    <w:p w14:paraId="68D89CC4" w14:textId="77777777" w:rsidR="00815F8D" w:rsidRPr="00DC00CC" w:rsidRDefault="00815F8D" w:rsidP="00DC00CC">
      <w:pPr>
        <w:rPr>
          <w:rFonts w:ascii="Arial" w:hAnsi="Arial" w:cs="Arial"/>
          <w:sz w:val="22"/>
          <w:szCs w:val="22"/>
        </w:rPr>
      </w:pPr>
    </w:p>
    <w:p w14:paraId="0393F6EC" w14:textId="54FE45C9" w:rsidR="00815F8D" w:rsidRDefault="00815F8D" w:rsidP="003A7AF2">
      <w:pPr>
        <w:keepNext/>
        <w:rPr>
          <w:rFonts w:ascii="Arial" w:hAnsi="Arial" w:cs="Arial"/>
          <w:i/>
          <w:sz w:val="22"/>
          <w:szCs w:val="22"/>
        </w:rPr>
      </w:pPr>
      <w:r w:rsidRPr="00815F8D">
        <w:rPr>
          <w:rFonts w:ascii="Arial" w:hAnsi="Arial" w:cs="Arial"/>
          <w:sz w:val="22"/>
          <w:szCs w:val="22"/>
        </w:rPr>
        <w:t xml:space="preserve">ICLUSIG should not be used in patients with a history of myocardial infarction, prior </w:t>
      </w:r>
      <w:proofErr w:type="spellStart"/>
      <w:r w:rsidR="000832AD" w:rsidRPr="00815F8D">
        <w:rPr>
          <w:rFonts w:ascii="Arial" w:hAnsi="Arial" w:cs="Arial"/>
          <w:sz w:val="22"/>
          <w:szCs w:val="22"/>
        </w:rPr>
        <w:t>revasculari</w:t>
      </w:r>
      <w:r w:rsidR="000832AD">
        <w:rPr>
          <w:rFonts w:ascii="Arial" w:hAnsi="Arial" w:cs="Arial"/>
          <w:sz w:val="22"/>
          <w:szCs w:val="22"/>
        </w:rPr>
        <w:t>s</w:t>
      </w:r>
      <w:r w:rsidR="000832AD" w:rsidRPr="00815F8D">
        <w:rPr>
          <w:rFonts w:ascii="Arial" w:hAnsi="Arial" w:cs="Arial"/>
          <w:sz w:val="22"/>
          <w:szCs w:val="22"/>
        </w:rPr>
        <w:t>ation</w:t>
      </w:r>
      <w:proofErr w:type="spellEnd"/>
      <w:r w:rsidR="000832AD" w:rsidRPr="00815F8D">
        <w:rPr>
          <w:rFonts w:ascii="Arial" w:hAnsi="Arial" w:cs="Arial"/>
          <w:sz w:val="22"/>
          <w:szCs w:val="22"/>
        </w:rPr>
        <w:t xml:space="preserve"> </w:t>
      </w:r>
      <w:r w:rsidRPr="00815F8D">
        <w:rPr>
          <w:rFonts w:ascii="Arial" w:hAnsi="Arial" w:cs="Arial"/>
          <w:sz w:val="22"/>
          <w:szCs w:val="22"/>
        </w:rPr>
        <w:t>or stroke, unless the potential benefit of treatment outweighs the potential risk</w:t>
      </w:r>
      <w:r w:rsidRPr="00815F8D">
        <w:rPr>
          <w:rFonts w:ascii="Arial" w:hAnsi="Arial" w:cs="Arial"/>
          <w:i/>
          <w:sz w:val="22"/>
          <w:szCs w:val="22"/>
        </w:rPr>
        <w:t>.</w:t>
      </w:r>
    </w:p>
    <w:p w14:paraId="357EE969" w14:textId="77777777" w:rsidR="00815F8D" w:rsidRDefault="00815F8D" w:rsidP="003A7AF2">
      <w:pPr>
        <w:keepNext/>
        <w:rPr>
          <w:rFonts w:ascii="Arial" w:hAnsi="Arial" w:cs="Arial"/>
          <w:i/>
          <w:sz w:val="22"/>
          <w:szCs w:val="22"/>
        </w:rPr>
      </w:pPr>
    </w:p>
    <w:p w14:paraId="310FD0B6" w14:textId="435C8970" w:rsidR="00815F8D" w:rsidRDefault="00815F8D" w:rsidP="003A7AF2">
      <w:pPr>
        <w:keepNext/>
        <w:rPr>
          <w:rFonts w:ascii="Arial" w:hAnsi="Arial" w:cs="Arial"/>
          <w:sz w:val="22"/>
          <w:szCs w:val="22"/>
        </w:rPr>
      </w:pPr>
      <w:r w:rsidRPr="00815F8D">
        <w:rPr>
          <w:rFonts w:ascii="Arial" w:hAnsi="Arial" w:cs="Arial"/>
          <w:sz w:val="22"/>
          <w:szCs w:val="22"/>
        </w:rPr>
        <w:t>Before starting treatment with ICLUSIG, the cardiovascular status of the patient should be assessed and cardiovascular risk fact</w:t>
      </w:r>
      <w:r>
        <w:rPr>
          <w:rFonts w:ascii="Arial" w:hAnsi="Arial" w:cs="Arial"/>
          <w:sz w:val="22"/>
          <w:szCs w:val="22"/>
        </w:rPr>
        <w:t xml:space="preserve">ors should be actively managed. </w:t>
      </w:r>
      <w:r w:rsidRPr="00815F8D">
        <w:rPr>
          <w:rFonts w:ascii="Arial" w:hAnsi="Arial" w:cs="Arial"/>
          <w:sz w:val="22"/>
          <w:szCs w:val="22"/>
        </w:rPr>
        <w:t>Cardiovascular status should continue to be monitored and an</w:t>
      </w:r>
      <w:r w:rsidR="00531CF8">
        <w:rPr>
          <w:rFonts w:ascii="Arial" w:hAnsi="Arial" w:cs="Arial"/>
          <w:sz w:val="22"/>
          <w:szCs w:val="22"/>
        </w:rPr>
        <w:t xml:space="preserve">y cardiovascular therapy </w:t>
      </w:r>
      <w:proofErr w:type="spellStart"/>
      <w:r w:rsidR="00531CF8">
        <w:rPr>
          <w:rFonts w:ascii="Arial" w:hAnsi="Arial" w:cs="Arial"/>
          <w:sz w:val="22"/>
          <w:szCs w:val="22"/>
        </w:rPr>
        <w:t>optimis</w:t>
      </w:r>
      <w:r w:rsidRPr="00815F8D">
        <w:rPr>
          <w:rFonts w:ascii="Arial" w:hAnsi="Arial" w:cs="Arial"/>
          <w:sz w:val="22"/>
          <w:szCs w:val="22"/>
        </w:rPr>
        <w:t>ed</w:t>
      </w:r>
      <w:proofErr w:type="spellEnd"/>
      <w:r w:rsidRPr="00815F8D">
        <w:rPr>
          <w:rFonts w:ascii="Arial" w:hAnsi="Arial" w:cs="Arial"/>
          <w:sz w:val="22"/>
          <w:szCs w:val="22"/>
        </w:rPr>
        <w:t xml:space="preserve"> during treatment with ICLUSIG. </w:t>
      </w:r>
    </w:p>
    <w:p w14:paraId="4CA17AF9" w14:textId="77777777" w:rsidR="00815F8D" w:rsidRDefault="00815F8D" w:rsidP="003A7AF2">
      <w:pPr>
        <w:keepNext/>
        <w:rPr>
          <w:rFonts w:ascii="Arial" w:hAnsi="Arial" w:cs="Arial"/>
          <w:sz w:val="22"/>
          <w:szCs w:val="22"/>
        </w:rPr>
      </w:pPr>
    </w:p>
    <w:p w14:paraId="73469EDB" w14:textId="77777777" w:rsidR="000D4E9F" w:rsidRDefault="00815F8D" w:rsidP="00815F8D">
      <w:pPr>
        <w:keepNext/>
        <w:rPr>
          <w:rFonts w:ascii="Arial" w:hAnsi="Arial" w:cs="Arial"/>
          <w:sz w:val="22"/>
          <w:szCs w:val="22"/>
        </w:rPr>
      </w:pPr>
      <w:r w:rsidRPr="00815F8D">
        <w:rPr>
          <w:rFonts w:ascii="Arial" w:hAnsi="Arial" w:cs="Arial"/>
          <w:sz w:val="22"/>
          <w:szCs w:val="22"/>
        </w:rPr>
        <w:t xml:space="preserve">Monitoring for evidence of thromboembolism and vascular occlusion should be performed and ICLUSIG should be interrupted immediately in case of vascular occlusion. A benefit–risk consideration should guide a decision to restart ICLUSIG therapy. </w:t>
      </w:r>
    </w:p>
    <w:p w14:paraId="1C5EA1C9" w14:textId="77777777" w:rsidR="000D4E9F" w:rsidRDefault="000D4E9F" w:rsidP="00815F8D">
      <w:pPr>
        <w:keepNext/>
        <w:rPr>
          <w:rFonts w:ascii="Arial" w:hAnsi="Arial" w:cs="Arial"/>
          <w:sz w:val="22"/>
          <w:szCs w:val="22"/>
        </w:rPr>
      </w:pPr>
    </w:p>
    <w:p w14:paraId="5418B702" w14:textId="77777777" w:rsidR="000832AD" w:rsidRPr="000832AD" w:rsidRDefault="000832AD" w:rsidP="000832AD">
      <w:pPr>
        <w:pStyle w:val="List3"/>
        <w:tabs>
          <w:tab w:val="clear" w:pos="2016"/>
        </w:tabs>
        <w:spacing w:before="0" w:after="0"/>
        <w:ind w:left="0" w:firstLine="0"/>
        <w:rPr>
          <w:rFonts w:ascii="Arial" w:hAnsi="Arial" w:cs="Arial"/>
          <w:sz w:val="22"/>
          <w:szCs w:val="22"/>
          <w:u w:val="single"/>
        </w:rPr>
      </w:pPr>
      <w:r w:rsidRPr="000832AD">
        <w:rPr>
          <w:rFonts w:ascii="Arial" w:hAnsi="Arial" w:cs="Arial"/>
          <w:sz w:val="22"/>
          <w:szCs w:val="22"/>
          <w:u w:val="single"/>
        </w:rPr>
        <w:t>Cardiac Failure</w:t>
      </w:r>
    </w:p>
    <w:p w14:paraId="5331AE87" w14:textId="77777777" w:rsidR="000832AD" w:rsidRPr="000832AD" w:rsidRDefault="000832AD" w:rsidP="000832AD">
      <w:pPr>
        <w:rPr>
          <w:rFonts w:ascii="Arial" w:hAnsi="Arial" w:cs="Arial"/>
          <w:sz w:val="22"/>
          <w:szCs w:val="22"/>
        </w:rPr>
      </w:pPr>
      <w:r w:rsidRPr="000832AD">
        <w:rPr>
          <w:rFonts w:ascii="Arial" w:hAnsi="Arial" w:cs="Arial"/>
          <w:sz w:val="22"/>
          <w:szCs w:val="22"/>
        </w:rPr>
        <w:t>Fatal and serious heart failure or left ventricular dysfunction occurred in ICLUSIG-treated patients. In the phase 2 trial, cardiac failure events occurred in 8% (37/449) of ICLUSIG-treated patients, 5.1% (23/449) were serious.  Monitor patients for signs or symptoms consistent with heart failure and treat as clinically indicated, including interruption of ICLUSIG. Consider discontinuation of ICLUSIG in patients who develop serious heart failure.</w:t>
      </w:r>
    </w:p>
    <w:p w14:paraId="52289A47" w14:textId="77777777" w:rsidR="000832AD" w:rsidRPr="000832AD" w:rsidRDefault="000832AD" w:rsidP="000832AD">
      <w:pPr>
        <w:pStyle w:val="List3"/>
        <w:tabs>
          <w:tab w:val="clear" w:pos="2016"/>
        </w:tabs>
        <w:spacing w:before="0" w:after="0"/>
        <w:ind w:left="0" w:firstLine="0"/>
        <w:rPr>
          <w:rFonts w:ascii="Arial" w:hAnsi="Arial" w:cs="Arial"/>
          <w:sz w:val="22"/>
          <w:szCs w:val="22"/>
        </w:rPr>
      </w:pPr>
    </w:p>
    <w:p w14:paraId="544F432C" w14:textId="77777777" w:rsidR="000832AD" w:rsidRPr="000832AD" w:rsidRDefault="000832AD" w:rsidP="000832AD">
      <w:pPr>
        <w:pStyle w:val="List3"/>
        <w:tabs>
          <w:tab w:val="clear" w:pos="2016"/>
        </w:tabs>
        <w:spacing w:before="0" w:after="0"/>
        <w:ind w:left="0" w:firstLine="0"/>
        <w:rPr>
          <w:rFonts w:ascii="Arial" w:hAnsi="Arial" w:cs="Arial"/>
          <w:sz w:val="22"/>
          <w:szCs w:val="22"/>
          <w:u w:val="single"/>
        </w:rPr>
      </w:pPr>
      <w:r w:rsidRPr="000832AD">
        <w:rPr>
          <w:rFonts w:ascii="Arial" w:hAnsi="Arial" w:cs="Arial"/>
          <w:sz w:val="22"/>
          <w:szCs w:val="22"/>
          <w:u w:val="single"/>
        </w:rPr>
        <w:t>Hypertension</w:t>
      </w:r>
    </w:p>
    <w:p w14:paraId="7FD0DAF4" w14:textId="77777777" w:rsidR="000832AD" w:rsidRPr="000832AD" w:rsidRDefault="000832AD" w:rsidP="000832AD">
      <w:pPr>
        <w:rPr>
          <w:rFonts w:ascii="Arial" w:hAnsi="Arial" w:cs="Arial"/>
          <w:sz w:val="22"/>
          <w:szCs w:val="22"/>
        </w:rPr>
      </w:pPr>
      <w:r w:rsidRPr="000832AD">
        <w:rPr>
          <w:rFonts w:ascii="Arial" w:hAnsi="Arial" w:cs="Arial"/>
          <w:sz w:val="22"/>
          <w:szCs w:val="22"/>
        </w:rPr>
        <w:t xml:space="preserve">Hypertension may contribute to risk of arterial thrombotic events. During ICLUSIG treatment, blood pressure elevations should be monitored and managed. Hypertension should be treated to </w:t>
      </w:r>
      <w:r w:rsidRPr="000832AD">
        <w:rPr>
          <w:rFonts w:ascii="Arial" w:hAnsi="Arial" w:cs="Arial"/>
          <w:sz w:val="22"/>
          <w:szCs w:val="22"/>
          <w:lang w:val="en-GB"/>
        </w:rPr>
        <w:t>normalise</w:t>
      </w:r>
      <w:r w:rsidRPr="000832AD">
        <w:rPr>
          <w:rFonts w:ascii="Arial" w:hAnsi="Arial" w:cs="Arial"/>
          <w:sz w:val="22"/>
          <w:szCs w:val="22"/>
        </w:rPr>
        <w:t xml:space="preserve"> blood pressure. ICLUSIG treatment should be temporarily interrupted if hypertension is not medically controlled.</w:t>
      </w:r>
    </w:p>
    <w:p w14:paraId="0A6CB908" w14:textId="77777777" w:rsidR="000832AD" w:rsidRPr="000832AD" w:rsidRDefault="000832AD" w:rsidP="000832AD">
      <w:pPr>
        <w:rPr>
          <w:rFonts w:ascii="Arial" w:hAnsi="Arial" w:cs="Arial"/>
          <w:sz w:val="22"/>
          <w:szCs w:val="22"/>
        </w:rPr>
      </w:pPr>
    </w:p>
    <w:p w14:paraId="08031B16" w14:textId="77777777" w:rsidR="000832AD" w:rsidRPr="000832AD" w:rsidRDefault="000832AD" w:rsidP="000832AD">
      <w:pPr>
        <w:rPr>
          <w:rFonts w:ascii="Arial" w:hAnsi="Arial" w:cs="Arial"/>
          <w:sz w:val="22"/>
          <w:szCs w:val="22"/>
        </w:rPr>
      </w:pPr>
      <w:r w:rsidRPr="000832AD">
        <w:rPr>
          <w:rFonts w:ascii="Arial" w:hAnsi="Arial" w:cs="Arial"/>
          <w:sz w:val="22"/>
          <w:szCs w:val="22"/>
        </w:rPr>
        <w:t>Treatment-emergent hypertension occurred in ICLUSIG-treated patients. Patients may require urgent clinical intervention for hypertension associated with confusion, headache, chest pain, or shortness of breath.</w:t>
      </w:r>
    </w:p>
    <w:p w14:paraId="7AB38702" w14:textId="77777777" w:rsidR="000832AD" w:rsidRDefault="000832AD" w:rsidP="00745BC9">
      <w:pPr>
        <w:pStyle w:val="List3"/>
        <w:tabs>
          <w:tab w:val="clear" w:pos="2016"/>
        </w:tabs>
        <w:spacing w:before="0" w:after="0"/>
        <w:rPr>
          <w:rFonts w:ascii="Arial" w:hAnsi="Arial" w:cs="Arial"/>
          <w:sz w:val="22"/>
          <w:szCs w:val="22"/>
        </w:rPr>
      </w:pPr>
    </w:p>
    <w:p w14:paraId="790BAB1D" w14:textId="081136B2" w:rsidR="000832AD" w:rsidRPr="000832AD" w:rsidRDefault="000832AD" w:rsidP="000832AD">
      <w:pPr>
        <w:pStyle w:val="List3"/>
        <w:tabs>
          <w:tab w:val="clear" w:pos="2016"/>
        </w:tabs>
        <w:spacing w:before="0" w:after="0"/>
        <w:ind w:left="0" w:firstLine="0"/>
        <w:rPr>
          <w:rFonts w:ascii="Arial" w:hAnsi="Arial" w:cs="Arial"/>
          <w:sz w:val="22"/>
          <w:szCs w:val="22"/>
          <w:u w:val="single"/>
        </w:rPr>
      </w:pPr>
      <w:proofErr w:type="spellStart"/>
      <w:r w:rsidRPr="000832AD">
        <w:rPr>
          <w:rFonts w:ascii="Arial" w:hAnsi="Arial" w:cs="Arial"/>
          <w:sz w:val="22"/>
          <w:szCs w:val="22"/>
          <w:u w:val="single"/>
        </w:rPr>
        <w:t>H</w:t>
      </w:r>
      <w:r w:rsidR="00461AE2">
        <w:rPr>
          <w:rFonts w:ascii="Arial" w:hAnsi="Arial" w:cs="Arial"/>
          <w:sz w:val="22"/>
          <w:szCs w:val="22"/>
          <w:u w:val="single"/>
        </w:rPr>
        <w:t>a</w:t>
      </w:r>
      <w:r w:rsidRPr="000832AD">
        <w:rPr>
          <w:rFonts w:ascii="Arial" w:hAnsi="Arial" w:cs="Arial"/>
          <w:sz w:val="22"/>
          <w:szCs w:val="22"/>
          <w:u w:val="single"/>
        </w:rPr>
        <w:t>emorrhage</w:t>
      </w:r>
      <w:proofErr w:type="spellEnd"/>
    </w:p>
    <w:p w14:paraId="4FB07F3B" w14:textId="7F05B2FB" w:rsidR="000832AD" w:rsidRPr="000832AD" w:rsidRDefault="000832AD" w:rsidP="000832AD">
      <w:pPr>
        <w:rPr>
          <w:rFonts w:ascii="Arial" w:hAnsi="Arial" w:cs="Arial"/>
          <w:sz w:val="22"/>
          <w:szCs w:val="22"/>
          <w:lang w:val="en-GB"/>
        </w:rPr>
      </w:pPr>
      <w:r w:rsidRPr="000832AD">
        <w:rPr>
          <w:rFonts w:ascii="Arial" w:hAnsi="Arial" w:cs="Arial"/>
          <w:sz w:val="22"/>
          <w:szCs w:val="22"/>
          <w:lang w:val="en-GB"/>
        </w:rPr>
        <w:t>Serious bleeding events and h</w:t>
      </w:r>
      <w:r w:rsidR="00461AE2">
        <w:rPr>
          <w:rFonts w:ascii="Arial" w:hAnsi="Arial" w:cs="Arial"/>
          <w:sz w:val="22"/>
          <w:szCs w:val="22"/>
          <w:lang w:val="en-GB"/>
        </w:rPr>
        <w:t>a</w:t>
      </w:r>
      <w:r w:rsidRPr="000832AD">
        <w:rPr>
          <w:rFonts w:ascii="Arial" w:hAnsi="Arial" w:cs="Arial"/>
          <w:sz w:val="22"/>
          <w:szCs w:val="22"/>
          <w:lang w:val="en-GB"/>
        </w:rPr>
        <w:t xml:space="preserve">emorrhage, including fatalities, occurred in ICLUSIG-treated patients. The incidence of serious bleeding events was higher in patients with AP-CML, BP-CML, and </w:t>
      </w:r>
      <w:proofErr w:type="spellStart"/>
      <w:r w:rsidRPr="000832AD">
        <w:rPr>
          <w:rFonts w:ascii="Arial" w:hAnsi="Arial" w:cs="Arial"/>
          <w:sz w:val="22"/>
          <w:szCs w:val="22"/>
          <w:lang w:val="en-GB"/>
        </w:rPr>
        <w:t>Ph</w:t>
      </w:r>
      <w:proofErr w:type="spellEnd"/>
      <w:r w:rsidRPr="000832AD">
        <w:rPr>
          <w:rFonts w:ascii="Arial" w:hAnsi="Arial" w:cs="Arial"/>
          <w:sz w:val="22"/>
          <w:szCs w:val="22"/>
          <w:lang w:val="en-GB"/>
        </w:rPr>
        <w:t>+ ALL. Cerebral h</w:t>
      </w:r>
      <w:r w:rsidR="00461AE2">
        <w:rPr>
          <w:rFonts w:ascii="Arial" w:hAnsi="Arial" w:cs="Arial"/>
          <w:sz w:val="22"/>
          <w:szCs w:val="22"/>
          <w:lang w:val="en-GB"/>
        </w:rPr>
        <w:t>a</w:t>
      </w:r>
      <w:r w:rsidRPr="000832AD">
        <w:rPr>
          <w:rFonts w:ascii="Arial" w:hAnsi="Arial" w:cs="Arial"/>
          <w:sz w:val="22"/>
          <w:szCs w:val="22"/>
          <w:lang w:val="en-GB"/>
        </w:rPr>
        <w:t xml:space="preserve">emorrhage and gastrointestinal </w:t>
      </w:r>
      <w:r w:rsidR="00461AE2">
        <w:rPr>
          <w:rFonts w:ascii="Arial" w:hAnsi="Arial" w:cs="Arial"/>
          <w:sz w:val="22"/>
          <w:szCs w:val="22"/>
          <w:lang w:val="en-GB"/>
        </w:rPr>
        <w:t>haemorrhage</w:t>
      </w:r>
      <w:r w:rsidRPr="000832AD">
        <w:rPr>
          <w:rFonts w:ascii="Arial" w:hAnsi="Arial" w:cs="Arial"/>
          <w:sz w:val="22"/>
          <w:szCs w:val="22"/>
          <w:lang w:val="en-GB"/>
        </w:rPr>
        <w:t xml:space="preserve"> were the most commonly reported serious bleeding events. Most h</w:t>
      </w:r>
      <w:r w:rsidR="001443CA">
        <w:rPr>
          <w:rFonts w:ascii="Arial" w:hAnsi="Arial" w:cs="Arial"/>
          <w:sz w:val="22"/>
          <w:szCs w:val="22"/>
          <w:lang w:val="en-GB"/>
        </w:rPr>
        <w:t>a</w:t>
      </w:r>
      <w:r w:rsidRPr="000832AD">
        <w:rPr>
          <w:rFonts w:ascii="Arial" w:hAnsi="Arial" w:cs="Arial"/>
          <w:sz w:val="22"/>
          <w:szCs w:val="22"/>
          <w:lang w:val="en-GB"/>
        </w:rPr>
        <w:t xml:space="preserve">emorrhagic events, but not all, occurred in patients with grade 4 thrombocytopenia (see </w:t>
      </w:r>
      <w:r w:rsidRPr="00F72BD1">
        <w:rPr>
          <w:rFonts w:ascii="Arial" w:hAnsi="Arial" w:cs="Arial"/>
          <w:b/>
          <w:sz w:val="22"/>
          <w:szCs w:val="22"/>
          <w:lang w:val="en-GB"/>
        </w:rPr>
        <w:t>P</w:t>
      </w:r>
      <w:r w:rsidR="00E647B9" w:rsidRPr="00F72BD1">
        <w:rPr>
          <w:rFonts w:ascii="Arial" w:hAnsi="Arial" w:cs="Arial"/>
          <w:b/>
          <w:sz w:val="22"/>
          <w:szCs w:val="22"/>
          <w:lang w:val="en-GB"/>
        </w:rPr>
        <w:t>recautions</w:t>
      </w:r>
      <w:r w:rsidRPr="000832AD">
        <w:rPr>
          <w:rFonts w:ascii="Arial" w:hAnsi="Arial" w:cs="Arial"/>
          <w:sz w:val="22"/>
          <w:szCs w:val="22"/>
          <w:lang w:val="en-GB"/>
        </w:rPr>
        <w:t xml:space="preserve">, </w:t>
      </w:r>
      <w:proofErr w:type="spellStart"/>
      <w:r w:rsidRPr="000832AD">
        <w:rPr>
          <w:rFonts w:ascii="Arial" w:hAnsi="Arial" w:cs="Arial"/>
          <w:sz w:val="22"/>
          <w:szCs w:val="22"/>
          <w:lang w:val="en-GB"/>
        </w:rPr>
        <w:t>Myelosuppression</w:t>
      </w:r>
      <w:proofErr w:type="spellEnd"/>
      <w:r w:rsidRPr="000832AD">
        <w:rPr>
          <w:rFonts w:ascii="Arial" w:hAnsi="Arial" w:cs="Arial"/>
          <w:sz w:val="22"/>
          <w:szCs w:val="22"/>
          <w:lang w:val="en-GB"/>
        </w:rPr>
        <w:t xml:space="preserve">). Interrupt ICLUSIG for serious or severe </w:t>
      </w:r>
      <w:r w:rsidR="00461AE2">
        <w:rPr>
          <w:rFonts w:ascii="Arial" w:hAnsi="Arial" w:cs="Arial"/>
          <w:sz w:val="22"/>
          <w:szCs w:val="22"/>
          <w:lang w:val="en-GB"/>
        </w:rPr>
        <w:t>haemorrhage</w:t>
      </w:r>
      <w:r w:rsidRPr="000832AD">
        <w:rPr>
          <w:rFonts w:ascii="Arial" w:hAnsi="Arial" w:cs="Arial"/>
          <w:sz w:val="22"/>
          <w:szCs w:val="22"/>
          <w:lang w:val="en-GB"/>
        </w:rPr>
        <w:t xml:space="preserve"> and evaluate (see </w:t>
      </w:r>
      <w:r w:rsidRPr="00F72BD1">
        <w:rPr>
          <w:rFonts w:ascii="Arial" w:hAnsi="Arial" w:cs="Arial"/>
          <w:b/>
          <w:sz w:val="22"/>
          <w:szCs w:val="22"/>
          <w:lang w:val="en-GB"/>
        </w:rPr>
        <w:t>D</w:t>
      </w:r>
      <w:r w:rsidR="00E647B9" w:rsidRPr="00F72BD1">
        <w:rPr>
          <w:rFonts w:ascii="Arial" w:hAnsi="Arial" w:cs="Arial"/>
          <w:b/>
          <w:sz w:val="22"/>
          <w:szCs w:val="22"/>
          <w:lang w:val="en-GB"/>
        </w:rPr>
        <w:t>osage and Administration</w:t>
      </w:r>
      <w:r w:rsidRPr="000832AD">
        <w:rPr>
          <w:rFonts w:ascii="Arial" w:hAnsi="Arial" w:cs="Arial"/>
          <w:sz w:val="22"/>
          <w:szCs w:val="22"/>
          <w:lang w:val="en-GB"/>
        </w:rPr>
        <w:t xml:space="preserve">, </w:t>
      </w:r>
      <w:proofErr w:type="spellStart"/>
      <w:r w:rsidRPr="001B77E9">
        <w:rPr>
          <w:rFonts w:ascii="Arial" w:hAnsi="Arial" w:cs="Arial"/>
          <w:b/>
          <w:sz w:val="22"/>
          <w:szCs w:val="22"/>
          <w:lang w:val="en-GB"/>
        </w:rPr>
        <w:t>Myelosuppression</w:t>
      </w:r>
      <w:proofErr w:type="spellEnd"/>
      <w:r w:rsidRPr="000832AD">
        <w:rPr>
          <w:rFonts w:ascii="Arial" w:hAnsi="Arial" w:cs="Arial"/>
          <w:sz w:val="22"/>
          <w:szCs w:val="22"/>
          <w:lang w:val="en-GB"/>
        </w:rPr>
        <w:t>).  Grade 3 or 4 thrombocytopenia was observed in 39.9% (179/449) of patients.</w:t>
      </w:r>
    </w:p>
    <w:p w14:paraId="192D470E" w14:textId="77777777" w:rsidR="000832AD" w:rsidRPr="00D10ED2" w:rsidRDefault="000832AD" w:rsidP="00745BC9">
      <w:pPr>
        <w:pStyle w:val="List3"/>
        <w:tabs>
          <w:tab w:val="clear" w:pos="2016"/>
        </w:tabs>
        <w:spacing w:before="0" w:after="0"/>
        <w:rPr>
          <w:rFonts w:ascii="Arial" w:hAnsi="Arial" w:cs="Arial"/>
          <w:sz w:val="22"/>
          <w:szCs w:val="22"/>
        </w:rPr>
      </w:pPr>
    </w:p>
    <w:p w14:paraId="470333A4" w14:textId="77777777" w:rsidR="008E0092" w:rsidRPr="00745BC9" w:rsidRDefault="008E0092" w:rsidP="00DE5AE7">
      <w:pPr>
        <w:pStyle w:val="List3"/>
        <w:keepNext/>
        <w:keepLines/>
        <w:tabs>
          <w:tab w:val="clear" w:pos="2016"/>
        </w:tabs>
        <w:spacing w:before="0" w:after="0"/>
        <w:ind w:left="0" w:firstLine="0"/>
        <w:rPr>
          <w:rFonts w:ascii="Arial" w:hAnsi="Arial" w:cs="Arial"/>
          <w:sz w:val="22"/>
          <w:szCs w:val="22"/>
          <w:u w:val="single"/>
        </w:rPr>
      </w:pPr>
      <w:proofErr w:type="spellStart"/>
      <w:r w:rsidRPr="00745BC9">
        <w:rPr>
          <w:rFonts w:ascii="Arial" w:hAnsi="Arial" w:cs="Arial"/>
          <w:sz w:val="22"/>
          <w:szCs w:val="22"/>
          <w:u w:val="single"/>
        </w:rPr>
        <w:lastRenderedPageBreak/>
        <w:t>Myelosuppression</w:t>
      </w:r>
      <w:proofErr w:type="spellEnd"/>
    </w:p>
    <w:p w14:paraId="60E0F0F8" w14:textId="423F10DE" w:rsidR="00F008B8" w:rsidRDefault="0011623F" w:rsidP="00DE5AE7">
      <w:pPr>
        <w:keepNext/>
        <w:keepLines/>
        <w:rPr>
          <w:rFonts w:ascii="Arial" w:hAnsi="Arial" w:cs="Arial"/>
          <w:sz w:val="22"/>
          <w:szCs w:val="22"/>
        </w:rPr>
      </w:pPr>
      <w:r w:rsidRPr="00D10ED2">
        <w:rPr>
          <w:rFonts w:ascii="Arial" w:hAnsi="Arial" w:cs="Arial"/>
          <w:sz w:val="22"/>
          <w:szCs w:val="22"/>
        </w:rPr>
        <w:t>ICLUSIG</w:t>
      </w:r>
      <w:r w:rsidR="008E0092" w:rsidRPr="00D10ED2">
        <w:rPr>
          <w:rFonts w:ascii="Arial" w:hAnsi="Arial" w:cs="Arial"/>
          <w:sz w:val="22"/>
          <w:szCs w:val="22"/>
        </w:rPr>
        <w:t xml:space="preserve"> is associated with severe (National Cancer Institute Common Terminology Criteria for Adverse Events grade 3 or 4) thrombocytopenia, neutropenia, and </w:t>
      </w:r>
      <w:proofErr w:type="spellStart"/>
      <w:r w:rsidR="008E0092" w:rsidRPr="00D10ED2">
        <w:rPr>
          <w:rFonts w:ascii="Arial" w:hAnsi="Arial" w:cs="Arial"/>
          <w:sz w:val="22"/>
          <w:szCs w:val="22"/>
        </w:rPr>
        <w:t>anaemia</w:t>
      </w:r>
      <w:proofErr w:type="spellEnd"/>
      <w:r w:rsidR="008E0092" w:rsidRPr="00D10ED2">
        <w:rPr>
          <w:rFonts w:ascii="Arial" w:hAnsi="Arial" w:cs="Arial"/>
          <w:sz w:val="22"/>
          <w:szCs w:val="22"/>
        </w:rPr>
        <w:t>.  The frequency of these events is greater in patients with accelerated phase CML (AP-CML) or blast phase CML (BP-CML)/</w:t>
      </w:r>
      <w:proofErr w:type="spellStart"/>
      <w:r w:rsidR="008E0092" w:rsidRPr="00D10ED2">
        <w:rPr>
          <w:rFonts w:ascii="Arial" w:hAnsi="Arial" w:cs="Arial"/>
          <w:sz w:val="22"/>
          <w:szCs w:val="22"/>
        </w:rPr>
        <w:t>Ph</w:t>
      </w:r>
      <w:proofErr w:type="spellEnd"/>
      <w:r w:rsidR="008E0092" w:rsidRPr="00D10ED2">
        <w:rPr>
          <w:rFonts w:ascii="Arial" w:hAnsi="Arial" w:cs="Arial"/>
          <w:sz w:val="22"/>
          <w:szCs w:val="22"/>
        </w:rPr>
        <w:t xml:space="preserve">+ ALL than in chronic phase CML (CP-CML).  A complete blood count should be performed every 2 weeks for the first 3 months and then monthly or as clinically indicated.  </w:t>
      </w:r>
      <w:proofErr w:type="spellStart"/>
      <w:r w:rsidR="008E0092" w:rsidRPr="00D10ED2">
        <w:rPr>
          <w:rFonts w:ascii="Arial" w:hAnsi="Arial" w:cs="Arial"/>
          <w:sz w:val="22"/>
          <w:szCs w:val="22"/>
        </w:rPr>
        <w:t>Myelosuppression</w:t>
      </w:r>
      <w:proofErr w:type="spellEnd"/>
      <w:r w:rsidR="008E0092" w:rsidRPr="00D10ED2">
        <w:rPr>
          <w:rFonts w:ascii="Arial" w:hAnsi="Arial" w:cs="Arial"/>
          <w:sz w:val="22"/>
          <w:szCs w:val="22"/>
        </w:rPr>
        <w:t xml:space="preserve"> was generally reversible and usually managed by withholding </w:t>
      </w:r>
      <w:r w:rsidRPr="00D10ED2">
        <w:rPr>
          <w:rFonts w:ascii="Arial" w:hAnsi="Arial" w:cs="Arial"/>
          <w:sz w:val="22"/>
          <w:szCs w:val="22"/>
        </w:rPr>
        <w:t>ICLUSIG</w:t>
      </w:r>
      <w:r w:rsidR="008E0092" w:rsidRPr="00D10ED2">
        <w:rPr>
          <w:rFonts w:ascii="Arial" w:hAnsi="Arial" w:cs="Arial"/>
          <w:sz w:val="22"/>
          <w:szCs w:val="22"/>
        </w:rPr>
        <w:t xml:space="preserve"> temporarily or reducing the dose </w:t>
      </w:r>
      <w:r w:rsidR="00F008B8" w:rsidRPr="00D10ED2">
        <w:rPr>
          <w:rFonts w:ascii="Arial" w:hAnsi="Arial" w:cs="Arial"/>
          <w:sz w:val="22"/>
          <w:szCs w:val="22"/>
        </w:rPr>
        <w:t>(</w:t>
      </w:r>
      <w:r w:rsidR="00E647B9">
        <w:rPr>
          <w:rFonts w:ascii="Arial" w:hAnsi="Arial" w:cs="Arial"/>
          <w:sz w:val="22"/>
          <w:szCs w:val="22"/>
        </w:rPr>
        <w:t>s</w:t>
      </w:r>
      <w:r w:rsidR="00E647B9" w:rsidRPr="00D10ED2">
        <w:rPr>
          <w:rFonts w:ascii="Arial" w:hAnsi="Arial" w:cs="Arial"/>
          <w:sz w:val="22"/>
          <w:szCs w:val="22"/>
        </w:rPr>
        <w:t xml:space="preserve">ee </w:t>
      </w:r>
      <w:r w:rsidR="00F008B8" w:rsidRPr="00F72BD1">
        <w:rPr>
          <w:rFonts w:ascii="Arial" w:hAnsi="Arial" w:cs="Arial"/>
          <w:b/>
          <w:sz w:val="22"/>
          <w:szCs w:val="22"/>
        </w:rPr>
        <w:t>Dosage and Administration</w:t>
      </w:r>
      <w:r w:rsidR="00F008B8" w:rsidRPr="00D10ED2">
        <w:rPr>
          <w:rFonts w:ascii="Arial" w:hAnsi="Arial" w:cs="Arial"/>
          <w:sz w:val="22"/>
          <w:szCs w:val="22"/>
        </w:rPr>
        <w:t>).</w:t>
      </w:r>
    </w:p>
    <w:p w14:paraId="0709C6EC" w14:textId="77777777" w:rsidR="004975D9" w:rsidRDefault="004975D9" w:rsidP="00F008B8">
      <w:pPr>
        <w:rPr>
          <w:rFonts w:ascii="Arial" w:hAnsi="Arial" w:cs="Arial"/>
          <w:sz w:val="22"/>
          <w:szCs w:val="22"/>
        </w:rPr>
      </w:pPr>
    </w:p>
    <w:p w14:paraId="6F20004C" w14:textId="77777777" w:rsidR="004975D9" w:rsidRPr="00745BC9" w:rsidRDefault="004975D9" w:rsidP="004975D9">
      <w:pPr>
        <w:rPr>
          <w:rFonts w:ascii="Arial" w:hAnsi="Arial" w:cs="Arial"/>
          <w:sz w:val="22"/>
          <w:szCs w:val="22"/>
          <w:u w:val="single"/>
        </w:rPr>
      </w:pPr>
      <w:r w:rsidRPr="00745BC9">
        <w:rPr>
          <w:rFonts w:ascii="Arial" w:hAnsi="Arial" w:cs="Arial"/>
          <w:sz w:val="22"/>
          <w:szCs w:val="22"/>
          <w:u w:val="single"/>
        </w:rPr>
        <w:t>Hepatotoxicity</w:t>
      </w:r>
    </w:p>
    <w:p w14:paraId="1D20FF10" w14:textId="3ED51F66" w:rsidR="004975D9" w:rsidRPr="00461AE2" w:rsidRDefault="001443CA" w:rsidP="00461AE2">
      <w:pPr>
        <w:pStyle w:val="Default"/>
        <w:rPr>
          <w:rFonts w:ascii="Cambria" w:eastAsiaTheme="minorEastAsia" w:hAnsi="Cambria" w:cs="Cambria"/>
          <w:lang w:val="en-US" w:eastAsia="en-US"/>
        </w:rPr>
      </w:pPr>
      <w:r>
        <w:rPr>
          <w:rFonts w:ascii="Arial" w:hAnsi="Arial" w:cs="Arial"/>
          <w:sz w:val="22"/>
          <w:szCs w:val="22"/>
        </w:rPr>
        <w:t xml:space="preserve">ICLUSIG may result in severe drug induced liver injury. </w:t>
      </w:r>
      <w:r w:rsidR="004975D9" w:rsidRPr="004975D9">
        <w:rPr>
          <w:rFonts w:ascii="Arial" w:hAnsi="Arial" w:cs="Arial"/>
          <w:sz w:val="22"/>
          <w:szCs w:val="22"/>
        </w:rPr>
        <w:t xml:space="preserve">ICLUSIG may result in elevation in alanine aminotransferase (ALT), aspartate aminotransferase (AST), bilirubin, and alkaline phosphatase. </w:t>
      </w:r>
      <w:r w:rsidR="009B1BF4" w:rsidRPr="009B1BF4">
        <w:rPr>
          <w:rFonts w:ascii="Arial" w:hAnsi="Arial" w:cs="Arial"/>
          <w:sz w:val="22"/>
          <w:szCs w:val="22"/>
        </w:rPr>
        <w:t>Isolated cases of fatal hepatic failure have occurred in I</w:t>
      </w:r>
      <w:r w:rsidR="00356A0D">
        <w:rPr>
          <w:rFonts w:ascii="Arial" w:hAnsi="Arial" w:cs="Arial"/>
          <w:sz w:val="22"/>
          <w:szCs w:val="22"/>
        </w:rPr>
        <w:t>CLUSIG</w:t>
      </w:r>
      <w:r w:rsidR="009B1BF4" w:rsidRPr="009B1BF4">
        <w:rPr>
          <w:rFonts w:ascii="Arial" w:hAnsi="Arial" w:cs="Arial"/>
          <w:sz w:val="22"/>
          <w:szCs w:val="22"/>
        </w:rPr>
        <w:t xml:space="preserve"> treated patients</w:t>
      </w:r>
      <w:r w:rsidR="004975D9" w:rsidRPr="004975D9">
        <w:rPr>
          <w:rFonts w:ascii="Arial" w:hAnsi="Arial" w:cs="Arial"/>
          <w:sz w:val="22"/>
          <w:szCs w:val="22"/>
        </w:rPr>
        <w:t xml:space="preserve">. </w:t>
      </w:r>
      <w:r w:rsidR="00461AE2" w:rsidRPr="00461AE2">
        <w:rPr>
          <w:rFonts w:ascii="Arial" w:hAnsi="Arial" w:cs="Arial"/>
          <w:iCs/>
          <w:sz w:val="22"/>
          <w:szCs w:val="22"/>
        </w:rPr>
        <w:t>Monitor liver function tests</w:t>
      </w:r>
      <w:r w:rsidR="00DC4634">
        <w:rPr>
          <w:rFonts w:ascii="Arial" w:hAnsi="Arial" w:cs="Arial"/>
          <w:iCs/>
          <w:sz w:val="22"/>
          <w:szCs w:val="22"/>
        </w:rPr>
        <w:t xml:space="preserve"> (LFTs)</w:t>
      </w:r>
      <w:r w:rsidR="00461AE2" w:rsidRPr="00461AE2">
        <w:rPr>
          <w:rFonts w:ascii="Arial" w:hAnsi="Arial" w:cs="Arial"/>
          <w:iCs/>
          <w:sz w:val="22"/>
          <w:szCs w:val="22"/>
        </w:rPr>
        <w:t xml:space="preserve"> at baseline, then at least mont</w:t>
      </w:r>
      <w:r w:rsidR="002C67FD">
        <w:rPr>
          <w:rFonts w:ascii="Arial" w:hAnsi="Arial" w:cs="Arial"/>
          <w:iCs/>
          <w:sz w:val="22"/>
          <w:szCs w:val="22"/>
        </w:rPr>
        <w:t xml:space="preserve">hly or as clinically indicated.  </w:t>
      </w:r>
      <w:r w:rsidR="00461AE2" w:rsidRPr="00461AE2">
        <w:rPr>
          <w:rFonts w:ascii="Arial" w:hAnsi="Arial" w:cs="Arial"/>
          <w:iCs/>
          <w:sz w:val="22"/>
          <w:szCs w:val="22"/>
        </w:rPr>
        <w:t xml:space="preserve">Interrupt, reduce or discontinue ICLUSIG as clinically indicated. </w:t>
      </w:r>
    </w:p>
    <w:p w14:paraId="3089447E" w14:textId="77777777" w:rsidR="008E0092" w:rsidRDefault="008E0092" w:rsidP="008E0092">
      <w:pPr>
        <w:rPr>
          <w:rFonts w:ascii="Arial" w:hAnsi="Arial" w:cs="Arial"/>
          <w:sz w:val="22"/>
          <w:szCs w:val="22"/>
        </w:rPr>
      </w:pPr>
    </w:p>
    <w:p w14:paraId="033F06E0" w14:textId="547FF067" w:rsidR="00D679EF" w:rsidRPr="00D10ED2" w:rsidRDefault="00D679EF" w:rsidP="00D679EF">
      <w:pPr>
        <w:pStyle w:val="List3"/>
        <w:tabs>
          <w:tab w:val="clear" w:pos="2016"/>
        </w:tabs>
        <w:spacing w:before="0" w:after="0"/>
        <w:ind w:left="0" w:firstLine="0"/>
        <w:rPr>
          <w:rFonts w:ascii="Arial" w:hAnsi="Arial" w:cs="Arial"/>
          <w:sz w:val="22"/>
          <w:szCs w:val="22"/>
          <w:u w:val="single"/>
        </w:rPr>
      </w:pPr>
      <w:r w:rsidRPr="00D10ED2">
        <w:rPr>
          <w:rFonts w:ascii="Arial" w:hAnsi="Arial" w:cs="Arial"/>
          <w:sz w:val="22"/>
          <w:szCs w:val="22"/>
          <w:u w:val="single"/>
        </w:rPr>
        <w:t>Pancreati</w:t>
      </w:r>
      <w:r w:rsidR="000832AD">
        <w:rPr>
          <w:rFonts w:ascii="Arial" w:hAnsi="Arial" w:cs="Arial"/>
          <w:sz w:val="22"/>
          <w:szCs w:val="22"/>
          <w:u w:val="single"/>
        </w:rPr>
        <w:t>tis and serum lipase</w:t>
      </w:r>
    </w:p>
    <w:p w14:paraId="7B04835E" w14:textId="4B367B48" w:rsidR="00D679EF" w:rsidRDefault="00D679EF" w:rsidP="008E0092">
      <w:pPr>
        <w:rPr>
          <w:rFonts w:ascii="Arial" w:hAnsi="Arial" w:cs="Arial"/>
          <w:sz w:val="22"/>
          <w:szCs w:val="22"/>
        </w:rPr>
      </w:pPr>
      <w:r w:rsidRPr="00D10ED2">
        <w:rPr>
          <w:rFonts w:ascii="Arial" w:hAnsi="Arial" w:cs="Arial"/>
          <w:sz w:val="22"/>
          <w:szCs w:val="22"/>
        </w:rPr>
        <w:t xml:space="preserve">ICLUSIG is associated with pancreatitis.  </w:t>
      </w:r>
      <w:r w:rsidR="009B1BF4" w:rsidRPr="009B1BF4">
        <w:rPr>
          <w:rFonts w:ascii="Arial" w:hAnsi="Arial" w:cs="Arial"/>
          <w:sz w:val="22"/>
          <w:szCs w:val="22"/>
        </w:rPr>
        <w:t>In clinical studies, pancreatitis was observed in 7</w:t>
      </w:r>
      <w:r w:rsidR="000832AD">
        <w:rPr>
          <w:rFonts w:ascii="Arial" w:hAnsi="Arial" w:cs="Arial"/>
          <w:sz w:val="22"/>
          <w:szCs w:val="22"/>
        </w:rPr>
        <w:t>.4</w:t>
      </w:r>
      <w:r w:rsidR="009B1BF4" w:rsidRPr="009B1BF4">
        <w:rPr>
          <w:rFonts w:ascii="Arial" w:hAnsi="Arial" w:cs="Arial"/>
          <w:sz w:val="22"/>
          <w:szCs w:val="22"/>
        </w:rPr>
        <w:t xml:space="preserve">% </w:t>
      </w:r>
      <w:r w:rsidR="000832AD">
        <w:rPr>
          <w:rFonts w:ascii="Arial" w:hAnsi="Arial" w:cs="Arial"/>
          <w:sz w:val="22"/>
          <w:szCs w:val="22"/>
        </w:rPr>
        <w:t xml:space="preserve">(7% </w:t>
      </w:r>
      <w:r w:rsidR="009B1BF4" w:rsidRPr="009B1BF4">
        <w:rPr>
          <w:rFonts w:ascii="Arial" w:hAnsi="Arial" w:cs="Arial"/>
          <w:sz w:val="22"/>
          <w:szCs w:val="22"/>
        </w:rPr>
        <w:t>of the CP-CML patients, 6% of the AP-CML patients and 3% of the BP-CML/</w:t>
      </w:r>
      <w:proofErr w:type="spellStart"/>
      <w:r w:rsidR="009B1BF4" w:rsidRPr="009B1BF4">
        <w:rPr>
          <w:rFonts w:ascii="Arial" w:hAnsi="Arial" w:cs="Arial"/>
          <w:sz w:val="22"/>
          <w:szCs w:val="22"/>
        </w:rPr>
        <w:t>Ph</w:t>
      </w:r>
      <w:proofErr w:type="spellEnd"/>
      <w:r w:rsidR="009B1BF4" w:rsidRPr="009B1BF4">
        <w:rPr>
          <w:rFonts w:ascii="Arial" w:hAnsi="Arial" w:cs="Arial"/>
          <w:sz w:val="22"/>
          <w:szCs w:val="22"/>
        </w:rPr>
        <w:t>+ ALL patients</w:t>
      </w:r>
      <w:r w:rsidR="000832AD">
        <w:rPr>
          <w:rFonts w:ascii="Arial" w:hAnsi="Arial" w:cs="Arial"/>
          <w:sz w:val="22"/>
          <w:szCs w:val="22"/>
        </w:rPr>
        <w:t>) with 5.8% of patients experiencing serious pancreatitis</w:t>
      </w:r>
      <w:r w:rsidR="009B1BF4" w:rsidRPr="009B1BF4">
        <w:rPr>
          <w:rFonts w:ascii="Arial" w:hAnsi="Arial" w:cs="Arial"/>
          <w:sz w:val="22"/>
          <w:szCs w:val="22"/>
        </w:rPr>
        <w:t xml:space="preserve">. Pancreatitis developed in the majority of the patients within the </w:t>
      </w:r>
      <w:r w:rsidR="009B1BF4">
        <w:rPr>
          <w:rFonts w:ascii="Arial" w:hAnsi="Arial" w:cs="Arial"/>
          <w:sz w:val="22"/>
          <w:szCs w:val="22"/>
        </w:rPr>
        <w:t xml:space="preserve">first 2 months of </w:t>
      </w:r>
      <w:proofErr w:type="spellStart"/>
      <w:r w:rsidR="009B1BF4">
        <w:rPr>
          <w:rFonts w:ascii="Arial" w:hAnsi="Arial" w:cs="Arial"/>
          <w:sz w:val="22"/>
          <w:szCs w:val="22"/>
        </w:rPr>
        <w:t>ponatinib</w:t>
      </w:r>
      <w:proofErr w:type="spellEnd"/>
      <w:r w:rsidR="009B1BF4">
        <w:rPr>
          <w:rFonts w:ascii="Arial" w:hAnsi="Arial" w:cs="Arial"/>
          <w:sz w:val="22"/>
          <w:szCs w:val="22"/>
        </w:rPr>
        <w:t xml:space="preserve"> use</w:t>
      </w:r>
      <w:r w:rsidR="0062642D">
        <w:rPr>
          <w:rFonts w:ascii="Arial" w:hAnsi="Arial" w:cs="Arial"/>
          <w:sz w:val="22"/>
          <w:szCs w:val="22"/>
        </w:rPr>
        <w:t>.</w:t>
      </w:r>
      <w:r w:rsidRPr="00D10ED2">
        <w:rPr>
          <w:rFonts w:ascii="Arial" w:hAnsi="Arial" w:cs="Arial"/>
          <w:sz w:val="22"/>
          <w:szCs w:val="22"/>
        </w:rPr>
        <w:t xml:space="preserve">  Check serum lipase every 2 weeks for the first 2 months and then </w:t>
      </w:r>
      <w:r w:rsidR="000832AD">
        <w:rPr>
          <w:rFonts w:ascii="Arial" w:hAnsi="Arial" w:cs="Arial"/>
          <w:sz w:val="22"/>
          <w:szCs w:val="22"/>
        </w:rPr>
        <w:t xml:space="preserve">regularly </w:t>
      </w:r>
      <w:r w:rsidRPr="00D10ED2">
        <w:rPr>
          <w:rFonts w:ascii="Arial" w:hAnsi="Arial" w:cs="Arial"/>
          <w:sz w:val="22"/>
          <w:szCs w:val="22"/>
        </w:rPr>
        <w:t xml:space="preserve">thereafter.  Dose interruption or reduction may be required.  If lipase elevations are accompanied by abdominal symptoms, ICLUSIG should be withheld and patients evaluated for evidence of pancreatitis (see </w:t>
      </w:r>
      <w:r w:rsidRPr="001F1286">
        <w:rPr>
          <w:rFonts w:ascii="Arial" w:hAnsi="Arial" w:cs="Arial"/>
          <w:b/>
          <w:sz w:val="22"/>
          <w:szCs w:val="22"/>
        </w:rPr>
        <w:t>Dosage and Administration</w:t>
      </w:r>
      <w:r w:rsidRPr="00D10ED2">
        <w:rPr>
          <w:rFonts w:ascii="Arial" w:hAnsi="Arial" w:cs="Arial"/>
          <w:sz w:val="22"/>
          <w:szCs w:val="22"/>
        </w:rPr>
        <w:t>).  Caution is recommended in patients with a history of pancreatitis or alcohol abuse.  Patients with severe or very severe hypertriglyceridemia should be appropriately managed to reduce the risk of pancreatitis.</w:t>
      </w:r>
    </w:p>
    <w:p w14:paraId="530FC2D5" w14:textId="77777777" w:rsidR="00D679EF" w:rsidRDefault="00D679EF" w:rsidP="00D679EF">
      <w:pPr>
        <w:keepNext/>
        <w:rPr>
          <w:rFonts w:ascii="Arial" w:hAnsi="Arial" w:cs="Arial"/>
          <w:i/>
          <w:sz w:val="22"/>
          <w:szCs w:val="22"/>
        </w:rPr>
      </w:pPr>
    </w:p>
    <w:p w14:paraId="0CB7C474" w14:textId="77777777" w:rsidR="00D679EF" w:rsidRPr="00745BC9" w:rsidRDefault="00D679EF" w:rsidP="00D679EF">
      <w:pPr>
        <w:keepNext/>
        <w:rPr>
          <w:rFonts w:ascii="Arial" w:hAnsi="Arial" w:cs="Arial"/>
          <w:sz w:val="22"/>
          <w:szCs w:val="22"/>
          <w:u w:val="single"/>
        </w:rPr>
      </w:pPr>
      <w:r w:rsidRPr="00745BC9">
        <w:rPr>
          <w:rFonts w:ascii="Arial" w:hAnsi="Arial" w:cs="Arial"/>
          <w:sz w:val="22"/>
          <w:szCs w:val="22"/>
          <w:u w:val="single"/>
        </w:rPr>
        <w:t>QT prolongation</w:t>
      </w:r>
    </w:p>
    <w:p w14:paraId="7AEDDAC1" w14:textId="66FA8B9A" w:rsidR="00A34B1F" w:rsidRPr="00D10ED2" w:rsidRDefault="00D679EF" w:rsidP="00745BC9">
      <w:pPr>
        <w:keepNext/>
        <w:rPr>
          <w:rFonts w:ascii="Arial" w:hAnsi="Arial" w:cs="Arial"/>
          <w:sz w:val="22"/>
          <w:szCs w:val="22"/>
        </w:rPr>
      </w:pPr>
      <w:r w:rsidRPr="00D10ED2">
        <w:rPr>
          <w:rFonts w:ascii="Arial" w:hAnsi="Arial" w:cs="Arial"/>
          <w:sz w:val="22"/>
          <w:szCs w:val="22"/>
        </w:rPr>
        <w:t xml:space="preserve">The QT interval prolongation potential of ICLUSIG was assessed in 39 </w:t>
      </w:r>
      <w:proofErr w:type="spellStart"/>
      <w:r w:rsidRPr="00D10ED2">
        <w:rPr>
          <w:rFonts w:ascii="Arial" w:hAnsi="Arial" w:cs="Arial"/>
          <w:sz w:val="22"/>
          <w:szCs w:val="22"/>
        </w:rPr>
        <w:t>leukaemia</w:t>
      </w:r>
      <w:proofErr w:type="spellEnd"/>
      <w:r w:rsidRPr="00D10ED2">
        <w:rPr>
          <w:rFonts w:ascii="Arial" w:hAnsi="Arial" w:cs="Arial"/>
          <w:sz w:val="22"/>
          <w:szCs w:val="22"/>
        </w:rPr>
        <w:t xml:space="preserve"> patients and no clinically significant QT prolongation was observed (see </w:t>
      </w:r>
      <w:proofErr w:type="spellStart"/>
      <w:r w:rsidR="000A2B34" w:rsidRPr="000A2B34">
        <w:rPr>
          <w:rFonts w:ascii="Arial" w:hAnsi="Arial" w:cs="Arial"/>
          <w:sz w:val="22"/>
          <w:szCs w:val="22"/>
        </w:rPr>
        <w:t>Pharmacodynamic</w:t>
      </w:r>
      <w:proofErr w:type="spellEnd"/>
      <w:r w:rsidR="000A2B34" w:rsidRPr="000A2B34">
        <w:rPr>
          <w:rFonts w:ascii="Arial" w:hAnsi="Arial" w:cs="Arial"/>
          <w:sz w:val="22"/>
          <w:szCs w:val="22"/>
        </w:rPr>
        <w:t xml:space="preserve"> properties</w:t>
      </w:r>
      <w:r w:rsidRPr="00D10ED2">
        <w:rPr>
          <w:rFonts w:ascii="Arial" w:hAnsi="Arial" w:cs="Arial"/>
          <w:sz w:val="22"/>
          <w:szCs w:val="22"/>
        </w:rPr>
        <w:t xml:space="preserve">).  However, </w:t>
      </w:r>
      <w:r w:rsidR="000A2B34" w:rsidRPr="000A2B34">
        <w:rPr>
          <w:rFonts w:ascii="Arial" w:hAnsi="Arial" w:cs="Arial"/>
          <w:sz w:val="22"/>
          <w:szCs w:val="22"/>
        </w:rPr>
        <w:t xml:space="preserve">due to design limitations of this study </w:t>
      </w:r>
      <w:r w:rsidRPr="00D10ED2">
        <w:rPr>
          <w:rFonts w:ascii="Arial" w:hAnsi="Arial" w:cs="Arial"/>
          <w:sz w:val="22"/>
          <w:szCs w:val="22"/>
        </w:rPr>
        <w:t xml:space="preserve">a clinically significant effect on QT cannot be excluded. </w:t>
      </w:r>
      <w:r w:rsidR="000A2B34" w:rsidRPr="000A2B34">
        <w:rPr>
          <w:rFonts w:ascii="Arial" w:hAnsi="Arial" w:cs="Arial"/>
          <w:sz w:val="22"/>
          <w:szCs w:val="22"/>
        </w:rPr>
        <w:t>The pivotal clinical study excluded subjects with a prolonged QT interva</w:t>
      </w:r>
      <w:r w:rsidR="000A2B34">
        <w:rPr>
          <w:rFonts w:ascii="Arial" w:hAnsi="Arial" w:cs="Arial"/>
          <w:sz w:val="22"/>
          <w:szCs w:val="22"/>
        </w:rPr>
        <w:t xml:space="preserve">l at </w:t>
      </w:r>
      <w:r w:rsidR="000A2B34" w:rsidRPr="000A2B34">
        <w:rPr>
          <w:rFonts w:ascii="Arial" w:hAnsi="Arial" w:cs="Arial"/>
          <w:sz w:val="22"/>
          <w:szCs w:val="22"/>
        </w:rPr>
        <w:t>baseline, and those receiving medicines known to be associat</w:t>
      </w:r>
      <w:r w:rsidR="000A2B34">
        <w:rPr>
          <w:rFonts w:ascii="Arial" w:hAnsi="Arial" w:cs="Arial"/>
          <w:sz w:val="22"/>
          <w:szCs w:val="22"/>
        </w:rPr>
        <w:t xml:space="preserve">ed with </w:t>
      </w:r>
      <w:proofErr w:type="spellStart"/>
      <w:r w:rsidR="000A2B34">
        <w:rPr>
          <w:rFonts w:ascii="Arial" w:hAnsi="Arial" w:cs="Arial"/>
          <w:sz w:val="22"/>
          <w:szCs w:val="22"/>
        </w:rPr>
        <w:t>torsades</w:t>
      </w:r>
      <w:proofErr w:type="spellEnd"/>
      <w:r w:rsidR="000A2B34">
        <w:rPr>
          <w:rFonts w:ascii="Arial" w:hAnsi="Arial" w:cs="Arial"/>
          <w:sz w:val="22"/>
          <w:szCs w:val="22"/>
        </w:rPr>
        <w:t xml:space="preserve"> de pointes. QT </w:t>
      </w:r>
      <w:r w:rsidR="000A2B34" w:rsidRPr="000A2B34">
        <w:rPr>
          <w:rFonts w:ascii="Arial" w:hAnsi="Arial" w:cs="Arial"/>
          <w:sz w:val="22"/>
          <w:szCs w:val="22"/>
        </w:rPr>
        <w:t>prolongation has been observed with some other BCR-ABL inhibitors.</w:t>
      </w:r>
      <w:r w:rsidRPr="00D10ED2">
        <w:rPr>
          <w:rFonts w:ascii="Arial" w:hAnsi="Arial" w:cs="Arial"/>
          <w:sz w:val="22"/>
          <w:szCs w:val="22"/>
        </w:rPr>
        <w:t xml:space="preserve"> </w:t>
      </w:r>
    </w:p>
    <w:p w14:paraId="0BA6E854" w14:textId="77777777" w:rsidR="00D679EF" w:rsidRPr="00D10ED2" w:rsidRDefault="00D679EF" w:rsidP="00D679EF">
      <w:pPr>
        <w:rPr>
          <w:rFonts w:ascii="Arial" w:hAnsi="Arial" w:cs="Arial"/>
          <w:sz w:val="22"/>
          <w:szCs w:val="22"/>
          <w:u w:val="single"/>
        </w:rPr>
      </w:pPr>
    </w:p>
    <w:p w14:paraId="1D2B9CC9" w14:textId="77777777" w:rsidR="00D679EF" w:rsidRPr="00D10ED2" w:rsidRDefault="00D679EF" w:rsidP="00D679EF">
      <w:pPr>
        <w:rPr>
          <w:rFonts w:ascii="Arial" w:hAnsi="Arial" w:cs="Arial"/>
          <w:i/>
          <w:sz w:val="22"/>
          <w:szCs w:val="22"/>
        </w:rPr>
      </w:pPr>
      <w:r w:rsidRPr="00745BC9">
        <w:rPr>
          <w:rFonts w:ascii="Arial" w:hAnsi="Arial" w:cs="Arial"/>
          <w:sz w:val="22"/>
          <w:szCs w:val="22"/>
          <w:u w:val="single"/>
        </w:rPr>
        <w:t>Lactose</w:t>
      </w:r>
    </w:p>
    <w:p w14:paraId="6FFBD125" w14:textId="134AC01E" w:rsidR="001056C6" w:rsidRPr="00F16421" w:rsidRDefault="00D679EF" w:rsidP="001056C6">
      <w:pPr>
        <w:rPr>
          <w:rFonts w:ascii="Arial" w:hAnsi="Arial" w:cs="Arial"/>
          <w:sz w:val="22"/>
          <w:szCs w:val="22"/>
        </w:rPr>
      </w:pPr>
      <w:r w:rsidRPr="00D10ED2">
        <w:rPr>
          <w:rFonts w:ascii="Arial" w:hAnsi="Arial" w:cs="Arial"/>
          <w:sz w:val="22"/>
          <w:szCs w:val="22"/>
        </w:rPr>
        <w:t xml:space="preserve">ICLUSIG contains lactose.  Inform patients who have or may have </w:t>
      </w:r>
      <w:proofErr w:type="gramStart"/>
      <w:r w:rsidRPr="00D10ED2">
        <w:rPr>
          <w:rFonts w:ascii="Arial" w:hAnsi="Arial" w:cs="Arial"/>
          <w:sz w:val="22"/>
          <w:szCs w:val="22"/>
        </w:rPr>
        <w:t>an intolerance</w:t>
      </w:r>
      <w:proofErr w:type="gramEnd"/>
      <w:r w:rsidRPr="00D10ED2">
        <w:rPr>
          <w:rFonts w:ascii="Arial" w:hAnsi="Arial" w:cs="Arial"/>
          <w:sz w:val="22"/>
          <w:szCs w:val="22"/>
        </w:rPr>
        <w:t xml:space="preserve"> to lactose.</w:t>
      </w:r>
    </w:p>
    <w:p w14:paraId="0DE45CA0" w14:textId="7A6A4ECF" w:rsidR="008E0092" w:rsidRPr="00D10ED2" w:rsidRDefault="008E0092" w:rsidP="00745BC9">
      <w:pPr>
        <w:pStyle w:val="List3"/>
        <w:tabs>
          <w:tab w:val="clear" w:pos="2016"/>
        </w:tabs>
        <w:spacing w:before="0" w:after="0"/>
        <w:ind w:left="0" w:firstLine="0"/>
      </w:pPr>
    </w:p>
    <w:p w14:paraId="69AA79C3" w14:textId="77777777" w:rsidR="008E0092" w:rsidRPr="00D10ED2" w:rsidRDefault="008E0092" w:rsidP="00DE5AE7">
      <w:pPr>
        <w:keepNext/>
        <w:keepLines/>
        <w:rPr>
          <w:rFonts w:ascii="Arial" w:hAnsi="Arial" w:cs="Arial"/>
          <w:sz w:val="22"/>
          <w:szCs w:val="22"/>
          <w:u w:val="single"/>
        </w:rPr>
      </w:pPr>
      <w:r w:rsidRPr="00D10ED2">
        <w:rPr>
          <w:rFonts w:ascii="Arial" w:hAnsi="Arial" w:cs="Arial"/>
          <w:sz w:val="22"/>
          <w:szCs w:val="22"/>
          <w:u w:val="single"/>
        </w:rPr>
        <w:lastRenderedPageBreak/>
        <w:t>Special populations</w:t>
      </w:r>
    </w:p>
    <w:p w14:paraId="4C0E22F4" w14:textId="77777777" w:rsidR="008E0092" w:rsidRPr="00D10ED2" w:rsidRDefault="008E0092" w:rsidP="00DE5AE7">
      <w:pPr>
        <w:pStyle w:val="List3"/>
        <w:keepNext/>
        <w:keepLines/>
        <w:tabs>
          <w:tab w:val="clear" w:pos="2016"/>
        </w:tabs>
        <w:spacing w:before="0" w:after="0"/>
        <w:ind w:left="0" w:firstLine="0"/>
        <w:rPr>
          <w:rFonts w:ascii="Arial" w:hAnsi="Arial" w:cs="Arial"/>
          <w:i/>
          <w:sz w:val="22"/>
          <w:szCs w:val="22"/>
        </w:rPr>
      </w:pPr>
    </w:p>
    <w:p w14:paraId="555FC0CF" w14:textId="77777777" w:rsidR="008E0092" w:rsidRPr="00D10ED2" w:rsidRDefault="008E0092" w:rsidP="00DE5AE7">
      <w:pPr>
        <w:pStyle w:val="List3"/>
        <w:keepNext/>
        <w:keepLines/>
        <w:tabs>
          <w:tab w:val="clear" w:pos="2016"/>
        </w:tabs>
        <w:spacing w:before="0" w:after="0"/>
        <w:ind w:left="0" w:firstLine="0"/>
        <w:rPr>
          <w:rFonts w:ascii="Arial" w:hAnsi="Arial" w:cs="Arial"/>
          <w:i/>
          <w:sz w:val="22"/>
          <w:szCs w:val="22"/>
        </w:rPr>
      </w:pPr>
      <w:r w:rsidRPr="00D10ED2">
        <w:rPr>
          <w:rFonts w:ascii="Arial" w:hAnsi="Arial" w:cs="Arial"/>
          <w:i/>
          <w:sz w:val="22"/>
          <w:szCs w:val="22"/>
        </w:rPr>
        <w:t>Hepatic impairment</w:t>
      </w:r>
    </w:p>
    <w:p w14:paraId="55749AB1" w14:textId="3F6B9F5D" w:rsidR="00F008B8" w:rsidRPr="00D10ED2" w:rsidRDefault="00D8406A" w:rsidP="00DE5AE7">
      <w:pPr>
        <w:keepNext/>
        <w:keepLines/>
        <w:rPr>
          <w:rFonts w:ascii="Arial" w:hAnsi="Arial" w:cs="Arial"/>
          <w:sz w:val="22"/>
          <w:szCs w:val="22"/>
        </w:rPr>
      </w:pPr>
      <w:r w:rsidRPr="00383C66">
        <w:rPr>
          <w:rFonts w:ascii="Arial" w:hAnsi="Arial" w:cs="Arial"/>
          <w:sz w:val="22"/>
          <w:szCs w:val="22"/>
        </w:rPr>
        <w:t>Hepatic elimination is a major route of excretion for ICLUSIG. Single</w:t>
      </w:r>
      <w:r>
        <w:rPr>
          <w:rFonts w:ascii="Arial" w:hAnsi="Arial" w:cs="Arial"/>
          <w:sz w:val="22"/>
          <w:szCs w:val="22"/>
        </w:rPr>
        <w:t xml:space="preserve"> </w:t>
      </w:r>
      <w:r w:rsidRPr="00383C66">
        <w:rPr>
          <w:rFonts w:ascii="Arial" w:hAnsi="Arial" w:cs="Arial"/>
          <w:sz w:val="22"/>
          <w:szCs w:val="22"/>
        </w:rPr>
        <w:t xml:space="preserve">doses of </w:t>
      </w:r>
      <w:proofErr w:type="spellStart"/>
      <w:r w:rsidRPr="00383C66">
        <w:rPr>
          <w:rFonts w:ascii="Arial" w:hAnsi="Arial" w:cs="Arial"/>
          <w:sz w:val="22"/>
          <w:szCs w:val="22"/>
        </w:rPr>
        <w:t>ponatinib</w:t>
      </w:r>
      <w:proofErr w:type="spellEnd"/>
      <w:r w:rsidRPr="00383C66">
        <w:rPr>
          <w:rFonts w:ascii="Arial" w:hAnsi="Arial" w:cs="Arial"/>
          <w:sz w:val="22"/>
          <w:szCs w:val="22"/>
        </w:rPr>
        <w:t xml:space="preserve"> 30 mg were administered to patients with mild, moderate and severe hepatic</w:t>
      </w:r>
      <w:r>
        <w:rPr>
          <w:rFonts w:ascii="Arial" w:hAnsi="Arial" w:cs="Arial"/>
          <w:sz w:val="22"/>
          <w:szCs w:val="22"/>
        </w:rPr>
        <w:t xml:space="preserve"> </w:t>
      </w:r>
      <w:r w:rsidRPr="00383C66">
        <w:rPr>
          <w:rFonts w:ascii="Arial" w:hAnsi="Arial" w:cs="Arial"/>
          <w:sz w:val="22"/>
          <w:szCs w:val="22"/>
        </w:rPr>
        <w:t>impairment (Child-Pugh Classes A, B, &amp; C) and to control healthy subjects. Overall no major</w:t>
      </w:r>
      <w:r>
        <w:rPr>
          <w:rFonts w:ascii="Arial" w:hAnsi="Arial" w:cs="Arial"/>
          <w:sz w:val="22"/>
          <w:szCs w:val="22"/>
        </w:rPr>
        <w:t xml:space="preserve"> </w:t>
      </w:r>
      <w:r w:rsidRPr="00383C66">
        <w:rPr>
          <w:rFonts w:ascii="Arial" w:hAnsi="Arial" w:cs="Arial"/>
          <w:sz w:val="22"/>
          <w:szCs w:val="22"/>
        </w:rPr>
        <w:t xml:space="preserve">differences in </w:t>
      </w:r>
      <w:proofErr w:type="spellStart"/>
      <w:r w:rsidRPr="00383C66">
        <w:rPr>
          <w:rFonts w:ascii="Arial" w:hAnsi="Arial" w:cs="Arial"/>
          <w:sz w:val="22"/>
          <w:szCs w:val="22"/>
        </w:rPr>
        <w:t>ponatinib</w:t>
      </w:r>
      <w:proofErr w:type="spellEnd"/>
      <w:r w:rsidRPr="00383C66">
        <w:rPr>
          <w:rFonts w:ascii="Arial" w:hAnsi="Arial" w:cs="Arial"/>
          <w:sz w:val="22"/>
          <w:szCs w:val="22"/>
        </w:rPr>
        <w:t xml:space="preserve"> PK were observed in patients with varying degrees of hepatic</w:t>
      </w:r>
      <w:r>
        <w:rPr>
          <w:rFonts w:ascii="Arial" w:hAnsi="Arial" w:cs="Arial"/>
          <w:sz w:val="22"/>
          <w:szCs w:val="22"/>
        </w:rPr>
        <w:t xml:space="preserve"> </w:t>
      </w:r>
      <w:r w:rsidRPr="00383C66">
        <w:rPr>
          <w:rFonts w:ascii="Arial" w:hAnsi="Arial" w:cs="Arial"/>
          <w:sz w:val="22"/>
          <w:szCs w:val="22"/>
        </w:rPr>
        <w:t>impairment as compared to healthy subjects. Based on these single</w:t>
      </w:r>
      <w:r>
        <w:rPr>
          <w:rFonts w:ascii="Arial" w:hAnsi="Arial" w:cs="Arial"/>
          <w:sz w:val="22"/>
          <w:szCs w:val="22"/>
        </w:rPr>
        <w:t xml:space="preserve"> </w:t>
      </w:r>
      <w:r w:rsidRPr="00383C66">
        <w:rPr>
          <w:rFonts w:ascii="Arial" w:hAnsi="Arial" w:cs="Arial"/>
          <w:sz w:val="22"/>
          <w:szCs w:val="22"/>
        </w:rPr>
        <w:t>dose</w:t>
      </w:r>
      <w:r>
        <w:rPr>
          <w:rFonts w:ascii="Arial" w:hAnsi="Arial" w:cs="Arial"/>
          <w:sz w:val="22"/>
          <w:szCs w:val="22"/>
        </w:rPr>
        <w:t xml:space="preserve"> </w:t>
      </w:r>
      <w:r w:rsidRPr="00383C66">
        <w:rPr>
          <w:rFonts w:ascii="Arial" w:hAnsi="Arial" w:cs="Arial"/>
          <w:sz w:val="22"/>
          <w:szCs w:val="22"/>
        </w:rPr>
        <w:t>pharmacokinetics data, a</w:t>
      </w:r>
      <w:r>
        <w:rPr>
          <w:rFonts w:ascii="Arial" w:hAnsi="Arial" w:cs="Arial"/>
          <w:sz w:val="22"/>
          <w:szCs w:val="22"/>
        </w:rPr>
        <w:t xml:space="preserve"> </w:t>
      </w:r>
      <w:r w:rsidRPr="00383C66">
        <w:rPr>
          <w:rFonts w:ascii="Arial" w:hAnsi="Arial" w:cs="Arial"/>
          <w:sz w:val="22"/>
          <w:szCs w:val="22"/>
        </w:rPr>
        <w:t xml:space="preserve">reduction of the starting dose of </w:t>
      </w:r>
      <w:proofErr w:type="spellStart"/>
      <w:r w:rsidRPr="00383C66">
        <w:rPr>
          <w:rFonts w:ascii="Arial" w:hAnsi="Arial" w:cs="Arial"/>
          <w:sz w:val="22"/>
          <w:szCs w:val="22"/>
        </w:rPr>
        <w:t>ponatinib</w:t>
      </w:r>
      <w:proofErr w:type="spellEnd"/>
      <w:r w:rsidRPr="00383C66">
        <w:rPr>
          <w:rFonts w:ascii="Arial" w:hAnsi="Arial" w:cs="Arial"/>
          <w:sz w:val="22"/>
          <w:szCs w:val="22"/>
        </w:rPr>
        <w:t xml:space="preserve"> in patients with hepatic impairment is not necessary.</w:t>
      </w:r>
      <w:r>
        <w:rPr>
          <w:rFonts w:ascii="Arial" w:hAnsi="Arial" w:cs="Arial"/>
          <w:sz w:val="22"/>
          <w:szCs w:val="22"/>
        </w:rPr>
        <w:t xml:space="preserve"> </w:t>
      </w:r>
      <w:r w:rsidR="008E0092" w:rsidRPr="00D10ED2">
        <w:rPr>
          <w:rFonts w:ascii="Arial" w:hAnsi="Arial" w:cs="Arial"/>
          <w:sz w:val="22"/>
          <w:szCs w:val="22"/>
        </w:rPr>
        <w:t xml:space="preserve">Caution is recommended when administering </w:t>
      </w:r>
      <w:r w:rsidR="0011623F" w:rsidRPr="00D10ED2">
        <w:rPr>
          <w:rFonts w:ascii="Arial" w:hAnsi="Arial" w:cs="Arial"/>
          <w:sz w:val="22"/>
          <w:szCs w:val="22"/>
        </w:rPr>
        <w:t>ICLUSIG</w:t>
      </w:r>
      <w:r w:rsidR="008E0092" w:rsidRPr="00D10ED2">
        <w:rPr>
          <w:rFonts w:ascii="Arial" w:hAnsi="Arial" w:cs="Arial"/>
          <w:sz w:val="22"/>
          <w:szCs w:val="22"/>
        </w:rPr>
        <w:t xml:space="preserve"> to patients with </w:t>
      </w:r>
      <w:r w:rsidR="003E5E5A" w:rsidRPr="00D10ED2">
        <w:rPr>
          <w:rFonts w:ascii="Arial" w:hAnsi="Arial" w:cs="Arial"/>
          <w:sz w:val="22"/>
          <w:szCs w:val="22"/>
        </w:rPr>
        <w:t>moderate to severe</w:t>
      </w:r>
      <w:r w:rsidR="008E0092" w:rsidRPr="00D10ED2">
        <w:rPr>
          <w:rFonts w:ascii="Arial" w:hAnsi="Arial" w:cs="Arial"/>
          <w:sz w:val="22"/>
          <w:szCs w:val="22"/>
        </w:rPr>
        <w:t xml:space="preserve"> hepatic impairment </w:t>
      </w:r>
      <w:r w:rsidR="00F008B8" w:rsidRPr="00D10ED2">
        <w:rPr>
          <w:rFonts w:ascii="Arial" w:hAnsi="Arial" w:cs="Arial"/>
          <w:sz w:val="22"/>
          <w:szCs w:val="22"/>
        </w:rPr>
        <w:t xml:space="preserve">(See </w:t>
      </w:r>
      <w:r w:rsidR="00F008B8" w:rsidRPr="001F1286">
        <w:rPr>
          <w:rFonts w:ascii="Arial" w:hAnsi="Arial" w:cs="Arial"/>
          <w:b/>
          <w:sz w:val="22"/>
          <w:szCs w:val="22"/>
        </w:rPr>
        <w:t>Dosage and Administration</w:t>
      </w:r>
      <w:r w:rsidR="00F008B8" w:rsidRPr="00D10ED2">
        <w:rPr>
          <w:rFonts w:ascii="Arial" w:hAnsi="Arial" w:cs="Arial"/>
          <w:sz w:val="22"/>
          <w:szCs w:val="22"/>
        </w:rPr>
        <w:t>).</w:t>
      </w:r>
    </w:p>
    <w:p w14:paraId="755F5BCD" w14:textId="77777777" w:rsidR="008E0092" w:rsidRPr="00D10ED2" w:rsidRDefault="008E0092" w:rsidP="008E0092">
      <w:pPr>
        <w:rPr>
          <w:rFonts w:ascii="Arial" w:hAnsi="Arial" w:cs="Arial"/>
          <w:sz w:val="22"/>
          <w:szCs w:val="22"/>
        </w:rPr>
      </w:pPr>
    </w:p>
    <w:p w14:paraId="6651D011" w14:textId="77777777" w:rsidR="008E0092" w:rsidRPr="00D10ED2" w:rsidRDefault="008E0092" w:rsidP="00745BC9">
      <w:pPr>
        <w:pStyle w:val="List3"/>
        <w:keepNext/>
        <w:keepLines/>
        <w:tabs>
          <w:tab w:val="clear" w:pos="2016"/>
        </w:tabs>
        <w:spacing w:before="0" w:after="0"/>
        <w:ind w:left="0" w:firstLine="0"/>
        <w:rPr>
          <w:rFonts w:ascii="Arial" w:hAnsi="Arial" w:cs="Arial"/>
          <w:i/>
          <w:sz w:val="22"/>
          <w:szCs w:val="22"/>
        </w:rPr>
      </w:pPr>
      <w:r w:rsidRPr="00D10ED2">
        <w:rPr>
          <w:rFonts w:ascii="Arial" w:hAnsi="Arial" w:cs="Arial"/>
          <w:i/>
          <w:sz w:val="22"/>
          <w:szCs w:val="22"/>
        </w:rPr>
        <w:t>Renal impairment</w:t>
      </w:r>
    </w:p>
    <w:p w14:paraId="6BA7FB1C" w14:textId="1ECD929F" w:rsidR="00F008B8" w:rsidRPr="00D10ED2" w:rsidRDefault="0073616C" w:rsidP="00745BC9">
      <w:pPr>
        <w:keepNext/>
        <w:keepLines/>
        <w:rPr>
          <w:rFonts w:ascii="Arial" w:hAnsi="Arial" w:cs="Arial"/>
          <w:sz w:val="22"/>
          <w:szCs w:val="22"/>
        </w:rPr>
      </w:pPr>
      <w:r w:rsidRPr="00D10ED2">
        <w:rPr>
          <w:rFonts w:ascii="Arial" w:hAnsi="Arial" w:cs="Arial"/>
          <w:sz w:val="22"/>
          <w:szCs w:val="22"/>
        </w:rPr>
        <w:t xml:space="preserve">ICLUSIG has not been studied in patients with renal impairment.  </w:t>
      </w:r>
      <w:r w:rsidR="00D8406A">
        <w:rPr>
          <w:rFonts w:ascii="Arial" w:hAnsi="Arial" w:cs="Arial"/>
          <w:sz w:val="22"/>
          <w:szCs w:val="22"/>
        </w:rPr>
        <w:t>R</w:t>
      </w:r>
      <w:r w:rsidRPr="00D10ED2">
        <w:rPr>
          <w:rFonts w:ascii="Arial" w:hAnsi="Arial" w:cs="Arial"/>
          <w:sz w:val="22"/>
          <w:szCs w:val="22"/>
        </w:rPr>
        <w:t xml:space="preserve">enal excretion is not a major route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elimination, the potential for moderate or severe renal impairment to affect renal elimination has not been determined. </w:t>
      </w:r>
    </w:p>
    <w:p w14:paraId="21AAF1BB" w14:textId="77777777" w:rsidR="00F427CC" w:rsidRDefault="00F427CC" w:rsidP="004F36D6">
      <w:pPr>
        <w:rPr>
          <w:rFonts w:ascii="Arial" w:hAnsi="Arial" w:cs="Arial"/>
          <w:i/>
          <w:sz w:val="22"/>
          <w:szCs w:val="22"/>
        </w:rPr>
      </w:pPr>
    </w:p>
    <w:p w14:paraId="4FC6B7B4" w14:textId="77777777" w:rsidR="004F36D6" w:rsidRPr="00D10ED2" w:rsidRDefault="004F36D6" w:rsidP="004F36D6">
      <w:pPr>
        <w:rPr>
          <w:rFonts w:ascii="Arial" w:hAnsi="Arial" w:cs="Arial"/>
          <w:i/>
          <w:sz w:val="22"/>
          <w:szCs w:val="22"/>
        </w:rPr>
      </w:pPr>
      <w:r w:rsidRPr="00D10ED2">
        <w:rPr>
          <w:rFonts w:ascii="Arial" w:hAnsi="Arial" w:cs="Arial"/>
          <w:i/>
          <w:sz w:val="22"/>
          <w:szCs w:val="22"/>
        </w:rPr>
        <w:t>Effects on Fertility</w:t>
      </w:r>
    </w:p>
    <w:p w14:paraId="1582562D" w14:textId="0D281333" w:rsidR="004F36D6" w:rsidRPr="00D10ED2" w:rsidRDefault="004F36D6" w:rsidP="004F36D6">
      <w:pPr>
        <w:rPr>
          <w:rFonts w:ascii="Arial" w:hAnsi="Arial" w:cs="Arial"/>
          <w:sz w:val="22"/>
          <w:szCs w:val="22"/>
        </w:rPr>
      </w:pPr>
      <w:r w:rsidRPr="00D10ED2">
        <w:rPr>
          <w:rFonts w:ascii="Arial" w:hAnsi="Arial" w:cs="Arial"/>
          <w:sz w:val="22"/>
          <w:szCs w:val="22"/>
        </w:rPr>
        <w:t xml:space="preserve">The effect of </w:t>
      </w:r>
      <w:r w:rsidR="0011623F" w:rsidRPr="00D10ED2">
        <w:rPr>
          <w:rFonts w:ascii="Arial" w:hAnsi="Arial" w:cs="Arial"/>
          <w:sz w:val="22"/>
          <w:szCs w:val="22"/>
        </w:rPr>
        <w:t>ICLUSIG</w:t>
      </w:r>
      <w:r w:rsidRPr="00D10ED2">
        <w:rPr>
          <w:rFonts w:ascii="Arial" w:hAnsi="Arial" w:cs="Arial"/>
          <w:sz w:val="22"/>
          <w:szCs w:val="22"/>
        </w:rPr>
        <w:t xml:space="preserve"> on male and female fertility is unknown.</w:t>
      </w:r>
      <w:r w:rsidR="00F917E9">
        <w:rPr>
          <w:rFonts w:ascii="Arial" w:hAnsi="Arial" w:cs="Arial"/>
          <w:sz w:val="22"/>
          <w:szCs w:val="22"/>
        </w:rPr>
        <w:t xml:space="preserve"> </w:t>
      </w:r>
      <w:r w:rsidR="00F917E9" w:rsidRPr="00F917E9">
        <w:rPr>
          <w:rFonts w:ascii="Arial" w:hAnsi="Arial" w:cs="Arial"/>
          <w:sz w:val="22"/>
          <w:szCs w:val="22"/>
        </w:rPr>
        <w:t xml:space="preserve">Based on animal data, impairment of fertility is possible. Microscopic changes in the ovaries (increased follicular atresia and endometrial atrophy) and testes (minimal germ cell degeneration) were evident in monkeys that received daily oral doses of </w:t>
      </w:r>
      <w:proofErr w:type="spellStart"/>
      <w:r w:rsidR="00F917E9" w:rsidRPr="00F917E9">
        <w:rPr>
          <w:rFonts w:ascii="Arial" w:hAnsi="Arial" w:cs="Arial"/>
          <w:sz w:val="22"/>
          <w:szCs w:val="22"/>
        </w:rPr>
        <w:t>ponatinib</w:t>
      </w:r>
      <w:proofErr w:type="spellEnd"/>
      <w:r w:rsidR="00F917E9" w:rsidRPr="00F917E9">
        <w:rPr>
          <w:rFonts w:ascii="Arial" w:hAnsi="Arial" w:cs="Arial"/>
          <w:sz w:val="22"/>
          <w:szCs w:val="22"/>
        </w:rPr>
        <w:t xml:space="preserve"> (5 mg/kg). Exposure (AUC) at the no effect level is approximately equivalent to the clinical AUC.</w:t>
      </w:r>
    </w:p>
    <w:p w14:paraId="4430B166" w14:textId="77777777" w:rsidR="004F36D6" w:rsidRPr="00D10ED2" w:rsidRDefault="004F36D6" w:rsidP="008E0092">
      <w:pPr>
        <w:rPr>
          <w:rFonts w:ascii="Arial" w:hAnsi="Arial" w:cs="Arial"/>
          <w:sz w:val="22"/>
          <w:szCs w:val="22"/>
        </w:rPr>
      </w:pPr>
    </w:p>
    <w:p w14:paraId="1B12609C" w14:textId="261BAD1A" w:rsidR="008E0092" w:rsidRPr="00D10ED2" w:rsidRDefault="00E70B03" w:rsidP="008E0092">
      <w:pPr>
        <w:rPr>
          <w:rFonts w:ascii="Arial" w:hAnsi="Arial" w:cs="Arial"/>
          <w:i/>
          <w:sz w:val="22"/>
          <w:szCs w:val="22"/>
        </w:rPr>
      </w:pPr>
      <w:r w:rsidRPr="00D10ED2">
        <w:rPr>
          <w:rFonts w:ascii="Arial" w:hAnsi="Arial" w:cs="Arial"/>
          <w:i/>
          <w:sz w:val="22"/>
          <w:szCs w:val="22"/>
        </w:rPr>
        <w:t xml:space="preserve">Use </w:t>
      </w:r>
      <w:proofErr w:type="gramStart"/>
      <w:r w:rsidRPr="00D10ED2">
        <w:rPr>
          <w:rFonts w:ascii="Arial" w:hAnsi="Arial" w:cs="Arial"/>
          <w:i/>
          <w:sz w:val="22"/>
          <w:szCs w:val="22"/>
        </w:rPr>
        <w:t>In</w:t>
      </w:r>
      <w:proofErr w:type="gramEnd"/>
      <w:r w:rsidRPr="00D10ED2">
        <w:rPr>
          <w:rFonts w:ascii="Arial" w:hAnsi="Arial" w:cs="Arial"/>
          <w:i/>
          <w:sz w:val="22"/>
          <w:szCs w:val="22"/>
        </w:rPr>
        <w:t xml:space="preserve"> </w:t>
      </w:r>
      <w:r w:rsidR="008E0092" w:rsidRPr="00D10ED2">
        <w:rPr>
          <w:rFonts w:ascii="Arial" w:hAnsi="Arial" w:cs="Arial"/>
          <w:i/>
          <w:sz w:val="22"/>
          <w:szCs w:val="22"/>
        </w:rPr>
        <w:t>Pregnancy</w:t>
      </w:r>
      <w:r w:rsidRPr="00D10ED2">
        <w:rPr>
          <w:rFonts w:ascii="Arial" w:hAnsi="Arial" w:cs="Arial"/>
          <w:i/>
          <w:sz w:val="22"/>
          <w:szCs w:val="22"/>
        </w:rPr>
        <w:t xml:space="preserve"> </w:t>
      </w:r>
      <w:r w:rsidR="00F22F98" w:rsidRPr="00D10ED2">
        <w:rPr>
          <w:rFonts w:ascii="Arial" w:hAnsi="Arial" w:cs="Arial"/>
          <w:i/>
          <w:sz w:val="22"/>
          <w:szCs w:val="22"/>
        </w:rPr>
        <w:t xml:space="preserve">(Category </w:t>
      </w:r>
      <w:r w:rsidR="00865B9F" w:rsidRPr="00D10ED2">
        <w:rPr>
          <w:rFonts w:ascii="Arial" w:hAnsi="Arial" w:cs="Arial"/>
          <w:i/>
          <w:sz w:val="22"/>
          <w:szCs w:val="22"/>
        </w:rPr>
        <w:t>D</w:t>
      </w:r>
      <w:r w:rsidRPr="00D10ED2">
        <w:rPr>
          <w:rFonts w:ascii="Arial" w:hAnsi="Arial" w:cs="Arial"/>
          <w:i/>
          <w:sz w:val="22"/>
          <w:szCs w:val="22"/>
        </w:rPr>
        <w:t>)</w:t>
      </w:r>
    </w:p>
    <w:p w14:paraId="48A916FB" w14:textId="0FC44D4D" w:rsidR="008E0092" w:rsidRPr="00D10ED2" w:rsidRDefault="008E0092" w:rsidP="008E0092">
      <w:pPr>
        <w:rPr>
          <w:rFonts w:ascii="Arial" w:hAnsi="Arial" w:cs="Arial"/>
          <w:sz w:val="22"/>
          <w:szCs w:val="22"/>
        </w:rPr>
      </w:pPr>
      <w:r w:rsidRPr="00D10ED2">
        <w:rPr>
          <w:rFonts w:ascii="Arial" w:hAnsi="Arial" w:cs="Arial"/>
          <w:sz w:val="22"/>
          <w:szCs w:val="22"/>
        </w:rPr>
        <w:t xml:space="preserve">There are no adequate data from the use of </w:t>
      </w:r>
      <w:r w:rsidR="0011623F" w:rsidRPr="00D10ED2">
        <w:rPr>
          <w:rFonts w:ascii="Arial" w:hAnsi="Arial" w:cs="Arial"/>
          <w:sz w:val="22"/>
          <w:szCs w:val="22"/>
        </w:rPr>
        <w:t>ICLUSIG</w:t>
      </w:r>
      <w:r w:rsidRPr="00D10ED2">
        <w:rPr>
          <w:rFonts w:ascii="Arial" w:hAnsi="Arial" w:cs="Arial"/>
          <w:sz w:val="22"/>
          <w:szCs w:val="22"/>
        </w:rPr>
        <w:t xml:space="preserve"> in pregnant women. </w:t>
      </w:r>
      <w:r w:rsidR="00814F83" w:rsidRPr="00814F83">
        <w:rPr>
          <w:rFonts w:ascii="Arial" w:hAnsi="Arial" w:cs="Arial"/>
          <w:sz w:val="22"/>
          <w:szCs w:val="22"/>
        </w:rPr>
        <w:t xml:space="preserve">Based on studies in animals, </w:t>
      </w:r>
      <w:proofErr w:type="spellStart"/>
      <w:r w:rsidR="00814F83" w:rsidRPr="00814F83">
        <w:rPr>
          <w:rFonts w:ascii="Arial" w:hAnsi="Arial" w:cs="Arial"/>
          <w:sz w:val="22"/>
          <w:szCs w:val="22"/>
        </w:rPr>
        <w:t>ponatinib</w:t>
      </w:r>
      <w:proofErr w:type="spellEnd"/>
      <w:r w:rsidR="00814F83" w:rsidRPr="00814F83">
        <w:rPr>
          <w:rFonts w:ascii="Arial" w:hAnsi="Arial" w:cs="Arial"/>
          <w:sz w:val="22"/>
          <w:szCs w:val="22"/>
        </w:rPr>
        <w:t xml:space="preserve"> may cause </w:t>
      </w:r>
      <w:proofErr w:type="spellStart"/>
      <w:r w:rsidR="00814F83" w:rsidRPr="00814F83">
        <w:rPr>
          <w:rFonts w:ascii="Arial" w:hAnsi="Arial" w:cs="Arial"/>
          <w:sz w:val="22"/>
          <w:szCs w:val="22"/>
        </w:rPr>
        <w:t>f</w:t>
      </w:r>
      <w:r w:rsidR="002A1A4D">
        <w:rPr>
          <w:rFonts w:ascii="Arial" w:hAnsi="Arial" w:cs="Arial"/>
          <w:sz w:val="22"/>
          <w:szCs w:val="22"/>
        </w:rPr>
        <w:t>o</w:t>
      </w:r>
      <w:r w:rsidR="00814F83" w:rsidRPr="00814F83">
        <w:rPr>
          <w:rFonts w:ascii="Arial" w:hAnsi="Arial" w:cs="Arial"/>
          <w:sz w:val="22"/>
          <w:szCs w:val="22"/>
        </w:rPr>
        <w:t>etal</w:t>
      </w:r>
      <w:proofErr w:type="spellEnd"/>
      <w:r w:rsidR="00814F83" w:rsidRPr="00814F83">
        <w:rPr>
          <w:rFonts w:ascii="Arial" w:hAnsi="Arial" w:cs="Arial"/>
          <w:sz w:val="22"/>
          <w:szCs w:val="22"/>
        </w:rPr>
        <w:t xml:space="preserve"> harm. </w:t>
      </w:r>
      <w:proofErr w:type="spellStart"/>
      <w:r w:rsidR="00814F83" w:rsidRPr="00814F83">
        <w:rPr>
          <w:rFonts w:ascii="Arial" w:hAnsi="Arial" w:cs="Arial"/>
          <w:sz w:val="22"/>
          <w:szCs w:val="22"/>
        </w:rPr>
        <w:t>Embryof</w:t>
      </w:r>
      <w:r w:rsidR="002A1A4D">
        <w:rPr>
          <w:rFonts w:ascii="Arial" w:hAnsi="Arial" w:cs="Arial"/>
          <w:sz w:val="22"/>
          <w:szCs w:val="22"/>
        </w:rPr>
        <w:t>o</w:t>
      </w:r>
      <w:r w:rsidR="00814F83" w:rsidRPr="00814F83">
        <w:rPr>
          <w:rFonts w:ascii="Arial" w:hAnsi="Arial" w:cs="Arial"/>
          <w:sz w:val="22"/>
          <w:szCs w:val="22"/>
        </w:rPr>
        <w:t>etal</w:t>
      </w:r>
      <w:proofErr w:type="spellEnd"/>
      <w:r w:rsidR="00814F83" w:rsidRPr="00814F83">
        <w:rPr>
          <w:rFonts w:ascii="Arial" w:hAnsi="Arial" w:cs="Arial"/>
          <w:sz w:val="22"/>
          <w:szCs w:val="22"/>
        </w:rPr>
        <w:t xml:space="preserve"> lethality (increased post-implantation loss), </w:t>
      </w:r>
      <w:proofErr w:type="spellStart"/>
      <w:r w:rsidR="00814F83" w:rsidRPr="00814F83">
        <w:rPr>
          <w:rFonts w:ascii="Arial" w:hAnsi="Arial" w:cs="Arial"/>
          <w:sz w:val="22"/>
          <w:szCs w:val="22"/>
        </w:rPr>
        <w:t>embryofetal</w:t>
      </w:r>
      <w:proofErr w:type="spellEnd"/>
      <w:r w:rsidR="00814F83" w:rsidRPr="00814F83">
        <w:rPr>
          <w:rFonts w:ascii="Arial" w:hAnsi="Arial" w:cs="Arial"/>
          <w:sz w:val="22"/>
          <w:szCs w:val="22"/>
        </w:rPr>
        <w:t xml:space="preserve"> toxicity (reduced fetal weights and whole body </w:t>
      </w:r>
      <w:proofErr w:type="spellStart"/>
      <w:r w:rsidR="00814F83" w:rsidRPr="00814F83">
        <w:rPr>
          <w:rFonts w:ascii="Arial" w:hAnsi="Arial" w:cs="Arial"/>
          <w:sz w:val="22"/>
          <w:szCs w:val="22"/>
        </w:rPr>
        <w:t>oedema</w:t>
      </w:r>
      <w:proofErr w:type="spellEnd"/>
      <w:r w:rsidR="00814F83" w:rsidRPr="00814F83">
        <w:rPr>
          <w:rFonts w:ascii="Arial" w:hAnsi="Arial" w:cs="Arial"/>
          <w:sz w:val="22"/>
          <w:szCs w:val="22"/>
        </w:rPr>
        <w:t xml:space="preserve">) and teratogenicity (multiple soft tissue and skeletal abnormalities) were seen in rats that received oral doses of </w:t>
      </w:r>
      <w:proofErr w:type="spellStart"/>
      <w:r w:rsidR="00814F83" w:rsidRPr="00814F83">
        <w:rPr>
          <w:rFonts w:ascii="Arial" w:hAnsi="Arial" w:cs="Arial"/>
          <w:sz w:val="22"/>
          <w:szCs w:val="22"/>
        </w:rPr>
        <w:t>ponatinib</w:t>
      </w:r>
      <w:proofErr w:type="spellEnd"/>
      <w:r w:rsidR="00814F83" w:rsidRPr="00814F83">
        <w:rPr>
          <w:rFonts w:ascii="Arial" w:hAnsi="Arial" w:cs="Arial"/>
          <w:sz w:val="22"/>
          <w:szCs w:val="22"/>
        </w:rPr>
        <w:t xml:space="preserve"> (≥1 mg/kg/day; approximately 30% of the AUC in patients) during the period of organogenesis</w:t>
      </w:r>
      <w:r w:rsidRPr="00D10ED2">
        <w:rPr>
          <w:rFonts w:ascii="Arial" w:hAnsi="Arial" w:cs="Arial"/>
          <w:sz w:val="22"/>
          <w:szCs w:val="22"/>
        </w:rPr>
        <w:t>.</w:t>
      </w:r>
    </w:p>
    <w:p w14:paraId="19E369B6" w14:textId="77777777" w:rsidR="008E0092" w:rsidRDefault="008E0092" w:rsidP="008E0092">
      <w:pPr>
        <w:rPr>
          <w:rFonts w:ascii="Arial" w:hAnsi="Arial" w:cs="Arial"/>
          <w:sz w:val="22"/>
          <w:szCs w:val="22"/>
        </w:rPr>
      </w:pPr>
    </w:p>
    <w:p w14:paraId="22F1B136" w14:textId="20D6F0A5" w:rsidR="00CE4CC9" w:rsidRPr="00D10ED2" w:rsidRDefault="00CE4CC9" w:rsidP="008E0092">
      <w:pPr>
        <w:rPr>
          <w:rFonts w:ascii="Arial" w:hAnsi="Arial" w:cs="Arial"/>
          <w:sz w:val="22"/>
          <w:szCs w:val="22"/>
        </w:rPr>
      </w:pPr>
      <w:r w:rsidRPr="00D10ED2">
        <w:rPr>
          <w:rFonts w:ascii="Arial" w:hAnsi="Arial" w:cs="Arial"/>
          <w:sz w:val="22"/>
          <w:szCs w:val="22"/>
        </w:rPr>
        <w:t>Women of childbearing age being treated with ICLUSIG should be advised not to become pregnant</w:t>
      </w:r>
      <w:r w:rsidR="00C52D69">
        <w:rPr>
          <w:rFonts w:ascii="Arial" w:hAnsi="Arial" w:cs="Arial"/>
          <w:sz w:val="22"/>
          <w:szCs w:val="22"/>
        </w:rPr>
        <w:t>.</w:t>
      </w:r>
      <w:r w:rsidRPr="00D10ED2">
        <w:rPr>
          <w:rFonts w:ascii="Arial" w:hAnsi="Arial" w:cs="Arial"/>
          <w:sz w:val="22"/>
          <w:szCs w:val="22"/>
        </w:rPr>
        <w:t xml:space="preserve"> </w:t>
      </w:r>
      <w:r w:rsidR="00C52D69">
        <w:rPr>
          <w:rFonts w:ascii="Arial" w:hAnsi="Arial" w:cs="Arial"/>
          <w:sz w:val="22"/>
          <w:szCs w:val="22"/>
        </w:rPr>
        <w:t xml:space="preserve"> </w:t>
      </w:r>
      <w:r w:rsidR="00C52D69" w:rsidRPr="00C52D69">
        <w:rPr>
          <w:rFonts w:ascii="Arial" w:hAnsi="Arial" w:cs="Arial"/>
          <w:sz w:val="22"/>
          <w:szCs w:val="22"/>
        </w:rPr>
        <w:t xml:space="preserve">An effective method of contraception should be used during treatment. ICLUSIG should be used during pregnancy only when clearly necessary. If it is used during pregnancy, the patient must be informed of the potential risk to the </w:t>
      </w:r>
      <w:proofErr w:type="spellStart"/>
      <w:r w:rsidR="00C52D69" w:rsidRPr="00C52D69">
        <w:rPr>
          <w:rFonts w:ascii="Arial" w:hAnsi="Arial" w:cs="Arial"/>
          <w:sz w:val="22"/>
          <w:szCs w:val="22"/>
        </w:rPr>
        <w:t>f</w:t>
      </w:r>
      <w:r w:rsidR="002A1A4D">
        <w:rPr>
          <w:rFonts w:ascii="Arial" w:hAnsi="Arial" w:cs="Arial"/>
          <w:sz w:val="22"/>
          <w:szCs w:val="22"/>
        </w:rPr>
        <w:t>o</w:t>
      </w:r>
      <w:r w:rsidR="00C52D69" w:rsidRPr="00C52D69">
        <w:rPr>
          <w:rFonts w:ascii="Arial" w:hAnsi="Arial" w:cs="Arial"/>
          <w:sz w:val="22"/>
          <w:szCs w:val="22"/>
        </w:rPr>
        <w:t>etus</w:t>
      </w:r>
      <w:proofErr w:type="spellEnd"/>
      <w:r w:rsidRPr="00D10ED2">
        <w:rPr>
          <w:rFonts w:ascii="Arial" w:hAnsi="Arial" w:cs="Arial"/>
          <w:sz w:val="22"/>
          <w:szCs w:val="22"/>
        </w:rPr>
        <w:t xml:space="preserve">. </w:t>
      </w:r>
      <w:r w:rsidR="004E6F45" w:rsidRPr="004E6F45">
        <w:rPr>
          <w:rFonts w:ascii="Arial" w:hAnsi="Arial" w:cs="Arial"/>
          <w:sz w:val="22"/>
          <w:szCs w:val="22"/>
        </w:rPr>
        <w:t>It is unknown whether ICLUSIG affects the effectiveness of systemic hormonal contraceptives. An alternative or additional method of contraception should be used.</w:t>
      </w:r>
      <w:r w:rsidR="004E6F45">
        <w:rPr>
          <w:rFonts w:ascii="Arial" w:hAnsi="Arial" w:cs="Arial"/>
          <w:sz w:val="22"/>
          <w:szCs w:val="22"/>
        </w:rPr>
        <w:t xml:space="preserve"> </w:t>
      </w:r>
    </w:p>
    <w:p w14:paraId="273EDC58" w14:textId="77777777" w:rsidR="006B7AE0" w:rsidRPr="00D10ED2" w:rsidRDefault="006B7AE0" w:rsidP="008E0092">
      <w:pPr>
        <w:rPr>
          <w:rFonts w:ascii="Arial" w:hAnsi="Arial" w:cs="Arial"/>
          <w:i/>
          <w:sz w:val="22"/>
          <w:szCs w:val="22"/>
        </w:rPr>
      </w:pPr>
    </w:p>
    <w:p w14:paraId="445B2C61" w14:textId="77777777" w:rsidR="008E0092" w:rsidRPr="00D10ED2" w:rsidRDefault="00E70B03" w:rsidP="008E0092">
      <w:pPr>
        <w:rPr>
          <w:rFonts w:ascii="Arial" w:hAnsi="Arial" w:cs="Arial"/>
          <w:i/>
          <w:sz w:val="22"/>
          <w:szCs w:val="22"/>
        </w:rPr>
      </w:pPr>
      <w:r w:rsidRPr="00D10ED2">
        <w:rPr>
          <w:rFonts w:ascii="Arial" w:hAnsi="Arial" w:cs="Arial"/>
          <w:i/>
          <w:sz w:val="22"/>
          <w:szCs w:val="22"/>
        </w:rPr>
        <w:t xml:space="preserve">Use </w:t>
      </w:r>
      <w:proofErr w:type="gramStart"/>
      <w:r w:rsidRPr="00D10ED2">
        <w:rPr>
          <w:rFonts w:ascii="Arial" w:hAnsi="Arial" w:cs="Arial"/>
          <w:i/>
          <w:sz w:val="22"/>
          <w:szCs w:val="22"/>
        </w:rPr>
        <w:t>In</w:t>
      </w:r>
      <w:proofErr w:type="gramEnd"/>
      <w:r w:rsidRPr="00D10ED2">
        <w:rPr>
          <w:rFonts w:ascii="Arial" w:hAnsi="Arial" w:cs="Arial"/>
          <w:i/>
          <w:sz w:val="22"/>
          <w:szCs w:val="22"/>
        </w:rPr>
        <w:t xml:space="preserve"> Lactation</w:t>
      </w:r>
    </w:p>
    <w:p w14:paraId="78C26717" w14:textId="2455D6E4" w:rsidR="008E0092" w:rsidRPr="00D10ED2" w:rsidRDefault="008E0092" w:rsidP="008E0092">
      <w:pPr>
        <w:rPr>
          <w:rFonts w:ascii="Arial" w:hAnsi="Arial" w:cs="Arial"/>
          <w:sz w:val="22"/>
          <w:szCs w:val="22"/>
        </w:rPr>
      </w:pPr>
      <w:r w:rsidRPr="00D10ED2">
        <w:rPr>
          <w:rFonts w:ascii="Arial" w:hAnsi="Arial" w:cs="Arial"/>
          <w:sz w:val="22"/>
          <w:szCs w:val="22"/>
        </w:rPr>
        <w:t xml:space="preserve">It is unknown whether </w:t>
      </w:r>
      <w:proofErr w:type="spellStart"/>
      <w:r w:rsidR="00C52D69">
        <w:rPr>
          <w:rFonts w:ascii="Arial" w:hAnsi="Arial" w:cs="Arial"/>
          <w:sz w:val="22"/>
          <w:szCs w:val="22"/>
        </w:rPr>
        <w:t>ponatinib</w:t>
      </w:r>
      <w:proofErr w:type="spellEnd"/>
      <w:r w:rsidR="00C52D69" w:rsidRPr="00D10ED2">
        <w:rPr>
          <w:rFonts w:ascii="Arial" w:hAnsi="Arial" w:cs="Arial"/>
          <w:sz w:val="22"/>
          <w:szCs w:val="22"/>
        </w:rPr>
        <w:t xml:space="preserve"> </w:t>
      </w:r>
      <w:r w:rsidRPr="00D10ED2">
        <w:rPr>
          <w:rFonts w:ascii="Arial" w:hAnsi="Arial" w:cs="Arial"/>
          <w:sz w:val="22"/>
          <w:szCs w:val="22"/>
        </w:rPr>
        <w:t xml:space="preserve">is excreted in human milk. Available data cannot exclude potential excretion in human milk. Breast-feeding should be stopped during treatment with </w:t>
      </w:r>
      <w:r w:rsidR="0011623F" w:rsidRPr="00D10ED2">
        <w:rPr>
          <w:rFonts w:ascii="Arial" w:hAnsi="Arial" w:cs="Arial"/>
          <w:sz w:val="22"/>
          <w:szCs w:val="22"/>
        </w:rPr>
        <w:t>ICLUSIG</w:t>
      </w:r>
      <w:r w:rsidRPr="00D10ED2">
        <w:rPr>
          <w:rFonts w:ascii="Arial" w:hAnsi="Arial" w:cs="Arial"/>
          <w:sz w:val="22"/>
          <w:szCs w:val="22"/>
        </w:rPr>
        <w:t>.</w:t>
      </w:r>
    </w:p>
    <w:p w14:paraId="0DADD4D7" w14:textId="77777777" w:rsidR="00F8528E" w:rsidRPr="00D10ED2" w:rsidRDefault="00F8528E" w:rsidP="008E0092">
      <w:pPr>
        <w:rPr>
          <w:rFonts w:ascii="Arial" w:hAnsi="Arial" w:cs="Arial"/>
          <w:sz w:val="22"/>
          <w:szCs w:val="22"/>
        </w:rPr>
      </w:pPr>
    </w:p>
    <w:p w14:paraId="60CB071B" w14:textId="6EDA11E8" w:rsidR="00F8528E" w:rsidRPr="00D10ED2" w:rsidRDefault="00F8528E" w:rsidP="008E0092">
      <w:pPr>
        <w:rPr>
          <w:rFonts w:ascii="Arial" w:hAnsi="Arial" w:cs="Arial"/>
          <w:i/>
          <w:sz w:val="22"/>
          <w:szCs w:val="22"/>
        </w:rPr>
      </w:pPr>
      <w:proofErr w:type="spellStart"/>
      <w:r w:rsidRPr="00D10ED2">
        <w:rPr>
          <w:rFonts w:ascii="Arial" w:hAnsi="Arial" w:cs="Arial"/>
          <w:i/>
          <w:sz w:val="22"/>
          <w:szCs w:val="22"/>
        </w:rPr>
        <w:t>Paediatric</w:t>
      </w:r>
      <w:proofErr w:type="spellEnd"/>
      <w:r w:rsidR="00D40776" w:rsidRPr="00D10ED2">
        <w:rPr>
          <w:rFonts w:ascii="Arial" w:hAnsi="Arial" w:cs="Arial"/>
          <w:i/>
          <w:sz w:val="22"/>
          <w:szCs w:val="22"/>
        </w:rPr>
        <w:t xml:space="preserve"> Patients</w:t>
      </w:r>
      <w:r w:rsidRPr="00D10ED2">
        <w:rPr>
          <w:rFonts w:ascii="Arial" w:hAnsi="Arial" w:cs="Arial"/>
          <w:i/>
          <w:sz w:val="22"/>
          <w:szCs w:val="22"/>
        </w:rPr>
        <w:t xml:space="preserve"> (&lt;18 years of age)</w:t>
      </w:r>
    </w:p>
    <w:p w14:paraId="13948B89" w14:textId="44B9B12E" w:rsidR="00F8528E" w:rsidRPr="00D10ED2" w:rsidRDefault="00F8528E" w:rsidP="008E0092">
      <w:pPr>
        <w:rPr>
          <w:rFonts w:ascii="Arial" w:hAnsi="Arial" w:cs="Arial"/>
          <w:sz w:val="22"/>
          <w:szCs w:val="22"/>
        </w:rPr>
      </w:pPr>
      <w:r w:rsidRPr="00D10ED2">
        <w:rPr>
          <w:rFonts w:ascii="Arial" w:hAnsi="Arial" w:cs="Arial"/>
          <w:sz w:val="22"/>
          <w:szCs w:val="22"/>
        </w:rPr>
        <w:t>The safety and efficacy of ICLUSIG in patients less than 18 years of age have not been established.</w:t>
      </w:r>
    </w:p>
    <w:p w14:paraId="3F92E585" w14:textId="77777777" w:rsidR="0029233E" w:rsidRPr="00D10ED2" w:rsidRDefault="0029233E" w:rsidP="008E0092">
      <w:pPr>
        <w:rPr>
          <w:rFonts w:ascii="Arial" w:hAnsi="Arial" w:cs="Arial"/>
          <w:sz w:val="22"/>
          <w:szCs w:val="22"/>
        </w:rPr>
      </w:pPr>
    </w:p>
    <w:p w14:paraId="017BFF9A" w14:textId="3EEDDBFB" w:rsidR="0029233E" w:rsidRPr="00D10ED2" w:rsidRDefault="0029233E" w:rsidP="008E0092">
      <w:pPr>
        <w:rPr>
          <w:rFonts w:ascii="Arial" w:eastAsia="MS Gothic" w:hAnsi="Arial" w:cs="Arial"/>
          <w:i/>
          <w:color w:val="000000"/>
          <w:sz w:val="22"/>
          <w:szCs w:val="22"/>
        </w:rPr>
      </w:pPr>
      <w:r w:rsidRPr="00D10ED2">
        <w:rPr>
          <w:rFonts w:ascii="Arial" w:hAnsi="Arial" w:cs="Arial"/>
          <w:i/>
          <w:sz w:val="22"/>
          <w:szCs w:val="22"/>
        </w:rPr>
        <w:t>Elderly</w:t>
      </w:r>
      <w:r w:rsidR="00D40776" w:rsidRPr="00D10ED2">
        <w:rPr>
          <w:rFonts w:ascii="Arial" w:hAnsi="Arial" w:cs="Arial"/>
          <w:i/>
          <w:sz w:val="22"/>
          <w:szCs w:val="22"/>
        </w:rPr>
        <w:t xml:space="preserve"> Patients</w:t>
      </w:r>
      <w:r w:rsidRPr="00D10ED2">
        <w:rPr>
          <w:rFonts w:ascii="Arial" w:hAnsi="Arial" w:cs="Arial"/>
          <w:i/>
          <w:sz w:val="22"/>
          <w:szCs w:val="22"/>
        </w:rPr>
        <w:t xml:space="preserve"> (</w:t>
      </w:r>
      <w:r w:rsidRPr="00D10ED2">
        <w:rPr>
          <w:rFonts w:ascii="Arial" w:eastAsia="MS Gothic" w:hAnsi="Arial" w:cs="Arial"/>
          <w:i/>
          <w:color w:val="000000"/>
          <w:sz w:val="22"/>
          <w:szCs w:val="22"/>
        </w:rPr>
        <w:t>≥65 years of age)</w:t>
      </w:r>
    </w:p>
    <w:p w14:paraId="24932E2B" w14:textId="0F96A454" w:rsidR="008511C3" w:rsidRDefault="0029233E" w:rsidP="008E0092">
      <w:pPr>
        <w:rPr>
          <w:rFonts w:ascii="Arial" w:eastAsia="MS Gothic" w:hAnsi="Arial" w:cs="Arial"/>
          <w:color w:val="000000"/>
          <w:sz w:val="22"/>
          <w:szCs w:val="22"/>
        </w:rPr>
      </w:pPr>
      <w:r w:rsidRPr="00D10ED2">
        <w:rPr>
          <w:rFonts w:ascii="Arial" w:hAnsi="Arial" w:cs="Arial"/>
          <w:sz w:val="22"/>
          <w:szCs w:val="22"/>
        </w:rPr>
        <w:lastRenderedPageBreak/>
        <w:t xml:space="preserve">Of the 449 patients in the clinical study of ICLUSIG, 155 (35%) were </w:t>
      </w:r>
      <w:r w:rsidRPr="00D10ED2">
        <w:rPr>
          <w:rFonts w:ascii="Arial" w:eastAsia="MS Gothic" w:hAnsi="Arial" w:cs="Arial"/>
          <w:color w:val="000000"/>
          <w:sz w:val="22"/>
          <w:szCs w:val="22"/>
        </w:rPr>
        <w:t xml:space="preserve">≥65 years of age.  </w:t>
      </w:r>
      <w:r w:rsidR="000832AD" w:rsidRPr="000832AD">
        <w:rPr>
          <w:rFonts w:ascii="Arial" w:hAnsi="Arial" w:cs="Arial"/>
          <w:sz w:val="22"/>
          <w:szCs w:val="22"/>
        </w:rPr>
        <w:t xml:space="preserve">In patients with CP-CML, patients of age ≥ 65 years had a lower major cytogenetic response rate (38%) as compared with patients &lt; 65 years of age (64%). In patients with AP-CML, BP-CML, and </w:t>
      </w:r>
      <w:proofErr w:type="spellStart"/>
      <w:r w:rsidR="000832AD" w:rsidRPr="000832AD">
        <w:rPr>
          <w:rFonts w:ascii="Arial" w:hAnsi="Arial" w:cs="Arial"/>
          <w:sz w:val="22"/>
          <w:szCs w:val="22"/>
        </w:rPr>
        <w:t>Ph</w:t>
      </w:r>
      <w:proofErr w:type="spellEnd"/>
      <w:r w:rsidR="000832AD" w:rsidRPr="000832AD">
        <w:rPr>
          <w:rFonts w:ascii="Arial" w:hAnsi="Arial" w:cs="Arial"/>
          <w:sz w:val="22"/>
          <w:szCs w:val="22"/>
        </w:rPr>
        <w:t xml:space="preserve">+ ALL, patients of age ≥ 65 years had a higher major </w:t>
      </w:r>
      <w:proofErr w:type="spellStart"/>
      <w:r w:rsidR="000832AD" w:rsidRPr="000832AD">
        <w:rPr>
          <w:rFonts w:ascii="Arial" w:hAnsi="Arial" w:cs="Arial"/>
          <w:sz w:val="22"/>
          <w:szCs w:val="22"/>
        </w:rPr>
        <w:t>haematologic</w:t>
      </w:r>
      <w:proofErr w:type="spellEnd"/>
      <w:r w:rsidR="000832AD" w:rsidRPr="000832AD">
        <w:rPr>
          <w:rFonts w:ascii="Arial" w:hAnsi="Arial" w:cs="Arial"/>
          <w:sz w:val="22"/>
          <w:szCs w:val="22"/>
        </w:rPr>
        <w:t xml:space="preserve"> response rate (47%) as compared with patients &lt; 65 years of age (40%).</w:t>
      </w:r>
      <w:r w:rsidR="000832AD" w:rsidRPr="00A16B48">
        <w:rPr>
          <w:b/>
          <w:i/>
        </w:rPr>
        <w:t xml:space="preserve"> </w:t>
      </w:r>
      <w:r w:rsidRPr="00D10ED2">
        <w:rPr>
          <w:rFonts w:ascii="Arial" w:eastAsia="MS Gothic" w:hAnsi="Arial" w:cs="Arial"/>
          <w:color w:val="000000"/>
          <w:sz w:val="22"/>
          <w:szCs w:val="22"/>
        </w:rPr>
        <w:t>Compared to patients &lt;65 years, patients older than 65 years may be more likely to experience adverse reactions</w:t>
      </w:r>
      <w:r w:rsidRPr="000832AD">
        <w:rPr>
          <w:rFonts w:ascii="Arial" w:hAnsi="Arial" w:cs="Arial"/>
          <w:sz w:val="22"/>
          <w:szCs w:val="22"/>
        </w:rPr>
        <w:t>.</w:t>
      </w:r>
      <w:r w:rsidR="000832AD" w:rsidRPr="000832AD">
        <w:rPr>
          <w:rFonts w:ascii="Arial" w:hAnsi="Arial" w:cs="Arial"/>
          <w:sz w:val="22"/>
          <w:szCs w:val="22"/>
        </w:rPr>
        <w:t xml:space="preserve"> </w:t>
      </w:r>
      <w:r w:rsidR="00864BF0">
        <w:rPr>
          <w:rFonts w:ascii="Arial" w:hAnsi="Arial" w:cs="Arial"/>
          <w:sz w:val="22"/>
          <w:szCs w:val="22"/>
        </w:rPr>
        <w:t xml:space="preserve">Thirty (46/155) </w:t>
      </w:r>
      <w:r w:rsidR="000832AD" w:rsidRPr="000832AD">
        <w:rPr>
          <w:rFonts w:ascii="Arial" w:hAnsi="Arial" w:cs="Arial"/>
          <w:sz w:val="22"/>
          <w:szCs w:val="22"/>
        </w:rPr>
        <w:t>percent of patients ≥ 65 years had vascular occlusion events.</w:t>
      </w:r>
    </w:p>
    <w:p w14:paraId="4E6FB154" w14:textId="77777777" w:rsidR="00C52D69" w:rsidRDefault="00C52D69" w:rsidP="008E0092">
      <w:pPr>
        <w:rPr>
          <w:rFonts w:ascii="Arial" w:eastAsia="MS Gothic" w:hAnsi="Arial" w:cs="Arial"/>
          <w:color w:val="000000"/>
          <w:sz w:val="22"/>
          <w:szCs w:val="22"/>
        </w:rPr>
      </w:pPr>
    </w:p>
    <w:p w14:paraId="2D101B74" w14:textId="77777777" w:rsidR="00C52D69" w:rsidRDefault="00C52D69" w:rsidP="008E0092">
      <w:pPr>
        <w:rPr>
          <w:rFonts w:ascii="Arial" w:hAnsi="Arial" w:cs="Arial"/>
          <w:sz w:val="22"/>
          <w:szCs w:val="22"/>
        </w:rPr>
      </w:pPr>
      <w:proofErr w:type="spellStart"/>
      <w:r w:rsidRPr="00C52D69">
        <w:rPr>
          <w:rFonts w:ascii="Arial" w:hAnsi="Arial" w:cs="Arial"/>
          <w:sz w:val="22"/>
          <w:szCs w:val="22"/>
        </w:rPr>
        <w:t>Genotoxicity</w:t>
      </w:r>
      <w:proofErr w:type="spellEnd"/>
      <w:r w:rsidRPr="00C52D69">
        <w:rPr>
          <w:rFonts w:ascii="Arial" w:hAnsi="Arial" w:cs="Arial"/>
          <w:sz w:val="22"/>
          <w:szCs w:val="22"/>
        </w:rPr>
        <w:t xml:space="preserve"> </w:t>
      </w:r>
    </w:p>
    <w:p w14:paraId="2DF2B710" w14:textId="5DFA0DFA" w:rsidR="00C52D69" w:rsidRDefault="00C52D69" w:rsidP="008E0092">
      <w:pPr>
        <w:rPr>
          <w:rFonts w:ascii="Arial" w:hAnsi="Arial" w:cs="Arial"/>
          <w:sz w:val="22"/>
          <w:szCs w:val="22"/>
        </w:rPr>
      </w:pPr>
      <w:proofErr w:type="spellStart"/>
      <w:r w:rsidRPr="00C52D69">
        <w:rPr>
          <w:rFonts w:ascii="Arial" w:hAnsi="Arial" w:cs="Arial"/>
          <w:sz w:val="22"/>
          <w:szCs w:val="22"/>
        </w:rPr>
        <w:t>Ponatinib</w:t>
      </w:r>
      <w:proofErr w:type="spellEnd"/>
      <w:r w:rsidRPr="00C52D69">
        <w:rPr>
          <w:rFonts w:ascii="Arial" w:hAnsi="Arial" w:cs="Arial"/>
          <w:sz w:val="22"/>
          <w:szCs w:val="22"/>
        </w:rPr>
        <w:t xml:space="preserve"> was not mutagenic in a bacterial mutagenicity assay, was not </w:t>
      </w:r>
      <w:proofErr w:type="spellStart"/>
      <w:r w:rsidRPr="00C52D69">
        <w:rPr>
          <w:rFonts w:ascii="Arial" w:hAnsi="Arial" w:cs="Arial"/>
          <w:sz w:val="22"/>
          <w:szCs w:val="22"/>
        </w:rPr>
        <w:t>clastogenic</w:t>
      </w:r>
      <w:proofErr w:type="spellEnd"/>
      <w:r w:rsidRPr="00C52D69">
        <w:rPr>
          <w:rFonts w:ascii="Arial" w:hAnsi="Arial" w:cs="Arial"/>
          <w:sz w:val="22"/>
          <w:szCs w:val="22"/>
        </w:rPr>
        <w:t xml:space="preserve"> in a chromosome aberration assay in human lymphocytes, nor was it </w:t>
      </w:r>
      <w:proofErr w:type="spellStart"/>
      <w:r w:rsidRPr="00C52D69">
        <w:rPr>
          <w:rFonts w:ascii="Arial" w:hAnsi="Arial" w:cs="Arial"/>
          <w:sz w:val="22"/>
          <w:szCs w:val="22"/>
        </w:rPr>
        <w:t>clastogenic</w:t>
      </w:r>
      <w:proofErr w:type="spellEnd"/>
      <w:r w:rsidRPr="00C52D69">
        <w:rPr>
          <w:rFonts w:ascii="Arial" w:hAnsi="Arial" w:cs="Arial"/>
          <w:sz w:val="22"/>
          <w:szCs w:val="22"/>
        </w:rPr>
        <w:t xml:space="preserve"> in an </w:t>
      </w:r>
      <w:r w:rsidRPr="008254BD">
        <w:rPr>
          <w:rFonts w:ascii="Arial" w:hAnsi="Arial" w:cs="Arial"/>
          <w:i/>
          <w:sz w:val="22"/>
          <w:szCs w:val="22"/>
        </w:rPr>
        <w:t>in vivo</w:t>
      </w:r>
      <w:r w:rsidRPr="00C52D69">
        <w:rPr>
          <w:rFonts w:ascii="Arial" w:hAnsi="Arial" w:cs="Arial"/>
          <w:sz w:val="22"/>
          <w:szCs w:val="22"/>
        </w:rPr>
        <w:t xml:space="preserve"> mouse micronucleus test.</w:t>
      </w:r>
    </w:p>
    <w:p w14:paraId="5CF70BAE" w14:textId="77777777" w:rsidR="00C52D69" w:rsidRDefault="00C52D69" w:rsidP="008E0092">
      <w:pPr>
        <w:rPr>
          <w:rFonts w:ascii="Arial" w:hAnsi="Arial" w:cs="Arial"/>
          <w:sz w:val="22"/>
          <w:szCs w:val="22"/>
        </w:rPr>
      </w:pPr>
    </w:p>
    <w:p w14:paraId="4793C53B" w14:textId="77777777" w:rsidR="00C52D69" w:rsidRDefault="00C52D69" w:rsidP="008E0092">
      <w:pPr>
        <w:rPr>
          <w:rFonts w:ascii="Arial" w:hAnsi="Arial" w:cs="Arial"/>
          <w:sz w:val="22"/>
          <w:szCs w:val="22"/>
        </w:rPr>
      </w:pPr>
      <w:r w:rsidRPr="00C52D69">
        <w:rPr>
          <w:rFonts w:ascii="Arial" w:hAnsi="Arial" w:cs="Arial"/>
          <w:sz w:val="22"/>
          <w:szCs w:val="22"/>
        </w:rPr>
        <w:t xml:space="preserve">Carcinogenicity </w:t>
      </w:r>
    </w:p>
    <w:p w14:paraId="0C880694" w14:textId="0B0249C5" w:rsidR="00C52D69" w:rsidRPr="00D10ED2" w:rsidRDefault="00C52D69" w:rsidP="008E0092">
      <w:pPr>
        <w:rPr>
          <w:rFonts w:ascii="Arial" w:hAnsi="Arial" w:cs="Arial"/>
          <w:sz w:val="22"/>
          <w:szCs w:val="22"/>
        </w:rPr>
      </w:pPr>
      <w:r w:rsidRPr="00C52D69">
        <w:rPr>
          <w:rFonts w:ascii="Arial" w:hAnsi="Arial" w:cs="Arial"/>
          <w:sz w:val="22"/>
          <w:szCs w:val="22"/>
        </w:rPr>
        <w:t xml:space="preserve">Carcinogenicity studies have not been performed with </w:t>
      </w:r>
      <w:proofErr w:type="spellStart"/>
      <w:r w:rsidRPr="00C52D69">
        <w:rPr>
          <w:rFonts w:ascii="Arial" w:hAnsi="Arial" w:cs="Arial"/>
          <w:sz w:val="22"/>
          <w:szCs w:val="22"/>
        </w:rPr>
        <w:t>ponatinib</w:t>
      </w:r>
      <w:proofErr w:type="spellEnd"/>
      <w:r w:rsidRPr="00C52D69">
        <w:rPr>
          <w:rFonts w:ascii="Arial" w:hAnsi="Arial" w:cs="Arial"/>
          <w:sz w:val="22"/>
          <w:szCs w:val="22"/>
        </w:rPr>
        <w:t>.</w:t>
      </w:r>
    </w:p>
    <w:p w14:paraId="71D4BC2B" w14:textId="77777777" w:rsidR="00C52D69" w:rsidRPr="00D10ED2" w:rsidRDefault="00C52D69" w:rsidP="008E0092">
      <w:pPr>
        <w:rPr>
          <w:rFonts w:ascii="Arial" w:hAnsi="Arial" w:cs="Arial"/>
          <w:sz w:val="22"/>
          <w:szCs w:val="22"/>
        </w:rPr>
      </w:pPr>
    </w:p>
    <w:p w14:paraId="36084583" w14:textId="77777777" w:rsidR="00F427CC" w:rsidRDefault="00F427CC" w:rsidP="008E0092">
      <w:pPr>
        <w:rPr>
          <w:rFonts w:ascii="Arial" w:hAnsi="Arial" w:cs="Arial"/>
          <w:sz w:val="22"/>
          <w:szCs w:val="22"/>
          <w:u w:val="single"/>
        </w:rPr>
      </w:pPr>
    </w:p>
    <w:p w14:paraId="765F7D5E" w14:textId="77777777" w:rsidR="00F427CC" w:rsidRDefault="00F427CC" w:rsidP="008E0092">
      <w:pPr>
        <w:rPr>
          <w:rFonts w:ascii="Arial" w:hAnsi="Arial" w:cs="Arial"/>
          <w:sz w:val="22"/>
          <w:szCs w:val="22"/>
          <w:u w:val="single"/>
        </w:rPr>
      </w:pPr>
    </w:p>
    <w:p w14:paraId="485963A1" w14:textId="77777777" w:rsidR="00F427CC" w:rsidRDefault="00F427CC" w:rsidP="008E0092">
      <w:pPr>
        <w:rPr>
          <w:rFonts w:ascii="Arial" w:hAnsi="Arial" w:cs="Arial"/>
          <w:sz w:val="22"/>
          <w:szCs w:val="22"/>
          <w:u w:val="single"/>
        </w:rPr>
      </w:pPr>
    </w:p>
    <w:p w14:paraId="284FE14B" w14:textId="77777777" w:rsidR="00F427CC" w:rsidRDefault="00F427CC" w:rsidP="008E0092">
      <w:pPr>
        <w:rPr>
          <w:rFonts w:ascii="Arial" w:hAnsi="Arial" w:cs="Arial"/>
          <w:sz w:val="22"/>
          <w:szCs w:val="22"/>
          <w:u w:val="single"/>
        </w:rPr>
      </w:pPr>
    </w:p>
    <w:p w14:paraId="73FA038D" w14:textId="59673594" w:rsidR="009F25E5" w:rsidRPr="00D10ED2" w:rsidRDefault="009F25E5" w:rsidP="008E0092">
      <w:pPr>
        <w:rPr>
          <w:rFonts w:ascii="Arial" w:hAnsi="Arial" w:cs="Arial"/>
          <w:sz w:val="22"/>
          <w:szCs w:val="22"/>
          <w:u w:val="single"/>
        </w:rPr>
      </w:pPr>
      <w:r w:rsidRPr="00D10ED2">
        <w:rPr>
          <w:rFonts w:ascii="Arial" w:hAnsi="Arial" w:cs="Arial"/>
          <w:sz w:val="22"/>
          <w:szCs w:val="22"/>
          <w:u w:val="single"/>
        </w:rPr>
        <w:t>Effects on ability to drive and operate machinery</w:t>
      </w:r>
    </w:p>
    <w:p w14:paraId="11FD39F5" w14:textId="7F80F17E" w:rsidR="008E0092" w:rsidRPr="00D10ED2" w:rsidRDefault="008E0092" w:rsidP="008E0092">
      <w:pPr>
        <w:rPr>
          <w:rFonts w:ascii="Arial" w:hAnsi="Arial" w:cs="Arial"/>
          <w:sz w:val="22"/>
          <w:szCs w:val="22"/>
        </w:rPr>
      </w:pPr>
      <w:r w:rsidRPr="00D10ED2">
        <w:rPr>
          <w:rFonts w:ascii="Arial" w:hAnsi="Arial" w:cs="Arial"/>
          <w:sz w:val="22"/>
          <w:szCs w:val="22"/>
        </w:rPr>
        <w:t xml:space="preserve">Adverse reactions such as lethargy, dizziness, and vision blurred have been associated with </w:t>
      </w:r>
      <w:r w:rsidR="0011623F" w:rsidRPr="00D10ED2">
        <w:rPr>
          <w:rFonts w:ascii="Arial" w:hAnsi="Arial" w:cs="Arial"/>
          <w:sz w:val="22"/>
          <w:szCs w:val="22"/>
        </w:rPr>
        <w:t>ICLUSIG</w:t>
      </w:r>
      <w:r w:rsidRPr="00D10ED2">
        <w:rPr>
          <w:rFonts w:ascii="Arial" w:hAnsi="Arial" w:cs="Arial"/>
          <w:sz w:val="22"/>
          <w:szCs w:val="22"/>
        </w:rPr>
        <w:t>. Therefore, caution should be recommended when driving or operating machines.</w:t>
      </w:r>
    </w:p>
    <w:p w14:paraId="3AA51C8F" w14:textId="77777777" w:rsidR="008E0092" w:rsidRPr="00D10ED2" w:rsidRDefault="008E0092" w:rsidP="005329CC">
      <w:pPr>
        <w:rPr>
          <w:rFonts w:ascii="Arial" w:hAnsi="Arial" w:cs="Arial"/>
          <w:b/>
          <w:sz w:val="28"/>
          <w:szCs w:val="28"/>
        </w:rPr>
      </w:pPr>
    </w:p>
    <w:p w14:paraId="6B456866" w14:textId="77777777" w:rsidR="0057419A" w:rsidRPr="00D10ED2" w:rsidRDefault="0057419A" w:rsidP="005329CC">
      <w:pPr>
        <w:rPr>
          <w:rFonts w:ascii="Arial" w:hAnsi="Arial" w:cs="Arial"/>
          <w:b/>
          <w:sz w:val="28"/>
          <w:szCs w:val="28"/>
        </w:rPr>
      </w:pPr>
      <w:r w:rsidRPr="00D10ED2">
        <w:rPr>
          <w:rFonts w:ascii="Arial" w:hAnsi="Arial" w:cs="Arial"/>
          <w:b/>
          <w:sz w:val="28"/>
          <w:szCs w:val="28"/>
        </w:rPr>
        <w:t>Interactions with Other Medicines</w:t>
      </w:r>
    </w:p>
    <w:p w14:paraId="60C2F1B6" w14:textId="77777777" w:rsidR="0046685D" w:rsidRPr="00D10ED2" w:rsidRDefault="0046685D" w:rsidP="008E0092">
      <w:pPr>
        <w:rPr>
          <w:rFonts w:ascii="Arial" w:eastAsia="Times New Roman" w:hAnsi="Arial" w:cs="Arial"/>
          <w:b/>
          <w:bCs/>
          <w:iCs/>
          <w:sz w:val="22"/>
          <w:szCs w:val="22"/>
        </w:rPr>
      </w:pPr>
    </w:p>
    <w:p w14:paraId="1CDC1673" w14:textId="476B2DC0" w:rsidR="00131E68" w:rsidRPr="00D10ED2" w:rsidRDefault="00E9796A" w:rsidP="00131E68">
      <w:pPr>
        <w:rPr>
          <w:rFonts w:ascii="Arial" w:hAnsi="Arial" w:cs="Arial"/>
          <w:sz w:val="22"/>
          <w:szCs w:val="22"/>
        </w:rPr>
      </w:pP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w:t>
      </w:r>
      <w:proofErr w:type="spellStart"/>
      <w:r w:rsidR="00533185" w:rsidRPr="00D10ED2">
        <w:rPr>
          <w:rFonts w:ascii="Arial" w:hAnsi="Arial" w:cs="Arial"/>
          <w:sz w:val="22"/>
          <w:szCs w:val="22"/>
        </w:rPr>
        <w:t>metabolis</w:t>
      </w:r>
      <w:r w:rsidRPr="00D10ED2">
        <w:rPr>
          <w:rFonts w:ascii="Arial" w:hAnsi="Arial" w:cs="Arial"/>
          <w:sz w:val="22"/>
          <w:szCs w:val="22"/>
        </w:rPr>
        <w:t>ed</w:t>
      </w:r>
      <w:proofErr w:type="spellEnd"/>
      <w:r w:rsidRPr="00D10ED2">
        <w:rPr>
          <w:rFonts w:ascii="Arial" w:hAnsi="Arial" w:cs="Arial"/>
          <w:sz w:val="22"/>
          <w:szCs w:val="22"/>
        </w:rPr>
        <w:t xml:space="preserve"> by </w:t>
      </w:r>
      <w:proofErr w:type="spellStart"/>
      <w:r w:rsidRPr="00D10ED2">
        <w:rPr>
          <w:rFonts w:ascii="Arial" w:hAnsi="Arial" w:cs="Arial"/>
          <w:sz w:val="22"/>
          <w:szCs w:val="22"/>
        </w:rPr>
        <w:t>esterases</w:t>
      </w:r>
      <w:proofErr w:type="spellEnd"/>
      <w:r w:rsidRPr="00D10ED2">
        <w:rPr>
          <w:rFonts w:ascii="Arial" w:hAnsi="Arial" w:cs="Arial"/>
          <w:sz w:val="22"/>
          <w:szCs w:val="22"/>
        </w:rPr>
        <w:t xml:space="preserve"> and/or amidases, CYP3A</w:t>
      </w:r>
      <w:r w:rsidR="00C85C06">
        <w:rPr>
          <w:rFonts w:ascii="Arial" w:hAnsi="Arial" w:cs="Arial"/>
          <w:sz w:val="22"/>
          <w:szCs w:val="22"/>
        </w:rPr>
        <w:t>4</w:t>
      </w:r>
      <w:r w:rsidR="00C85C06" w:rsidRPr="00C85C06">
        <w:t xml:space="preserve"> </w:t>
      </w:r>
      <w:r w:rsidR="00C85C06" w:rsidRPr="00C85C06">
        <w:rPr>
          <w:rFonts w:ascii="Arial" w:hAnsi="Arial" w:cs="Arial"/>
          <w:sz w:val="22"/>
          <w:szCs w:val="22"/>
        </w:rPr>
        <w:t>and to a lesser extent by CYP2C8 and CYP2D6</w:t>
      </w:r>
      <w:r w:rsidRPr="00D10ED2">
        <w:rPr>
          <w:rFonts w:ascii="Arial" w:hAnsi="Arial" w:cs="Arial"/>
          <w:sz w:val="22"/>
          <w:szCs w:val="22"/>
        </w:rPr>
        <w:t>.  Caution should be exercised with concurrent use of ICLUSIG and strong CYP3A inhibitors and strong CYP3A inducers.</w:t>
      </w:r>
    </w:p>
    <w:p w14:paraId="33C55B14" w14:textId="77777777" w:rsidR="00E9796A" w:rsidRPr="00D10ED2" w:rsidRDefault="00E9796A" w:rsidP="00131E68">
      <w:pPr>
        <w:rPr>
          <w:rFonts w:ascii="Arial" w:hAnsi="Arial" w:cs="Arial"/>
          <w:sz w:val="22"/>
          <w:szCs w:val="22"/>
        </w:rPr>
      </w:pPr>
    </w:p>
    <w:p w14:paraId="14764E90" w14:textId="0E54B929" w:rsidR="00E9796A" w:rsidRPr="00D10ED2" w:rsidRDefault="00E9796A" w:rsidP="00E9796A">
      <w:pPr>
        <w:rPr>
          <w:rFonts w:ascii="Arial" w:hAnsi="Arial" w:cs="Arial"/>
          <w:sz w:val="22"/>
          <w:szCs w:val="22"/>
        </w:rPr>
      </w:pPr>
      <w:r w:rsidRPr="00D10ED2">
        <w:rPr>
          <w:rFonts w:ascii="Arial" w:hAnsi="Arial" w:cs="Arial"/>
          <w:i/>
          <w:sz w:val="22"/>
          <w:szCs w:val="22"/>
        </w:rPr>
        <w:t>In vitro</w:t>
      </w:r>
      <w:r w:rsidRPr="00D10ED2">
        <w:rPr>
          <w:rFonts w:ascii="Arial" w:hAnsi="Arial" w:cs="Arial"/>
          <w:sz w:val="22"/>
          <w:szCs w:val="22"/>
        </w:rPr>
        <w:t xml:space="preserve"> studies indicate that clinical medicinal product interactions are unlikely to occur as a result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-mediated inhibition of the metabolism of substrates for CYP1A2, CYP2B6, CYP2C8, CYP2C9, CYP2C19, CYP3A or CYP2D6.   An </w:t>
      </w:r>
      <w:r w:rsidRPr="00D10ED2">
        <w:rPr>
          <w:rFonts w:ascii="Arial" w:hAnsi="Arial" w:cs="Arial"/>
          <w:i/>
          <w:sz w:val="22"/>
          <w:szCs w:val="22"/>
        </w:rPr>
        <w:t>in vitro</w:t>
      </w:r>
      <w:r w:rsidRPr="00D10ED2">
        <w:rPr>
          <w:rFonts w:ascii="Arial" w:hAnsi="Arial" w:cs="Arial"/>
          <w:sz w:val="22"/>
          <w:szCs w:val="22"/>
        </w:rPr>
        <w:t xml:space="preserve"> study in human hepatocytes indicated that clinical medicinal product interactions are also unlikely to occur as a result of </w:t>
      </w:r>
      <w:proofErr w:type="spellStart"/>
      <w:r w:rsidRPr="00D10ED2">
        <w:rPr>
          <w:rFonts w:ascii="Arial" w:hAnsi="Arial" w:cs="Arial"/>
          <w:sz w:val="22"/>
          <w:szCs w:val="22"/>
        </w:rPr>
        <w:t>ponatinib</w:t>
      </w:r>
      <w:proofErr w:type="spellEnd"/>
      <w:r w:rsidRPr="00D10ED2">
        <w:rPr>
          <w:rFonts w:ascii="Arial" w:hAnsi="Arial" w:cs="Arial"/>
          <w:sz w:val="22"/>
          <w:szCs w:val="22"/>
        </w:rPr>
        <w:t>-mediated induction of the metabolism of substrates for CYP1A2, CYP2B6, or CYP3A.</w:t>
      </w:r>
    </w:p>
    <w:p w14:paraId="19B0B3F8" w14:textId="77777777" w:rsidR="00E9796A" w:rsidRPr="00D10ED2" w:rsidRDefault="00E9796A" w:rsidP="00131E68">
      <w:pPr>
        <w:rPr>
          <w:rFonts w:ascii="Arial" w:hAnsi="Arial" w:cs="Arial"/>
          <w:sz w:val="22"/>
          <w:szCs w:val="22"/>
        </w:rPr>
      </w:pPr>
    </w:p>
    <w:p w14:paraId="425603A8" w14:textId="0637E071" w:rsidR="00131E68" w:rsidRDefault="00131E68" w:rsidP="00131E68">
      <w:pPr>
        <w:rPr>
          <w:rFonts w:ascii="Arial" w:hAnsi="Arial" w:cs="Arial"/>
          <w:sz w:val="22"/>
          <w:szCs w:val="22"/>
        </w:rPr>
      </w:pPr>
      <w:r w:rsidRPr="00D10ED2">
        <w:rPr>
          <w:rFonts w:ascii="Arial" w:hAnsi="Arial" w:cs="Arial"/>
          <w:sz w:val="22"/>
          <w:szCs w:val="22"/>
        </w:rPr>
        <w:t xml:space="preserve">At therapeutic serum concentrations,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did not inhibit OATP1B1 or OATP1B3, OCT1 or OCT2, organic anion transporters OAT1 or OAT3, or bile salt export pump (BSEP) </w:t>
      </w:r>
      <w:r w:rsidRPr="00D10ED2">
        <w:rPr>
          <w:rFonts w:ascii="Arial" w:hAnsi="Arial" w:cs="Arial"/>
          <w:i/>
          <w:sz w:val="22"/>
          <w:szCs w:val="22"/>
        </w:rPr>
        <w:t>in vitro</w:t>
      </w:r>
      <w:r w:rsidRPr="00D10ED2">
        <w:rPr>
          <w:rFonts w:ascii="Arial" w:hAnsi="Arial" w:cs="Arial"/>
          <w:sz w:val="22"/>
          <w:szCs w:val="22"/>
        </w:rPr>
        <w:t xml:space="preserve">. Therefore, clinical medicinal product interactions are unlikely to occur as a result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-mediated inhibition of substrates for these transporters. </w:t>
      </w:r>
    </w:p>
    <w:p w14:paraId="440D4227" w14:textId="77777777" w:rsidR="00430280" w:rsidRDefault="00430280" w:rsidP="00131E68">
      <w:pPr>
        <w:rPr>
          <w:rFonts w:ascii="Arial" w:hAnsi="Arial" w:cs="Arial"/>
          <w:sz w:val="22"/>
          <w:szCs w:val="22"/>
        </w:rPr>
      </w:pPr>
    </w:p>
    <w:p w14:paraId="4BAFB034" w14:textId="78D64A14" w:rsidR="00430280" w:rsidRPr="00D10ED2" w:rsidRDefault="00430280" w:rsidP="00131E68">
      <w:pPr>
        <w:rPr>
          <w:rFonts w:ascii="Arial" w:hAnsi="Arial" w:cs="Arial"/>
          <w:sz w:val="22"/>
          <w:szCs w:val="22"/>
        </w:rPr>
      </w:pPr>
      <w:r w:rsidRPr="00430280">
        <w:rPr>
          <w:rFonts w:ascii="Arial" w:hAnsi="Arial" w:cs="Arial"/>
          <w:sz w:val="22"/>
          <w:szCs w:val="22"/>
        </w:rPr>
        <w:t xml:space="preserve">Based on </w:t>
      </w:r>
      <w:r w:rsidRPr="008254BD">
        <w:rPr>
          <w:rFonts w:ascii="Arial" w:hAnsi="Arial" w:cs="Arial"/>
          <w:i/>
          <w:sz w:val="22"/>
          <w:szCs w:val="22"/>
        </w:rPr>
        <w:t>in vitro</w:t>
      </w:r>
      <w:r w:rsidRPr="00430280">
        <w:rPr>
          <w:rFonts w:ascii="Arial" w:hAnsi="Arial" w:cs="Arial"/>
          <w:sz w:val="22"/>
          <w:szCs w:val="22"/>
        </w:rPr>
        <w:t xml:space="preserve"> data, </w:t>
      </w:r>
      <w:proofErr w:type="gramStart"/>
      <w:r w:rsidRPr="00430280">
        <w:rPr>
          <w:rFonts w:ascii="Arial" w:hAnsi="Arial" w:cs="Arial"/>
          <w:sz w:val="22"/>
          <w:szCs w:val="22"/>
        </w:rPr>
        <w:t>inhibition of P-glycoprotein and b</w:t>
      </w:r>
      <w:r>
        <w:rPr>
          <w:rFonts w:ascii="Arial" w:hAnsi="Arial" w:cs="Arial"/>
          <w:sz w:val="22"/>
          <w:szCs w:val="22"/>
        </w:rPr>
        <w:t xml:space="preserve">reast cancer resistance protein </w:t>
      </w:r>
      <w:r w:rsidRPr="00430280">
        <w:rPr>
          <w:rFonts w:ascii="Arial" w:hAnsi="Arial" w:cs="Arial"/>
          <w:sz w:val="22"/>
          <w:szCs w:val="22"/>
        </w:rPr>
        <w:t xml:space="preserve">(BCRP) </w:t>
      </w:r>
      <w:r>
        <w:rPr>
          <w:rFonts w:ascii="Arial" w:hAnsi="Arial" w:cs="Arial"/>
          <w:sz w:val="22"/>
          <w:szCs w:val="22"/>
        </w:rPr>
        <w:t>are</w:t>
      </w:r>
      <w:proofErr w:type="gramEnd"/>
      <w:r w:rsidRPr="00430280">
        <w:rPr>
          <w:rFonts w:ascii="Arial" w:hAnsi="Arial" w:cs="Arial"/>
          <w:sz w:val="22"/>
          <w:szCs w:val="22"/>
        </w:rPr>
        <w:t xml:space="preserve"> possible (see Substances that may have their serum concentrations altered by </w:t>
      </w:r>
      <w:proofErr w:type="spellStart"/>
      <w:r w:rsidRPr="00430280">
        <w:rPr>
          <w:rFonts w:ascii="Arial" w:hAnsi="Arial" w:cs="Arial"/>
          <w:sz w:val="22"/>
          <w:szCs w:val="22"/>
        </w:rPr>
        <w:t>ponatinib</w:t>
      </w:r>
      <w:proofErr w:type="spellEnd"/>
      <w:r w:rsidR="002A1A4D">
        <w:rPr>
          <w:rFonts w:ascii="Arial" w:hAnsi="Arial" w:cs="Arial"/>
          <w:sz w:val="22"/>
          <w:szCs w:val="22"/>
        </w:rPr>
        <w:t>)</w:t>
      </w:r>
      <w:r w:rsidRPr="00430280">
        <w:rPr>
          <w:rFonts w:ascii="Arial" w:hAnsi="Arial" w:cs="Arial"/>
          <w:sz w:val="22"/>
          <w:szCs w:val="22"/>
        </w:rPr>
        <w:t>.</w:t>
      </w:r>
    </w:p>
    <w:p w14:paraId="78D7219D" w14:textId="77777777" w:rsidR="00131E68" w:rsidRPr="00D10ED2" w:rsidRDefault="00131E68" w:rsidP="00131E68">
      <w:pPr>
        <w:rPr>
          <w:rFonts w:ascii="Arial" w:hAnsi="Arial" w:cs="Arial"/>
          <w:sz w:val="22"/>
          <w:szCs w:val="22"/>
        </w:rPr>
      </w:pPr>
    </w:p>
    <w:p w14:paraId="31BFB93F" w14:textId="77777777" w:rsidR="008E0092" w:rsidRPr="00D10ED2" w:rsidRDefault="008E0092" w:rsidP="008E0092">
      <w:pPr>
        <w:rPr>
          <w:rFonts w:ascii="Arial" w:hAnsi="Arial" w:cs="Arial"/>
          <w:sz w:val="22"/>
          <w:szCs w:val="22"/>
          <w:u w:val="single"/>
        </w:rPr>
      </w:pPr>
      <w:r w:rsidRPr="00D10ED2">
        <w:rPr>
          <w:rFonts w:ascii="Arial" w:hAnsi="Arial" w:cs="Arial"/>
          <w:sz w:val="22"/>
          <w:szCs w:val="22"/>
          <w:u w:val="single"/>
        </w:rPr>
        <w:t xml:space="preserve">Substances that may increase </w:t>
      </w:r>
      <w:proofErr w:type="spellStart"/>
      <w:r w:rsidRPr="00D10ED2">
        <w:rPr>
          <w:rFonts w:ascii="Arial" w:hAnsi="Arial" w:cs="Arial"/>
          <w:sz w:val="22"/>
          <w:szCs w:val="22"/>
          <w:u w:val="single"/>
        </w:rPr>
        <w:t>ponatinib</w:t>
      </w:r>
      <w:proofErr w:type="spellEnd"/>
      <w:r w:rsidRPr="00D10ED2">
        <w:rPr>
          <w:rFonts w:ascii="Arial" w:hAnsi="Arial" w:cs="Arial"/>
          <w:sz w:val="22"/>
          <w:szCs w:val="22"/>
          <w:u w:val="single"/>
        </w:rPr>
        <w:t xml:space="preserve"> serum concentrations</w:t>
      </w:r>
    </w:p>
    <w:p w14:paraId="23326F78" w14:textId="77777777" w:rsidR="008E0092" w:rsidRPr="00D10ED2" w:rsidRDefault="008E0092" w:rsidP="008E0092">
      <w:pPr>
        <w:pStyle w:val="List3"/>
        <w:tabs>
          <w:tab w:val="clear" w:pos="2016"/>
        </w:tabs>
        <w:spacing w:before="0" w:after="0"/>
        <w:ind w:left="0" w:firstLine="0"/>
        <w:rPr>
          <w:rFonts w:ascii="Arial" w:hAnsi="Arial" w:cs="Arial"/>
          <w:sz w:val="22"/>
          <w:szCs w:val="22"/>
        </w:rPr>
      </w:pPr>
    </w:p>
    <w:p w14:paraId="60EB104E" w14:textId="4E40C8BF" w:rsidR="008E0092" w:rsidRPr="00D10ED2" w:rsidRDefault="008E0092" w:rsidP="008E0092">
      <w:pPr>
        <w:pStyle w:val="List3"/>
        <w:tabs>
          <w:tab w:val="clear" w:pos="2016"/>
        </w:tabs>
        <w:spacing w:before="0" w:after="0"/>
        <w:ind w:left="0" w:firstLine="0"/>
        <w:rPr>
          <w:rFonts w:ascii="Arial" w:hAnsi="Arial" w:cs="Arial"/>
          <w:i/>
          <w:sz w:val="22"/>
          <w:szCs w:val="22"/>
        </w:rPr>
      </w:pPr>
      <w:r w:rsidRPr="00D10ED2">
        <w:rPr>
          <w:rFonts w:ascii="Arial" w:hAnsi="Arial" w:cs="Arial"/>
          <w:i/>
          <w:sz w:val="22"/>
          <w:szCs w:val="22"/>
        </w:rPr>
        <w:t>CYP3A inhibitors</w:t>
      </w:r>
    </w:p>
    <w:p w14:paraId="2C910E3C" w14:textId="26623070" w:rsidR="008E0092" w:rsidRPr="00D10ED2" w:rsidRDefault="008E0092" w:rsidP="008E0092">
      <w:pPr>
        <w:rPr>
          <w:rFonts w:ascii="Arial" w:hAnsi="Arial" w:cs="Arial"/>
          <w:sz w:val="22"/>
          <w:szCs w:val="22"/>
        </w:rPr>
      </w:pPr>
      <w:r w:rsidRPr="00D10ED2">
        <w:rPr>
          <w:rFonts w:ascii="Arial" w:hAnsi="Arial" w:cs="Arial"/>
          <w:sz w:val="22"/>
          <w:szCs w:val="22"/>
        </w:rPr>
        <w:lastRenderedPageBreak/>
        <w:t xml:space="preserve">Co-administration of a single 15 mg oral dose of </w:t>
      </w:r>
      <w:r w:rsidR="0011623F" w:rsidRPr="00D10ED2">
        <w:rPr>
          <w:rFonts w:ascii="Arial" w:hAnsi="Arial" w:cs="Arial"/>
          <w:sz w:val="22"/>
          <w:szCs w:val="22"/>
        </w:rPr>
        <w:t>ICLUSIG</w:t>
      </w:r>
      <w:r w:rsidRPr="00D10ED2">
        <w:rPr>
          <w:rFonts w:ascii="Arial" w:hAnsi="Arial" w:cs="Arial"/>
          <w:sz w:val="22"/>
          <w:szCs w:val="22"/>
        </w:rPr>
        <w:t xml:space="preserve"> in the presence of ketoconazole (400 mg daily), a strong CYP3A inhibitor, resulted in modest increases in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systemic exposure, with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AUC</w:t>
      </w:r>
      <w:r w:rsidRPr="00D10ED2">
        <w:rPr>
          <w:rFonts w:ascii="Arial" w:hAnsi="Arial" w:cs="Arial"/>
          <w:sz w:val="22"/>
          <w:szCs w:val="22"/>
          <w:vertAlign w:val="subscript"/>
        </w:rPr>
        <w:t>0-∞</w:t>
      </w:r>
      <w:r w:rsidRPr="00D10ED2">
        <w:rPr>
          <w:rFonts w:ascii="Arial" w:hAnsi="Arial" w:cs="Arial"/>
          <w:sz w:val="22"/>
          <w:szCs w:val="22"/>
        </w:rPr>
        <w:t xml:space="preserve"> and </w:t>
      </w:r>
      <w:proofErr w:type="spellStart"/>
      <w:r w:rsidRPr="00D10ED2">
        <w:rPr>
          <w:rFonts w:ascii="Arial" w:hAnsi="Arial" w:cs="Arial"/>
          <w:sz w:val="22"/>
          <w:szCs w:val="22"/>
        </w:rPr>
        <w:t>C</w:t>
      </w:r>
      <w:r w:rsidRPr="00D10ED2">
        <w:rPr>
          <w:rFonts w:ascii="Arial" w:hAnsi="Arial" w:cs="Arial"/>
          <w:sz w:val="22"/>
          <w:szCs w:val="22"/>
          <w:vertAlign w:val="subscript"/>
        </w:rPr>
        <w:t>max</w:t>
      </w:r>
      <w:proofErr w:type="spellEnd"/>
      <w:r w:rsidRPr="00D10ED2">
        <w:rPr>
          <w:rFonts w:ascii="Arial" w:hAnsi="Arial" w:cs="Arial"/>
          <w:sz w:val="22"/>
          <w:szCs w:val="22"/>
        </w:rPr>
        <w:t xml:space="preserve"> values that were 78% and 47% higher, respectively, than those seen when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was administered alone. </w:t>
      </w:r>
    </w:p>
    <w:p w14:paraId="53DBDC7A" w14:textId="77777777" w:rsidR="008E0092" w:rsidRPr="00D10ED2" w:rsidRDefault="008E0092" w:rsidP="008E0092">
      <w:pPr>
        <w:rPr>
          <w:rFonts w:ascii="Arial" w:hAnsi="Arial" w:cs="Arial"/>
          <w:sz w:val="22"/>
          <w:szCs w:val="22"/>
        </w:rPr>
      </w:pPr>
    </w:p>
    <w:p w14:paraId="34A61581" w14:textId="75C70AF2" w:rsidR="008E0092" w:rsidRPr="00D10ED2" w:rsidRDefault="008E0092" w:rsidP="008E0092">
      <w:pPr>
        <w:rPr>
          <w:rFonts w:ascii="Arial" w:hAnsi="Arial" w:cs="Arial"/>
          <w:sz w:val="22"/>
          <w:szCs w:val="22"/>
        </w:rPr>
      </w:pPr>
      <w:r w:rsidRPr="00D10ED2">
        <w:rPr>
          <w:rFonts w:ascii="Arial" w:hAnsi="Arial" w:cs="Arial"/>
          <w:sz w:val="22"/>
          <w:szCs w:val="22"/>
        </w:rPr>
        <w:t xml:space="preserve">Caution should be exercised with concurrent use of </w:t>
      </w:r>
      <w:r w:rsidR="0011623F" w:rsidRPr="00D10ED2">
        <w:rPr>
          <w:rFonts w:ascii="Arial" w:hAnsi="Arial" w:cs="Arial"/>
          <w:sz w:val="22"/>
          <w:szCs w:val="22"/>
        </w:rPr>
        <w:t>ICLUSIG</w:t>
      </w:r>
      <w:r w:rsidRPr="00D10ED2">
        <w:rPr>
          <w:rFonts w:ascii="Arial" w:hAnsi="Arial" w:cs="Arial"/>
          <w:sz w:val="22"/>
          <w:szCs w:val="22"/>
        </w:rPr>
        <w:t xml:space="preserve"> and strong CYP3A inhibitors such as </w:t>
      </w:r>
      <w:proofErr w:type="spellStart"/>
      <w:r w:rsidRPr="00D10ED2">
        <w:rPr>
          <w:rFonts w:ascii="Arial" w:hAnsi="Arial" w:cs="Arial"/>
          <w:sz w:val="22"/>
          <w:szCs w:val="22"/>
        </w:rPr>
        <w:t>atazanavir</w:t>
      </w:r>
      <w:proofErr w:type="spellEnd"/>
      <w:r w:rsidRPr="00D10ED2">
        <w:rPr>
          <w:rFonts w:ascii="Arial" w:hAnsi="Arial" w:cs="Arial"/>
          <w:sz w:val="22"/>
          <w:szCs w:val="22"/>
        </w:rPr>
        <w:t xml:space="preserve">, clarithromycin, </w:t>
      </w:r>
      <w:proofErr w:type="spellStart"/>
      <w:r w:rsidRPr="00D10ED2">
        <w:rPr>
          <w:rFonts w:ascii="Arial" w:hAnsi="Arial" w:cs="Arial"/>
          <w:sz w:val="22"/>
          <w:szCs w:val="22"/>
        </w:rPr>
        <w:t>indinavir</w:t>
      </w:r>
      <w:proofErr w:type="spellEnd"/>
      <w:r w:rsidRPr="00D10ED2">
        <w:rPr>
          <w:rFonts w:ascii="Arial" w:hAnsi="Arial" w:cs="Arial"/>
          <w:sz w:val="22"/>
          <w:szCs w:val="22"/>
        </w:rPr>
        <w:t xml:space="preserve">, </w:t>
      </w:r>
      <w:proofErr w:type="spellStart"/>
      <w:r w:rsidRPr="00D10ED2">
        <w:rPr>
          <w:rFonts w:ascii="Arial" w:hAnsi="Arial" w:cs="Arial"/>
          <w:sz w:val="22"/>
          <w:szCs w:val="22"/>
        </w:rPr>
        <w:t>itraconazole</w:t>
      </w:r>
      <w:proofErr w:type="spellEnd"/>
      <w:r w:rsidRPr="00D10ED2">
        <w:rPr>
          <w:rFonts w:ascii="Arial" w:hAnsi="Arial" w:cs="Arial"/>
          <w:sz w:val="22"/>
          <w:szCs w:val="22"/>
        </w:rPr>
        <w:t xml:space="preserve">, ketoconazole, </w:t>
      </w:r>
      <w:proofErr w:type="spellStart"/>
      <w:r w:rsidRPr="00D10ED2">
        <w:rPr>
          <w:rFonts w:ascii="Arial" w:hAnsi="Arial" w:cs="Arial"/>
          <w:sz w:val="22"/>
          <w:szCs w:val="22"/>
        </w:rPr>
        <w:t>nefazodone</w:t>
      </w:r>
      <w:proofErr w:type="spellEnd"/>
      <w:r w:rsidRPr="00D10ED2">
        <w:rPr>
          <w:rFonts w:ascii="Arial" w:hAnsi="Arial" w:cs="Arial"/>
          <w:sz w:val="22"/>
          <w:szCs w:val="22"/>
        </w:rPr>
        <w:t xml:space="preserve">, </w:t>
      </w:r>
      <w:proofErr w:type="spellStart"/>
      <w:r w:rsidRPr="00D10ED2">
        <w:rPr>
          <w:rFonts w:ascii="Arial" w:hAnsi="Arial" w:cs="Arial"/>
          <w:sz w:val="22"/>
          <w:szCs w:val="22"/>
        </w:rPr>
        <w:t>nelfinavir</w:t>
      </w:r>
      <w:proofErr w:type="spellEnd"/>
      <w:r w:rsidRPr="00D10ED2">
        <w:rPr>
          <w:rFonts w:ascii="Arial" w:hAnsi="Arial" w:cs="Arial"/>
          <w:sz w:val="22"/>
          <w:szCs w:val="22"/>
        </w:rPr>
        <w:t xml:space="preserve">, ritonavir, </w:t>
      </w:r>
      <w:proofErr w:type="spellStart"/>
      <w:r w:rsidRPr="00D10ED2">
        <w:rPr>
          <w:rFonts w:ascii="Arial" w:hAnsi="Arial" w:cs="Arial"/>
          <w:sz w:val="22"/>
          <w:szCs w:val="22"/>
        </w:rPr>
        <w:t>saquinavir</w:t>
      </w:r>
      <w:proofErr w:type="spellEnd"/>
      <w:r w:rsidRPr="00D10ED2">
        <w:rPr>
          <w:rFonts w:ascii="Arial" w:hAnsi="Arial" w:cs="Arial"/>
          <w:sz w:val="22"/>
          <w:szCs w:val="22"/>
        </w:rPr>
        <w:t xml:space="preserve">, </w:t>
      </w:r>
      <w:proofErr w:type="spellStart"/>
      <w:r w:rsidRPr="00D10ED2">
        <w:rPr>
          <w:rFonts w:ascii="Arial" w:hAnsi="Arial" w:cs="Arial"/>
          <w:sz w:val="22"/>
          <w:szCs w:val="22"/>
        </w:rPr>
        <w:t>telithromycin</w:t>
      </w:r>
      <w:proofErr w:type="spellEnd"/>
      <w:r w:rsidRPr="00D10ED2">
        <w:rPr>
          <w:rFonts w:ascii="Arial" w:hAnsi="Arial" w:cs="Arial"/>
          <w:sz w:val="22"/>
          <w:szCs w:val="22"/>
        </w:rPr>
        <w:t xml:space="preserve">, </w:t>
      </w:r>
      <w:proofErr w:type="spellStart"/>
      <w:r w:rsidRPr="00D10ED2">
        <w:rPr>
          <w:rFonts w:ascii="Arial" w:hAnsi="Arial" w:cs="Arial"/>
          <w:sz w:val="22"/>
          <w:szCs w:val="22"/>
        </w:rPr>
        <w:t>troleandomycin</w:t>
      </w:r>
      <w:proofErr w:type="spellEnd"/>
      <w:r w:rsidRPr="00D10ED2">
        <w:rPr>
          <w:rFonts w:ascii="Arial" w:hAnsi="Arial" w:cs="Arial"/>
          <w:sz w:val="22"/>
          <w:szCs w:val="22"/>
        </w:rPr>
        <w:t xml:space="preserve">, </w:t>
      </w:r>
      <w:proofErr w:type="spellStart"/>
      <w:r w:rsidRPr="00D10ED2">
        <w:rPr>
          <w:rFonts w:ascii="Arial" w:hAnsi="Arial" w:cs="Arial"/>
          <w:sz w:val="22"/>
          <w:szCs w:val="22"/>
        </w:rPr>
        <w:t>voriconazole</w:t>
      </w:r>
      <w:proofErr w:type="spellEnd"/>
      <w:r w:rsidRPr="00D10ED2">
        <w:rPr>
          <w:rFonts w:ascii="Arial" w:hAnsi="Arial" w:cs="Arial"/>
          <w:sz w:val="22"/>
          <w:szCs w:val="22"/>
        </w:rPr>
        <w:t>, and grapefruit juice.</w:t>
      </w:r>
    </w:p>
    <w:p w14:paraId="6293BFE4" w14:textId="77777777" w:rsidR="008E0092" w:rsidRPr="00D10ED2" w:rsidRDefault="008E0092" w:rsidP="008E0092">
      <w:pPr>
        <w:rPr>
          <w:rFonts w:ascii="Arial" w:hAnsi="Arial" w:cs="Arial"/>
          <w:sz w:val="22"/>
          <w:szCs w:val="22"/>
        </w:rPr>
      </w:pPr>
    </w:p>
    <w:p w14:paraId="59357959" w14:textId="77777777" w:rsidR="008E0092" w:rsidRPr="00D10ED2" w:rsidRDefault="008E0092" w:rsidP="008E0092">
      <w:pPr>
        <w:rPr>
          <w:rFonts w:ascii="Arial" w:hAnsi="Arial" w:cs="Arial"/>
          <w:sz w:val="22"/>
          <w:szCs w:val="22"/>
          <w:u w:val="single"/>
        </w:rPr>
      </w:pPr>
      <w:r w:rsidRPr="00D10ED2">
        <w:rPr>
          <w:rFonts w:ascii="Arial" w:hAnsi="Arial" w:cs="Arial"/>
          <w:sz w:val="22"/>
          <w:szCs w:val="22"/>
          <w:u w:val="single"/>
        </w:rPr>
        <w:t xml:space="preserve">Substances that may decrease </w:t>
      </w:r>
      <w:proofErr w:type="spellStart"/>
      <w:r w:rsidRPr="00D10ED2">
        <w:rPr>
          <w:rFonts w:ascii="Arial" w:hAnsi="Arial" w:cs="Arial"/>
          <w:sz w:val="22"/>
          <w:szCs w:val="22"/>
          <w:u w:val="single"/>
        </w:rPr>
        <w:t>ponatinib</w:t>
      </w:r>
      <w:proofErr w:type="spellEnd"/>
      <w:r w:rsidRPr="00D10ED2">
        <w:rPr>
          <w:rFonts w:ascii="Arial" w:hAnsi="Arial" w:cs="Arial"/>
          <w:sz w:val="22"/>
          <w:szCs w:val="22"/>
          <w:u w:val="single"/>
        </w:rPr>
        <w:t xml:space="preserve"> serum concentrations</w:t>
      </w:r>
    </w:p>
    <w:p w14:paraId="737D3E45" w14:textId="77777777" w:rsidR="008E0092" w:rsidRPr="00D10ED2" w:rsidRDefault="008E0092" w:rsidP="008E0092">
      <w:pPr>
        <w:pStyle w:val="List3"/>
        <w:tabs>
          <w:tab w:val="clear" w:pos="2016"/>
        </w:tabs>
        <w:spacing w:before="0" w:after="0"/>
        <w:ind w:left="0" w:firstLine="0"/>
        <w:rPr>
          <w:rFonts w:ascii="Arial" w:hAnsi="Arial" w:cs="Arial"/>
          <w:sz w:val="22"/>
          <w:szCs w:val="22"/>
        </w:rPr>
      </w:pPr>
    </w:p>
    <w:p w14:paraId="26CACF55" w14:textId="49846D38" w:rsidR="008E0092" w:rsidRPr="00D10ED2" w:rsidRDefault="008E0092" w:rsidP="008E0092">
      <w:pPr>
        <w:pStyle w:val="List3"/>
        <w:tabs>
          <w:tab w:val="clear" w:pos="2016"/>
        </w:tabs>
        <w:spacing w:before="0" w:after="0"/>
        <w:ind w:left="0" w:firstLine="0"/>
        <w:rPr>
          <w:rFonts w:ascii="Arial" w:hAnsi="Arial" w:cs="Arial"/>
          <w:i/>
          <w:sz w:val="22"/>
          <w:szCs w:val="22"/>
        </w:rPr>
      </w:pPr>
      <w:r w:rsidRPr="00D10ED2">
        <w:rPr>
          <w:rFonts w:ascii="Arial" w:hAnsi="Arial" w:cs="Arial"/>
          <w:i/>
          <w:sz w:val="22"/>
          <w:szCs w:val="22"/>
        </w:rPr>
        <w:t>CYP3A inducers</w:t>
      </w:r>
    </w:p>
    <w:p w14:paraId="166A2D7B" w14:textId="77777777" w:rsidR="001F1286" w:rsidRPr="00DC00CC" w:rsidRDefault="001F1286" w:rsidP="001F1286">
      <w:pPr>
        <w:rPr>
          <w:rFonts w:ascii="Arial" w:hAnsi="Arial" w:cs="Arial"/>
          <w:sz w:val="22"/>
          <w:szCs w:val="22"/>
        </w:rPr>
      </w:pPr>
      <w:r w:rsidRPr="00DC00CC">
        <w:rPr>
          <w:rFonts w:ascii="Arial" w:hAnsi="Arial" w:cs="Arial"/>
          <w:sz w:val="22"/>
          <w:szCs w:val="22"/>
        </w:rPr>
        <w:t xml:space="preserve">Co-administration of a single 45 mg dose of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in the presence of rifampin (600 mg daily for 9 days), a strong CYP3A inducer, resulted in decreases in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systemic exposure, with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AUC</w:t>
      </w:r>
      <w:r w:rsidRPr="001B77E9">
        <w:rPr>
          <w:rFonts w:ascii="Arial" w:hAnsi="Arial" w:cs="Arial"/>
          <w:sz w:val="22"/>
          <w:szCs w:val="22"/>
          <w:vertAlign w:val="subscript"/>
        </w:rPr>
        <w:t>0-inf</w:t>
      </w:r>
      <w:r w:rsidRPr="00DC00CC">
        <w:rPr>
          <w:rFonts w:ascii="Arial" w:hAnsi="Arial" w:cs="Arial"/>
          <w:sz w:val="22"/>
          <w:szCs w:val="22"/>
        </w:rPr>
        <w:t xml:space="preserve"> and </w:t>
      </w:r>
      <w:proofErr w:type="spellStart"/>
      <w:r w:rsidRPr="00DC00CC">
        <w:rPr>
          <w:rFonts w:ascii="Arial" w:hAnsi="Arial" w:cs="Arial"/>
          <w:sz w:val="22"/>
          <w:szCs w:val="22"/>
        </w:rPr>
        <w:t>C</w:t>
      </w:r>
      <w:r w:rsidRPr="001B77E9">
        <w:rPr>
          <w:rFonts w:ascii="Arial" w:hAnsi="Arial" w:cs="Arial"/>
          <w:sz w:val="22"/>
          <w:szCs w:val="22"/>
          <w:vertAlign w:val="subscript"/>
        </w:rPr>
        <w:t>max</w:t>
      </w:r>
      <w:proofErr w:type="spellEnd"/>
      <w:r w:rsidRPr="00DC00CC">
        <w:rPr>
          <w:rFonts w:ascii="Arial" w:hAnsi="Arial" w:cs="Arial"/>
          <w:sz w:val="22"/>
          <w:szCs w:val="22"/>
        </w:rPr>
        <w:t xml:space="preserve"> values that were 62% and 42% lower, respective to those seen when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was administered alone. Co-administration of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with strong CYP3A4 inducers such as carbamazepine, phenobarbital, phenytoin, </w:t>
      </w:r>
      <w:proofErr w:type="spellStart"/>
      <w:r w:rsidRPr="00DC00CC">
        <w:rPr>
          <w:rFonts w:ascii="Arial" w:hAnsi="Arial" w:cs="Arial"/>
          <w:sz w:val="22"/>
          <w:szCs w:val="22"/>
        </w:rPr>
        <w:t>rifabutin</w:t>
      </w:r>
      <w:proofErr w:type="spellEnd"/>
      <w:r w:rsidRPr="00DC00CC">
        <w:rPr>
          <w:rFonts w:ascii="Arial" w:hAnsi="Arial" w:cs="Arial"/>
          <w:sz w:val="22"/>
          <w:szCs w:val="22"/>
        </w:rPr>
        <w:t>, rifampicin, and St. John</w:t>
      </w:r>
      <w:r>
        <w:rPr>
          <w:rFonts w:ascii="Arial" w:hAnsi="Arial" w:cs="Arial"/>
          <w:sz w:val="22"/>
          <w:szCs w:val="22"/>
        </w:rPr>
        <w:t>’</w:t>
      </w:r>
      <w:r w:rsidRPr="00DC00CC">
        <w:rPr>
          <w:rFonts w:ascii="Arial" w:hAnsi="Arial" w:cs="Arial"/>
          <w:sz w:val="22"/>
          <w:szCs w:val="22"/>
        </w:rPr>
        <w:t xml:space="preserve">s </w:t>
      </w:r>
      <w:proofErr w:type="spellStart"/>
      <w:r w:rsidRPr="00DC00CC">
        <w:rPr>
          <w:rFonts w:ascii="Arial" w:hAnsi="Arial" w:cs="Arial"/>
          <w:sz w:val="22"/>
          <w:szCs w:val="22"/>
        </w:rPr>
        <w:t>Wort</w:t>
      </w:r>
      <w:proofErr w:type="spellEnd"/>
      <w:r w:rsidRPr="00DC00CC">
        <w:rPr>
          <w:rFonts w:ascii="Arial" w:hAnsi="Arial" w:cs="Arial"/>
          <w:sz w:val="22"/>
          <w:szCs w:val="22"/>
        </w:rPr>
        <w:t xml:space="preserve"> should be avoided unless the benefit outweighs the possible risk of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underexposure.</w:t>
      </w:r>
    </w:p>
    <w:p w14:paraId="54E954E1" w14:textId="77777777" w:rsidR="001F1286" w:rsidRPr="00D10ED2" w:rsidRDefault="001F1286" w:rsidP="008E0092">
      <w:pPr>
        <w:rPr>
          <w:rFonts w:ascii="Arial" w:hAnsi="Arial" w:cs="Arial"/>
          <w:sz w:val="22"/>
          <w:szCs w:val="22"/>
        </w:rPr>
      </w:pPr>
    </w:p>
    <w:p w14:paraId="1B82D0DE" w14:textId="77777777" w:rsidR="00F427CC" w:rsidRDefault="00F427CC" w:rsidP="008E0092">
      <w:pPr>
        <w:pStyle w:val="List3"/>
        <w:tabs>
          <w:tab w:val="clear" w:pos="2016"/>
        </w:tabs>
        <w:spacing w:before="0" w:after="0"/>
        <w:ind w:left="0" w:firstLine="0"/>
        <w:rPr>
          <w:rFonts w:ascii="Arial" w:hAnsi="Arial" w:cs="Arial"/>
          <w:i/>
          <w:sz w:val="22"/>
          <w:szCs w:val="22"/>
        </w:rPr>
      </w:pPr>
    </w:p>
    <w:p w14:paraId="39B49A20" w14:textId="77777777" w:rsidR="008E0092" w:rsidRPr="00D10ED2" w:rsidRDefault="008E0092" w:rsidP="008E0092">
      <w:pPr>
        <w:pStyle w:val="List3"/>
        <w:tabs>
          <w:tab w:val="clear" w:pos="2016"/>
        </w:tabs>
        <w:spacing w:before="0" w:after="0"/>
        <w:ind w:left="0" w:firstLine="0"/>
        <w:rPr>
          <w:rFonts w:ascii="Arial" w:hAnsi="Arial" w:cs="Arial"/>
          <w:i/>
          <w:sz w:val="22"/>
          <w:szCs w:val="22"/>
        </w:rPr>
      </w:pPr>
      <w:r w:rsidRPr="00D10ED2">
        <w:rPr>
          <w:rFonts w:ascii="Arial" w:hAnsi="Arial" w:cs="Arial"/>
          <w:i/>
          <w:sz w:val="22"/>
          <w:szCs w:val="22"/>
        </w:rPr>
        <w:t>Elevated gastric pH</w:t>
      </w:r>
    </w:p>
    <w:p w14:paraId="1095683A" w14:textId="77777777" w:rsidR="00DC00CC" w:rsidRDefault="008E0092" w:rsidP="008E0092">
      <w:pPr>
        <w:rPr>
          <w:rFonts w:ascii="Arial" w:hAnsi="Arial" w:cs="Arial"/>
          <w:sz w:val="22"/>
          <w:szCs w:val="22"/>
        </w:rPr>
      </w:pPr>
      <w:r w:rsidRPr="00D10ED2">
        <w:rPr>
          <w:rFonts w:ascii="Arial" w:hAnsi="Arial" w:cs="Arial"/>
          <w:sz w:val="22"/>
          <w:szCs w:val="22"/>
        </w:rPr>
        <w:t xml:space="preserve">The aqueous solubility of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pH dependent, with higher pH resulting in lower solubility. </w:t>
      </w:r>
    </w:p>
    <w:p w14:paraId="17E3B4A8" w14:textId="77777777" w:rsidR="008E0092" w:rsidRDefault="008E0092" w:rsidP="008E0092">
      <w:pPr>
        <w:rPr>
          <w:rFonts w:ascii="Arial" w:hAnsi="Arial" w:cs="Arial"/>
          <w:sz w:val="22"/>
          <w:szCs w:val="22"/>
        </w:rPr>
      </w:pPr>
    </w:p>
    <w:p w14:paraId="15965A2A" w14:textId="2A1B7BF6" w:rsidR="008E0092" w:rsidRPr="00D10ED2" w:rsidRDefault="00DC00CC" w:rsidP="008E0092">
      <w:pPr>
        <w:rPr>
          <w:rFonts w:ascii="Arial" w:hAnsi="Arial" w:cs="Arial"/>
          <w:sz w:val="22"/>
          <w:szCs w:val="22"/>
          <w:u w:val="single"/>
        </w:rPr>
      </w:pPr>
      <w:r w:rsidRPr="00DC00CC">
        <w:rPr>
          <w:rFonts w:ascii="Arial" w:hAnsi="Arial" w:cs="Arial"/>
          <w:sz w:val="22"/>
          <w:szCs w:val="22"/>
        </w:rPr>
        <w:t xml:space="preserve">Administration of a single 45 mg dose of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following multiple doses of a potent inhibitor of gastric acid secretion (lansoprazole 60 mg QD for 2 days) resulted in a minor reductions in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w:t>
      </w:r>
      <w:proofErr w:type="spellStart"/>
      <w:r w:rsidRPr="00DC00CC">
        <w:rPr>
          <w:rFonts w:ascii="Arial" w:hAnsi="Arial" w:cs="Arial"/>
          <w:sz w:val="22"/>
          <w:szCs w:val="22"/>
        </w:rPr>
        <w:t>C</w:t>
      </w:r>
      <w:r w:rsidRPr="008254BD">
        <w:rPr>
          <w:rFonts w:ascii="Arial" w:hAnsi="Arial" w:cs="Arial"/>
          <w:sz w:val="22"/>
          <w:szCs w:val="22"/>
          <w:vertAlign w:val="subscript"/>
        </w:rPr>
        <w:t>max</w:t>
      </w:r>
      <w:proofErr w:type="spellEnd"/>
      <w:r w:rsidRPr="00DC00CC">
        <w:rPr>
          <w:rFonts w:ascii="Arial" w:hAnsi="Arial" w:cs="Arial"/>
          <w:sz w:val="22"/>
          <w:szCs w:val="22"/>
        </w:rPr>
        <w:t xml:space="preserve"> (25%) without a change in overall systemic exposure (AUC</w:t>
      </w:r>
      <w:r w:rsidRPr="001B77E9">
        <w:rPr>
          <w:rFonts w:ascii="Arial" w:hAnsi="Arial" w:cs="Arial"/>
          <w:sz w:val="22"/>
          <w:szCs w:val="22"/>
          <w:vertAlign w:val="subscript"/>
        </w:rPr>
        <w:t>0-inf</w:t>
      </w:r>
      <w:r w:rsidRPr="00DC00CC">
        <w:rPr>
          <w:rFonts w:ascii="Arial" w:hAnsi="Arial" w:cs="Arial"/>
          <w:sz w:val="22"/>
          <w:szCs w:val="22"/>
        </w:rPr>
        <w:t xml:space="preserve">), respective to those seen when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was administered alone. Median </w:t>
      </w:r>
      <w:proofErr w:type="spellStart"/>
      <w:r w:rsidRPr="00DC00CC">
        <w:rPr>
          <w:rFonts w:ascii="Arial" w:hAnsi="Arial" w:cs="Arial"/>
          <w:sz w:val="22"/>
          <w:szCs w:val="22"/>
        </w:rPr>
        <w:t>T</w:t>
      </w:r>
      <w:r w:rsidRPr="008254BD">
        <w:rPr>
          <w:rFonts w:ascii="Arial" w:hAnsi="Arial" w:cs="Arial"/>
          <w:sz w:val="22"/>
          <w:szCs w:val="22"/>
          <w:vertAlign w:val="subscript"/>
        </w:rPr>
        <w:t>max</w:t>
      </w:r>
      <w:proofErr w:type="spellEnd"/>
      <w:r w:rsidRPr="00DC00CC">
        <w:rPr>
          <w:rFonts w:ascii="Arial" w:hAnsi="Arial" w:cs="Arial"/>
          <w:sz w:val="22"/>
          <w:szCs w:val="22"/>
        </w:rPr>
        <w:t xml:space="preserve"> was increased by 1 hour when </w:t>
      </w:r>
      <w:proofErr w:type="spellStart"/>
      <w:r w:rsidRPr="00DC00CC">
        <w:rPr>
          <w:rFonts w:ascii="Arial" w:hAnsi="Arial" w:cs="Arial"/>
          <w:sz w:val="22"/>
          <w:szCs w:val="22"/>
        </w:rPr>
        <w:t>ponatinib</w:t>
      </w:r>
      <w:proofErr w:type="spellEnd"/>
      <w:r w:rsidRPr="00DC00CC">
        <w:rPr>
          <w:rFonts w:ascii="Arial" w:hAnsi="Arial" w:cs="Arial"/>
          <w:sz w:val="22"/>
          <w:szCs w:val="22"/>
        </w:rPr>
        <w:t xml:space="preserve"> was administered following lansoprazole pretreatment.</w:t>
      </w:r>
      <w:r w:rsidRPr="00DC00CC">
        <w:rPr>
          <w:rFonts w:ascii="Arial" w:hAnsi="Arial" w:cs="Arial"/>
          <w:sz w:val="22"/>
          <w:szCs w:val="22"/>
        </w:rPr>
        <w:br/>
      </w:r>
      <w:r w:rsidRPr="00DC00CC">
        <w:rPr>
          <w:rFonts w:ascii="Arial" w:hAnsi="Arial" w:cs="Arial"/>
          <w:sz w:val="22"/>
          <w:szCs w:val="22"/>
        </w:rPr>
        <w:br/>
        <w:t>ICLUSIG may be administered concurrently with drugs that raise gastric pH without the need for adjustment of ICLUSIG dose or separation of administration.</w:t>
      </w:r>
      <w:r>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008E0092" w:rsidRPr="00D10ED2">
        <w:rPr>
          <w:rFonts w:ascii="Arial" w:hAnsi="Arial" w:cs="Arial"/>
          <w:sz w:val="22"/>
          <w:szCs w:val="22"/>
          <w:u w:val="single"/>
        </w:rPr>
        <w:t xml:space="preserve">Substances that may have their serum concentrations altered by </w:t>
      </w:r>
      <w:proofErr w:type="spellStart"/>
      <w:r w:rsidR="008E0092" w:rsidRPr="00D10ED2">
        <w:rPr>
          <w:rFonts w:ascii="Arial" w:hAnsi="Arial" w:cs="Arial"/>
          <w:sz w:val="22"/>
          <w:szCs w:val="22"/>
          <w:u w:val="single"/>
        </w:rPr>
        <w:t>ponatinib</w:t>
      </w:r>
      <w:proofErr w:type="spellEnd"/>
      <w:r w:rsidR="008E0092" w:rsidRPr="00D10ED2">
        <w:rPr>
          <w:rFonts w:ascii="Arial" w:hAnsi="Arial" w:cs="Arial"/>
          <w:sz w:val="22"/>
          <w:szCs w:val="22"/>
          <w:u w:val="single"/>
        </w:rPr>
        <w:t xml:space="preserve"> </w:t>
      </w:r>
    </w:p>
    <w:p w14:paraId="440DBB86" w14:textId="77777777" w:rsidR="008E0092" w:rsidRPr="00D10ED2" w:rsidRDefault="008E0092" w:rsidP="008E0092">
      <w:pPr>
        <w:rPr>
          <w:rFonts w:ascii="Arial" w:hAnsi="Arial" w:cs="Arial"/>
          <w:sz w:val="22"/>
          <w:szCs w:val="22"/>
        </w:rPr>
      </w:pPr>
    </w:p>
    <w:p w14:paraId="5DDFDB58" w14:textId="77777777" w:rsidR="008E0092" w:rsidRPr="00D10ED2" w:rsidRDefault="008E0092" w:rsidP="008E0092">
      <w:pPr>
        <w:pStyle w:val="List3"/>
        <w:tabs>
          <w:tab w:val="clear" w:pos="2016"/>
        </w:tabs>
        <w:spacing w:before="0" w:after="0"/>
        <w:ind w:left="0" w:firstLine="0"/>
        <w:rPr>
          <w:rFonts w:ascii="Arial" w:hAnsi="Arial" w:cs="Arial"/>
          <w:i/>
          <w:sz w:val="22"/>
          <w:szCs w:val="22"/>
        </w:rPr>
      </w:pPr>
      <w:r w:rsidRPr="00D10ED2">
        <w:rPr>
          <w:rFonts w:ascii="Arial" w:hAnsi="Arial" w:cs="Arial"/>
          <w:i/>
          <w:sz w:val="22"/>
          <w:szCs w:val="22"/>
        </w:rPr>
        <w:t>Transporter substrates</w:t>
      </w:r>
    </w:p>
    <w:p w14:paraId="6FEEACBC" w14:textId="573484B5" w:rsidR="008E0092" w:rsidRPr="00D10ED2" w:rsidRDefault="008E0092" w:rsidP="008E0092">
      <w:pPr>
        <w:rPr>
          <w:rFonts w:ascii="Arial" w:hAnsi="Arial" w:cs="Arial"/>
          <w:sz w:val="22"/>
          <w:szCs w:val="22"/>
        </w:rPr>
      </w:pPr>
      <w:r w:rsidRPr="00D10ED2">
        <w:rPr>
          <w:rFonts w:ascii="Arial" w:hAnsi="Arial" w:cs="Arial"/>
          <w:i/>
          <w:sz w:val="22"/>
          <w:szCs w:val="22"/>
        </w:rPr>
        <w:t>In vitro</w:t>
      </w:r>
      <w:r w:rsidRPr="00D10ED2">
        <w:rPr>
          <w:rFonts w:ascii="Arial" w:hAnsi="Arial" w:cs="Arial"/>
          <w:sz w:val="22"/>
          <w:szCs w:val="22"/>
        </w:rPr>
        <w:t xml:space="preserve">,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an inhibitor of </w:t>
      </w:r>
      <w:r w:rsidR="00B85EC6" w:rsidRPr="00D10ED2">
        <w:rPr>
          <w:rFonts w:ascii="Arial" w:hAnsi="Arial" w:cs="Arial"/>
          <w:sz w:val="22"/>
          <w:szCs w:val="22"/>
        </w:rPr>
        <w:t>P-glycoprotein (</w:t>
      </w:r>
      <w:r w:rsidRPr="00D10ED2">
        <w:rPr>
          <w:rFonts w:ascii="Arial" w:hAnsi="Arial" w:cs="Arial"/>
          <w:sz w:val="22"/>
          <w:szCs w:val="22"/>
        </w:rPr>
        <w:t>P-</w:t>
      </w:r>
      <w:proofErr w:type="spellStart"/>
      <w:r w:rsidRPr="00D10ED2">
        <w:rPr>
          <w:rFonts w:ascii="Arial" w:hAnsi="Arial" w:cs="Arial"/>
          <w:sz w:val="22"/>
          <w:szCs w:val="22"/>
        </w:rPr>
        <w:t>gp</w:t>
      </w:r>
      <w:proofErr w:type="spellEnd"/>
      <w:r w:rsidR="00B85EC6" w:rsidRPr="00D10ED2">
        <w:rPr>
          <w:rFonts w:ascii="Arial" w:hAnsi="Arial" w:cs="Arial"/>
          <w:sz w:val="22"/>
          <w:szCs w:val="22"/>
        </w:rPr>
        <w:t>)</w:t>
      </w:r>
      <w:r w:rsidRPr="00D10ED2">
        <w:rPr>
          <w:rFonts w:ascii="Arial" w:hAnsi="Arial" w:cs="Arial"/>
          <w:sz w:val="22"/>
          <w:szCs w:val="22"/>
        </w:rPr>
        <w:t xml:space="preserve"> and </w:t>
      </w:r>
      <w:r w:rsidR="00B85EC6" w:rsidRPr="00D10ED2">
        <w:rPr>
          <w:rFonts w:ascii="Arial" w:hAnsi="Arial" w:cs="Arial"/>
          <w:sz w:val="22"/>
          <w:szCs w:val="22"/>
        </w:rPr>
        <w:t>breast cancer resistance protein (</w:t>
      </w:r>
      <w:r w:rsidRPr="00D10ED2">
        <w:rPr>
          <w:rFonts w:ascii="Arial" w:hAnsi="Arial" w:cs="Arial"/>
          <w:sz w:val="22"/>
          <w:szCs w:val="22"/>
        </w:rPr>
        <w:t>BCRP</w:t>
      </w:r>
      <w:r w:rsidR="00B85EC6" w:rsidRPr="00D10ED2">
        <w:rPr>
          <w:rFonts w:ascii="Arial" w:hAnsi="Arial" w:cs="Arial"/>
          <w:sz w:val="22"/>
          <w:szCs w:val="22"/>
        </w:rPr>
        <w:t>)</w:t>
      </w:r>
      <w:r w:rsidRPr="00D10ED2">
        <w:rPr>
          <w:rFonts w:ascii="Arial" w:hAnsi="Arial" w:cs="Arial"/>
          <w:sz w:val="22"/>
          <w:szCs w:val="22"/>
        </w:rPr>
        <w:t xml:space="preserve">. Therefore,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may have the potential to increase plasma concentrations of co-administered substrates of P-</w:t>
      </w:r>
      <w:proofErr w:type="spellStart"/>
      <w:r w:rsidRPr="00D10ED2">
        <w:rPr>
          <w:rFonts w:ascii="Arial" w:hAnsi="Arial" w:cs="Arial"/>
          <w:sz w:val="22"/>
          <w:szCs w:val="22"/>
        </w:rPr>
        <w:t>gp</w:t>
      </w:r>
      <w:proofErr w:type="spellEnd"/>
      <w:r w:rsidRPr="00D10ED2">
        <w:rPr>
          <w:rFonts w:ascii="Arial" w:hAnsi="Arial" w:cs="Arial"/>
          <w:sz w:val="22"/>
          <w:szCs w:val="22"/>
        </w:rPr>
        <w:t xml:space="preserve"> (e.g., digoxin, </w:t>
      </w:r>
      <w:proofErr w:type="spellStart"/>
      <w:r w:rsidRPr="00D10ED2">
        <w:rPr>
          <w:rFonts w:ascii="Arial" w:hAnsi="Arial" w:cs="Arial"/>
          <w:sz w:val="22"/>
          <w:szCs w:val="22"/>
        </w:rPr>
        <w:t>dabigatran</w:t>
      </w:r>
      <w:proofErr w:type="spellEnd"/>
      <w:r w:rsidRPr="00D10ED2">
        <w:rPr>
          <w:rFonts w:ascii="Arial" w:hAnsi="Arial" w:cs="Arial"/>
          <w:sz w:val="22"/>
          <w:szCs w:val="22"/>
        </w:rPr>
        <w:t xml:space="preserve">, colchicine, pravastatin) or BCRP (e.g., methotrexate, </w:t>
      </w:r>
      <w:proofErr w:type="spellStart"/>
      <w:r w:rsidRPr="00D10ED2">
        <w:rPr>
          <w:rFonts w:ascii="Arial" w:hAnsi="Arial" w:cs="Arial"/>
          <w:sz w:val="22"/>
          <w:szCs w:val="22"/>
        </w:rPr>
        <w:t>rosuvastatin</w:t>
      </w:r>
      <w:proofErr w:type="spellEnd"/>
      <w:r w:rsidRPr="00D10ED2">
        <w:rPr>
          <w:rFonts w:ascii="Arial" w:hAnsi="Arial" w:cs="Arial"/>
          <w:sz w:val="22"/>
          <w:szCs w:val="22"/>
        </w:rPr>
        <w:t xml:space="preserve">, sulfasalazine) and may increase their adverse reactions. Close clinical surveillance is recommended when </w:t>
      </w:r>
      <w:proofErr w:type="spellStart"/>
      <w:r w:rsidRPr="00D10ED2">
        <w:rPr>
          <w:rFonts w:ascii="Arial" w:hAnsi="Arial" w:cs="Arial"/>
          <w:sz w:val="22"/>
          <w:szCs w:val="22"/>
        </w:rPr>
        <w:t>ponatinib</w:t>
      </w:r>
      <w:proofErr w:type="spellEnd"/>
      <w:r w:rsidRPr="00D10ED2">
        <w:rPr>
          <w:rFonts w:ascii="Arial" w:hAnsi="Arial" w:cs="Arial"/>
          <w:sz w:val="22"/>
          <w:szCs w:val="22"/>
        </w:rPr>
        <w:t xml:space="preserve"> is administered with these medicinal products. </w:t>
      </w:r>
    </w:p>
    <w:p w14:paraId="3265AC79" w14:textId="77777777" w:rsidR="008E0092" w:rsidRPr="00D10ED2" w:rsidRDefault="008E0092" w:rsidP="008E0092">
      <w:pPr>
        <w:rPr>
          <w:rFonts w:ascii="Arial" w:hAnsi="Arial" w:cs="Arial"/>
          <w:sz w:val="28"/>
          <w:szCs w:val="28"/>
        </w:rPr>
      </w:pPr>
    </w:p>
    <w:p w14:paraId="41B9F9DB" w14:textId="153B74EB" w:rsidR="008A5A20" w:rsidRPr="00D10ED2" w:rsidRDefault="008A5A20" w:rsidP="008A5A20">
      <w:pPr>
        <w:rPr>
          <w:rFonts w:ascii="Arial" w:hAnsi="Arial" w:cs="Arial"/>
          <w:b/>
          <w:sz w:val="28"/>
          <w:szCs w:val="28"/>
        </w:rPr>
      </w:pPr>
      <w:r w:rsidRPr="00D10ED2">
        <w:rPr>
          <w:rFonts w:ascii="Arial" w:hAnsi="Arial" w:cs="Arial"/>
          <w:b/>
          <w:sz w:val="28"/>
          <w:szCs w:val="28"/>
        </w:rPr>
        <w:t>Drug-Food Interactions</w:t>
      </w:r>
    </w:p>
    <w:p w14:paraId="0B94E30F" w14:textId="77777777" w:rsidR="00CD772B" w:rsidRPr="00D10ED2" w:rsidRDefault="00CD772B" w:rsidP="008A5A20">
      <w:pPr>
        <w:rPr>
          <w:rFonts w:ascii="Arial" w:hAnsi="Arial" w:cs="Arial"/>
          <w:b/>
          <w:sz w:val="22"/>
          <w:szCs w:val="22"/>
        </w:rPr>
      </w:pPr>
    </w:p>
    <w:p w14:paraId="16B321C0" w14:textId="51EF825D" w:rsidR="008A5A20" w:rsidRPr="00D10ED2" w:rsidRDefault="008A5A20" w:rsidP="008A5A20">
      <w:pPr>
        <w:rPr>
          <w:rFonts w:ascii="Arial" w:eastAsia="Times New Roman" w:hAnsi="Arial" w:cs="Arial"/>
          <w:bCs/>
          <w:iCs/>
          <w:sz w:val="22"/>
          <w:szCs w:val="22"/>
        </w:rPr>
      </w:pPr>
      <w:r w:rsidRPr="00D10ED2">
        <w:rPr>
          <w:rFonts w:ascii="Arial" w:eastAsia="Times New Roman" w:hAnsi="Arial" w:cs="Arial"/>
          <w:bCs/>
          <w:iCs/>
          <w:sz w:val="22"/>
          <w:szCs w:val="22"/>
        </w:rPr>
        <w:t xml:space="preserve">Administration of ICLUSIG with a high- or low-fat meal, or without food, does not change the pharmacokinetics of </w:t>
      </w:r>
      <w:proofErr w:type="spellStart"/>
      <w:r w:rsidRPr="00D10ED2">
        <w:rPr>
          <w:rFonts w:ascii="Arial" w:eastAsia="Times New Roman" w:hAnsi="Arial" w:cs="Arial"/>
          <w:bCs/>
          <w:iCs/>
          <w:sz w:val="22"/>
          <w:szCs w:val="22"/>
        </w:rPr>
        <w:t>ponatinib</w:t>
      </w:r>
      <w:proofErr w:type="spellEnd"/>
      <w:r w:rsidR="00E87E76" w:rsidRPr="00D10ED2">
        <w:rPr>
          <w:rFonts w:ascii="Arial" w:eastAsia="Times New Roman" w:hAnsi="Arial" w:cs="Arial"/>
          <w:bCs/>
          <w:iCs/>
          <w:sz w:val="22"/>
          <w:szCs w:val="22"/>
        </w:rPr>
        <w:t xml:space="preserve"> (see Pharmacodynamics and Pharmacokinetics).</w:t>
      </w:r>
    </w:p>
    <w:p w14:paraId="4E1A20D9" w14:textId="77777777" w:rsidR="00F22F98" w:rsidRPr="00D10ED2" w:rsidRDefault="00F22F98" w:rsidP="005329CC">
      <w:pPr>
        <w:rPr>
          <w:rFonts w:ascii="Arial" w:hAnsi="Arial" w:cs="Arial"/>
          <w:b/>
          <w:sz w:val="28"/>
          <w:szCs w:val="28"/>
        </w:rPr>
      </w:pPr>
    </w:p>
    <w:p w14:paraId="5B6B0141" w14:textId="77777777" w:rsidR="0057419A" w:rsidRPr="00D10ED2" w:rsidRDefault="0057419A" w:rsidP="00EC45EA">
      <w:pPr>
        <w:keepNext/>
        <w:keepLines/>
        <w:rPr>
          <w:rFonts w:ascii="Arial" w:hAnsi="Arial" w:cs="Arial"/>
          <w:b/>
          <w:sz w:val="28"/>
          <w:szCs w:val="28"/>
        </w:rPr>
      </w:pPr>
      <w:r w:rsidRPr="00D10ED2">
        <w:rPr>
          <w:rFonts w:ascii="Arial" w:hAnsi="Arial" w:cs="Arial"/>
          <w:b/>
          <w:sz w:val="28"/>
          <w:szCs w:val="28"/>
        </w:rPr>
        <w:t>Adverse Effects</w:t>
      </w:r>
    </w:p>
    <w:p w14:paraId="331BF2BB" w14:textId="77777777" w:rsidR="0057419A" w:rsidRPr="00D10ED2" w:rsidRDefault="0057419A" w:rsidP="00EC45EA">
      <w:pPr>
        <w:keepNext/>
        <w:keepLines/>
        <w:rPr>
          <w:rFonts w:ascii="Arial" w:hAnsi="Arial" w:cs="Arial"/>
          <w:b/>
          <w:sz w:val="22"/>
          <w:szCs w:val="22"/>
        </w:rPr>
      </w:pPr>
    </w:p>
    <w:p w14:paraId="42442D2D" w14:textId="18FEA464" w:rsidR="006674E7" w:rsidRPr="00D10ED2" w:rsidRDefault="006674E7" w:rsidP="00EC45EA">
      <w:pPr>
        <w:keepNext/>
        <w:keepLines/>
        <w:rPr>
          <w:rFonts w:ascii="Arial" w:hAnsi="Arial" w:cs="Arial"/>
          <w:sz w:val="22"/>
          <w:szCs w:val="22"/>
          <w:lang w:val="en-CA"/>
        </w:rPr>
      </w:pPr>
      <w:r w:rsidRPr="00D10ED2">
        <w:rPr>
          <w:rFonts w:ascii="Arial" w:hAnsi="Arial" w:cs="Arial"/>
          <w:sz w:val="22"/>
          <w:szCs w:val="22"/>
          <w:lang w:val="en-CA"/>
        </w:rPr>
        <w:t xml:space="preserve">The adverse reactions described in this section were identified in a single-arm, open-label, international, multicenter trial in 449 CML and </w:t>
      </w:r>
      <w:proofErr w:type="spellStart"/>
      <w:r w:rsidRPr="00D10ED2">
        <w:rPr>
          <w:rFonts w:ascii="Arial" w:hAnsi="Arial" w:cs="Arial"/>
          <w:sz w:val="22"/>
          <w:szCs w:val="22"/>
          <w:lang w:val="en-CA"/>
        </w:rPr>
        <w:t>Ph</w:t>
      </w:r>
      <w:proofErr w:type="spellEnd"/>
      <w:r w:rsidRPr="00D10ED2">
        <w:rPr>
          <w:rFonts w:ascii="Arial" w:hAnsi="Arial" w:cs="Arial"/>
          <w:sz w:val="22"/>
          <w:szCs w:val="22"/>
          <w:lang w:val="en-CA"/>
        </w:rPr>
        <w:t>+ ALL patients who were resistant or intolerant to prior TKI therapy including those with a BCR-ABL T315I mutation.  All patients received a starting dose of 45 mg ICLUSIG once daily.  Dose adjustments to 30 mg once daily or 15 mg once daily were allowed for the management of treatment toxicity.  At the time of reporting, the median duration of treatment with ICLUSIG was 281 days in CP-CML patients, 286 days in AP</w:t>
      </w:r>
      <w:r w:rsidRPr="00D10ED2">
        <w:rPr>
          <w:rFonts w:ascii="Arial" w:hAnsi="Arial" w:cs="Arial"/>
          <w:sz w:val="22"/>
          <w:szCs w:val="22"/>
          <w:lang w:val="en-CA"/>
        </w:rPr>
        <w:noBreakHyphen/>
        <w:t>CML patients, and 86 days in BP-CML/</w:t>
      </w:r>
      <w:proofErr w:type="spellStart"/>
      <w:r w:rsidRPr="00D10ED2">
        <w:rPr>
          <w:rFonts w:ascii="Arial" w:hAnsi="Arial" w:cs="Arial"/>
          <w:sz w:val="22"/>
          <w:szCs w:val="22"/>
          <w:lang w:val="en-CA"/>
        </w:rPr>
        <w:t>Ph</w:t>
      </w:r>
      <w:proofErr w:type="spellEnd"/>
      <w:r w:rsidRPr="00D10ED2">
        <w:rPr>
          <w:rFonts w:ascii="Arial" w:hAnsi="Arial" w:cs="Arial"/>
          <w:sz w:val="22"/>
          <w:szCs w:val="22"/>
          <w:lang w:val="en-CA"/>
        </w:rPr>
        <w:t>+ ALL patients.  The median dose intensity was 37 mg or, 83% of the expected 45 mg dose.</w:t>
      </w:r>
      <w:r w:rsidR="009D7278">
        <w:rPr>
          <w:rFonts w:ascii="Arial" w:hAnsi="Arial" w:cs="Arial"/>
          <w:sz w:val="22"/>
          <w:szCs w:val="22"/>
          <w:lang w:val="en-CA"/>
        </w:rPr>
        <w:t xml:space="preserve">  The events of </w:t>
      </w:r>
      <w:r w:rsidR="0070045A" w:rsidRPr="0070045A">
        <w:rPr>
          <w:rFonts w:ascii="Arial" w:hAnsi="Arial" w:cs="Arial"/>
          <w:sz w:val="22"/>
          <w:szCs w:val="22"/>
          <w:lang w:val="en-CA"/>
        </w:rPr>
        <w:t>vascular disorders</w:t>
      </w:r>
      <w:r w:rsidR="009D7278">
        <w:rPr>
          <w:rFonts w:ascii="Arial" w:hAnsi="Arial" w:cs="Arial"/>
          <w:sz w:val="22"/>
          <w:szCs w:val="22"/>
          <w:lang w:val="en-CA"/>
        </w:rPr>
        <w:t>, cardiac failure, and peripheral neuropathy reported in Table</w:t>
      </w:r>
      <w:r w:rsidR="0070045A">
        <w:rPr>
          <w:rFonts w:ascii="Arial" w:hAnsi="Arial" w:cs="Arial"/>
          <w:sz w:val="22"/>
          <w:szCs w:val="22"/>
          <w:lang w:val="en-CA"/>
        </w:rPr>
        <w:t xml:space="preserve"> 4 </w:t>
      </w:r>
      <w:r w:rsidR="009D7278">
        <w:rPr>
          <w:rFonts w:ascii="Arial" w:hAnsi="Arial" w:cs="Arial"/>
          <w:sz w:val="22"/>
          <w:szCs w:val="22"/>
          <w:lang w:val="en-CA"/>
        </w:rPr>
        <w:t xml:space="preserve">below include data from an additional 13 months of follow-up (median duration of treatment CP-CML: 672 days, AP-CML: 590 days, BP-CML: 89 days, </w:t>
      </w:r>
      <w:proofErr w:type="spellStart"/>
      <w:r w:rsidR="009D7278">
        <w:rPr>
          <w:rFonts w:ascii="Arial" w:hAnsi="Arial" w:cs="Arial"/>
          <w:sz w:val="22"/>
          <w:szCs w:val="22"/>
          <w:lang w:val="en-CA"/>
        </w:rPr>
        <w:t>Ph</w:t>
      </w:r>
      <w:proofErr w:type="spellEnd"/>
      <w:r w:rsidR="009D7278">
        <w:rPr>
          <w:rFonts w:ascii="Arial" w:hAnsi="Arial" w:cs="Arial"/>
          <w:sz w:val="22"/>
          <w:szCs w:val="22"/>
          <w:lang w:val="en-CA"/>
        </w:rPr>
        <w:t>+ ALL: 81 days).</w:t>
      </w:r>
      <w:r w:rsidRPr="00D10ED2">
        <w:rPr>
          <w:rFonts w:ascii="Arial" w:hAnsi="Arial" w:cs="Arial"/>
          <w:sz w:val="22"/>
          <w:szCs w:val="22"/>
          <w:lang w:val="en-CA"/>
        </w:rPr>
        <w:t xml:space="preserve"> </w:t>
      </w:r>
    </w:p>
    <w:p w14:paraId="4C85F562" w14:textId="77777777" w:rsidR="006674E7" w:rsidRPr="00D10ED2" w:rsidRDefault="006674E7" w:rsidP="006674E7">
      <w:pPr>
        <w:rPr>
          <w:rFonts w:ascii="Arial" w:hAnsi="Arial" w:cs="Arial"/>
          <w:sz w:val="22"/>
          <w:szCs w:val="22"/>
          <w:lang w:val="en-CA"/>
        </w:rPr>
      </w:pPr>
    </w:p>
    <w:p w14:paraId="4A2388DE" w14:textId="265883CB" w:rsidR="006674E7" w:rsidRPr="00D10ED2" w:rsidRDefault="006674E7" w:rsidP="006674E7">
      <w:pPr>
        <w:rPr>
          <w:rFonts w:ascii="Arial" w:hAnsi="Arial" w:cs="Arial"/>
          <w:sz w:val="22"/>
          <w:szCs w:val="22"/>
          <w:lang w:val="en-CA"/>
        </w:rPr>
      </w:pPr>
      <w:r w:rsidRPr="00D10ED2">
        <w:rPr>
          <w:rFonts w:ascii="Arial" w:hAnsi="Arial" w:cs="Arial"/>
          <w:sz w:val="22"/>
          <w:szCs w:val="22"/>
          <w:lang w:val="en-CA"/>
        </w:rPr>
        <w:t xml:space="preserve">The most common serious adverse drug reactions </w:t>
      </w:r>
      <w:r w:rsidR="00455F24">
        <w:rPr>
          <w:rFonts w:ascii="Arial" w:hAnsi="Arial" w:cs="Arial"/>
          <w:sz w:val="22"/>
          <w:szCs w:val="22"/>
          <w:lang w:val="en-CA"/>
        </w:rPr>
        <w:t>(</w:t>
      </w:r>
      <w:r w:rsidRPr="00D10ED2">
        <w:rPr>
          <w:rFonts w:ascii="Arial" w:hAnsi="Arial" w:cs="Arial"/>
          <w:sz w:val="22"/>
          <w:szCs w:val="22"/>
          <w:lang w:val="en-CA"/>
        </w:rPr>
        <w:t>&gt; 1%</w:t>
      </w:r>
      <w:r w:rsidR="00455F24">
        <w:rPr>
          <w:rFonts w:ascii="Arial" w:hAnsi="Arial" w:cs="Arial"/>
          <w:sz w:val="22"/>
          <w:szCs w:val="22"/>
          <w:lang w:val="en-CA"/>
        </w:rPr>
        <w:t>)</w:t>
      </w:r>
      <w:r w:rsidRPr="00D10ED2">
        <w:rPr>
          <w:rFonts w:ascii="Arial" w:hAnsi="Arial" w:cs="Arial"/>
          <w:sz w:val="22"/>
          <w:szCs w:val="22"/>
          <w:lang w:val="en-CA"/>
        </w:rPr>
        <w:t xml:space="preserve"> were pancreatitis (5.1%), abdominal pain (1.8%), platelet count decreased (1.8%), lipase increased (1.3%), an</w:t>
      </w:r>
      <w:r w:rsidR="00003E68" w:rsidRPr="00D10ED2">
        <w:rPr>
          <w:rFonts w:ascii="Arial" w:hAnsi="Arial" w:cs="Arial"/>
          <w:sz w:val="22"/>
          <w:szCs w:val="22"/>
          <w:lang w:val="en-CA"/>
        </w:rPr>
        <w:t>a</w:t>
      </w:r>
      <w:r w:rsidRPr="00D10ED2">
        <w:rPr>
          <w:rFonts w:ascii="Arial" w:hAnsi="Arial" w:cs="Arial"/>
          <w:sz w:val="22"/>
          <w:szCs w:val="22"/>
          <w:lang w:val="en-CA"/>
        </w:rPr>
        <w:t xml:space="preserve">emia (1.3%), </w:t>
      </w:r>
      <w:r w:rsidR="009303C6">
        <w:rPr>
          <w:rFonts w:ascii="Arial" w:hAnsi="Arial" w:cs="Arial"/>
          <w:sz w:val="22"/>
          <w:szCs w:val="22"/>
          <w:lang w:val="en-CA"/>
        </w:rPr>
        <w:t xml:space="preserve">cardiac failure (1.3%), coronary artery disease (1.1%), </w:t>
      </w:r>
      <w:r w:rsidRPr="00D10ED2">
        <w:rPr>
          <w:rFonts w:ascii="Arial" w:hAnsi="Arial" w:cs="Arial"/>
          <w:sz w:val="22"/>
          <w:szCs w:val="22"/>
          <w:lang w:val="en-CA"/>
        </w:rPr>
        <w:t xml:space="preserve">diarrhoea (1.1%), neutrophil count decreased (1.1%), febrile neutropenia (1.1%), pancytopenia (1.1%), and pyrexia (1.1%).  Overall, the most common adverse reactions (≥ 20%) were platelet count decreased, rash, dry skin, and abdominal pain. </w:t>
      </w:r>
    </w:p>
    <w:p w14:paraId="50468570" w14:textId="77777777" w:rsidR="006674E7" w:rsidRPr="00D10ED2" w:rsidRDefault="006674E7" w:rsidP="006674E7">
      <w:pPr>
        <w:rPr>
          <w:rFonts w:ascii="Arial" w:hAnsi="Arial" w:cs="Arial"/>
          <w:sz w:val="22"/>
          <w:szCs w:val="22"/>
          <w:lang w:val="en-CA"/>
        </w:rPr>
      </w:pPr>
    </w:p>
    <w:p w14:paraId="3C79FCE5" w14:textId="7B6F56FE" w:rsidR="006674E7" w:rsidRPr="00D10ED2" w:rsidRDefault="006674E7" w:rsidP="006674E7">
      <w:pPr>
        <w:rPr>
          <w:rFonts w:ascii="Arial" w:hAnsi="Arial" w:cs="Arial"/>
          <w:sz w:val="22"/>
          <w:szCs w:val="22"/>
          <w:lang w:val="en-CA"/>
        </w:rPr>
      </w:pPr>
      <w:r w:rsidRPr="00D10ED2">
        <w:rPr>
          <w:rFonts w:ascii="Arial" w:hAnsi="Arial" w:cs="Arial"/>
          <w:sz w:val="22"/>
          <w:szCs w:val="22"/>
          <w:lang w:val="en-CA"/>
        </w:rPr>
        <w:t>Fifty</w:t>
      </w:r>
      <w:r w:rsidR="00162C8F">
        <w:rPr>
          <w:rFonts w:ascii="Arial" w:hAnsi="Arial" w:cs="Arial"/>
          <w:sz w:val="22"/>
          <w:szCs w:val="22"/>
          <w:lang w:val="en-CA"/>
        </w:rPr>
        <w:t>-three</w:t>
      </w:r>
      <w:r w:rsidRPr="00D10ED2">
        <w:rPr>
          <w:rFonts w:ascii="Arial" w:hAnsi="Arial" w:cs="Arial"/>
          <w:sz w:val="22"/>
          <w:szCs w:val="22"/>
          <w:lang w:val="en-CA"/>
        </w:rPr>
        <w:t xml:space="preserve"> patients discontinued due to adverse events of which </w:t>
      </w:r>
      <w:r w:rsidR="00162C8F">
        <w:rPr>
          <w:rFonts w:ascii="Arial" w:hAnsi="Arial" w:cs="Arial"/>
          <w:sz w:val="22"/>
          <w:szCs w:val="22"/>
          <w:lang w:val="en-CA"/>
        </w:rPr>
        <w:t>40</w:t>
      </w:r>
      <w:r w:rsidR="00162C8F" w:rsidRPr="00D10ED2">
        <w:rPr>
          <w:rFonts w:ascii="Arial" w:hAnsi="Arial" w:cs="Arial"/>
          <w:sz w:val="22"/>
          <w:szCs w:val="22"/>
          <w:lang w:val="en-CA"/>
        </w:rPr>
        <w:t xml:space="preserve"> </w:t>
      </w:r>
      <w:r w:rsidRPr="00D10ED2">
        <w:rPr>
          <w:rFonts w:ascii="Arial" w:hAnsi="Arial" w:cs="Arial"/>
          <w:sz w:val="22"/>
          <w:szCs w:val="22"/>
          <w:lang w:val="en-CA"/>
        </w:rPr>
        <w:t xml:space="preserve">discontinued due to adverse events that were considered treatment-related. Platelet count decreased was the most common treatment-related event leading to discontinuation.  </w:t>
      </w:r>
    </w:p>
    <w:p w14:paraId="2EE7A38D" w14:textId="77777777" w:rsidR="006674E7" w:rsidRPr="00D10ED2" w:rsidRDefault="006674E7" w:rsidP="006674E7">
      <w:pPr>
        <w:rPr>
          <w:rFonts w:ascii="Arial" w:hAnsi="Arial" w:cs="Arial"/>
          <w:lang w:val="en-CA"/>
        </w:rPr>
      </w:pPr>
    </w:p>
    <w:p w14:paraId="72502C97" w14:textId="77777777" w:rsidR="005C6C85" w:rsidRDefault="005C6C85" w:rsidP="006674E7">
      <w:pPr>
        <w:rPr>
          <w:rFonts w:ascii="Arial" w:hAnsi="Arial" w:cs="Arial"/>
          <w:b/>
          <w:sz w:val="22"/>
          <w:szCs w:val="22"/>
          <w:u w:val="single"/>
          <w:lang w:val="en-CA"/>
        </w:rPr>
      </w:pPr>
    </w:p>
    <w:p w14:paraId="077A2135" w14:textId="77777777" w:rsidR="006674E7" w:rsidRPr="00D10ED2" w:rsidRDefault="006674E7" w:rsidP="006674E7">
      <w:pPr>
        <w:rPr>
          <w:rFonts w:ascii="Arial" w:hAnsi="Arial" w:cs="Arial"/>
          <w:sz w:val="22"/>
          <w:szCs w:val="22"/>
          <w:lang w:val="en-CA"/>
        </w:rPr>
      </w:pPr>
      <w:r w:rsidRPr="00D10ED2">
        <w:rPr>
          <w:rFonts w:ascii="Arial" w:hAnsi="Arial" w:cs="Arial"/>
          <w:b/>
          <w:sz w:val="22"/>
          <w:szCs w:val="22"/>
          <w:u w:val="single"/>
          <w:lang w:val="en-CA"/>
        </w:rPr>
        <w:t>Clinical Trial Adverse Drug Reactions</w:t>
      </w:r>
    </w:p>
    <w:p w14:paraId="73589E94" w14:textId="77777777" w:rsidR="006674E7" w:rsidRPr="00D10ED2" w:rsidRDefault="006674E7" w:rsidP="006674E7">
      <w:pPr>
        <w:rPr>
          <w:rFonts w:ascii="Arial" w:hAnsi="Arial" w:cs="Arial"/>
          <w:lang w:val="en-CA"/>
        </w:rPr>
      </w:pPr>
    </w:p>
    <w:p w14:paraId="29C89A0A" w14:textId="77777777" w:rsidR="006674E7" w:rsidRDefault="006674E7" w:rsidP="00BB48DC">
      <w:pPr>
        <w:rPr>
          <w:rFonts w:ascii="Arial" w:hAnsi="Arial" w:cs="Arial"/>
          <w:sz w:val="22"/>
          <w:szCs w:val="22"/>
          <w:lang w:val="en-CA"/>
        </w:rPr>
      </w:pPr>
      <w:r w:rsidRPr="00D10ED2">
        <w:rPr>
          <w:rFonts w:ascii="Arial" w:hAnsi="Arial" w:cs="Arial"/>
          <w:i/>
          <w:sz w:val="22"/>
          <w:szCs w:val="22"/>
          <w:lang w:val="en-CA"/>
        </w:rPr>
        <w:t>Because clinical trials are conducted under very specific conditions the adverse reaction rates observed in the clinical trials may not reflect the rates observed in practice and should not be compared to the rates in the clinical trials of another drug.  Adverse drug reaction information from clinical trials is useful for identifying drug-related adverse events and for approximating rates</w:t>
      </w:r>
      <w:r w:rsidRPr="00D10ED2">
        <w:rPr>
          <w:rFonts w:ascii="Arial" w:hAnsi="Arial" w:cs="Arial"/>
          <w:sz w:val="22"/>
          <w:szCs w:val="22"/>
          <w:lang w:val="en-CA"/>
        </w:rPr>
        <w:t>.</w:t>
      </w:r>
    </w:p>
    <w:p w14:paraId="178BBD7D" w14:textId="77777777" w:rsidR="002A1A4D" w:rsidRPr="00DE5AE7" w:rsidRDefault="002A1A4D" w:rsidP="00BB48DC">
      <w:pPr>
        <w:rPr>
          <w:rFonts w:ascii="Arial" w:hAnsi="Arial" w:cs="Arial"/>
          <w:lang w:val="en-CA"/>
        </w:rPr>
      </w:pPr>
    </w:p>
    <w:p w14:paraId="6A03E09D" w14:textId="0AE32B7A" w:rsidR="002A1A4D" w:rsidRPr="00DE5AE7" w:rsidRDefault="002A1A4D" w:rsidP="00DE5AE7">
      <w:pPr>
        <w:rPr>
          <w:rFonts w:ascii="Arial" w:hAnsi="Arial" w:cs="Arial"/>
          <w:b/>
          <w:sz w:val="22"/>
          <w:szCs w:val="22"/>
          <w:u w:val="single"/>
          <w:lang w:val="en-CA"/>
        </w:rPr>
      </w:pPr>
      <w:r w:rsidRPr="00DE5AE7">
        <w:rPr>
          <w:rFonts w:ascii="Arial" w:hAnsi="Arial" w:cs="Arial"/>
          <w:b/>
          <w:sz w:val="22"/>
          <w:szCs w:val="22"/>
          <w:u w:val="single"/>
          <w:lang w:val="en-CA"/>
        </w:rPr>
        <w:t>Tabulated List of Adverse Reactions</w:t>
      </w:r>
    </w:p>
    <w:p w14:paraId="16E78800" w14:textId="77777777" w:rsidR="00DE5AE7" w:rsidRPr="00017356" w:rsidRDefault="00DE5AE7" w:rsidP="00DE5AE7">
      <w:pPr>
        <w:rPr>
          <w:rFonts w:ascii="Arial" w:hAnsi="Arial" w:cs="Arial"/>
          <w:sz w:val="22"/>
          <w:szCs w:val="22"/>
          <w:lang w:val="en-CA"/>
        </w:rPr>
      </w:pPr>
    </w:p>
    <w:p w14:paraId="0FCA384B" w14:textId="0F070DB3" w:rsidR="006674E7" w:rsidRPr="00017356" w:rsidRDefault="002A1A4D" w:rsidP="002A1A4D">
      <w:pPr>
        <w:rPr>
          <w:rFonts w:ascii="Arial" w:hAnsi="Arial" w:cs="Arial"/>
          <w:sz w:val="22"/>
          <w:szCs w:val="22"/>
          <w:lang w:val="en-CA"/>
        </w:rPr>
      </w:pPr>
      <w:r w:rsidRPr="00017356">
        <w:rPr>
          <w:rFonts w:ascii="Arial" w:hAnsi="Arial" w:cs="Arial"/>
          <w:sz w:val="22"/>
          <w:szCs w:val="22"/>
          <w:lang w:val="en-CA"/>
        </w:rPr>
        <w:t xml:space="preserve">Adverse reactions reported in all CML and </w:t>
      </w:r>
      <w:proofErr w:type="spellStart"/>
      <w:r w:rsidRPr="00017356">
        <w:rPr>
          <w:rFonts w:ascii="Arial" w:hAnsi="Arial" w:cs="Arial"/>
          <w:sz w:val="22"/>
          <w:szCs w:val="22"/>
          <w:lang w:val="en-CA"/>
        </w:rPr>
        <w:t>Ph</w:t>
      </w:r>
      <w:proofErr w:type="spellEnd"/>
      <w:r w:rsidRPr="00017356">
        <w:rPr>
          <w:rFonts w:ascii="Arial" w:hAnsi="Arial" w:cs="Arial"/>
          <w:sz w:val="22"/>
          <w:szCs w:val="22"/>
          <w:lang w:val="en-CA"/>
        </w:rPr>
        <w:t>+ ALL patients are presented in Table</w:t>
      </w:r>
      <w:r w:rsidR="00DE5AE7" w:rsidRPr="00017356">
        <w:rPr>
          <w:rFonts w:ascii="Arial" w:hAnsi="Arial" w:cs="Arial"/>
          <w:sz w:val="22"/>
          <w:szCs w:val="22"/>
          <w:lang w:val="en-CA"/>
        </w:rPr>
        <w:t xml:space="preserve"> 4</w:t>
      </w:r>
      <w:r w:rsidRPr="00017356">
        <w:rPr>
          <w:rFonts w:ascii="Arial" w:hAnsi="Arial" w:cs="Arial"/>
          <w:sz w:val="22"/>
          <w:szCs w:val="22"/>
          <w:lang w:val="en-CA"/>
        </w:rPr>
        <w:t>. Frequency categories are very common (≥ 1/10), common (≥1/100 to &lt; 1/10) and uncommon (≥ 1/1000 to &lt; 1/100), rare (≥ 1/10,000 to &lt; 1/1000), very rare (&lt; 1/10,000), and not known (cannot be estimated from the available data). Within each frequency grouping, undesirable effects are presented in order of decreasing seriousness.</w:t>
      </w:r>
    </w:p>
    <w:p w14:paraId="6F96E96F" w14:textId="77777777" w:rsidR="00E13B52" w:rsidRPr="00D10ED2" w:rsidRDefault="00E13B52" w:rsidP="002A1A4D">
      <w:pPr>
        <w:rPr>
          <w:rFonts w:ascii="Arial" w:hAnsi="Arial" w:cs="Arial"/>
          <w:lang w:val="en-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53"/>
        <w:gridCol w:w="4299"/>
      </w:tblGrid>
      <w:tr w:rsidR="006674E7" w:rsidRPr="00D10ED2" w14:paraId="4482090E" w14:textId="77777777" w:rsidTr="00D2704C">
        <w:trPr>
          <w:cantSplit/>
          <w:tblHeader/>
        </w:trPr>
        <w:tc>
          <w:tcPr>
            <w:tcW w:w="5000" w:type="pct"/>
            <w:gridSpan w:val="3"/>
            <w:tcBorders>
              <w:top w:val="nil"/>
              <w:left w:val="nil"/>
              <w:bottom w:val="single" w:sz="4" w:space="0" w:color="auto"/>
              <w:right w:val="nil"/>
            </w:tcBorders>
          </w:tcPr>
          <w:p w14:paraId="7B3F3FDD" w14:textId="5775F5C2" w:rsidR="006674E7" w:rsidRPr="00D10ED2" w:rsidRDefault="006674E7" w:rsidP="00EC45EA">
            <w:pPr>
              <w:keepNext/>
              <w:keepLines/>
              <w:pageBreakBefore/>
              <w:rPr>
                <w:rFonts w:ascii="Arial" w:hAnsi="Arial" w:cs="Arial"/>
                <w:b/>
                <w:sz w:val="20"/>
                <w:lang w:val="en-GB"/>
              </w:rPr>
            </w:pPr>
            <w:r w:rsidRPr="00017356">
              <w:rPr>
                <w:rFonts w:ascii="Arial" w:hAnsi="Arial" w:cs="Arial"/>
                <w:b/>
                <w:sz w:val="22"/>
              </w:rPr>
              <w:lastRenderedPageBreak/>
              <w:t xml:space="preserve">Table </w:t>
            </w:r>
            <w:r w:rsidR="002D429D" w:rsidRPr="00017356">
              <w:rPr>
                <w:rFonts w:ascii="Arial" w:hAnsi="Arial" w:cs="Arial"/>
                <w:b/>
                <w:sz w:val="22"/>
              </w:rPr>
              <w:t>4</w:t>
            </w:r>
            <w:r w:rsidRPr="00017356">
              <w:rPr>
                <w:rFonts w:ascii="Arial" w:hAnsi="Arial" w:cs="Arial"/>
                <w:b/>
                <w:sz w:val="22"/>
              </w:rPr>
              <w:t xml:space="preserve">:  </w:t>
            </w:r>
            <w:r w:rsidR="002A1A4D" w:rsidRPr="00017356">
              <w:rPr>
                <w:rFonts w:ascii="Arial" w:hAnsi="Arial" w:cs="Arial"/>
                <w:b/>
                <w:sz w:val="22"/>
              </w:rPr>
              <w:t xml:space="preserve">Adverse reactions observed in CML and </w:t>
            </w:r>
            <w:proofErr w:type="spellStart"/>
            <w:r w:rsidR="002A1A4D" w:rsidRPr="00017356">
              <w:rPr>
                <w:rFonts w:ascii="Arial" w:hAnsi="Arial" w:cs="Arial"/>
                <w:b/>
                <w:sz w:val="22"/>
              </w:rPr>
              <w:t>Ph</w:t>
            </w:r>
            <w:proofErr w:type="spellEnd"/>
            <w:r w:rsidR="002A1A4D" w:rsidRPr="00017356">
              <w:rPr>
                <w:rFonts w:ascii="Arial" w:hAnsi="Arial" w:cs="Arial"/>
                <w:b/>
                <w:sz w:val="22"/>
              </w:rPr>
              <w:t>+ ALL patients – frequency reported by incidence of treatment emergent events</w:t>
            </w:r>
          </w:p>
        </w:tc>
      </w:tr>
      <w:tr w:rsidR="00D2704C" w:rsidRPr="00F95509" w14:paraId="1B2EFAA8" w14:textId="77777777" w:rsidTr="00DE5AE7">
        <w:tblPrEx>
          <w:tblLook w:val="01E0" w:firstRow="1" w:lastRow="1" w:firstColumn="1" w:lastColumn="1" w:noHBand="0" w:noVBand="0"/>
        </w:tblPrEx>
        <w:trPr>
          <w:cantSplit/>
          <w:tblHeader/>
        </w:trPr>
        <w:tc>
          <w:tcPr>
            <w:tcW w:w="1616" w:type="pct"/>
            <w:vAlign w:val="center"/>
          </w:tcPr>
          <w:p w14:paraId="543F8EA6" w14:textId="77777777" w:rsidR="00D2704C" w:rsidRPr="00017356" w:rsidRDefault="00D2704C" w:rsidP="00E647B9">
            <w:pPr>
              <w:pStyle w:val="TableHeader10"/>
              <w:rPr>
                <w:rFonts w:ascii="Arial" w:hAnsi="Arial" w:cs="Arial"/>
                <w:noProof/>
                <w:sz w:val="22"/>
                <w:szCs w:val="22"/>
              </w:rPr>
            </w:pPr>
            <w:r w:rsidRPr="00017356">
              <w:rPr>
                <w:rFonts w:ascii="Arial" w:hAnsi="Arial" w:cs="Arial"/>
                <w:noProof/>
                <w:sz w:val="22"/>
                <w:szCs w:val="22"/>
              </w:rPr>
              <w:t>System organ class</w:t>
            </w:r>
          </w:p>
        </w:tc>
        <w:tc>
          <w:tcPr>
            <w:tcW w:w="855" w:type="pct"/>
            <w:shd w:val="clear" w:color="auto" w:fill="auto"/>
            <w:vAlign w:val="center"/>
          </w:tcPr>
          <w:p w14:paraId="2550497A" w14:textId="77777777" w:rsidR="00D2704C" w:rsidRPr="00017356" w:rsidRDefault="00D2704C" w:rsidP="00E647B9">
            <w:pPr>
              <w:pStyle w:val="TableHeader10"/>
              <w:rPr>
                <w:rFonts w:ascii="Arial" w:hAnsi="Arial" w:cs="Arial"/>
                <w:noProof/>
                <w:sz w:val="22"/>
                <w:szCs w:val="22"/>
              </w:rPr>
            </w:pPr>
            <w:r w:rsidRPr="00017356">
              <w:rPr>
                <w:rFonts w:ascii="Arial" w:hAnsi="Arial" w:cs="Arial"/>
                <w:noProof/>
                <w:sz w:val="22"/>
                <w:szCs w:val="22"/>
              </w:rPr>
              <w:t>Frequency</w:t>
            </w:r>
          </w:p>
        </w:tc>
        <w:tc>
          <w:tcPr>
            <w:tcW w:w="2528" w:type="pct"/>
            <w:shd w:val="clear" w:color="auto" w:fill="auto"/>
            <w:vAlign w:val="center"/>
          </w:tcPr>
          <w:p w14:paraId="141F98A0" w14:textId="77777777" w:rsidR="00D2704C" w:rsidRPr="00017356" w:rsidRDefault="00D2704C" w:rsidP="00E647B9">
            <w:pPr>
              <w:pStyle w:val="TableHeader10"/>
              <w:rPr>
                <w:rFonts w:ascii="Arial" w:hAnsi="Arial" w:cs="Arial"/>
                <w:noProof/>
                <w:sz w:val="22"/>
                <w:szCs w:val="22"/>
              </w:rPr>
            </w:pPr>
            <w:r w:rsidRPr="00017356">
              <w:rPr>
                <w:rFonts w:ascii="Arial" w:hAnsi="Arial" w:cs="Arial"/>
                <w:noProof/>
                <w:sz w:val="22"/>
                <w:szCs w:val="22"/>
              </w:rPr>
              <w:t>Adverse reactions</w:t>
            </w:r>
          </w:p>
        </w:tc>
      </w:tr>
      <w:tr w:rsidR="00D2704C" w:rsidRPr="00F95509" w14:paraId="66CB1E1C" w14:textId="77777777" w:rsidTr="00DE5AE7">
        <w:tblPrEx>
          <w:tblLook w:val="01E0" w:firstRow="1" w:lastRow="1" w:firstColumn="1" w:lastColumn="1" w:noHBand="0" w:noVBand="0"/>
        </w:tblPrEx>
        <w:trPr>
          <w:cantSplit/>
        </w:trPr>
        <w:tc>
          <w:tcPr>
            <w:tcW w:w="1616" w:type="pct"/>
            <w:vMerge w:val="restart"/>
            <w:vAlign w:val="center"/>
          </w:tcPr>
          <w:p w14:paraId="7452D246" w14:textId="77777777" w:rsidR="00D2704C" w:rsidRPr="005F6EDB" w:rsidRDefault="00D2704C" w:rsidP="00E647B9">
            <w:pPr>
              <w:pStyle w:val="TableText10"/>
              <w:rPr>
                <w:rFonts w:ascii="Arial" w:hAnsi="Arial" w:cs="Arial"/>
                <w:sz w:val="22"/>
                <w:szCs w:val="22"/>
                <w:lang w:val="en-GB"/>
              </w:rPr>
            </w:pPr>
            <w:r w:rsidRPr="005F6EDB">
              <w:rPr>
                <w:rFonts w:ascii="Arial" w:hAnsi="Arial" w:cs="Arial"/>
                <w:sz w:val="22"/>
                <w:szCs w:val="22"/>
                <w:lang w:val="en-GB"/>
              </w:rPr>
              <w:t>Infections and infestations</w:t>
            </w:r>
          </w:p>
        </w:tc>
        <w:tc>
          <w:tcPr>
            <w:tcW w:w="855" w:type="pct"/>
            <w:shd w:val="clear" w:color="auto" w:fill="auto"/>
            <w:vAlign w:val="center"/>
          </w:tcPr>
          <w:p w14:paraId="2859C011"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Very common</w:t>
            </w:r>
          </w:p>
        </w:tc>
        <w:tc>
          <w:tcPr>
            <w:tcW w:w="2528" w:type="pct"/>
            <w:shd w:val="clear" w:color="auto" w:fill="auto"/>
            <w:vAlign w:val="center"/>
          </w:tcPr>
          <w:p w14:paraId="162A1097"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sz w:val="22"/>
                <w:szCs w:val="22"/>
              </w:rPr>
              <w:t>upper respiratory tract infection</w:t>
            </w:r>
          </w:p>
        </w:tc>
      </w:tr>
      <w:tr w:rsidR="00D2704C" w:rsidRPr="00F95509" w14:paraId="4EC55777" w14:textId="77777777" w:rsidTr="00DE5AE7">
        <w:tblPrEx>
          <w:tblLook w:val="01E0" w:firstRow="1" w:lastRow="1" w:firstColumn="1" w:lastColumn="1" w:noHBand="0" w:noVBand="0"/>
        </w:tblPrEx>
        <w:trPr>
          <w:cantSplit/>
        </w:trPr>
        <w:tc>
          <w:tcPr>
            <w:tcW w:w="1616" w:type="pct"/>
            <w:vMerge/>
            <w:vAlign w:val="center"/>
          </w:tcPr>
          <w:p w14:paraId="194F0D4A"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08BD7FB1"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68D8586E"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pneumonia, sepsis, folliculitis</w:t>
            </w:r>
          </w:p>
        </w:tc>
      </w:tr>
      <w:tr w:rsidR="00D2704C" w:rsidRPr="00F95509" w14:paraId="00E2D4BE" w14:textId="77777777" w:rsidTr="00DE5AE7">
        <w:tblPrEx>
          <w:tblLook w:val="01E0" w:firstRow="1" w:lastRow="1" w:firstColumn="1" w:lastColumn="1" w:noHBand="0" w:noVBand="0"/>
        </w:tblPrEx>
        <w:trPr>
          <w:cantSplit/>
        </w:trPr>
        <w:tc>
          <w:tcPr>
            <w:tcW w:w="1616" w:type="pct"/>
            <w:vMerge w:val="restart"/>
            <w:vAlign w:val="center"/>
          </w:tcPr>
          <w:p w14:paraId="03B95277" w14:textId="77777777" w:rsidR="00D2704C" w:rsidRPr="005F6EDB" w:rsidRDefault="00D2704C" w:rsidP="00E647B9">
            <w:pPr>
              <w:pStyle w:val="TableText10"/>
              <w:spacing w:before="120" w:after="120"/>
              <w:rPr>
                <w:rFonts w:ascii="Arial" w:hAnsi="Arial" w:cs="Arial"/>
                <w:sz w:val="22"/>
                <w:szCs w:val="22"/>
                <w:lang w:val="en-GB"/>
              </w:rPr>
            </w:pPr>
            <w:r w:rsidRPr="005F6EDB">
              <w:rPr>
                <w:rFonts w:ascii="Arial" w:hAnsi="Arial" w:cs="Arial"/>
                <w:sz w:val="22"/>
                <w:szCs w:val="22"/>
                <w:lang w:val="en-GB"/>
              </w:rPr>
              <w:t>Blood and lymphatic system disorders</w:t>
            </w:r>
          </w:p>
        </w:tc>
        <w:tc>
          <w:tcPr>
            <w:tcW w:w="855" w:type="pct"/>
            <w:shd w:val="clear" w:color="auto" w:fill="auto"/>
            <w:vAlign w:val="center"/>
          </w:tcPr>
          <w:p w14:paraId="779D57B9"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Very common</w:t>
            </w:r>
          </w:p>
        </w:tc>
        <w:tc>
          <w:tcPr>
            <w:tcW w:w="2528" w:type="pct"/>
            <w:shd w:val="clear" w:color="auto" w:fill="auto"/>
            <w:vAlign w:val="center"/>
          </w:tcPr>
          <w:p w14:paraId="6A3B52C2"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anaemia,</w:t>
            </w:r>
            <w:r w:rsidRPr="005F6EDB" w:rsidDel="00E25CAF">
              <w:rPr>
                <w:rFonts w:ascii="Arial" w:hAnsi="Arial" w:cs="Arial"/>
                <w:noProof/>
                <w:sz w:val="22"/>
                <w:szCs w:val="22"/>
              </w:rPr>
              <w:t xml:space="preserve"> </w:t>
            </w:r>
            <w:r w:rsidRPr="005F6EDB">
              <w:rPr>
                <w:rFonts w:ascii="Arial" w:hAnsi="Arial" w:cs="Arial"/>
                <w:noProof/>
                <w:sz w:val="22"/>
                <w:szCs w:val="22"/>
              </w:rPr>
              <w:t>platelet count decreased, neutrophil count decreased</w:t>
            </w:r>
          </w:p>
        </w:tc>
      </w:tr>
      <w:tr w:rsidR="00D2704C" w:rsidRPr="00F95509" w14:paraId="203489D4" w14:textId="77777777" w:rsidTr="00DE5AE7">
        <w:tblPrEx>
          <w:tblLook w:val="01E0" w:firstRow="1" w:lastRow="1" w:firstColumn="1" w:lastColumn="1" w:noHBand="0" w:noVBand="0"/>
        </w:tblPrEx>
        <w:trPr>
          <w:cantSplit/>
          <w:trHeight w:val="1022"/>
        </w:trPr>
        <w:tc>
          <w:tcPr>
            <w:tcW w:w="1616" w:type="pct"/>
            <w:vMerge/>
            <w:vAlign w:val="center"/>
          </w:tcPr>
          <w:p w14:paraId="19081E98"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678A6F14"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44D45102"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pancytopenia, febrile neutropenia, white blood cell count decreased</w:t>
            </w:r>
          </w:p>
        </w:tc>
      </w:tr>
      <w:tr w:rsidR="00D2704C" w:rsidRPr="00F95509" w14:paraId="0792C11C" w14:textId="77777777" w:rsidTr="00DE5AE7">
        <w:tblPrEx>
          <w:tblLook w:val="01E0" w:firstRow="1" w:lastRow="1" w:firstColumn="1" w:lastColumn="1" w:noHBand="0" w:noVBand="0"/>
        </w:tblPrEx>
        <w:trPr>
          <w:cantSplit/>
        </w:trPr>
        <w:tc>
          <w:tcPr>
            <w:tcW w:w="1616" w:type="pct"/>
            <w:vMerge w:val="restart"/>
            <w:vAlign w:val="center"/>
          </w:tcPr>
          <w:p w14:paraId="1A98442A" w14:textId="77777777" w:rsidR="00D2704C" w:rsidRPr="005F6EDB" w:rsidRDefault="00D2704C" w:rsidP="00E647B9">
            <w:pPr>
              <w:pStyle w:val="TableText10"/>
              <w:spacing w:before="120" w:after="120"/>
              <w:rPr>
                <w:rFonts w:ascii="Arial" w:hAnsi="Arial" w:cs="Arial"/>
                <w:sz w:val="22"/>
                <w:szCs w:val="22"/>
                <w:lang w:val="en-GB"/>
              </w:rPr>
            </w:pPr>
            <w:r w:rsidRPr="005F6EDB">
              <w:rPr>
                <w:rFonts w:ascii="Arial" w:hAnsi="Arial" w:cs="Arial"/>
                <w:sz w:val="22"/>
                <w:szCs w:val="22"/>
                <w:lang w:val="en-GB"/>
              </w:rPr>
              <w:t>Metabolism and nutrition disorders</w:t>
            </w:r>
          </w:p>
        </w:tc>
        <w:tc>
          <w:tcPr>
            <w:tcW w:w="855" w:type="pct"/>
            <w:shd w:val="clear" w:color="auto" w:fill="auto"/>
            <w:vAlign w:val="center"/>
          </w:tcPr>
          <w:p w14:paraId="5E7BB0EF"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Very common</w:t>
            </w:r>
          </w:p>
        </w:tc>
        <w:tc>
          <w:tcPr>
            <w:tcW w:w="2528" w:type="pct"/>
            <w:shd w:val="clear" w:color="auto" w:fill="auto"/>
            <w:vAlign w:val="center"/>
          </w:tcPr>
          <w:p w14:paraId="4A3FAB12"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decreased appetite</w:t>
            </w:r>
          </w:p>
        </w:tc>
      </w:tr>
      <w:tr w:rsidR="00D2704C" w:rsidRPr="00F95509" w14:paraId="08DA38E7" w14:textId="77777777" w:rsidTr="00DE5AE7">
        <w:tblPrEx>
          <w:tblLook w:val="01E0" w:firstRow="1" w:lastRow="1" w:firstColumn="1" w:lastColumn="1" w:noHBand="0" w:noVBand="0"/>
        </w:tblPrEx>
        <w:trPr>
          <w:cantSplit/>
        </w:trPr>
        <w:tc>
          <w:tcPr>
            <w:tcW w:w="1616" w:type="pct"/>
            <w:vMerge/>
            <w:vAlign w:val="center"/>
          </w:tcPr>
          <w:p w14:paraId="24071468"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3EA6AD54"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1B54374D" w14:textId="77777777" w:rsidR="00D2704C" w:rsidRPr="005F6EDB" w:rsidRDefault="00D2704C" w:rsidP="00E647B9">
            <w:pPr>
              <w:pStyle w:val="TableText10"/>
              <w:spacing w:before="120" w:after="120"/>
              <w:rPr>
                <w:rFonts w:ascii="Arial" w:hAnsi="Arial" w:cs="Arial"/>
                <w:sz w:val="22"/>
                <w:szCs w:val="22"/>
              </w:rPr>
            </w:pPr>
            <w:r w:rsidRPr="005F6EDB">
              <w:rPr>
                <w:rFonts w:ascii="Arial" w:hAnsi="Arial" w:cs="Arial"/>
                <w:noProof/>
                <w:sz w:val="22"/>
                <w:szCs w:val="22"/>
              </w:rPr>
              <w:t>dehydration, fluid retention, hypocalcaemia, hyperglycaemia, hyperuricaemia, hypophosphataemia, hypertriglyceridaemia, hypokalaemia, weight decreased</w:t>
            </w:r>
          </w:p>
        </w:tc>
      </w:tr>
      <w:tr w:rsidR="00D2704C" w:rsidRPr="00F95509" w14:paraId="5ED7B5CC" w14:textId="77777777" w:rsidTr="00DE5AE7">
        <w:tblPrEx>
          <w:tblLook w:val="01E0" w:firstRow="1" w:lastRow="1" w:firstColumn="1" w:lastColumn="1" w:noHBand="0" w:noVBand="0"/>
        </w:tblPrEx>
        <w:trPr>
          <w:cantSplit/>
        </w:trPr>
        <w:tc>
          <w:tcPr>
            <w:tcW w:w="1616" w:type="pct"/>
            <w:vMerge/>
            <w:vAlign w:val="center"/>
          </w:tcPr>
          <w:p w14:paraId="36C5A4AD"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574B4182"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Uncommon</w:t>
            </w:r>
          </w:p>
        </w:tc>
        <w:tc>
          <w:tcPr>
            <w:tcW w:w="2528" w:type="pct"/>
            <w:shd w:val="clear" w:color="auto" w:fill="auto"/>
            <w:vAlign w:val="center"/>
          </w:tcPr>
          <w:p w14:paraId="7D1D0F0F" w14:textId="77777777" w:rsidR="00D2704C" w:rsidRPr="005F6EDB" w:rsidRDefault="00D2704C" w:rsidP="00E647B9">
            <w:pPr>
              <w:pStyle w:val="TableText10"/>
              <w:spacing w:before="120" w:after="120"/>
              <w:rPr>
                <w:rFonts w:ascii="Arial" w:hAnsi="Arial" w:cs="Arial"/>
                <w:noProof/>
                <w:sz w:val="22"/>
                <w:szCs w:val="22"/>
              </w:rPr>
            </w:pPr>
            <w:proofErr w:type="spellStart"/>
            <w:r w:rsidRPr="005F6EDB">
              <w:rPr>
                <w:rFonts w:ascii="Arial" w:hAnsi="Arial" w:cs="Arial"/>
                <w:sz w:val="22"/>
                <w:szCs w:val="22"/>
              </w:rPr>
              <w:t>tumour</w:t>
            </w:r>
            <w:proofErr w:type="spellEnd"/>
            <w:r w:rsidRPr="005F6EDB">
              <w:rPr>
                <w:rFonts w:ascii="Arial" w:hAnsi="Arial" w:cs="Arial"/>
                <w:sz w:val="22"/>
                <w:szCs w:val="22"/>
              </w:rPr>
              <w:t xml:space="preserve"> lysis syndrome</w:t>
            </w:r>
          </w:p>
        </w:tc>
      </w:tr>
      <w:tr w:rsidR="00D2704C" w:rsidRPr="00F95509" w14:paraId="415DFFBD" w14:textId="77777777" w:rsidTr="00DE5AE7">
        <w:tblPrEx>
          <w:tblLook w:val="01E0" w:firstRow="1" w:lastRow="1" w:firstColumn="1" w:lastColumn="1" w:noHBand="0" w:noVBand="0"/>
        </w:tblPrEx>
        <w:trPr>
          <w:cantSplit/>
          <w:trHeight w:val="323"/>
        </w:trPr>
        <w:tc>
          <w:tcPr>
            <w:tcW w:w="1616" w:type="pct"/>
            <w:vAlign w:val="center"/>
          </w:tcPr>
          <w:p w14:paraId="14663CFC" w14:textId="77777777" w:rsidR="00D2704C" w:rsidRPr="005F6EDB" w:rsidRDefault="00D2704C" w:rsidP="00E647B9">
            <w:pPr>
              <w:pStyle w:val="TableText10"/>
              <w:spacing w:before="120" w:after="120"/>
              <w:rPr>
                <w:rFonts w:ascii="Arial" w:hAnsi="Arial" w:cs="Arial"/>
                <w:sz w:val="22"/>
                <w:szCs w:val="22"/>
                <w:lang w:val="en-GB"/>
              </w:rPr>
            </w:pPr>
            <w:r w:rsidRPr="005F6EDB">
              <w:rPr>
                <w:rFonts w:ascii="Arial" w:hAnsi="Arial" w:cs="Arial"/>
                <w:sz w:val="22"/>
                <w:szCs w:val="22"/>
                <w:lang w:val="en-GB"/>
              </w:rPr>
              <w:t>Psychiatric disorders</w:t>
            </w:r>
          </w:p>
        </w:tc>
        <w:tc>
          <w:tcPr>
            <w:tcW w:w="855" w:type="pct"/>
            <w:shd w:val="clear" w:color="auto" w:fill="auto"/>
            <w:vAlign w:val="center"/>
          </w:tcPr>
          <w:p w14:paraId="313E5C46" w14:textId="77777777" w:rsidR="00D2704C" w:rsidRPr="005F6EDB" w:rsidRDefault="00D2704C" w:rsidP="00E647B9">
            <w:pPr>
              <w:pStyle w:val="TableText10"/>
              <w:spacing w:before="120" w:after="120"/>
              <w:rPr>
                <w:b/>
                <w:bCs/>
                <w:noProof/>
                <w:sz w:val="22"/>
                <w:szCs w:val="22"/>
              </w:rPr>
            </w:pPr>
            <w:r w:rsidRPr="005F6EDB">
              <w:rPr>
                <w:rFonts w:ascii="Arial" w:hAnsi="Arial" w:cs="Arial"/>
                <w:noProof/>
                <w:sz w:val="22"/>
                <w:szCs w:val="22"/>
              </w:rPr>
              <w:t>Very common</w:t>
            </w:r>
          </w:p>
        </w:tc>
        <w:tc>
          <w:tcPr>
            <w:tcW w:w="2528" w:type="pct"/>
            <w:shd w:val="clear" w:color="auto" w:fill="auto"/>
            <w:vAlign w:val="center"/>
          </w:tcPr>
          <w:p w14:paraId="4066C345"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insomnia</w:t>
            </w:r>
          </w:p>
        </w:tc>
      </w:tr>
      <w:tr w:rsidR="00D2704C" w:rsidRPr="00F95509" w14:paraId="31CB67E2" w14:textId="77777777" w:rsidTr="00DE5AE7">
        <w:tblPrEx>
          <w:tblLook w:val="01E0" w:firstRow="1" w:lastRow="1" w:firstColumn="1" w:lastColumn="1" w:noHBand="0" w:noVBand="0"/>
        </w:tblPrEx>
        <w:trPr>
          <w:cantSplit/>
        </w:trPr>
        <w:tc>
          <w:tcPr>
            <w:tcW w:w="1616" w:type="pct"/>
            <w:vMerge w:val="restart"/>
            <w:vAlign w:val="center"/>
          </w:tcPr>
          <w:p w14:paraId="4E28CF0D" w14:textId="77777777" w:rsidR="00D2704C" w:rsidRPr="005F6EDB" w:rsidRDefault="00D2704C" w:rsidP="00E647B9">
            <w:pPr>
              <w:pStyle w:val="TableText10"/>
              <w:spacing w:before="120" w:after="120"/>
              <w:rPr>
                <w:rFonts w:ascii="Arial" w:hAnsi="Arial" w:cs="Arial"/>
                <w:sz w:val="22"/>
                <w:szCs w:val="22"/>
                <w:lang w:val="en-GB"/>
              </w:rPr>
            </w:pPr>
            <w:r w:rsidRPr="005F6EDB">
              <w:rPr>
                <w:rFonts w:ascii="Arial" w:hAnsi="Arial" w:cs="Arial"/>
                <w:sz w:val="22"/>
                <w:szCs w:val="22"/>
                <w:lang w:val="en-GB"/>
              </w:rPr>
              <w:t>Nervous system disorders</w:t>
            </w:r>
          </w:p>
        </w:tc>
        <w:tc>
          <w:tcPr>
            <w:tcW w:w="855" w:type="pct"/>
            <w:shd w:val="clear" w:color="auto" w:fill="auto"/>
            <w:vAlign w:val="center"/>
          </w:tcPr>
          <w:p w14:paraId="0E9BF3F3"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Very common</w:t>
            </w:r>
          </w:p>
        </w:tc>
        <w:tc>
          <w:tcPr>
            <w:tcW w:w="2528" w:type="pct"/>
            <w:shd w:val="clear" w:color="auto" w:fill="auto"/>
            <w:vAlign w:val="center"/>
          </w:tcPr>
          <w:p w14:paraId="0FEA7D08"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headache, dizziness</w:t>
            </w:r>
          </w:p>
        </w:tc>
      </w:tr>
      <w:tr w:rsidR="00D2704C" w:rsidRPr="00F95509" w14:paraId="58F3A55E" w14:textId="77777777" w:rsidTr="00DE5AE7">
        <w:tblPrEx>
          <w:tblLook w:val="01E0" w:firstRow="1" w:lastRow="1" w:firstColumn="1" w:lastColumn="1" w:noHBand="0" w:noVBand="0"/>
        </w:tblPrEx>
        <w:trPr>
          <w:cantSplit/>
        </w:trPr>
        <w:tc>
          <w:tcPr>
            <w:tcW w:w="1616" w:type="pct"/>
            <w:vMerge/>
            <w:vAlign w:val="center"/>
          </w:tcPr>
          <w:p w14:paraId="635D29FB"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08207D12"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616ACAD1"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sz w:val="22"/>
                <w:szCs w:val="22"/>
              </w:rPr>
              <w:t>cerebrovascular accident,</w:t>
            </w:r>
            <w:r w:rsidRPr="005F6EDB">
              <w:rPr>
                <w:rFonts w:ascii="Arial" w:hAnsi="Arial" w:cs="Arial"/>
                <w:noProof/>
                <w:sz w:val="22"/>
                <w:szCs w:val="22"/>
              </w:rPr>
              <w:t xml:space="preserve"> </w:t>
            </w:r>
            <w:r w:rsidRPr="005F6EDB">
              <w:rPr>
                <w:rFonts w:ascii="Arial" w:hAnsi="Arial" w:cs="Arial"/>
                <w:sz w:val="22"/>
                <w:szCs w:val="22"/>
              </w:rPr>
              <w:t>cerebral infarction,</w:t>
            </w:r>
            <w:r w:rsidRPr="005F6EDB">
              <w:rPr>
                <w:rFonts w:ascii="Arial" w:hAnsi="Arial" w:cs="Arial"/>
                <w:noProof/>
                <w:sz w:val="22"/>
                <w:szCs w:val="22"/>
              </w:rPr>
              <w:t xml:space="preserve"> neuropathy peripheral, lethargy, migraine, hyperaesthesia, hypoaesthesia, paraesthesia, transient ischaemic attack</w:t>
            </w:r>
          </w:p>
        </w:tc>
      </w:tr>
      <w:tr w:rsidR="00D2704C" w:rsidRPr="00F95509" w14:paraId="5F9DE8F2" w14:textId="77777777" w:rsidTr="00DE5AE7">
        <w:tblPrEx>
          <w:tblLook w:val="01E0" w:firstRow="1" w:lastRow="1" w:firstColumn="1" w:lastColumn="1" w:noHBand="0" w:noVBand="0"/>
        </w:tblPrEx>
        <w:trPr>
          <w:cantSplit/>
        </w:trPr>
        <w:tc>
          <w:tcPr>
            <w:tcW w:w="1616" w:type="pct"/>
            <w:vMerge/>
            <w:vAlign w:val="center"/>
          </w:tcPr>
          <w:p w14:paraId="161BE124"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4698DB53"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Uncommon</w:t>
            </w:r>
          </w:p>
        </w:tc>
        <w:tc>
          <w:tcPr>
            <w:tcW w:w="2528" w:type="pct"/>
            <w:shd w:val="clear" w:color="auto" w:fill="auto"/>
            <w:vAlign w:val="center"/>
          </w:tcPr>
          <w:p w14:paraId="7122D04C"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sz w:val="22"/>
                <w:szCs w:val="22"/>
              </w:rPr>
              <w:t>cerebral artery stenosis</w:t>
            </w:r>
          </w:p>
        </w:tc>
      </w:tr>
      <w:tr w:rsidR="00D2704C" w:rsidRPr="00F95509" w14:paraId="5E470F01" w14:textId="77777777" w:rsidTr="00DE5AE7">
        <w:tblPrEx>
          <w:tblLook w:val="01E0" w:firstRow="1" w:lastRow="1" w:firstColumn="1" w:lastColumn="1" w:noHBand="0" w:noVBand="0"/>
        </w:tblPrEx>
        <w:trPr>
          <w:cantSplit/>
        </w:trPr>
        <w:tc>
          <w:tcPr>
            <w:tcW w:w="1616" w:type="pct"/>
            <w:vMerge w:val="restart"/>
            <w:vAlign w:val="center"/>
          </w:tcPr>
          <w:p w14:paraId="47FE76FD" w14:textId="77777777" w:rsidR="00D2704C" w:rsidRPr="00017356" w:rsidRDefault="00D2704C" w:rsidP="00E647B9">
            <w:pPr>
              <w:pStyle w:val="TableText10"/>
              <w:keepNext/>
              <w:rPr>
                <w:rFonts w:ascii="Arial" w:hAnsi="Arial" w:cs="Arial"/>
                <w:sz w:val="22"/>
                <w:szCs w:val="22"/>
                <w:lang w:val="en-GB"/>
              </w:rPr>
            </w:pPr>
            <w:r w:rsidRPr="00017356">
              <w:rPr>
                <w:rFonts w:ascii="Arial" w:hAnsi="Arial" w:cs="Arial"/>
                <w:sz w:val="22"/>
                <w:szCs w:val="22"/>
                <w:lang w:val="en-GB"/>
              </w:rPr>
              <w:t>Eye disorders</w:t>
            </w:r>
          </w:p>
        </w:tc>
        <w:tc>
          <w:tcPr>
            <w:tcW w:w="855" w:type="pct"/>
            <w:shd w:val="clear" w:color="auto" w:fill="auto"/>
            <w:vAlign w:val="center"/>
          </w:tcPr>
          <w:p w14:paraId="0827910B" w14:textId="77777777" w:rsidR="00D2704C" w:rsidRPr="00017356" w:rsidRDefault="00D2704C" w:rsidP="00E647B9">
            <w:pPr>
              <w:pStyle w:val="TableText10"/>
              <w:keepNext/>
              <w:rPr>
                <w:rFonts w:ascii="Arial" w:hAnsi="Arial" w:cs="Arial"/>
                <w:noProof/>
                <w:sz w:val="22"/>
                <w:szCs w:val="22"/>
              </w:rPr>
            </w:pPr>
            <w:r w:rsidRPr="00017356">
              <w:rPr>
                <w:rFonts w:ascii="Arial" w:hAnsi="Arial" w:cs="Arial"/>
                <w:noProof/>
                <w:sz w:val="22"/>
                <w:szCs w:val="22"/>
              </w:rPr>
              <w:t>Common</w:t>
            </w:r>
          </w:p>
        </w:tc>
        <w:tc>
          <w:tcPr>
            <w:tcW w:w="2528" w:type="pct"/>
            <w:shd w:val="clear" w:color="auto" w:fill="auto"/>
            <w:vAlign w:val="center"/>
          </w:tcPr>
          <w:p w14:paraId="70F41142" w14:textId="77777777" w:rsidR="00D2704C" w:rsidRPr="00017356" w:rsidRDefault="00D2704C" w:rsidP="00E647B9">
            <w:pPr>
              <w:pStyle w:val="TableText10"/>
              <w:keepNext/>
              <w:rPr>
                <w:rFonts w:ascii="Arial" w:hAnsi="Arial" w:cs="Arial"/>
                <w:noProof/>
                <w:sz w:val="22"/>
                <w:szCs w:val="22"/>
              </w:rPr>
            </w:pPr>
            <w:r w:rsidRPr="00017356">
              <w:rPr>
                <w:rFonts w:ascii="Arial" w:hAnsi="Arial" w:cs="Arial"/>
                <w:noProof/>
                <w:sz w:val="22"/>
                <w:szCs w:val="22"/>
              </w:rPr>
              <w:t>vision blurred, dry eye, periorbital oedema, eyelid oedema</w:t>
            </w:r>
          </w:p>
        </w:tc>
      </w:tr>
      <w:tr w:rsidR="00D2704C" w:rsidRPr="00F95509" w14:paraId="7CCA718C" w14:textId="77777777" w:rsidTr="00DE5AE7">
        <w:tblPrEx>
          <w:tblLook w:val="01E0" w:firstRow="1" w:lastRow="1" w:firstColumn="1" w:lastColumn="1" w:noHBand="0" w:noVBand="0"/>
        </w:tblPrEx>
        <w:trPr>
          <w:cantSplit/>
        </w:trPr>
        <w:tc>
          <w:tcPr>
            <w:tcW w:w="1616" w:type="pct"/>
            <w:vMerge/>
            <w:vAlign w:val="center"/>
          </w:tcPr>
          <w:p w14:paraId="67178722"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0CA8012A"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Uncommon</w:t>
            </w:r>
          </w:p>
        </w:tc>
        <w:tc>
          <w:tcPr>
            <w:tcW w:w="2528" w:type="pct"/>
            <w:shd w:val="clear" w:color="auto" w:fill="auto"/>
            <w:vAlign w:val="center"/>
          </w:tcPr>
          <w:p w14:paraId="24416B9F"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sz w:val="22"/>
                <w:szCs w:val="22"/>
              </w:rPr>
              <w:t>retinal vein thrombosis, retinal vein occlusion, retinal artery occlusion, visual impairment</w:t>
            </w:r>
          </w:p>
        </w:tc>
      </w:tr>
      <w:tr w:rsidR="00D2704C" w:rsidRPr="00F95509" w14:paraId="65FCA3FA" w14:textId="77777777" w:rsidTr="00DE5AE7">
        <w:tblPrEx>
          <w:tblLook w:val="01E0" w:firstRow="1" w:lastRow="1" w:firstColumn="1" w:lastColumn="1" w:noHBand="0" w:noVBand="0"/>
        </w:tblPrEx>
        <w:trPr>
          <w:cantSplit/>
        </w:trPr>
        <w:tc>
          <w:tcPr>
            <w:tcW w:w="1616" w:type="pct"/>
            <w:vMerge w:val="restart"/>
            <w:vAlign w:val="center"/>
          </w:tcPr>
          <w:p w14:paraId="7D73104D"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Cardiac disorders</w:t>
            </w:r>
          </w:p>
        </w:tc>
        <w:tc>
          <w:tcPr>
            <w:tcW w:w="855" w:type="pct"/>
            <w:shd w:val="clear" w:color="auto" w:fill="auto"/>
            <w:vAlign w:val="center"/>
          </w:tcPr>
          <w:p w14:paraId="42455155"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Common</w:t>
            </w:r>
          </w:p>
        </w:tc>
        <w:tc>
          <w:tcPr>
            <w:tcW w:w="2528" w:type="pct"/>
            <w:shd w:val="clear" w:color="auto" w:fill="auto"/>
            <w:vAlign w:val="center"/>
          </w:tcPr>
          <w:p w14:paraId="784E115A"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cardiac failure, myocardial infarction, cardiac failure congestive, coronary artery disease, angina pectoris, pericardial effusion, atrial fibrillation, ejection fraction decreased</w:t>
            </w:r>
          </w:p>
        </w:tc>
      </w:tr>
      <w:tr w:rsidR="00D2704C" w:rsidRPr="00F95509" w14:paraId="40141752" w14:textId="77777777" w:rsidTr="00DE5AE7">
        <w:tblPrEx>
          <w:tblLook w:val="01E0" w:firstRow="1" w:lastRow="1" w:firstColumn="1" w:lastColumn="1" w:noHBand="0" w:noVBand="0"/>
        </w:tblPrEx>
        <w:trPr>
          <w:cantSplit/>
        </w:trPr>
        <w:tc>
          <w:tcPr>
            <w:tcW w:w="1616" w:type="pct"/>
            <w:vMerge/>
            <w:vAlign w:val="center"/>
          </w:tcPr>
          <w:p w14:paraId="282B9872"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2B841319"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Uncommon</w:t>
            </w:r>
          </w:p>
        </w:tc>
        <w:tc>
          <w:tcPr>
            <w:tcW w:w="2528" w:type="pct"/>
            <w:shd w:val="clear" w:color="auto" w:fill="auto"/>
            <w:vAlign w:val="center"/>
          </w:tcPr>
          <w:p w14:paraId="04DD7D14" w14:textId="4770709B"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 xml:space="preserve">myocardial ischemia, acute coronary syndrome, cardiac discomfort, ischemic cardiomyopathy, arteriospasm coronary, </w:t>
            </w:r>
            <w:r w:rsidRPr="005F6EDB">
              <w:rPr>
                <w:rFonts w:ascii="Arial" w:hAnsi="Arial" w:cs="Arial"/>
                <w:sz w:val="22"/>
                <w:szCs w:val="22"/>
              </w:rPr>
              <w:t xml:space="preserve">left ventricular dysfunction, atrial flutter </w:t>
            </w:r>
          </w:p>
        </w:tc>
      </w:tr>
      <w:tr w:rsidR="00D2704C" w:rsidRPr="00F95509" w14:paraId="2796C41F" w14:textId="77777777" w:rsidTr="00DE5AE7">
        <w:tblPrEx>
          <w:tblLook w:val="01E0" w:firstRow="1" w:lastRow="1" w:firstColumn="1" w:lastColumn="1" w:noHBand="0" w:noVBand="0"/>
        </w:tblPrEx>
        <w:trPr>
          <w:cantSplit/>
        </w:trPr>
        <w:tc>
          <w:tcPr>
            <w:tcW w:w="1616" w:type="pct"/>
            <w:vMerge w:val="restart"/>
            <w:vAlign w:val="center"/>
          </w:tcPr>
          <w:p w14:paraId="5DCF8153"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Vascular Disorders</w:t>
            </w:r>
          </w:p>
        </w:tc>
        <w:tc>
          <w:tcPr>
            <w:tcW w:w="855" w:type="pct"/>
            <w:shd w:val="clear" w:color="auto" w:fill="auto"/>
            <w:vAlign w:val="center"/>
          </w:tcPr>
          <w:p w14:paraId="7CA13380"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Very common</w:t>
            </w:r>
          </w:p>
        </w:tc>
        <w:tc>
          <w:tcPr>
            <w:tcW w:w="2528" w:type="pct"/>
            <w:shd w:val="clear" w:color="auto" w:fill="auto"/>
            <w:vAlign w:val="center"/>
          </w:tcPr>
          <w:p w14:paraId="4F41BA59"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hypertension</w:t>
            </w:r>
          </w:p>
        </w:tc>
      </w:tr>
      <w:tr w:rsidR="00D2704C" w:rsidRPr="00F95509" w14:paraId="425E6837" w14:textId="77777777" w:rsidTr="00DE5AE7">
        <w:tblPrEx>
          <w:tblLook w:val="01E0" w:firstRow="1" w:lastRow="1" w:firstColumn="1" w:lastColumn="1" w:noHBand="0" w:noVBand="0"/>
        </w:tblPrEx>
        <w:trPr>
          <w:cantSplit/>
        </w:trPr>
        <w:tc>
          <w:tcPr>
            <w:tcW w:w="1616" w:type="pct"/>
            <w:vMerge/>
            <w:vAlign w:val="center"/>
          </w:tcPr>
          <w:p w14:paraId="5DEEA04B"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26883E94"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53D58BBB" w14:textId="29DE124A"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 xml:space="preserve">peripheral arterial occlusive disease, peripheral ischaemia, </w:t>
            </w:r>
            <w:r w:rsidRPr="005F6EDB">
              <w:rPr>
                <w:rFonts w:ascii="Arial" w:hAnsi="Arial" w:cs="Arial"/>
                <w:sz w:val="22"/>
                <w:szCs w:val="22"/>
              </w:rPr>
              <w:t xml:space="preserve">peripheral artery stenosis, </w:t>
            </w:r>
            <w:r w:rsidRPr="005F6EDB">
              <w:rPr>
                <w:rFonts w:ascii="Arial" w:hAnsi="Arial" w:cs="Arial"/>
                <w:noProof/>
                <w:sz w:val="22"/>
                <w:szCs w:val="22"/>
              </w:rPr>
              <w:t xml:space="preserve">intermittent claudication, deep vein thrombosis, hot flush, flushing </w:t>
            </w:r>
            <w:r w:rsidRPr="005F6EDB">
              <w:rPr>
                <w:rFonts w:ascii="Arial" w:hAnsi="Arial" w:cs="Arial"/>
                <w:sz w:val="22"/>
                <w:szCs w:val="22"/>
              </w:rPr>
              <w:t xml:space="preserve"> </w:t>
            </w:r>
          </w:p>
        </w:tc>
      </w:tr>
      <w:tr w:rsidR="00D2704C" w:rsidRPr="00F95509" w14:paraId="566B58D7" w14:textId="77777777" w:rsidTr="00DE5AE7">
        <w:tblPrEx>
          <w:tblLook w:val="01E0" w:firstRow="1" w:lastRow="1" w:firstColumn="1" w:lastColumn="1" w:noHBand="0" w:noVBand="0"/>
        </w:tblPrEx>
        <w:trPr>
          <w:cantSplit/>
        </w:trPr>
        <w:tc>
          <w:tcPr>
            <w:tcW w:w="1616" w:type="pct"/>
            <w:vMerge/>
            <w:vAlign w:val="center"/>
          </w:tcPr>
          <w:p w14:paraId="3AD0D34F"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7847428E"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Uncommon</w:t>
            </w:r>
          </w:p>
        </w:tc>
        <w:tc>
          <w:tcPr>
            <w:tcW w:w="2528" w:type="pct"/>
            <w:shd w:val="clear" w:color="auto" w:fill="auto"/>
            <w:vAlign w:val="center"/>
          </w:tcPr>
          <w:p w14:paraId="60D13F04"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sz w:val="22"/>
                <w:szCs w:val="22"/>
              </w:rPr>
              <w:t xml:space="preserve">poor peripheral circulation, splenic infarction, embolism venous, </w:t>
            </w:r>
            <w:r w:rsidRPr="005F6EDB">
              <w:rPr>
                <w:rFonts w:ascii="Arial" w:hAnsi="Arial" w:cs="Arial"/>
                <w:noProof/>
                <w:sz w:val="22"/>
                <w:szCs w:val="22"/>
              </w:rPr>
              <w:t>venous thrombosis</w:t>
            </w:r>
          </w:p>
        </w:tc>
      </w:tr>
      <w:tr w:rsidR="00D2704C" w:rsidRPr="00F95509" w14:paraId="35ED696C" w14:textId="77777777" w:rsidTr="00DE5AE7">
        <w:tblPrEx>
          <w:tblLook w:val="01E0" w:firstRow="1" w:lastRow="1" w:firstColumn="1" w:lastColumn="1" w:noHBand="0" w:noVBand="0"/>
        </w:tblPrEx>
        <w:trPr>
          <w:cantSplit/>
        </w:trPr>
        <w:tc>
          <w:tcPr>
            <w:tcW w:w="1616" w:type="pct"/>
            <w:vMerge w:val="restart"/>
            <w:vAlign w:val="center"/>
          </w:tcPr>
          <w:p w14:paraId="6F3C0885"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Respiratory, thoracic and mediastinal disorders</w:t>
            </w:r>
          </w:p>
        </w:tc>
        <w:tc>
          <w:tcPr>
            <w:tcW w:w="855" w:type="pct"/>
            <w:shd w:val="clear" w:color="auto" w:fill="auto"/>
            <w:vAlign w:val="center"/>
          </w:tcPr>
          <w:p w14:paraId="6D1FBD0A"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Very common</w:t>
            </w:r>
          </w:p>
        </w:tc>
        <w:tc>
          <w:tcPr>
            <w:tcW w:w="2528" w:type="pct"/>
            <w:shd w:val="clear" w:color="auto" w:fill="auto"/>
            <w:vAlign w:val="center"/>
          </w:tcPr>
          <w:p w14:paraId="75A42A08"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dyspnoea, cough</w:t>
            </w:r>
          </w:p>
        </w:tc>
      </w:tr>
      <w:tr w:rsidR="00D2704C" w:rsidRPr="00F95509" w14:paraId="7C184131" w14:textId="77777777" w:rsidTr="00DE5AE7">
        <w:tblPrEx>
          <w:tblLook w:val="01E0" w:firstRow="1" w:lastRow="1" w:firstColumn="1" w:lastColumn="1" w:noHBand="0" w:noVBand="0"/>
        </w:tblPrEx>
        <w:trPr>
          <w:cantSplit/>
          <w:trHeight w:val="521"/>
        </w:trPr>
        <w:tc>
          <w:tcPr>
            <w:tcW w:w="1616" w:type="pct"/>
            <w:vMerge/>
            <w:vAlign w:val="center"/>
          </w:tcPr>
          <w:p w14:paraId="6FF21917"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35B984C9"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2927EF68"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pulmonary embolism, pleural effusion, epistaxis, dysphonia, pulmonary hypertension</w:t>
            </w:r>
          </w:p>
        </w:tc>
      </w:tr>
      <w:tr w:rsidR="00D2704C" w:rsidRPr="00F95509" w14:paraId="2EA71963" w14:textId="77777777" w:rsidTr="00DE5AE7">
        <w:tblPrEx>
          <w:tblLook w:val="01E0" w:firstRow="1" w:lastRow="1" w:firstColumn="1" w:lastColumn="1" w:noHBand="0" w:noVBand="0"/>
        </w:tblPrEx>
        <w:trPr>
          <w:cantSplit/>
        </w:trPr>
        <w:tc>
          <w:tcPr>
            <w:tcW w:w="1616" w:type="pct"/>
            <w:vMerge w:val="restart"/>
            <w:vAlign w:val="center"/>
          </w:tcPr>
          <w:p w14:paraId="498A01E4"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Gastrointestinal disorders</w:t>
            </w:r>
          </w:p>
        </w:tc>
        <w:tc>
          <w:tcPr>
            <w:tcW w:w="855" w:type="pct"/>
            <w:shd w:val="clear" w:color="auto" w:fill="auto"/>
            <w:vAlign w:val="center"/>
          </w:tcPr>
          <w:p w14:paraId="4E7762DE"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Very common</w:t>
            </w:r>
          </w:p>
        </w:tc>
        <w:tc>
          <w:tcPr>
            <w:tcW w:w="2528" w:type="pct"/>
            <w:shd w:val="clear" w:color="auto" w:fill="auto"/>
            <w:vAlign w:val="center"/>
          </w:tcPr>
          <w:p w14:paraId="5518ACB9"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abdominal pain, diarrhoea, vomiting, constipation, nausea, lipase increased</w:t>
            </w:r>
          </w:p>
        </w:tc>
      </w:tr>
      <w:tr w:rsidR="00D2704C" w:rsidRPr="00F95509" w14:paraId="07F9846B" w14:textId="77777777" w:rsidTr="00DE5AE7">
        <w:tblPrEx>
          <w:tblLook w:val="01E0" w:firstRow="1" w:lastRow="1" w:firstColumn="1" w:lastColumn="1" w:noHBand="0" w:noVBand="0"/>
        </w:tblPrEx>
        <w:trPr>
          <w:cantSplit/>
        </w:trPr>
        <w:tc>
          <w:tcPr>
            <w:tcW w:w="1616" w:type="pct"/>
            <w:vMerge/>
            <w:vAlign w:val="center"/>
          </w:tcPr>
          <w:p w14:paraId="5B85BF2F"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35044E35"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013922D2"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noProof/>
                <w:sz w:val="22"/>
                <w:szCs w:val="22"/>
              </w:rPr>
              <w:t xml:space="preserve">pancreatitis, blood amylase increased, gastrooesophageal reflux disease, stomatitis, dyspepsia, abdominal distension, abdominal discomfort, dry mouth </w:t>
            </w:r>
          </w:p>
        </w:tc>
      </w:tr>
      <w:tr w:rsidR="00D2704C" w:rsidRPr="00F95509" w14:paraId="2A45B94A" w14:textId="77777777" w:rsidTr="00DE5AE7">
        <w:tblPrEx>
          <w:tblLook w:val="01E0" w:firstRow="1" w:lastRow="1" w:firstColumn="1" w:lastColumn="1" w:noHBand="0" w:noVBand="0"/>
        </w:tblPrEx>
        <w:trPr>
          <w:cantSplit/>
        </w:trPr>
        <w:tc>
          <w:tcPr>
            <w:tcW w:w="1616" w:type="pct"/>
            <w:vMerge/>
            <w:vAlign w:val="center"/>
          </w:tcPr>
          <w:p w14:paraId="0A59C435"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30C8E13C" w14:textId="77777777" w:rsidR="00D2704C" w:rsidRPr="005F6EDB"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Uncommon</w:t>
            </w:r>
          </w:p>
        </w:tc>
        <w:tc>
          <w:tcPr>
            <w:tcW w:w="2528" w:type="pct"/>
            <w:shd w:val="clear" w:color="auto" w:fill="auto"/>
            <w:vAlign w:val="center"/>
          </w:tcPr>
          <w:p w14:paraId="257590EE" w14:textId="77777777" w:rsidR="00D2704C" w:rsidRPr="005F6EDB" w:rsidRDefault="00D2704C" w:rsidP="00E647B9">
            <w:pPr>
              <w:pStyle w:val="TableText10"/>
              <w:spacing w:before="120" w:after="120"/>
              <w:rPr>
                <w:rFonts w:ascii="Arial" w:hAnsi="Arial" w:cs="Arial"/>
                <w:noProof/>
                <w:sz w:val="22"/>
                <w:szCs w:val="22"/>
              </w:rPr>
            </w:pPr>
            <w:r w:rsidRPr="005F6EDB">
              <w:rPr>
                <w:rFonts w:ascii="Arial" w:hAnsi="Arial" w:cs="Arial"/>
                <w:sz w:val="22"/>
                <w:szCs w:val="22"/>
              </w:rPr>
              <w:t xml:space="preserve">gastric </w:t>
            </w:r>
            <w:proofErr w:type="spellStart"/>
            <w:r w:rsidRPr="005F6EDB">
              <w:rPr>
                <w:rFonts w:ascii="Arial" w:hAnsi="Arial" w:cs="Arial"/>
                <w:sz w:val="22"/>
                <w:szCs w:val="22"/>
              </w:rPr>
              <w:t>haemorrhage</w:t>
            </w:r>
            <w:proofErr w:type="spellEnd"/>
          </w:p>
        </w:tc>
      </w:tr>
      <w:tr w:rsidR="00D2704C" w:rsidRPr="00F95509" w14:paraId="4E63C3F9" w14:textId="77777777" w:rsidTr="00DE5AE7">
        <w:tblPrEx>
          <w:tblLook w:val="01E0" w:firstRow="1" w:lastRow="1" w:firstColumn="1" w:lastColumn="1" w:noHBand="0" w:noVBand="0"/>
        </w:tblPrEx>
        <w:trPr>
          <w:cantSplit/>
        </w:trPr>
        <w:tc>
          <w:tcPr>
            <w:tcW w:w="1616" w:type="pct"/>
            <w:vMerge w:val="restart"/>
            <w:vAlign w:val="center"/>
          </w:tcPr>
          <w:p w14:paraId="4FE21E44"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Hepatobiliary disorders</w:t>
            </w:r>
          </w:p>
        </w:tc>
        <w:tc>
          <w:tcPr>
            <w:tcW w:w="855" w:type="pct"/>
            <w:shd w:val="clear" w:color="auto" w:fill="auto"/>
            <w:vAlign w:val="center"/>
          </w:tcPr>
          <w:p w14:paraId="30AFF8C0"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Very common</w:t>
            </w:r>
          </w:p>
        </w:tc>
        <w:tc>
          <w:tcPr>
            <w:tcW w:w="2528" w:type="pct"/>
            <w:shd w:val="clear" w:color="auto" w:fill="auto"/>
            <w:vAlign w:val="center"/>
          </w:tcPr>
          <w:p w14:paraId="69E6980B" w14:textId="77777777" w:rsidR="00D2704C" w:rsidRPr="00017356" w:rsidRDefault="00D2704C" w:rsidP="00E647B9">
            <w:pPr>
              <w:pStyle w:val="TableText10"/>
              <w:rPr>
                <w:rFonts w:ascii="Arial" w:hAnsi="Arial" w:cs="Arial"/>
                <w:sz w:val="22"/>
                <w:szCs w:val="22"/>
              </w:rPr>
            </w:pPr>
            <w:r w:rsidRPr="00017356">
              <w:rPr>
                <w:rFonts w:ascii="Arial" w:hAnsi="Arial" w:cs="Arial"/>
                <w:sz w:val="22"/>
                <w:szCs w:val="22"/>
              </w:rPr>
              <w:t>alanine aminotransferase increased, aspartate aminotransferase increased</w:t>
            </w:r>
          </w:p>
        </w:tc>
      </w:tr>
      <w:tr w:rsidR="00D2704C" w:rsidRPr="00F95509" w14:paraId="663CC82F" w14:textId="77777777" w:rsidTr="00DE5AE7">
        <w:tblPrEx>
          <w:tblLook w:val="01E0" w:firstRow="1" w:lastRow="1" w:firstColumn="1" w:lastColumn="1" w:noHBand="0" w:noVBand="0"/>
        </w:tblPrEx>
        <w:trPr>
          <w:cantSplit/>
        </w:trPr>
        <w:tc>
          <w:tcPr>
            <w:tcW w:w="1616" w:type="pct"/>
            <w:vMerge/>
            <w:vAlign w:val="center"/>
          </w:tcPr>
          <w:p w14:paraId="64620976"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2011E430" w14:textId="77777777" w:rsidR="00D2704C" w:rsidRPr="00377AB2"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696BC3A0" w14:textId="77777777" w:rsidR="00D2704C" w:rsidRPr="00377AB2" w:rsidRDefault="00D2704C" w:rsidP="00E647B9">
            <w:pPr>
              <w:pStyle w:val="TableText10"/>
              <w:spacing w:before="120" w:after="120"/>
              <w:rPr>
                <w:rFonts w:ascii="Arial" w:hAnsi="Arial" w:cs="Arial"/>
                <w:sz w:val="22"/>
                <w:szCs w:val="22"/>
              </w:rPr>
            </w:pPr>
            <w:r w:rsidRPr="005F6EDB">
              <w:rPr>
                <w:rFonts w:ascii="Arial" w:hAnsi="Arial" w:cs="Arial"/>
                <w:sz w:val="22"/>
                <w:szCs w:val="22"/>
              </w:rPr>
              <w:t>blood bilirubin increased, blood alkaline phosphatase increased, gamma-</w:t>
            </w:r>
            <w:proofErr w:type="spellStart"/>
            <w:r w:rsidRPr="005F6EDB">
              <w:rPr>
                <w:rFonts w:ascii="Arial" w:hAnsi="Arial" w:cs="Arial"/>
                <w:sz w:val="22"/>
                <w:szCs w:val="22"/>
              </w:rPr>
              <w:t>glutamyltransferase</w:t>
            </w:r>
            <w:proofErr w:type="spellEnd"/>
            <w:r w:rsidRPr="005F6EDB">
              <w:rPr>
                <w:rFonts w:ascii="Arial" w:hAnsi="Arial" w:cs="Arial"/>
                <w:sz w:val="22"/>
                <w:szCs w:val="22"/>
              </w:rPr>
              <w:t xml:space="preserve"> increased</w:t>
            </w:r>
          </w:p>
        </w:tc>
      </w:tr>
      <w:tr w:rsidR="00D2704C" w:rsidRPr="00F95509" w14:paraId="1C0D5D43" w14:textId="77777777" w:rsidTr="00DE5AE7">
        <w:tblPrEx>
          <w:tblLook w:val="01E0" w:firstRow="1" w:lastRow="1" w:firstColumn="1" w:lastColumn="1" w:noHBand="0" w:noVBand="0"/>
        </w:tblPrEx>
        <w:trPr>
          <w:cantSplit/>
        </w:trPr>
        <w:tc>
          <w:tcPr>
            <w:tcW w:w="1616" w:type="pct"/>
            <w:vMerge/>
            <w:vAlign w:val="center"/>
          </w:tcPr>
          <w:p w14:paraId="44D8A4F7"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463D752A" w14:textId="77777777" w:rsidR="00D2704C" w:rsidRPr="00377AB2"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Uncommon</w:t>
            </w:r>
          </w:p>
        </w:tc>
        <w:tc>
          <w:tcPr>
            <w:tcW w:w="2528" w:type="pct"/>
            <w:shd w:val="clear" w:color="auto" w:fill="auto"/>
            <w:vAlign w:val="center"/>
          </w:tcPr>
          <w:p w14:paraId="3EC4B981" w14:textId="77777777" w:rsidR="00D2704C" w:rsidRPr="00377AB2" w:rsidRDefault="00D2704C" w:rsidP="00E647B9">
            <w:pPr>
              <w:pStyle w:val="TableText10"/>
              <w:spacing w:before="120" w:after="120"/>
              <w:rPr>
                <w:rFonts w:ascii="Arial" w:hAnsi="Arial" w:cs="Arial"/>
                <w:noProof/>
                <w:sz w:val="22"/>
                <w:szCs w:val="22"/>
              </w:rPr>
            </w:pPr>
            <w:r w:rsidRPr="00377AB2">
              <w:rPr>
                <w:rFonts w:ascii="Arial" w:hAnsi="Arial" w:cs="Arial"/>
                <w:sz w:val="22"/>
                <w:szCs w:val="22"/>
              </w:rPr>
              <w:t>hepatotoxicity, jaundice</w:t>
            </w:r>
          </w:p>
        </w:tc>
      </w:tr>
      <w:tr w:rsidR="00D2704C" w:rsidRPr="00F95509" w14:paraId="60D7C6EA" w14:textId="77777777" w:rsidTr="00DE5AE7">
        <w:tblPrEx>
          <w:tblLook w:val="01E0" w:firstRow="1" w:lastRow="1" w:firstColumn="1" w:lastColumn="1" w:noHBand="0" w:noVBand="0"/>
        </w:tblPrEx>
        <w:trPr>
          <w:cantSplit/>
        </w:trPr>
        <w:tc>
          <w:tcPr>
            <w:tcW w:w="1616" w:type="pct"/>
            <w:vMerge w:val="restart"/>
            <w:vAlign w:val="center"/>
          </w:tcPr>
          <w:p w14:paraId="47BF8D2F"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 xml:space="preserve">Skin and subcutaneous tissue disorders </w:t>
            </w:r>
          </w:p>
        </w:tc>
        <w:tc>
          <w:tcPr>
            <w:tcW w:w="855" w:type="pct"/>
            <w:shd w:val="clear" w:color="auto" w:fill="auto"/>
            <w:vAlign w:val="center"/>
          </w:tcPr>
          <w:p w14:paraId="1A98269C"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Very common</w:t>
            </w:r>
          </w:p>
        </w:tc>
        <w:tc>
          <w:tcPr>
            <w:tcW w:w="2528" w:type="pct"/>
            <w:shd w:val="clear" w:color="auto" w:fill="auto"/>
            <w:vAlign w:val="center"/>
          </w:tcPr>
          <w:p w14:paraId="5A0DDCAD"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rash, dry skin</w:t>
            </w:r>
          </w:p>
        </w:tc>
      </w:tr>
      <w:tr w:rsidR="00D2704C" w:rsidRPr="00F95509" w14:paraId="24F52604" w14:textId="77777777" w:rsidTr="00DE5AE7">
        <w:tblPrEx>
          <w:tblLook w:val="01E0" w:firstRow="1" w:lastRow="1" w:firstColumn="1" w:lastColumn="1" w:noHBand="0" w:noVBand="0"/>
        </w:tblPrEx>
        <w:trPr>
          <w:cantSplit/>
          <w:trHeight w:val="1088"/>
        </w:trPr>
        <w:tc>
          <w:tcPr>
            <w:tcW w:w="1616" w:type="pct"/>
            <w:vMerge/>
            <w:vAlign w:val="center"/>
          </w:tcPr>
          <w:p w14:paraId="50F6F8B1"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2DAF778B" w14:textId="77777777" w:rsidR="00D2704C" w:rsidRPr="00377AB2"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3F89CFC9" w14:textId="77777777" w:rsidR="00D2704C" w:rsidRPr="00377AB2" w:rsidRDefault="00D2704C" w:rsidP="00E647B9">
            <w:pPr>
              <w:pStyle w:val="TableText10"/>
              <w:spacing w:before="120" w:after="120"/>
              <w:rPr>
                <w:rFonts w:ascii="Arial" w:hAnsi="Arial" w:cs="Arial"/>
                <w:noProof/>
                <w:sz w:val="22"/>
                <w:szCs w:val="22"/>
              </w:rPr>
            </w:pPr>
            <w:r w:rsidRPr="00377AB2">
              <w:rPr>
                <w:rFonts w:ascii="Arial" w:hAnsi="Arial" w:cs="Arial"/>
                <w:noProof/>
                <w:sz w:val="22"/>
                <w:szCs w:val="22"/>
              </w:rPr>
              <w:t>rash pruritic, exfoliative rash, erythema, alopecia, pruritis, skin exfoliation, night sweats, hyperhidrosis, petechia, ecchymosis, pain of skin, dermatitis exfoliative</w:t>
            </w:r>
          </w:p>
        </w:tc>
      </w:tr>
      <w:tr w:rsidR="00D2704C" w:rsidRPr="00F95509" w14:paraId="75A3E265" w14:textId="77777777" w:rsidTr="00DE5AE7">
        <w:tblPrEx>
          <w:tblLook w:val="01E0" w:firstRow="1" w:lastRow="1" w:firstColumn="1" w:lastColumn="1" w:noHBand="0" w:noVBand="0"/>
        </w:tblPrEx>
        <w:trPr>
          <w:cantSplit/>
        </w:trPr>
        <w:tc>
          <w:tcPr>
            <w:tcW w:w="1616" w:type="pct"/>
            <w:vMerge w:val="restart"/>
            <w:vAlign w:val="center"/>
          </w:tcPr>
          <w:p w14:paraId="6BC032AE"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 xml:space="preserve">Musculoskeletal and connective tissue </w:t>
            </w:r>
            <w:r w:rsidRPr="00017356">
              <w:rPr>
                <w:rFonts w:ascii="Arial" w:hAnsi="Arial" w:cs="Arial"/>
                <w:sz w:val="22"/>
                <w:szCs w:val="22"/>
                <w:lang w:val="en-GB"/>
              </w:rPr>
              <w:lastRenderedPageBreak/>
              <w:t>disorders</w:t>
            </w:r>
          </w:p>
        </w:tc>
        <w:tc>
          <w:tcPr>
            <w:tcW w:w="855" w:type="pct"/>
            <w:shd w:val="clear" w:color="auto" w:fill="auto"/>
            <w:vAlign w:val="center"/>
          </w:tcPr>
          <w:p w14:paraId="47652523"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lastRenderedPageBreak/>
              <w:t>Very common</w:t>
            </w:r>
          </w:p>
        </w:tc>
        <w:tc>
          <w:tcPr>
            <w:tcW w:w="2528" w:type="pct"/>
            <w:shd w:val="clear" w:color="auto" w:fill="auto"/>
            <w:vAlign w:val="center"/>
          </w:tcPr>
          <w:p w14:paraId="0E4E8729"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bone pain, arthralgia, myalgia, pain in extremity, back pain, muscle spasms</w:t>
            </w:r>
          </w:p>
        </w:tc>
      </w:tr>
      <w:tr w:rsidR="00D2704C" w:rsidRPr="00F95509" w14:paraId="3717A25A" w14:textId="77777777" w:rsidTr="00DE5AE7">
        <w:tblPrEx>
          <w:tblLook w:val="01E0" w:firstRow="1" w:lastRow="1" w:firstColumn="1" w:lastColumn="1" w:noHBand="0" w:noVBand="0"/>
        </w:tblPrEx>
        <w:trPr>
          <w:cantSplit/>
        </w:trPr>
        <w:tc>
          <w:tcPr>
            <w:tcW w:w="1616" w:type="pct"/>
            <w:vMerge/>
            <w:vAlign w:val="center"/>
          </w:tcPr>
          <w:p w14:paraId="2B3126DE" w14:textId="77777777" w:rsidR="00D2704C" w:rsidRPr="00EC45EA" w:rsidRDefault="00D2704C" w:rsidP="00E647B9">
            <w:pPr>
              <w:pStyle w:val="TableText10"/>
              <w:rPr>
                <w:rFonts w:ascii="Arial" w:hAnsi="Arial" w:cs="Arial"/>
                <w:sz w:val="22"/>
                <w:szCs w:val="22"/>
                <w:lang w:val="en-GB"/>
              </w:rPr>
            </w:pPr>
          </w:p>
        </w:tc>
        <w:tc>
          <w:tcPr>
            <w:tcW w:w="855" w:type="pct"/>
            <w:shd w:val="clear" w:color="auto" w:fill="auto"/>
            <w:vAlign w:val="center"/>
          </w:tcPr>
          <w:p w14:paraId="17ACD4F6" w14:textId="77777777" w:rsidR="00D2704C" w:rsidRPr="00377AB2"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5C72B1B0" w14:textId="77777777" w:rsidR="00D2704C" w:rsidRPr="00377AB2" w:rsidRDefault="00D2704C" w:rsidP="00E647B9">
            <w:pPr>
              <w:pStyle w:val="TableText10"/>
              <w:spacing w:before="120" w:after="120"/>
              <w:rPr>
                <w:rFonts w:ascii="Arial" w:hAnsi="Arial" w:cs="Arial"/>
                <w:noProof/>
                <w:sz w:val="22"/>
                <w:szCs w:val="22"/>
              </w:rPr>
            </w:pPr>
            <w:r w:rsidRPr="00377AB2">
              <w:rPr>
                <w:rFonts w:ascii="Arial" w:hAnsi="Arial" w:cs="Arial"/>
                <w:noProof/>
                <w:sz w:val="22"/>
                <w:szCs w:val="22"/>
              </w:rPr>
              <w:t>musculoskeletal pain, neck pain, musculoskeletal chest pain</w:t>
            </w:r>
          </w:p>
        </w:tc>
      </w:tr>
      <w:tr w:rsidR="00D2704C" w:rsidRPr="00F95509" w14:paraId="7D58FFF3" w14:textId="77777777" w:rsidTr="00DE5AE7">
        <w:tblPrEx>
          <w:tblLook w:val="01E0" w:firstRow="1" w:lastRow="1" w:firstColumn="1" w:lastColumn="1" w:noHBand="0" w:noVBand="0"/>
        </w:tblPrEx>
        <w:trPr>
          <w:cantSplit/>
        </w:trPr>
        <w:tc>
          <w:tcPr>
            <w:tcW w:w="1616" w:type="pct"/>
            <w:vAlign w:val="center"/>
          </w:tcPr>
          <w:p w14:paraId="20BC2260"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lastRenderedPageBreak/>
              <w:t>Reproductive system and breast disorders</w:t>
            </w:r>
          </w:p>
        </w:tc>
        <w:tc>
          <w:tcPr>
            <w:tcW w:w="855" w:type="pct"/>
            <w:shd w:val="clear" w:color="auto" w:fill="auto"/>
            <w:vAlign w:val="center"/>
          </w:tcPr>
          <w:p w14:paraId="6C7F81E2"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Common</w:t>
            </w:r>
          </w:p>
        </w:tc>
        <w:tc>
          <w:tcPr>
            <w:tcW w:w="2528" w:type="pct"/>
            <w:shd w:val="clear" w:color="auto" w:fill="auto"/>
            <w:vAlign w:val="center"/>
          </w:tcPr>
          <w:p w14:paraId="72A6A01A"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erectile dysfunction</w:t>
            </w:r>
          </w:p>
        </w:tc>
      </w:tr>
      <w:tr w:rsidR="00D2704C" w:rsidRPr="00E647B9" w14:paraId="58DA7F45" w14:textId="77777777" w:rsidTr="00DE5AE7">
        <w:tblPrEx>
          <w:tblLook w:val="01E0" w:firstRow="1" w:lastRow="1" w:firstColumn="1" w:lastColumn="1" w:noHBand="0" w:noVBand="0"/>
        </w:tblPrEx>
        <w:trPr>
          <w:cantSplit/>
        </w:trPr>
        <w:tc>
          <w:tcPr>
            <w:tcW w:w="1616" w:type="pct"/>
            <w:vMerge w:val="restart"/>
            <w:vAlign w:val="center"/>
          </w:tcPr>
          <w:p w14:paraId="5A600CE1" w14:textId="77777777" w:rsidR="00D2704C" w:rsidRPr="00017356" w:rsidRDefault="00D2704C" w:rsidP="00E647B9">
            <w:pPr>
              <w:pStyle w:val="TableText10"/>
              <w:rPr>
                <w:rFonts w:ascii="Arial" w:hAnsi="Arial" w:cs="Arial"/>
                <w:sz w:val="22"/>
                <w:szCs w:val="22"/>
                <w:lang w:val="en-GB"/>
              </w:rPr>
            </w:pPr>
            <w:r w:rsidRPr="00017356">
              <w:rPr>
                <w:rFonts w:ascii="Arial" w:hAnsi="Arial" w:cs="Arial"/>
                <w:sz w:val="22"/>
                <w:szCs w:val="22"/>
                <w:lang w:val="en-GB"/>
              </w:rPr>
              <w:t>General disorders and administrative site conditions</w:t>
            </w:r>
          </w:p>
        </w:tc>
        <w:tc>
          <w:tcPr>
            <w:tcW w:w="855" w:type="pct"/>
            <w:shd w:val="clear" w:color="auto" w:fill="auto"/>
            <w:vAlign w:val="center"/>
          </w:tcPr>
          <w:p w14:paraId="31DAFA77" w14:textId="77777777" w:rsidR="00D2704C" w:rsidRPr="00017356" w:rsidRDefault="00D2704C" w:rsidP="00E647B9">
            <w:pPr>
              <w:pStyle w:val="TableText10"/>
              <w:rPr>
                <w:rFonts w:ascii="Arial" w:hAnsi="Arial" w:cs="Arial"/>
                <w:noProof/>
                <w:sz w:val="22"/>
                <w:szCs w:val="22"/>
              </w:rPr>
            </w:pPr>
            <w:r w:rsidRPr="00017356">
              <w:rPr>
                <w:rFonts w:ascii="Arial" w:hAnsi="Arial" w:cs="Arial"/>
                <w:noProof/>
                <w:sz w:val="22"/>
                <w:szCs w:val="22"/>
              </w:rPr>
              <w:t>Very common</w:t>
            </w:r>
          </w:p>
        </w:tc>
        <w:tc>
          <w:tcPr>
            <w:tcW w:w="2528" w:type="pct"/>
            <w:shd w:val="clear" w:color="auto" w:fill="auto"/>
            <w:vAlign w:val="center"/>
          </w:tcPr>
          <w:p w14:paraId="38C78232" w14:textId="77777777" w:rsidR="00D2704C" w:rsidRPr="00017356" w:rsidRDefault="00D2704C" w:rsidP="00E647B9">
            <w:pPr>
              <w:pStyle w:val="TableText10"/>
              <w:rPr>
                <w:rFonts w:ascii="Arial" w:hAnsi="Arial" w:cs="Arial"/>
                <w:noProof/>
                <w:sz w:val="22"/>
                <w:szCs w:val="22"/>
                <w:lang w:val="fr-FR"/>
              </w:rPr>
            </w:pPr>
            <w:r w:rsidRPr="00017356">
              <w:rPr>
                <w:rFonts w:ascii="Arial" w:hAnsi="Arial" w:cs="Arial"/>
                <w:noProof/>
                <w:sz w:val="22"/>
                <w:szCs w:val="22"/>
                <w:lang w:val="fr-FR"/>
              </w:rPr>
              <w:t>fatigue, asthenia, oedema peripheral, pyrexia, pain</w:t>
            </w:r>
          </w:p>
        </w:tc>
      </w:tr>
      <w:tr w:rsidR="00D2704C" w:rsidRPr="00F95509" w14:paraId="7B119643" w14:textId="77777777" w:rsidTr="00DE5AE7">
        <w:tblPrEx>
          <w:tblLook w:val="01E0" w:firstRow="1" w:lastRow="1" w:firstColumn="1" w:lastColumn="1" w:noHBand="0" w:noVBand="0"/>
        </w:tblPrEx>
        <w:trPr>
          <w:cantSplit/>
        </w:trPr>
        <w:tc>
          <w:tcPr>
            <w:tcW w:w="1616" w:type="pct"/>
            <w:vMerge/>
            <w:vAlign w:val="center"/>
          </w:tcPr>
          <w:p w14:paraId="5151625E" w14:textId="77777777" w:rsidR="00D2704C" w:rsidRPr="00EC45EA" w:rsidRDefault="00D2704C" w:rsidP="00E647B9">
            <w:pPr>
              <w:pStyle w:val="TableText10"/>
              <w:rPr>
                <w:rFonts w:ascii="Arial" w:hAnsi="Arial" w:cs="Arial"/>
                <w:sz w:val="22"/>
                <w:szCs w:val="22"/>
                <w:lang w:val="fr-FR"/>
              </w:rPr>
            </w:pPr>
          </w:p>
        </w:tc>
        <w:tc>
          <w:tcPr>
            <w:tcW w:w="855" w:type="pct"/>
            <w:shd w:val="clear" w:color="auto" w:fill="auto"/>
            <w:vAlign w:val="center"/>
          </w:tcPr>
          <w:p w14:paraId="3A3783FE" w14:textId="77777777" w:rsidR="00D2704C" w:rsidRPr="00377AB2" w:rsidRDefault="00D2704C" w:rsidP="00E647B9">
            <w:pPr>
              <w:pStyle w:val="TableText10"/>
              <w:spacing w:before="120" w:after="120"/>
              <w:rPr>
                <w:rFonts w:ascii="Arial" w:hAnsi="Arial" w:cs="Arial"/>
                <w:noProof/>
                <w:sz w:val="22"/>
                <w:szCs w:val="22"/>
              </w:rPr>
            </w:pPr>
            <w:r w:rsidRPr="00EC45EA">
              <w:rPr>
                <w:rFonts w:ascii="Arial" w:hAnsi="Arial" w:cs="Arial"/>
                <w:noProof/>
                <w:sz w:val="22"/>
                <w:szCs w:val="22"/>
              </w:rPr>
              <w:t>Common</w:t>
            </w:r>
          </w:p>
        </w:tc>
        <w:tc>
          <w:tcPr>
            <w:tcW w:w="2528" w:type="pct"/>
            <w:shd w:val="clear" w:color="auto" w:fill="auto"/>
            <w:vAlign w:val="center"/>
          </w:tcPr>
          <w:p w14:paraId="7ECF8AED" w14:textId="77777777" w:rsidR="00D2704C" w:rsidRPr="00377AB2" w:rsidRDefault="00D2704C" w:rsidP="00E647B9">
            <w:pPr>
              <w:pStyle w:val="TableText10"/>
              <w:spacing w:before="120" w:after="120"/>
              <w:rPr>
                <w:rFonts w:ascii="Arial" w:hAnsi="Arial" w:cs="Arial"/>
                <w:noProof/>
                <w:sz w:val="22"/>
                <w:szCs w:val="22"/>
              </w:rPr>
            </w:pPr>
            <w:r w:rsidRPr="00377AB2">
              <w:rPr>
                <w:rFonts w:ascii="Arial" w:hAnsi="Arial" w:cs="Arial"/>
                <w:noProof/>
                <w:sz w:val="22"/>
                <w:szCs w:val="22"/>
              </w:rPr>
              <w:t>chills, influenza like illness, non-cardiac chest pain, mass, face oedema</w:t>
            </w:r>
          </w:p>
        </w:tc>
      </w:tr>
    </w:tbl>
    <w:p w14:paraId="112477BA" w14:textId="77777777" w:rsidR="006674E7" w:rsidRPr="00E13B52" w:rsidRDefault="006674E7" w:rsidP="006674E7">
      <w:pPr>
        <w:rPr>
          <w:rFonts w:ascii="Arial" w:hAnsi="Arial" w:cs="Arial"/>
          <w:strike/>
          <w:lang w:val="en-CA"/>
        </w:rPr>
      </w:pPr>
    </w:p>
    <w:p w14:paraId="3D61DBE2" w14:textId="77777777" w:rsidR="006674E7" w:rsidRPr="00426E51" w:rsidRDefault="006674E7" w:rsidP="006674E7">
      <w:pPr>
        <w:rPr>
          <w:rFonts w:ascii="Arial" w:hAnsi="Arial" w:cs="Arial"/>
          <w:sz w:val="22"/>
          <w:szCs w:val="22"/>
          <w:lang w:val="en-CA"/>
        </w:rPr>
      </w:pPr>
    </w:p>
    <w:p w14:paraId="2F2F8B3E" w14:textId="77777777" w:rsidR="00C26AC8" w:rsidRPr="00426E51" w:rsidRDefault="00C26AC8" w:rsidP="00C26AC8">
      <w:pPr>
        <w:keepNext/>
        <w:rPr>
          <w:rFonts w:ascii="Arial" w:hAnsi="Arial" w:cs="Arial"/>
          <w:sz w:val="22"/>
          <w:szCs w:val="22"/>
          <w:u w:val="single"/>
        </w:rPr>
      </w:pPr>
      <w:r w:rsidRPr="00426E51">
        <w:rPr>
          <w:rFonts w:ascii="Arial" w:hAnsi="Arial" w:cs="Arial"/>
          <w:sz w:val="22"/>
          <w:szCs w:val="22"/>
          <w:u w:val="single"/>
        </w:rPr>
        <w:t>Description of selected adverse reactions</w:t>
      </w:r>
    </w:p>
    <w:p w14:paraId="4DFD8C95" w14:textId="77777777" w:rsidR="00C26AC8" w:rsidRPr="00D10ED2" w:rsidRDefault="00C26AC8" w:rsidP="00C26AC8">
      <w:pPr>
        <w:rPr>
          <w:rFonts w:ascii="Arial" w:hAnsi="Arial" w:cs="Arial"/>
        </w:rPr>
      </w:pPr>
    </w:p>
    <w:p w14:paraId="13071FC6" w14:textId="0670A08D" w:rsidR="00C26AC8" w:rsidRPr="00426E51" w:rsidRDefault="00C26AC8" w:rsidP="00C26AC8">
      <w:pPr>
        <w:rPr>
          <w:rFonts w:ascii="Arial" w:hAnsi="Arial" w:cs="Arial"/>
          <w:sz w:val="22"/>
          <w:szCs w:val="22"/>
          <w:u w:val="single"/>
        </w:rPr>
      </w:pPr>
      <w:proofErr w:type="gramStart"/>
      <w:r w:rsidRPr="00426E51">
        <w:rPr>
          <w:rFonts w:ascii="Arial" w:hAnsi="Arial" w:cs="Arial"/>
          <w:i/>
          <w:sz w:val="22"/>
          <w:szCs w:val="22"/>
        </w:rPr>
        <w:t>Vascular occlusion</w:t>
      </w:r>
      <w:r w:rsidRPr="00426E51">
        <w:rPr>
          <w:rFonts w:ascii="Arial" w:hAnsi="Arial" w:cs="Arial"/>
          <w:sz w:val="22"/>
          <w:szCs w:val="22"/>
        </w:rPr>
        <w:t xml:space="preserve"> (see </w:t>
      </w:r>
      <w:r w:rsidR="00540E84" w:rsidRPr="00426E51">
        <w:rPr>
          <w:rFonts w:ascii="Arial" w:hAnsi="Arial" w:cs="Arial"/>
          <w:b/>
          <w:sz w:val="22"/>
          <w:szCs w:val="22"/>
        </w:rPr>
        <w:t>P</w:t>
      </w:r>
      <w:r w:rsidR="00E647B9">
        <w:rPr>
          <w:rFonts w:ascii="Arial" w:hAnsi="Arial" w:cs="Arial"/>
          <w:b/>
          <w:sz w:val="22"/>
          <w:szCs w:val="22"/>
        </w:rPr>
        <w:t>recautions</w:t>
      </w:r>
      <w:r w:rsidR="00540E84" w:rsidRPr="00426E51">
        <w:rPr>
          <w:rFonts w:ascii="Arial" w:hAnsi="Arial" w:cs="Arial"/>
          <w:sz w:val="22"/>
          <w:szCs w:val="22"/>
        </w:rPr>
        <w:t xml:space="preserve"> and </w:t>
      </w:r>
      <w:r w:rsidR="00540E84" w:rsidRPr="00426E51">
        <w:rPr>
          <w:rFonts w:ascii="Arial" w:hAnsi="Arial" w:cs="Arial"/>
          <w:b/>
          <w:sz w:val="22"/>
          <w:szCs w:val="22"/>
        </w:rPr>
        <w:t>D</w:t>
      </w:r>
      <w:r w:rsidR="00E647B9">
        <w:rPr>
          <w:rFonts w:ascii="Arial" w:hAnsi="Arial" w:cs="Arial"/>
          <w:b/>
          <w:sz w:val="22"/>
          <w:szCs w:val="22"/>
        </w:rPr>
        <w:t>osage and Administration</w:t>
      </w:r>
      <w:r w:rsidRPr="00426E51">
        <w:rPr>
          <w:rFonts w:ascii="Arial" w:hAnsi="Arial" w:cs="Arial"/>
          <w:sz w:val="22"/>
          <w:szCs w:val="22"/>
        </w:rPr>
        <w:t>).</w:t>
      </w:r>
      <w:proofErr w:type="gramEnd"/>
      <w:r w:rsidRPr="00426E51">
        <w:rPr>
          <w:rFonts w:ascii="Arial" w:hAnsi="Arial" w:cs="Arial"/>
          <w:sz w:val="22"/>
          <w:szCs w:val="22"/>
        </w:rPr>
        <w:t xml:space="preserve">  </w:t>
      </w:r>
    </w:p>
    <w:p w14:paraId="135ABB23" w14:textId="109D6B49" w:rsidR="00C26AC8" w:rsidRPr="00426E51" w:rsidRDefault="00C26AC8" w:rsidP="00C26AC8">
      <w:pPr>
        <w:rPr>
          <w:rFonts w:ascii="Arial" w:hAnsi="Arial" w:cs="Arial"/>
          <w:sz w:val="22"/>
          <w:szCs w:val="22"/>
        </w:rPr>
      </w:pPr>
      <w:r w:rsidRPr="00426E51">
        <w:rPr>
          <w:rFonts w:ascii="Arial" w:hAnsi="Arial" w:cs="Arial"/>
          <w:sz w:val="22"/>
          <w:szCs w:val="22"/>
        </w:rPr>
        <w:t xml:space="preserve">Serious vascular occlusion occurred in patients treated with </w:t>
      </w:r>
      <w:r w:rsidR="00540E84" w:rsidRPr="00426E51">
        <w:rPr>
          <w:rFonts w:ascii="Arial" w:hAnsi="Arial" w:cs="Arial"/>
          <w:sz w:val="22"/>
          <w:szCs w:val="22"/>
        </w:rPr>
        <w:t>ICLUSIG</w:t>
      </w:r>
      <w:r w:rsidRPr="00426E51">
        <w:rPr>
          <w:rFonts w:ascii="Arial" w:hAnsi="Arial" w:cs="Arial"/>
          <w:sz w:val="22"/>
          <w:szCs w:val="22"/>
        </w:rPr>
        <w:t xml:space="preserve">: cardiovascular events in </w:t>
      </w:r>
      <w:r w:rsidR="00017356">
        <w:rPr>
          <w:rFonts w:ascii="Arial" w:hAnsi="Arial" w:cs="Arial"/>
          <w:sz w:val="22"/>
          <w:szCs w:val="22"/>
        </w:rPr>
        <w:t>7</w:t>
      </w:r>
      <w:r w:rsidRPr="00426E51">
        <w:rPr>
          <w:rFonts w:ascii="Arial" w:hAnsi="Arial" w:cs="Arial"/>
          <w:sz w:val="22"/>
          <w:szCs w:val="22"/>
        </w:rPr>
        <w:t xml:space="preserve">%, cerebrovascular events in </w:t>
      </w:r>
      <w:r w:rsidR="00017356">
        <w:rPr>
          <w:rFonts w:ascii="Arial" w:hAnsi="Arial" w:cs="Arial"/>
          <w:sz w:val="22"/>
          <w:szCs w:val="22"/>
        </w:rPr>
        <w:t>6</w:t>
      </w:r>
      <w:r w:rsidRPr="00426E51">
        <w:rPr>
          <w:rFonts w:ascii="Arial" w:hAnsi="Arial" w:cs="Arial"/>
          <w:sz w:val="22"/>
          <w:szCs w:val="22"/>
        </w:rPr>
        <w:t xml:space="preserve">%, peripheral vascular events in </w:t>
      </w:r>
      <w:r w:rsidR="00017356">
        <w:rPr>
          <w:rFonts w:ascii="Arial" w:hAnsi="Arial" w:cs="Arial"/>
          <w:sz w:val="22"/>
          <w:szCs w:val="22"/>
        </w:rPr>
        <w:t>5</w:t>
      </w:r>
      <w:r w:rsidRPr="00426E51">
        <w:rPr>
          <w:rFonts w:ascii="Arial" w:hAnsi="Arial" w:cs="Arial"/>
          <w:sz w:val="22"/>
          <w:szCs w:val="22"/>
        </w:rPr>
        <w:t xml:space="preserve">%, and venous thrombotic events in </w:t>
      </w:r>
      <w:r w:rsidR="00017356">
        <w:rPr>
          <w:rFonts w:ascii="Arial" w:hAnsi="Arial" w:cs="Arial"/>
          <w:sz w:val="22"/>
          <w:szCs w:val="22"/>
        </w:rPr>
        <w:t>4</w:t>
      </w:r>
      <w:r w:rsidRPr="00426E51">
        <w:rPr>
          <w:rFonts w:ascii="Arial" w:hAnsi="Arial" w:cs="Arial"/>
          <w:sz w:val="22"/>
          <w:szCs w:val="22"/>
        </w:rPr>
        <w:t>% of patients.  Patients with and without cardiovascular risk factors, including patients age 50 years or younger, experienced these events. Vascular occlusion adverse events were more frequent with increasing age and in patients with prior history of ischemia, hypertension, diabetes, or hyperlipidemia.</w:t>
      </w:r>
    </w:p>
    <w:p w14:paraId="3FEE2C8A" w14:textId="0F80C75C" w:rsidR="00C26AC8" w:rsidRPr="00D10ED2" w:rsidRDefault="00C26AC8" w:rsidP="006674E7">
      <w:pPr>
        <w:rPr>
          <w:rFonts w:ascii="Arial" w:hAnsi="Arial" w:cs="Arial"/>
          <w:lang w:val="en-CA"/>
        </w:rPr>
      </w:pPr>
    </w:p>
    <w:p w14:paraId="6E3D2F09" w14:textId="4FE4C991" w:rsidR="006674E7" w:rsidRPr="00D10ED2" w:rsidRDefault="006674E7" w:rsidP="00EC45EA">
      <w:pPr>
        <w:keepNext/>
        <w:rPr>
          <w:rFonts w:ascii="Arial" w:hAnsi="Arial" w:cs="Arial"/>
          <w:lang w:val="en-CA"/>
        </w:rPr>
      </w:pPr>
      <w:r w:rsidRPr="00D10ED2">
        <w:rPr>
          <w:rFonts w:ascii="Arial" w:hAnsi="Arial" w:cs="Arial"/>
          <w:b/>
          <w:u w:val="single"/>
          <w:lang w:val="en-CA"/>
        </w:rPr>
        <w:t xml:space="preserve">Abnormal </w:t>
      </w:r>
      <w:proofErr w:type="spellStart"/>
      <w:r w:rsidRPr="00D10ED2">
        <w:rPr>
          <w:rFonts w:ascii="Arial" w:hAnsi="Arial" w:cs="Arial"/>
          <w:b/>
          <w:u w:val="single"/>
          <w:lang w:val="en-CA"/>
        </w:rPr>
        <w:t>H</w:t>
      </w:r>
      <w:r w:rsidR="002A1A4D">
        <w:rPr>
          <w:rFonts w:ascii="Arial" w:hAnsi="Arial" w:cs="Arial"/>
          <w:b/>
          <w:u w:val="single"/>
          <w:lang w:val="en-CA"/>
        </w:rPr>
        <w:t>a</w:t>
      </w:r>
      <w:r w:rsidRPr="00D10ED2">
        <w:rPr>
          <w:rFonts w:ascii="Arial" w:hAnsi="Arial" w:cs="Arial"/>
          <w:b/>
          <w:u w:val="single"/>
          <w:lang w:val="en-CA"/>
        </w:rPr>
        <w:t>ematologic</w:t>
      </w:r>
      <w:proofErr w:type="spellEnd"/>
      <w:r w:rsidRPr="00D10ED2">
        <w:rPr>
          <w:rFonts w:ascii="Arial" w:hAnsi="Arial" w:cs="Arial"/>
          <w:b/>
          <w:u w:val="single"/>
          <w:lang w:val="en-CA"/>
        </w:rPr>
        <w:t xml:space="preserve"> and Clinical Chemistry Findings</w:t>
      </w:r>
    </w:p>
    <w:p w14:paraId="3C42667A" w14:textId="66AC52AA" w:rsidR="006674E7" w:rsidRPr="00745BC9" w:rsidRDefault="006674E7" w:rsidP="00EC45EA">
      <w:pPr>
        <w:keepNext/>
        <w:rPr>
          <w:rFonts w:ascii="Arial" w:hAnsi="Arial" w:cs="Arial"/>
          <w:sz w:val="22"/>
          <w:szCs w:val="22"/>
          <w:lang w:val="en-CA"/>
        </w:rPr>
      </w:pPr>
      <w:proofErr w:type="spellStart"/>
      <w:r w:rsidRPr="00745BC9">
        <w:rPr>
          <w:rFonts w:ascii="Arial" w:hAnsi="Arial" w:cs="Arial"/>
          <w:sz w:val="22"/>
          <w:szCs w:val="22"/>
          <w:lang w:val="en-CA"/>
        </w:rPr>
        <w:t>Myelosuppression</w:t>
      </w:r>
      <w:proofErr w:type="spellEnd"/>
      <w:r w:rsidRPr="00745BC9">
        <w:rPr>
          <w:rFonts w:ascii="Arial" w:hAnsi="Arial" w:cs="Arial"/>
          <w:sz w:val="22"/>
          <w:szCs w:val="22"/>
          <w:lang w:val="en-CA"/>
        </w:rPr>
        <w:t xml:space="preserve"> was commonly reported in all patient populations.  The frequency of Grade 3 or 4 thrombocytopenia, neutropenia, and an</w:t>
      </w:r>
      <w:r w:rsidR="00003E68" w:rsidRPr="00745BC9">
        <w:rPr>
          <w:rFonts w:ascii="Arial" w:hAnsi="Arial" w:cs="Arial"/>
          <w:sz w:val="22"/>
          <w:szCs w:val="22"/>
          <w:lang w:val="en-CA"/>
        </w:rPr>
        <w:t>a</w:t>
      </w:r>
      <w:r w:rsidRPr="00745BC9">
        <w:rPr>
          <w:rFonts w:ascii="Arial" w:hAnsi="Arial" w:cs="Arial"/>
          <w:sz w:val="22"/>
          <w:szCs w:val="22"/>
          <w:lang w:val="en-CA"/>
        </w:rPr>
        <w:t>emia was higher in patients with AP-CML and BP</w:t>
      </w:r>
      <w:r w:rsidRPr="00745BC9">
        <w:rPr>
          <w:rFonts w:ascii="Arial" w:hAnsi="Arial" w:cs="Arial"/>
          <w:sz w:val="22"/>
          <w:szCs w:val="22"/>
          <w:lang w:val="en-CA"/>
        </w:rPr>
        <w:noBreakHyphen/>
        <w:t>CML/</w:t>
      </w:r>
      <w:proofErr w:type="spellStart"/>
      <w:r w:rsidRPr="00745BC9">
        <w:rPr>
          <w:rFonts w:ascii="Arial" w:hAnsi="Arial" w:cs="Arial"/>
          <w:sz w:val="22"/>
          <w:szCs w:val="22"/>
          <w:lang w:val="en-CA"/>
        </w:rPr>
        <w:t>Ph</w:t>
      </w:r>
      <w:proofErr w:type="spellEnd"/>
      <w:r w:rsidRPr="00745BC9">
        <w:rPr>
          <w:rFonts w:ascii="Arial" w:hAnsi="Arial" w:cs="Arial"/>
          <w:sz w:val="22"/>
          <w:szCs w:val="22"/>
          <w:lang w:val="en-CA"/>
        </w:rPr>
        <w:t xml:space="preserve">+ ALL than in patients with CP-CML (see Table </w:t>
      </w:r>
      <w:r w:rsidR="005E698B" w:rsidRPr="00745BC9">
        <w:rPr>
          <w:rFonts w:ascii="Arial" w:hAnsi="Arial" w:cs="Arial"/>
          <w:sz w:val="22"/>
          <w:szCs w:val="22"/>
          <w:lang w:val="en-CA"/>
        </w:rPr>
        <w:t>5</w:t>
      </w:r>
      <w:r w:rsidRPr="00745BC9">
        <w:rPr>
          <w:rFonts w:ascii="Arial" w:hAnsi="Arial" w:cs="Arial"/>
          <w:sz w:val="22"/>
          <w:szCs w:val="22"/>
          <w:lang w:val="en-CA"/>
        </w:rPr>
        <w:t xml:space="preserve">).  </w:t>
      </w:r>
      <w:proofErr w:type="spellStart"/>
      <w:r w:rsidRPr="00745BC9">
        <w:rPr>
          <w:rFonts w:ascii="Arial" w:hAnsi="Arial" w:cs="Arial"/>
          <w:sz w:val="22"/>
          <w:szCs w:val="22"/>
          <w:lang w:val="en-CA"/>
        </w:rPr>
        <w:t>Myelosuppression</w:t>
      </w:r>
      <w:proofErr w:type="spellEnd"/>
      <w:r w:rsidRPr="00745BC9">
        <w:rPr>
          <w:rFonts w:ascii="Arial" w:hAnsi="Arial" w:cs="Arial"/>
          <w:sz w:val="22"/>
          <w:szCs w:val="22"/>
          <w:lang w:val="en-CA"/>
        </w:rPr>
        <w:t xml:space="preserve"> was reported in patients with normal baseline laboratory values as well as in patients with pre-existing laboratory abnormalities. </w:t>
      </w:r>
    </w:p>
    <w:p w14:paraId="5A623A0C" w14:textId="77777777" w:rsidR="006674E7" w:rsidRPr="00745BC9" w:rsidRDefault="006674E7" w:rsidP="006674E7">
      <w:pPr>
        <w:rPr>
          <w:rFonts w:ascii="Arial" w:hAnsi="Arial" w:cs="Arial"/>
          <w:sz w:val="22"/>
          <w:szCs w:val="22"/>
          <w:lang w:val="en-CA"/>
        </w:rPr>
      </w:pPr>
    </w:p>
    <w:p w14:paraId="0559D580" w14:textId="7ACC6A3E" w:rsidR="006674E7" w:rsidRPr="00D10ED2" w:rsidRDefault="006674E7" w:rsidP="006674E7">
      <w:pPr>
        <w:rPr>
          <w:rFonts w:ascii="Arial" w:hAnsi="Arial" w:cs="Arial"/>
          <w:lang w:val="en-CA"/>
        </w:rPr>
      </w:pPr>
      <w:r w:rsidRPr="00745BC9">
        <w:rPr>
          <w:rFonts w:ascii="Arial" w:hAnsi="Arial" w:cs="Arial"/>
          <w:sz w:val="22"/>
          <w:szCs w:val="22"/>
          <w:lang w:val="en-CA"/>
        </w:rPr>
        <w:t xml:space="preserve">Discontinuation due to </w:t>
      </w:r>
      <w:proofErr w:type="spellStart"/>
      <w:r w:rsidRPr="00745BC9">
        <w:rPr>
          <w:rFonts w:ascii="Arial" w:hAnsi="Arial" w:cs="Arial"/>
          <w:sz w:val="22"/>
          <w:szCs w:val="22"/>
          <w:lang w:val="en-CA"/>
        </w:rPr>
        <w:t>myelosuppression</w:t>
      </w:r>
      <w:proofErr w:type="spellEnd"/>
      <w:r w:rsidRPr="00745BC9">
        <w:rPr>
          <w:rFonts w:ascii="Arial" w:hAnsi="Arial" w:cs="Arial"/>
          <w:sz w:val="22"/>
          <w:szCs w:val="22"/>
          <w:lang w:val="en-CA"/>
        </w:rPr>
        <w:t xml:space="preserve"> was infrequent (thrombocytopenia 3.6%, neutropenia and an</w:t>
      </w:r>
      <w:r w:rsidR="00366F4C" w:rsidRPr="00745BC9">
        <w:rPr>
          <w:rFonts w:ascii="Arial" w:hAnsi="Arial" w:cs="Arial"/>
          <w:sz w:val="22"/>
          <w:szCs w:val="22"/>
          <w:lang w:val="en-CA"/>
        </w:rPr>
        <w:t>a</w:t>
      </w:r>
      <w:r w:rsidRPr="00745BC9">
        <w:rPr>
          <w:rFonts w:ascii="Arial" w:hAnsi="Arial" w:cs="Arial"/>
          <w:sz w:val="22"/>
          <w:szCs w:val="22"/>
          <w:lang w:val="en-CA"/>
        </w:rPr>
        <w:t>emia &lt; 1% each).</w:t>
      </w:r>
      <w:r w:rsidRPr="00D10ED2">
        <w:rPr>
          <w:rFonts w:ascii="Arial" w:hAnsi="Arial" w:cs="Arial"/>
          <w:lang w:val="en-CA"/>
        </w:rPr>
        <w:t xml:space="preserve">  </w:t>
      </w:r>
    </w:p>
    <w:p w14:paraId="62603BA2" w14:textId="77777777" w:rsidR="006674E7" w:rsidRPr="00D10ED2" w:rsidRDefault="006674E7" w:rsidP="006674E7">
      <w:pPr>
        <w:rPr>
          <w:rFonts w:ascii="Arial" w:hAnsi="Arial" w:cs="Arial"/>
          <w:lang w:val="en-CA"/>
        </w:rPr>
      </w:pPr>
    </w:p>
    <w:p w14:paraId="20DC8F2B" w14:textId="6D55B921" w:rsidR="006674E7" w:rsidRPr="00D10ED2" w:rsidRDefault="006674E7" w:rsidP="006674E7">
      <w:pPr>
        <w:keepNext/>
        <w:keepLines/>
        <w:ind w:left="900" w:hanging="900"/>
        <w:rPr>
          <w:rFonts w:ascii="Arial" w:hAnsi="Arial" w:cs="Arial"/>
          <w:lang w:val="en-CA"/>
        </w:rPr>
      </w:pPr>
      <w:r w:rsidRPr="00D10ED2">
        <w:rPr>
          <w:rFonts w:ascii="Arial" w:hAnsi="Arial" w:cs="Arial"/>
          <w:b/>
          <w:lang w:val="en-CA"/>
        </w:rPr>
        <w:lastRenderedPageBreak/>
        <w:t xml:space="preserve">Table </w:t>
      </w:r>
      <w:r w:rsidR="005E698B" w:rsidRPr="00D10ED2">
        <w:rPr>
          <w:rFonts w:ascii="Arial" w:hAnsi="Arial" w:cs="Arial"/>
          <w:b/>
          <w:lang w:val="en-CA"/>
        </w:rPr>
        <w:t>5</w:t>
      </w:r>
      <w:r w:rsidRPr="00D10ED2">
        <w:rPr>
          <w:rFonts w:ascii="Arial" w:hAnsi="Arial" w:cs="Arial"/>
          <w:b/>
          <w:lang w:val="en-CA"/>
        </w:rPr>
        <w:t>:  Incidence of Clinically Relevant Grade 3/4 * Laboratory Abnormalities in ≥ 2% of Patients in Any Disease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203"/>
        <w:gridCol w:w="1202"/>
        <w:gridCol w:w="1202"/>
        <w:gridCol w:w="1541"/>
      </w:tblGrid>
      <w:tr w:rsidR="006674E7" w:rsidRPr="00D10ED2" w14:paraId="67763848" w14:textId="77777777" w:rsidTr="00956C27">
        <w:trPr>
          <w:trHeight w:val="330"/>
        </w:trPr>
        <w:tc>
          <w:tcPr>
            <w:tcW w:w="1977" w:type="pct"/>
            <w:tcBorders>
              <w:top w:val="single" w:sz="4" w:space="0" w:color="auto"/>
              <w:left w:val="single" w:sz="4" w:space="0" w:color="auto"/>
              <w:bottom w:val="single" w:sz="4" w:space="0" w:color="auto"/>
            </w:tcBorders>
          </w:tcPr>
          <w:p w14:paraId="486D2BE1"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Laboratory Test</w:t>
            </w:r>
          </w:p>
        </w:tc>
        <w:tc>
          <w:tcPr>
            <w:tcW w:w="706" w:type="pct"/>
            <w:tcBorders>
              <w:top w:val="single" w:sz="4" w:space="0" w:color="auto"/>
              <w:bottom w:val="single" w:sz="4" w:space="0" w:color="auto"/>
            </w:tcBorders>
          </w:tcPr>
          <w:p w14:paraId="1F39269D"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All Patients</w:t>
            </w:r>
            <w:r w:rsidRPr="00D10ED2">
              <w:rPr>
                <w:rFonts w:ascii="Arial" w:hAnsi="Arial" w:cs="Arial"/>
                <w:szCs w:val="20"/>
                <w:lang w:val="en-GB"/>
              </w:rPr>
              <w:br/>
              <w:t>(N=449)</w:t>
            </w:r>
          </w:p>
          <w:p w14:paraId="6E8B20A3"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w:t>
            </w:r>
          </w:p>
        </w:tc>
        <w:tc>
          <w:tcPr>
            <w:tcW w:w="706" w:type="pct"/>
            <w:tcBorders>
              <w:top w:val="single" w:sz="4" w:space="0" w:color="auto"/>
              <w:bottom w:val="single" w:sz="4" w:space="0" w:color="auto"/>
            </w:tcBorders>
          </w:tcPr>
          <w:p w14:paraId="6A6FF19E"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 xml:space="preserve">CP-CML </w:t>
            </w:r>
            <w:r w:rsidRPr="00D10ED2">
              <w:rPr>
                <w:rFonts w:ascii="Arial" w:hAnsi="Arial" w:cs="Arial"/>
                <w:szCs w:val="20"/>
                <w:lang w:val="en-GB"/>
              </w:rPr>
              <w:br/>
              <w:t>(N=270)</w:t>
            </w:r>
          </w:p>
          <w:p w14:paraId="63952385"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w:t>
            </w:r>
          </w:p>
        </w:tc>
        <w:tc>
          <w:tcPr>
            <w:tcW w:w="706" w:type="pct"/>
            <w:tcBorders>
              <w:top w:val="single" w:sz="4" w:space="0" w:color="auto"/>
              <w:bottom w:val="single" w:sz="4" w:space="0" w:color="auto"/>
            </w:tcBorders>
          </w:tcPr>
          <w:p w14:paraId="6B809F72"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 xml:space="preserve">AP-CML </w:t>
            </w:r>
            <w:r w:rsidRPr="00D10ED2">
              <w:rPr>
                <w:rFonts w:ascii="Arial" w:hAnsi="Arial" w:cs="Arial"/>
                <w:szCs w:val="20"/>
                <w:lang w:val="en-GB"/>
              </w:rPr>
              <w:br/>
              <w:t>(N=85)</w:t>
            </w:r>
          </w:p>
          <w:p w14:paraId="4071DB77"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 xml:space="preserve">(%) </w:t>
            </w:r>
          </w:p>
        </w:tc>
        <w:tc>
          <w:tcPr>
            <w:tcW w:w="905" w:type="pct"/>
            <w:tcBorders>
              <w:top w:val="single" w:sz="4" w:space="0" w:color="auto"/>
              <w:bottom w:val="single" w:sz="4" w:space="0" w:color="auto"/>
              <w:right w:val="single" w:sz="4" w:space="0" w:color="auto"/>
            </w:tcBorders>
          </w:tcPr>
          <w:p w14:paraId="6AFD323B"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BP-CML/</w:t>
            </w:r>
            <w:proofErr w:type="spellStart"/>
            <w:r w:rsidRPr="00D10ED2">
              <w:rPr>
                <w:rFonts w:ascii="Arial" w:hAnsi="Arial" w:cs="Arial"/>
                <w:szCs w:val="20"/>
                <w:lang w:val="en-GB"/>
              </w:rPr>
              <w:t>Ph</w:t>
            </w:r>
            <w:proofErr w:type="spellEnd"/>
            <w:r w:rsidRPr="00D10ED2">
              <w:rPr>
                <w:rFonts w:ascii="Arial" w:hAnsi="Arial" w:cs="Arial"/>
                <w:szCs w:val="20"/>
                <w:lang w:val="en-GB"/>
              </w:rPr>
              <w:t xml:space="preserve">+ ALL (N=94) </w:t>
            </w:r>
          </w:p>
          <w:p w14:paraId="0E7CDEA6" w14:textId="77777777" w:rsidR="006674E7" w:rsidRPr="00D10ED2" w:rsidRDefault="006674E7" w:rsidP="00956C27">
            <w:pPr>
              <w:pStyle w:val="TableHeader10"/>
              <w:keepNext/>
              <w:keepLines/>
              <w:rPr>
                <w:rFonts w:ascii="Arial" w:hAnsi="Arial" w:cs="Arial"/>
                <w:szCs w:val="20"/>
                <w:lang w:val="en-GB"/>
              </w:rPr>
            </w:pPr>
            <w:r w:rsidRPr="00D10ED2">
              <w:rPr>
                <w:rFonts w:ascii="Arial" w:hAnsi="Arial" w:cs="Arial"/>
                <w:szCs w:val="20"/>
                <w:lang w:val="en-GB"/>
              </w:rPr>
              <w:t>(%)</w:t>
            </w:r>
          </w:p>
        </w:tc>
      </w:tr>
      <w:tr w:rsidR="006674E7" w:rsidRPr="00D10ED2" w14:paraId="41084D18" w14:textId="77777777" w:rsidTr="00956C27">
        <w:trPr>
          <w:trHeight w:val="209"/>
        </w:trPr>
        <w:tc>
          <w:tcPr>
            <w:tcW w:w="5000" w:type="pct"/>
            <w:gridSpan w:val="5"/>
            <w:tcBorders>
              <w:top w:val="single" w:sz="4" w:space="0" w:color="auto"/>
              <w:left w:val="single" w:sz="4" w:space="0" w:color="auto"/>
              <w:right w:val="single" w:sz="4" w:space="0" w:color="auto"/>
            </w:tcBorders>
          </w:tcPr>
          <w:p w14:paraId="3D5A01EA" w14:textId="77777777" w:rsidR="006674E7" w:rsidRPr="00D10ED2" w:rsidRDefault="006674E7" w:rsidP="00956C27">
            <w:pPr>
              <w:pStyle w:val="TableText10"/>
              <w:keepNext/>
              <w:keepLines/>
              <w:rPr>
                <w:rFonts w:ascii="Arial" w:hAnsi="Arial" w:cs="Arial"/>
                <w:b/>
                <w:i/>
                <w:szCs w:val="20"/>
                <w:lang w:val="en-GB"/>
              </w:rPr>
            </w:pPr>
            <w:r w:rsidRPr="00D10ED2">
              <w:rPr>
                <w:rFonts w:ascii="Arial" w:hAnsi="Arial" w:cs="Arial"/>
                <w:b/>
                <w:i/>
                <w:szCs w:val="20"/>
                <w:lang w:val="en-GB"/>
              </w:rPr>
              <w:t>Haematology</w:t>
            </w:r>
          </w:p>
        </w:tc>
      </w:tr>
      <w:tr w:rsidR="006674E7" w:rsidRPr="00D10ED2" w14:paraId="2C7003AB" w14:textId="77777777" w:rsidTr="00956C27">
        <w:trPr>
          <w:trHeight w:val="323"/>
        </w:trPr>
        <w:tc>
          <w:tcPr>
            <w:tcW w:w="1977" w:type="pct"/>
            <w:tcBorders>
              <w:left w:val="single" w:sz="4" w:space="0" w:color="auto"/>
            </w:tcBorders>
          </w:tcPr>
          <w:p w14:paraId="76825873"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Thrombocytopenia (platelet count decreased)</w:t>
            </w:r>
          </w:p>
        </w:tc>
        <w:tc>
          <w:tcPr>
            <w:tcW w:w="706" w:type="pct"/>
          </w:tcPr>
          <w:p w14:paraId="01881F9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39</w:t>
            </w:r>
          </w:p>
        </w:tc>
        <w:tc>
          <w:tcPr>
            <w:tcW w:w="706" w:type="pct"/>
          </w:tcPr>
          <w:p w14:paraId="5E31191B"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34</w:t>
            </w:r>
          </w:p>
        </w:tc>
        <w:tc>
          <w:tcPr>
            <w:tcW w:w="706" w:type="pct"/>
          </w:tcPr>
          <w:p w14:paraId="1C9D0990"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47</w:t>
            </w:r>
          </w:p>
        </w:tc>
        <w:tc>
          <w:tcPr>
            <w:tcW w:w="905" w:type="pct"/>
            <w:tcBorders>
              <w:right w:val="single" w:sz="4" w:space="0" w:color="auto"/>
            </w:tcBorders>
          </w:tcPr>
          <w:p w14:paraId="4F8495B4"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45</w:t>
            </w:r>
          </w:p>
        </w:tc>
      </w:tr>
      <w:tr w:rsidR="006674E7" w:rsidRPr="00D10ED2" w14:paraId="471845C2" w14:textId="77777777" w:rsidTr="00956C27">
        <w:trPr>
          <w:trHeight w:val="242"/>
        </w:trPr>
        <w:tc>
          <w:tcPr>
            <w:tcW w:w="1977" w:type="pct"/>
            <w:tcBorders>
              <w:left w:val="single" w:sz="4" w:space="0" w:color="auto"/>
            </w:tcBorders>
          </w:tcPr>
          <w:p w14:paraId="60497276"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Neutropenia (ANC decreased)</w:t>
            </w:r>
          </w:p>
        </w:tc>
        <w:tc>
          <w:tcPr>
            <w:tcW w:w="706" w:type="pct"/>
          </w:tcPr>
          <w:p w14:paraId="7CB913AC"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33</w:t>
            </w:r>
          </w:p>
        </w:tc>
        <w:tc>
          <w:tcPr>
            <w:tcW w:w="706" w:type="pct"/>
          </w:tcPr>
          <w:p w14:paraId="6334A285"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23</w:t>
            </w:r>
          </w:p>
        </w:tc>
        <w:tc>
          <w:tcPr>
            <w:tcW w:w="706" w:type="pct"/>
          </w:tcPr>
          <w:p w14:paraId="754BBE07"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47</w:t>
            </w:r>
          </w:p>
        </w:tc>
        <w:tc>
          <w:tcPr>
            <w:tcW w:w="905" w:type="pct"/>
            <w:tcBorders>
              <w:right w:val="single" w:sz="4" w:space="0" w:color="auto"/>
            </w:tcBorders>
          </w:tcPr>
          <w:p w14:paraId="75C5FA17"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52</w:t>
            </w:r>
          </w:p>
        </w:tc>
      </w:tr>
      <w:tr w:rsidR="006674E7" w:rsidRPr="00D10ED2" w14:paraId="60E32F96" w14:textId="77777777" w:rsidTr="00956C27">
        <w:trPr>
          <w:trHeight w:val="242"/>
        </w:trPr>
        <w:tc>
          <w:tcPr>
            <w:tcW w:w="1977" w:type="pct"/>
            <w:tcBorders>
              <w:left w:val="single" w:sz="4" w:space="0" w:color="auto"/>
            </w:tcBorders>
          </w:tcPr>
          <w:p w14:paraId="0938F1A1"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Leukopenia (WBC decreased)</w:t>
            </w:r>
          </w:p>
        </w:tc>
        <w:tc>
          <w:tcPr>
            <w:tcW w:w="706" w:type="pct"/>
          </w:tcPr>
          <w:p w14:paraId="689A7245"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25</w:t>
            </w:r>
          </w:p>
        </w:tc>
        <w:tc>
          <w:tcPr>
            <w:tcW w:w="706" w:type="pct"/>
          </w:tcPr>
          <w:p w14:paraId="081EB788"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12</w:t>
            </w:r>
          </w:p>
        </w:tc>
        <w:tc>
          <w:tcPr>
            <w:tcW w:w="706" w:type="pct"/>
          </w:tcPr>
          <w:p w14:paraId="1D73968E"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33</w:t>
            </w:r>
          </w:p>
        </w:tc>
        <w:tc>
          <w:tcPr>
            <w:tcW w:w="905" w:type="pct"/>
            <w:tcBorders>
              <w:right w:val="single" w:sz="4" w:space="0" w:color="auto"/>
            </w:tcBorders>
          </w:tcPr>
          <w:p w14:paraId="76637743"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53</w:t>
            </w:r>
          </w:p>
        </w:tc>
      </w:tr>
      <w:tr w:rsidR="006674E7" w:rsidRPr="00D10ED2" w14:paraId="61C95B60" w14:textId="77777777" w:rsidTr="00956C27">
        <w:trPr>
          <w:trHeight w:val="70"/>
        </w:trPr>
        <w:tc>
          <w:tcPr>
            <w:tcW w:w="1977" w:type="pct"/>
            <w:tcBorders>
              <w:left w:val="single" w:sz="4" w:space="0" w:color="auto"/>
            </w:tcBorders>
          </w:tcPr>
          <w:p w14:paraId="06A57D37" w14:textId="300032A1"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An</w:t>
            </w:r>
            <w:r w:rsidR="00003E68" w:rsidRPr="00D10ED2">
              <w:rPr>
                <w:rFonts w:ascii="Arial" w:hAnsi="Arial" w:cs="Arial"/>
                <w:szCs w:val="20"/>
                <w:lang w:val="en-GB"/>
              </w:rPr>
              <w:t>a</w:t>
            </w:r>
            <w:r w:rsidRPr="00D10ED2">
              <w:rPr>
                <w:rFonts w:ascii="Arial" w:hAnsi="Arial" w:cs="Arial"/>
                <w:szCs w:val="20"/>
                <w:lang w:val="en-GB"/>
              </w:rPr>
              <w:t>emia (</w:t>
            </w:r>
            <w:proofErr w:type="spellStart"/>
            <w:r w:rsidRPr="00D10ED2">
              <w:rPr>
                <w:rFonts w:ascii="Arial" w:hAnsi="Arial" w:cs="Arial"/>
                <w:szCs w:val="20"/>
                <w:lang w:val="en-GB"/>
              </w:rPr>
              <w:t>Hgb</w:t>
            </w:r>
            <w:proofErr w:type="spellEnd"/>
            <w:r w:rsidRPr="00D10ED2">
              <w:rPr>
                <w:rFonts w:ascii="Arial" w:hAnsi="Arial" w:cs="Arial"/>
                <w:szCs w:val="20"/>
                <w:lang w:val="en-GB"/>
              </w:rPr>
              <w:t xml:space="preserve"> decreased)</w:t>
            </w:r>
          </w:p>
        </w:tc>
        <w:tc>
          <w:tcPr>
            <w:tcW w:w="706" w:type="pct"/>
          </w:tcPr>
          <w:p w14:paraId="15C153C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20</w:t>
            </w:r>
          </w:p>
        </w:tc>
        <w:tc>
          <w:tcPr>
            <w:tcW w:w="706" w:type="pct"/>
          </w:tcPr>
          <w:p w14:paraId="34B837B0"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9</w:t>
            </w:r>
          </w:p>
        </w:tc>
        <w:tc>
          <w:tcPr>
            <w:tcW w:w="706" w:type="pct"/>
          </w:tcPr>
          <w:p w14:paraId="1A3D2379"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26</w:t>
            </w:r>
          </w:p>
        </w:tc>
        <w:tc>
          <w:tcPr>
            <w:tcW w:w="905" w:type="pct"/>
            <w:tcBorders>
              <w:right w:val="single" w:sz="4" w:space="0" w:color="auto"/>
            </w:tcBorders>
          </w:tcPr>
          <w:p w14:paraId="368685D7"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48</w:t>
            </w:r>
          </w:p>
        </w:tc>
      </w:tr>
      <w:tr w:rsidR="006674E7" w:rsidRPr="00D10ED2" w14:paraId="096C8248" w14:textId="77777777" w:rsidTr="00956C27">
        <w:trPr>
          <w:trHeight w:val="209"/>
        </w:trPr>
        <w:tc>
          <w:tcPr>
            <w:tcW w:w="1977" w:type="pct"/>
            <w:tcBorders>
              <w:left w:val="single" w:sz="4" w:space="0" w:color="auto"/>
            </w:tcBorders>
          </w:tcPr>
          <w:p w14:paraId="04C35CA7" w14:textId="77777777" w:rsidR="006674E7" w:rsidRPr="00D10ED2" w:rsidRDefault="006674E7" w:rsidP="00956C27">
            <w:pPr>
              <w:pStyle w:val="TableText10"/>
              <w:keepNext/>
              <w:keepLines/>
              <w:ind w:left="180"/>
              <w:rPr>
                <w:rFonts w:ascii="Arial" w:hAnsi="Arial" w:cs="Arial"/>
                <w:szCs w:val="20"/>
                <w:lang w:val="en-GB"/>
              </w:rPr>
            </w:pPr>
            <w:proofErr w:type="spellStart"/>
            <w:r w:rsidRPr="00D10ED2">
              <w:rPr>
                <w:rFonts w:ascii="Arial" w:hAnsi="Arial" w:cs="Arial"/>
                <w:szCs w:val="20"/>
                <w:lang w:val="en-GB"/>
              </w:rPr>
              <w:t>Lymphopenia</w:t>
            </w:r>
            <w:proofErr w:type="spellEnd"/>
          </w:p>
        </w:tc>
        <w:tc>
          <w:tcPr>
            <w:tcW w:w="706" w:type="pct"/>
          </w:tcPr>
          <w:p w14:paraId="55C61FEC"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15</w:t>
            </w:r>
          </w:p>
        </w:tc>
        <w:tc>
          <w:tcPr>
            <w:tcW w:w="706" w:type="pct"/>
          </w:tcPr>
          <w:p w14:paraId="2CC395D9"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9</w:t>
            </w:r>
          </w:p>
        </w:tc>
        <w:tc>
          <w:tcPr>
            <w:tcW w:w="706" w:type="pct"/>
          </w:tcPr>
          <w:p w14:paraId="66587BFF"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24</w:t>
            </w:r>
          </w:p>
        </w:tc>
        <w:tc>
          <w:tcPr>
            <w:tcW w:w="905" w:type="pct"/>
            <w:tcBorders>
              <w:right w:val="single" w:sz="4" w:space="0" w:color="auto"/>
            </w:tcBorders>
          </w:tcPr>
          <w:p w14:paraId="6B99E17E"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28</w:t>
            </w:r>
          </w:p>
        </w:tc>
      </w:tr>
      <w:tr w:rsidR="006674E7" w:rsidRPr="00D10ED2" w14:paraId="70A98509" w14:textId="77777777" w:rsidTr="00956C27">
        <w:trPr>
          <w:trHeight w:val="209"/>
        </w:trPr>
        <w:tc>
          <w:tcPr>
            <w:tcW w:w="5000" w:type="pct"/>
            <w:gridSpan w:val="5"/>
            <w:tcBorders>
              <w:left w:val="single" w:sz="4" w:space="0" w:color="auto"/>
              <w:right w:val="single" w:sz="4" w:space="0" w:color="auto"/>
            </w:tcBorders>
          </w:tcPr>
          <w:p w14:paraId="22CEC007" w14:textId="77777777" w:rsidR="006674E7" w:rsidRPr="00D10ED2" w:rsidRDefault="006674E7" w:rsidP="00956C27">
            <w:pPr>
              <w:pStyle w:val="TableText10"/>
              <w:keepNext/>
              <w:keepLines/>
              <w:rPr>
                <w:rFonts w:ascii="Arial" w:hAnsi="Arial" w:cs="Arial"/>
                <w:b/>
                <w:i/>
                <w:szCs w:val="20"/>
                <w:lang w:val="en-GB"/>
              </w:rPr>
            </w:pPr>
            <w:r w:rsidRPr="00D10ED2">
              <w:rPr>
                <w:rFonts w:ascii="Arial" w:hAnsi="Arial" w:cs="Arial"/>
                <w:b/>
                <w:i/>
                <w:szCs w:val="20"/>
                <w:lang w:val="en-GB"/>
              </w:rPr>
              <w:t>Biochemistry</w:t>
            </w:r>
          </w:p>
        </w:tc>
      </w:tr>
      <w:tr w:rsidR="006674E7" w:rsidRPr="00D10ED2" w14:paraId="200CBA9B" w14:textId="77777777" w:rsidTr="00956C27">
        <w:trPr>
          <w:trHeight w:val="107"/>
        </w:trPr>
        <w:tc>
          <w:tcPr>
            <w:tcW w:w="1977" w:type="pct"/>
            <w:tcBorders>
              <w:left w:val="single" w:sz="4" w:space="0" w:color="auto"/>
            </w:tcBorders>
          </w:tcPr>
          <w:p w14:paraId="3261A8D3"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Lipase increased</w:t>
            </w:r>
          </w:p>
        </w:tc>
        <w:tc>
          <w:tcPr>
            <w:tcW w:w="706" w:type="pct"/>
          </w:tcPr>
          <w:p w14:paraId="6796788C"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10</w:t>
            </w:r>
          </w:p>
        </w:tc>
        <w:tc>
          <w:tcPr>
            <w:tcW w:w="706" w:type="pct"/>
          </w:tcPr>
          <w:p w14:paraId="129B8128"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11</w:t>
            </w:r>
          </w:p>
        </w:tc>
        <w:tc>
          <w:tcPr>
            <w:tcW w:w="706" w:type="pct"/>
            <w:vAlign w:val="bottom"/>
          </w:tcPr>
          <w:p w14:paraId="72B69D64"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9</w:t>
            </w:r>
          </w:p>
        </w:tc>
        <w:tc>
          <w:tcPr>
            <w:tcW w:w="905" w:type="pct"/>
            <w:tcBorders>
              <w:right w:val="single" w:sz="4" w:space="0" w:color="auto"/>
            </w:tcBorders>
            <w:vAlign w:val="bottom"/>
          </w:tcPr>
          <w:p w14:paraId="62C0F891"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5</w:t>
            </w:r>
          </w:p>
        </w:tc>
      </w:tr>
      <w:tr w:rsidR="006674E7" w:rsidRPr="00D10ED2" w14:paraId="4D0C3E53" w14:textId="77777777" w:rsidTr="00956C27">
        <w:trPr>
          <w:trHeight w:val="70"/>
        </w:trPr>
        <w:tc>
          <w:tcPr>
            <w:tcW w:w="1977" w:type="pct"/>
            <w:tcBorders>
              <w:left w:val="single" w:sz="4" w:space="0" w:color="auto"/>
            </w:tcBorders>
          </w:tcPr>
          <w:p w14:paraId="235F7D50"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ALT increased</w:t>
            </w:r>
          </w:p>
        </w:tc>
        <w:tc>
          <w:tcPr>
            <w:tcW w:w="706" w:type="pct"/>
          </w:tcPr>
          <w:p w14:paraId="215737F6"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8</w:t>
            </w:r>
          </w:p>
        </w:tc>
        <w:tc>
          <w:tcPr>
            <w:tcW w:w="706" w:type="pct"/>
          </w:tcPr>
          <w:p w14:paraId="2A0AA04D"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6</w:t>
            </w:r>
          </w:p>
        </w:tc>
        <w:tc>
          <w:tcPr>
            <w:tcW w:w="706" w:type="pct"/>
            <w:vAlign w:val="bottom"/>
          </w:tcPr>
          <w:p w14:paraId="74B46BD5"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8</w:t>
            </w:r>
          </w:p>
        </w:tc>
        <w:tc>
          <w:tcPr>
            <w:tcW w:w="905" w:type="pct"/>
            <w:tcBorders>
              <w:right w:val="single" w:sz="4" w:space="0" w:color="auto"/>
            </w:tcBorders>
            <w:vAlign w:val="bottom"/>
          </w:tcPr>
          <w:p w14:paraId="4899BD9E"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12</w:t>
            </w:r>
          </w:p>
        </w:tc>
      </w:tr>
      <w:tr w:rsidR="006674E7" w:rsidRPr="00D10ED2" w14:paraId="28236B3E" w14:textId="77777777" w:rsidTr="00956C27">
        <w:trPr>
          <w:trHeight w:val="107"/>
        </w:trPr>
        <w:tc>
          <w:tcPr>
            <w:tcW w:w="1977" w:type="pct"/>
            <w:tcBorders>
              <w:left w:val="single" w:sz="4" w:space="0" w:color="auto"/>
            </w:tcBorders>
          </w:tcPr>
          <w:p w14:paraId="69BFCD84"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Phosphorus decreased</w:t>
            </w:r>
          </w:p>
        </w:tc>
        <w:tc>
          <w:tcPr>
            <w:tcW w:w="706" w:type="pct"/>
          </w:tcPr>
          <w:p w14:paraId="7E3C3936"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7</w:t>
            </w:r>
          </w:p>
        </w:tc>
        <w:tc>
          <w:tcPr>
            <w:tcW w:w="706" w:type="pct"/>
          </w:tcPr>
          <w:p w14:paraId="676BBAE9"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6</w:t>
            </w:r>
          </w:p>
        </w:tc>
        <w:tc>
          <w:tcPr>
            <w:tcW w:w="706" w:type="pct"/>
            <w:vAlign w:val="bottom"/>
          </w:tcPr>
          <w:p w14:paraId="2AEE64DF"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8</w:t>
            </w:r>
          </w:p>
        </w:tc>
        <w:tc>
          <w:tcPr>
            <w:tcW w:w="905" w:type="pct"/>
            <w:tcBorders>
              <w:right w:val="single" w:sz="4" w:space="0" w:color="auto"/>
            </w:tcBorders>
            <w:vAlign w:val="bottom"/>
          </w:tcPr>
          <w:p w14:paraId="16A08BE4"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9</w:t>
            </w:r>
          </w:p>
        </w:tc>
      </w:tr>
      <w:tr w:rsidR="006674E7" w:rsidRPr="00D10ED2" w14:paraId="64FC71CB" w14:textId="77777777" w:rsidTr="00956C27">
        <w:trPr>
          <w:trHeight w:val="107"/>
        </w:trPr>
        <w:tc>
          <w:tcPr>
            <w:tcW w:w="1977" w:type="pct"/>
            <w:tcBorders>
              <w:left w:val="single" w:sz="4" w:space="0" w:color="auto"/>
            </w:tcBorders>
          </w:tcPr>
          <w:p w14:paraId="71D5F2F3"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Glucose increased</w:t>
            </w:r>
          </w:p>
        </w:tc>
        <w:tc>
          <w:tcPr>
            <w:tcW w:w="706" w:type="pct"/>
          </w:tcPr>
          <w:p w14:paraId="37D654C8"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5</w:t>
            </w:r>
          </w:p>
        </w:tc>
        <w:tc>
          <w:tcPr>
            <w:tcW w:w="706" w:type="pct"/>
          </w:tcPr>
          <w:p w14:paraId="347F43E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6</w:t>
            </w:r>
          </w:p>
        </w:tc>
        <w:tc>
          <w:tcPr>
            <w:tcW w:w="706" w:type="pct"/>
            <w:vAlign w:val="bottom"/>
          </w:tcPr>
          <w:p w14:paraId="115D37E2"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7</w:t>
            </w:r>
          </w:p>
        </w:tc>
        <w:tc>
          <w:tcPr>
            <w:tcW w:w="905" w:type="pct"/>
            <w:tcBorders>
              <w:right w:val="single" w:sz="4" w:space="0" w:color="auto"/>
            </w:tcBorders>
            <w:vAlign w:val="bottom"/>
          </w:tcPr>
          <w:p w14:paraId="4035A4B4"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0</w:t>
            </w:r>
          </w:p>
        </w:tc>
      </w:tr>
      <w:tr w:rsidR="006674E7" w:rsidRPr="00D10ED2" w14:paraId="0C6DE2CA" w14:textId="77777777" w:rsidTr="00956C27">
        <w:trPr>
          <w:trHeight w:val="194"/>
        </w:trPr>
        <w:tc>
          <w:tcPr>
            <w:tcW w:w="1977" w:type="pct"/>
            <w:tcBorders>
              <w:left w:val="single" w:sz="4" w:space="0" w:color="auto"/>
            </w:tcBorders>
          </w:tcPr>
          <w:p w14:paraId="43A661DF"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Sodium decreased</w:t>
            </w:r>
          </w:p>
        </w:tc>
        <w:tc>
          <w:tcPr>
            <w:tcW w:w="706" w:type="pct"/>
          </w:tcPr>
          <w:p w14:paraId="61057BC8"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w:t>
            </w:r>
          </w:p>
        </w:tc>
        <w:tc>
          <w:tcPr>
            <w:tcW w:w="706" w:type="pct"/>
          </w:tcPr>
          <w:p w14:paraId="2A6A8458"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w:t>
            </w:r>
          </w:p>
        </w:tc>
        <w:tc>
          <w:tcPr>
            <w:tcW w:w="706" w:type="pct"/>
            <w:vAlign w:val="bottom"/>
          </w:tcPr>
          <w:p w14:paraId="5363F1E5"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6</w:t>
            </w:r>
          </w:p>
        </w:tc>
        <w:tc>
          <w:tcPr>
            <w:tcW w:w="905" w:type="pct"/>
            <w:tcBorders>
              <w:right w:val="single" w:sz="4" w:space="0" w:color="auto"/>
            </w:tcBorders>
            <w:vAlign w:val="bottom"/>
          </w:tcPr>
          <w:p w14:paraId="3C43B46F"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r>
      <w:tr w:rsidR="006674E7" w:rsidRPr="00D10ED2" w14:paraId="6A5851D3" w14:textId="77777777" w:rsidTr="00956C27">
        <w:trPr>
          <w:trHeight w:val="98"/>
        </w:trPr>
        <w:tc>
          <w:tcPr>
            <w:tcW w:w="1977" w:type="pct"/>
            <w:tcBorders>
              <w:left w:val="single" w:sz="4" w:space="0" w:color="auto"/>
            </w:tcBorders>
          </w:tcPr>
          <w:p w14:paraId="6EA21867"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AST increased</w:t>
            </w:r>
          </w:p>
        </w:tc>
        <w:tc>
          <w:tcPr>
            <w:tcW w:w="706" w:type="pct"/>
          </w:tcPr>
          <w:p w14:paraId="5B8F0A06"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w:t>
            </w:r>
          </w:p>
        </w:tc>
        <w:tc>
          <w:tcPr>
            <w:tcW w:w="706" w:type="pct"/>
          </w:tcPr>
          <w:p w14:paraId="19806385"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w:t>
            </w:r>
          </w:p>
        </w:tc>
        <w:tc>
          <w:tcPr>
            <w:tcW w:w="706" w:type="pct"/>
            <w:vAlign w:val="bottom"/>
          </w:tcPr>
          <w:p w14:paraId="6D76A8E6"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c>
          <w:tcPr>
            <w:tcW w:w="905" w:type="pct"/>
            <w:tcBorders>
              <w:right w:val="single" w:sz="4" w:space="0" w:color="auto"/>
            </w:tcBorders>
            <w:vAlign w:val="bottom"/>
          </w:tcPr>
          <w:p w14:paraId="7C3A799C"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w:t>
            </w:r>
          </w:p>
        </w:tc>
      </w:tr>
      <w:tr w:rsidR="006674E7" w:rsidRPr="00D10ED2" w14:paraId="43A4E56E" w14:textId="77777777" w:rsidTr="00956C27">
        <w:trPr>
          <w:trHeight w:val="194"/>
        </w:trPr>
        <w:tc>
          <w:tcPr>
            <w:tcW w:w="1977" w:type="pct"/>
            <w:tcBorders>
              <w:left w:val="single" w:sz="4" w:space="0" w:color="auto"/>
            </w:tcBorders>
          </w:tcPr>
          <w:p w14:paraId="59480B1B"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Potassium increased</w:t>
            </w:r>
          </w:p>
        </w:tc>
        <w:tc>
          <w:tcPr>
            <w:tcW w:w="706" w:type="pct"/>
          </w:tcPr>
          <w:p w14:paraId="3BDEE386"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c>
          <w:tcPr>
            <w:tcW w:w="706" w:type="pct"/>
          </w:tcPr>
          <w:p w14:paraId="70CB67E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c>
          <w:tcPr>
            <w:tcW w:w="706" w:type="pct"/>
            <w:vAlign w:val="bottom"/>
          </w:tcPr>
          <w:p w14:paraId="465E6CD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w:t>
            </w:r>
          </w:p>
        </w:tc>
        <w:tc>
          <w:tcPr>
            <w:tcW w:w="905" w:type="pct"/>
            <w:tcBorders>
              <w:right w:val="single" w:sz="4" w:space="0" w:color="auto"/>
            </w:tcBorders>
            <w:vAlign w:val="bottom"/>
          </w:tcPr>
          <w:p w14:paraId="2F82AFF4"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3</w:t>
            </w:r>
          </w:p>
        </w:tc>
      </w:tr>
      <w:tr w:rsidR="006674E7" w:rsidRPr="00D10ED2" w14:paraId="367F03DD" w14:textId="77777777" w:rsidTr="00956C27">
        <w:trPr>
          <w:trHeight w:val="209"/>
        </w:trPr>
        <w:tc>
          <w:tcPr>
            <w:tcW w:w="1977" w:type="pct"/>
            <w:tcBorders>
              <w:left w:val="single" w:sz="4" w:space="0" w:color="auto"/>
            </w:tcBorders>
          </w:tcPr>
          <w:p w14:paraId="280272DF"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Alkaline phosphatase increased</w:t>
            </w:r>
          </w:p>
        </w:tc>
        <w:tc>
          <w:tcPr>
            <w:tcW w:w="706" w:type="pct"/>
          </w:tcPr>
          <w:p w14:paraId="00FD9A8D"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c>
          <w:tcPr>
            <w:tcW w:w="706" w:type="pct"/>
          </w:tcPr>
          <w:p w14:paraId="1C1EB5EB"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w:t>
            </w:r>
          </w:p>
        </w:tc>
        <w:tc>
          <w:tcPr>
            <w:tcW w:w="706" w:type="pct"/>
            <w:vAlign w:val="bottom"/>
          </w:tcPr>
          <w:p w14:paraId="6135AFAB"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w:t>
            </w:r>
          </w:p>
        </w:tc>
        <w:tc>
          <w:tcPr>
            <w:tcW w:w="905" w:type="pct"/>
            <w:tcBorders>
              <w:right w:val="single" w:sz="4" w:space="0" w:color="auto"/>
            </w:tcBorders>
            <w:vAlign w:val="bottom"/>
          </w:tcPr>
          <w:p w14:paraId="63A11A68"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w:t>
            </w:r>
          </w:p>
        </w:tc>
      </w:tr>
      <w:tr w:rsidR="006674E7" w:rsidRPr="00D10ED2" w14:paraId="392E476F" w14:textId="77777777" w:rsidTr="00956C27">
        <w:trPr>
          <w:trHeight w:val="80"/>
        </w:trPr>
        <w:tc>
          <w:tcPr>
            <w:tcW w:w="1977" w:type="pct"/>
            <w:tcBorders>
              <w:left w:val="single" w:sz="4" w:space="0" w:color="auto"/>
            </w:tcBorders>
          </w:tcPr>
          <w:p w14:paraId="41C40755"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Potassium decreased</w:t>
            </w:r>
          </w:p>
        </w:tc>
        <w:tc>
          <w:tcPr>
            <w:tcW w:w="706" w:type="pct"/>
          </w:tcPr>
          <w:p w14:paraId="185A1DC0"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c>
          <w:tcPr>
            <w:tcW w:w="706" w:type="pct"/>
          </w:tcPr>
          <w:p w14:paraId="5434085E"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&lt;1</w:t>
            </w:r>
          </w:p>
        </w:tc>
        <w:tc>
          <w:tcPr>
            <w:tcW w:w="706" w:type="pct"/>
            <w:vAlign w:val="bottom"/>
          </w:tcPr>
          <w:p w14:paraId="6B31F223"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w:t>
            </w:r>
          </w:p>
        </w:tc>
        <w:tc>
          <w:tcPr>
            <w:tcW w:w="905" w:type="pct"/>
            <w:tcBorders>
              <w:right w:val="single" w:sz="4" w:space="0" w:color="auto"/>
            </w:tcBorders>
            <w:vAlign w:val="bottom"/>
          </w:tcPr>
          <w:p w14:paraId="76230972"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r>
      <w:tr w:rsidR="006674E7" w:rsidRPr="00D10ED2" w14:paraId="1AB65D0B" w14:textId="77777777" w:rsidTr="00956C27">
        <w:trPr>
          <w:trHeight w:val="194"/>
        </w:trPr>
        <w:tc>
          <w:tcPr>
            <w:tcW w:w="1977" w:type="pct"/>
            <w:tcBorders>
              <w:left w:val="single" w:sz="4" w:space="0" w:color="auto"/>
            </w:tcBorders>
          </w:tcPr>
          <w:p w14:paraId="3F775241"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Bilirubin</w:t>
            </w:r>
          </w:p>
        </w:tc>
        <w:tc>
          <w:tcPr>
            <w:tcW w:w="706" w:type="pct"/>
          </w:tcPr>
          <w:p w14:paraId="5F9B54CA" w14:textId="77777777" w:rsidR="006674E7" w:rsidRPr="00D10ED2" w:rsidRDefault="006674E7" w:rsidP="00956C27">
            <w:pPr>
              <w:pStyle w:val="TableText10"/>
              <w:keepNext/>
              <w:keepLines/>
              <w:jc w:val="center"/>
              <w:rPr>
                <w:rFonts w:ascii="Arial" w:hAnsi="Arial" w:cs="Arial"/>
                <w:szCs w:val="20"/>
              </w:rPr>
            </w:pPr>
            <w:r w:rsidRPr="00D10ED2">
              <w:rPr>
                <w:rFonts w:ascii="Arial" w:hAnsi="Arial" w:cs="Arial"/>
                <w:szCs w:val="20"/>
              </w:rPr>
              <w:t>1</w:t>
            </w:r>
          </w:p>
        </w:tc>
        <w:tc>
          <w:tcPr>
            <w:tcW w:w="706" w:type="pct"/>
          </w:tcPr>
          <w:p w14:paraId="6510A6AB" w14:textId="77777777" w:rsidR="006674E7" w:rsidRPr="00D10ED2" w:rsidRDefault="006674E7" w:rsidP="00956C27">
            <w:pPr>
              <w:pStyle w:val="TableText10"/>
              <w:keepNext/>
              <w:keepLines/>
              <w:jc w:val="center"/>
              <w:rPr>
                <w:rFonts w:ascii="Arial" w:hAnsi="Arial" w:cs="Arial"/>
                <w:szCs w:val="20"/>
              </w:rPr>
            </w:pPr>
            <w:r w:rsidRPr="00D10ED2">
              <w:rPr>
                <w:rFonts w:ascii="Arial" w:hAnsi="Arial" w:cs="Arial"/>
                <w:szCs w:val="20"/>
              </w:rPr>
              <w:t>&lt;1</w:t>
            </w:r>
          </w:p>
        </w:tc>
        <w:tc>
          <w:tcPr>
            <w:tcW w:w="706" w:type="pct"/>
            <w:vAlign w:val="bottom"/>
          </w:tcPr>
          <w:p w14:paraId="4AD6CD6E"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4</w:t>
            </w:r>
          </w:p>
        </w:tc>
        <w:tc>
          <w:tcPr>
            <w:tcW w:w="905" w:type="pct"/>
            <w:tcBorders>
              <w:right w:val="single" w:sz="4" w:space="0" w:color="auto"/>
            </w:tcBorders>
            <w:vAlign w:val="bottom"/>
          </w:tcPr>
          <w:p w14:paraId="2D93D09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1</w:t>
            </w:r>
          </w:p>
        </w:tc>
      </w:tr>
      <w:tr w:rsidR="006674E7" w:rsidRPr="00D10ED2" w14:paraId="78D99D60" w14:textId="77777777" w:rsidTr="00956C27">
        <w:trPr>
          <w:trHeight w:val="70"/>
        </w:trPr>
        <w:tc>
          <w:tcPr>
            <w:tcW w:w="1977" w:type="pct"/>
            <w:tcBorders>
              <w:left w:val="single" w:sz="4" w:space="0" w:color="auto"/>
            </w:tcBorders>
          </w:tcPr>
          <w:p w14:paraId="611C3235" w14:textId="77777777" w:rsidR="006674E7" w:rsidRPr="00D10ED2" w:rsidRDefault="006674E7" w:rsidP="00956C27">
            <w:pPr>
              <w:pStyle w:val="TableText10"/>
              <w:keepNext/>
              <w:keepLines/>
              <w:ind w:left="180"/>
              <w:rPr>
                <w:rFonts w:ascii="Arial" w:hAnsi="Arial" w:cs="Arial"/>
                <w:szCs w:val="20"/>
                <w:lang w:val="en-GB"/>
              </w:rPr>
            </w:pPr>
            <w:r w:rsidRPr="00D10ED2">
              <w:rPr>
                <w:rFonts w:ascii="Arial" w:hAnsi="Arial" w:cs="Arial"/>
                <w:szCs w:val="20"/>
                <w:lang w:val="en-GB"/>
              </w:rPr>
              <w:t>Amylase decreased</w:t>
            </w:r>
          </w:p>
        </w:tc>
        <w:tc>
          <w:tcPr>
            <w:tcW w:w="706" w:type="pct"/>
          </w:tcPr>
          <w:p w14:paraId="11BEF279"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&lt;1</w:t>
            </w:r>
          </w:p>
        </w:tc>
        <w:tc>
          <w:tcPr>
            <w:tcW w:w="706" w:type="pct"/>
          </w:tcPr>
          <w:p w14:paraId="6568CFE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0</w:t>
            </w:r>
          </w:p>
        </w:tc>
        <w:tc>
          <w:tcPr>
            <w:tcW w:w="706" w:type="pct"/>
            <w:vAlign w:val="bottom"/>
          </w:tcPr>
          <w:p w14:paraId="00FD3A8C"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0</w:t>
            </w:r>
          </w:p>
        </w:tc>
        <w:tc>
          <w:tcPr>
            <w:tcW w:w="905" w:type="pct"/>
            <w:tcBorders>
              <w:right w:val="single" w:sz="4" w:space="0" w:color="auto"/>
            </w:tcBorders>
            <w:vAlign w:val="bottom"/>
          </w:tcPr>
          <w:p w14:paraId="0DBBCDFA" w14:textId="77777777" w:rsidR="006674E7" w:rsidRPr="00D10ED2" w:rsidRDefault="006674E7" w:rsidP="00956C27">
            <w:pPr>
              <w:pStyle w:val="TableText10"/>
              <w:keepNext/>
              <w:keepLines/>
              <w:jc w:val="center"/>
              <w:rPr>
                <w:rFonts w:ascii="Arial" w:hAnsi="Arial" w:cs="Arial"/>
                <w:szCs w:val="20"/>
                <w:lang w:val="en-GB"/>
              </w:rPr>
            </w:pPr>
            <w:r w:rsidRPr="00D10ED2">
              <w:rPr>
                <w:rFonts w:ascii="Arial" w:hAnsi="Arial" w:cs="Arial"/>
                <w:szCs w:val="20"/>
                <w:lang w:val="en-GB"/>
              </w:rPr>
              <w:t>2</w:t>
            </w:r>
          </w:p>
        </w:tc>
      </w:tr>
      <w:tr w:rsidR="006674E7" w:rsidRPr="00D10ED2" w14:paraId="7C54DA16" w14:textId="77777777" w:rsidTr="00956C27">
        <w:trPr>
          <w:trHeight w:val="70"/>
        </w:trPr>
        <w:tc>
          <w:tcPr>
            <w:tcW w:w="5000" w:type="pct"/>
            <w:gridSpan w:val="5"/>
            <w:tcBorders>
              <w:left w:val="single" w:sz="4" w:space="0" w:color="auto"/>
              <w:right w:val="single" w:sz="4" w:space="0" w:color="auto"/>
            </w:tcBorders>
          </w:tcPr>
          <w:p w14:paraId="4F776200" w14:textId="12A31259" w:rsidR="006674E7" w:rsidRPr="00D10ED2" w:rsidRDefault="006674E7" w:rsidP="00956C27">
            <w:pPr>
              <w:pStyle w:val="TableSource10"/>
              <w:keepNext/>
              <w:keepLines/>
              <w:spacing w:before="0" w:after="0"/>
              <w:rPr>
                <w:rFonts w:ascii="Arial" w:hAnsi="Arial" w:cs="Arial"/>
                <w:szCs w:val="20"/>
              </w:rPr>
            </w:pPr>
            <w:r w:rsidRPr="00D10ED2">
              <w:rPr>
                <w:rFonts w:ascii="Arial" w:hAnsi="Arial" w:cs="Arial"/>
                <w:szCs w:val="20"/>
              </w:rPr>
              <w:t xml:space="preserve">ALT=alanine aminotransferase, ANC=absolute neutrophil count, AST=aspartate aminotransferase, </w:t>
            </w:r>
            <w:proofErr w:type="spellStart"/>
            <w:r w:rsidRPr="00D10ED2">
              <w:rPr>
                <w:rFonts w:ascii="Arial" w:hAnsi="Arial" w:cs="Arial"/>
                <w:szCs w:val="20"/>
              </w:rPr>
              <w:t>Hgb</w:t>
            </w:r>
            <w:proofErr w:type="spellEnd"/>
            <w:r w:rsidRPr="00D10ED2">
              <w:rPr>
                <w:rFonts w:ascii="Arial" w:hAnsi="Arial" w:cs="Arial"/>
                <w:szCs w:val="20"/>
              </w:rPr>
              <w:t>=</w:t>
            </w:r>
            <w:proofErr w:type="spellStart"/>
            <w:r w:rsidRPr="00D10ED2">
              <w:rPr>
                <w:rFonts w:ascii="Arial" w:hAnsi="Arial" w:cs="Arial"/>
                <w:szCs w:val="20"/>
              </w:rPr>
              <w:t>h</w:t>
            </w:r>
            <w:r w:rsidR="00003E68" w:rsidRPr="00D10ED2">
              <w:rPr>
                <w:rFonts w:ascii="Arial" w:hAnsi="Arial" w:cs="Arial"/>
                <w:szCs w:val="20"/>
              </w:rPr>
              <w:t>a</w:t>
            </w:r>
            <w:r w:rsidRPr="00D10ED2">
              <w:rPr>
                <w:rFonts w:ascii="Arial" w:hAnsi="Arial" w:cs="Arial"/>
                <w:szCs w:val="20"/>
              </w:rPr>
              <w:t>emoglobin</w:t>
            </w:r>
            <w:proofErr w:type="spellEnd"/>
            <w:r w:rsidRPr="00D10ED2">
              <w:rPr>
                <w:rFonts w:ascii="Arial" w:hAnsi="Arial" w:cs="Arial"/>
                <w:szCs w:val="20"/>
              </w:rPr>
              <w:t xml:space="preserve">, WBC=white blood cell count. </w:t>
            </w:r>
          </w:p>
          <w:p w14:paraId="31F76E72" w14:textId="77777777" w:rsidR="006674E7" w:rsidRPr="00D10ED2" w:rsidRDefault="006674E7" w:rsidP="00956C27">
            <w:pPr>
              <w:pStyle w:val="TableSource10"/>
              <w:keepNext/>
              <w:keepLines/>
              <w:spacing w:before="0" w:after="0"/>
              <w:rPr>
                <w:rFonts w:ascii="Arial" w:hAnsi="Arial" w:cs="Arial"/>
                <w:szCs w:val="20"/>
              </w:rPr>
            </w:pPr>
            <w:r w:rsidRPr="00D10ED2">
              <w:rPr>
                <w:rFonts w:ascii="Arial" w:hAnsi="Arial" w:cs="Arial"/>
                <w:szCs w:val="20"/>
              </w:rPr>
              <w:t>*Reported using National Cancer Institute Common Terminology Criteria for Adverse Events version 4.0.</w:t>
            </w:r>
          </w:p>
        </w:tc>
      </w:tr>
    </w:tbl>
    <w:p w14:paraId="73A8F43C" w14:textId="77777777" w:rsidR="006674E7" w:rsidRPr="00D10ED2" w:rsidRDefault="006674E7" w:rsidP="005329CC">
      <w:pPr>
        <w:rPr>
          <w:rFonts w:ascii="Arial" w:hAnsi="Arial" w:cs="Arial"/>
          <w:b/>
          <w:sz w:val="28"/>
          <w:szCs w:val="28"/>
        </w:rPr>
      </w:pPr>
    </w:p>
    <w:p w14:paraId="1FEAE8DF" w14:textId="77777777" w:rsidR="0057419A" w:rsidRPr="00D10ED2" w:rsidRDefault="0057419A" w:rsidP="005329CC">
      <w:pPr>
        <w:rPr>
          <w:rFonts w:ascii="Arial" w:hAnsi="Arial" w:cs="Arial"/>
          <w:b/>
          <w:sz w:val="28"/>
          <w:szCs w:val="28"/>
        </w:rPr>
      </w:pPr>
      <w:r w:rsidRPr="00D10ED2">
        <w:rPr>
          <w:rFonts w:ascii="Arial" w:hAnsi="Arial" w:cs="Arial"/>
          <w:b/>
          <w:sz w:val="28"/>
          <w:szCs w:val="28"/>
        </w:rPr>
        <w:t>Dosage and Administration</w:t>
      </w:r>
    </w:p>
    <w:p w14:paraId="11F465E4" w14:textId="77777777" w:rsidR="0057419A" w:rsidRPr="001F1286" w:rsidRDefault="0057419A" w:rsidP="005329CC">
      <w:pPr>
        <w:rPr>
          <w:rFonts w:ascii="Arial" w:hAnsi="Arial" w:cs="Arial"/>
          <w:b/>
          <w:sz w:val="22"/>
          <w:szCs w:val="28"/>
        </w:rPr>
      </w:pPr>
    </w:p>
    <w:p w14:paraId="6FEABBA7" w14:textId="112F1721" w:rsidR="00BD17FC" w:rsidRPr="00BD17FC" w:rsidRDefault="00BD17FC" w:rsidP="008E0092">
      <w:pPr>
        <w:rPr>
          <w:rFonts w:ascii="Arial" w:hAnsi="Arial" w:cs="Arial"/>
          <w:sz w:val="22"/>
          <w:szCs w:val="22"/>
        </w:rPr>
      </w:pPr>
      <w:r w:rsidRPr="00BD17FC">
        <w:rPr>
          <w:rFonts w:ascii="Arial" w:hAnsi="Arial" w:cs="Arial"/>
          <w:sz w:val="22"/>
          <w:szCs w:val="22"/>
        </w:rPr>
        <w:t xml:space="preserve">Before starting treatment with </w:t>
      </w:r>
      <w:r w:rsidR="00A256E4">
        <w:rPr>
          <w:rFonts w:ascii="Arial" w:hAnsi="Arial" w:cs="Arial"/>
          <w:sz w:val="22"/>
          <w:szCs w:val="22"/>
        </w:rPr>
        <w:t>ICLUSIG</w:t>
      </w:r>
      <w:r w:rsidRPr="00BD17FC">
        <w:rPr>
          <w:rFonts w:ascii="Arial" w:hAnsi="Arial" w:cs="Arial"/>
          <w:sz w:val="22"/>
          <w:szCs w:val="22"/>
        </w:rPr>
        <w:t xml:space="preserve">, the cardiovascular status of the patient should be assessed and cardiovascular risk factors should be actively managed.  Cardiovascular status should continue to be monitored and therapy </w:t>
      </w:r>
      <w:proofErr w:type="spellStart"/>
      <w:r w:rsidRPr="00BD17FC">
        <w:rPr>
          <w:rFonts w:ascii="Arial" w:hAnsi="Arial" w:cs="Arial"/>
          <w:sz w:val="22"/>
          <w:szCs w:val="22"/>
        </w:rPr>
        <w:t>optimised</w:t>
      </w:r>
      <w:proofErr w:type="spellEnd"/>
      <w:r w:rsidRPr="00BD17FC">
        <w:rPr>
          <w:rFonts w:ascii="Arial" w:hAnsi="Arial" w:cs="Arial"/>
          <w:sz w:val="22"/>
          <w:szCs w:val="22"/>
        </w:rPr>
        <w:t xml:space="preserve"> during treatment with </w:t>
      </w:r>
      <w:r w:rsidR="00A256E4">
        <w:rPr>
          <w:rFonts w:ascii="Arial" w:hAnsi="Arial" w:cs="Arial"/>
          <w:sz w:val="22"/>
          <w:szCs w:val="22"/>
        </w:rPr>
        <w:t>ICLUSIG</w:t>
      </w:r>
      <w:r w:rsidRPr="00BD17FC">
        <w:rPr>
          <w:rFonts w:ascii="Arial" w:hAnsi="Arial" w:cs="Arial"/>
          <w:sz w:val="22"/>
          <w:szCs w:val="22"/>
        </w:rPr>
        <w:t>.</w:t>
      </w:r>
    </w:p>
    <w:p w14:paraId="4C66A762" w14:textId="77777777" w:rsidR="00BD17FC" w:rsidRPr="00BD17FC" w:rsidRDefault="00BD17FC" w:rsidP="008E0092">
      <w:pPr>
        <w:rPr>
          <w:rFonts w:ascii="Arial" w:hAnsi="Arial" w:cs="Arial"/>
          <w:sz w:val="22"/>
          <w:szCs w:val="22"/>
        </w:rPr>
      </w:pPr>
    </w:p>
    <w:p w14:paraId="5AA9626B" w14:textId="4CC2FDC7" w:rsidR="008E0092" w:rsidRDefault="008E0092" w:rsidP="008E0092">
      <w:pPr>
        <w:rPr>
          <w:rFonts w:ascii="Arial" w:hAnsi="Arial" w:cs="Arial"/>
          <w:sz w:val="22"/>
          <w:szCs w:val="22"/>
        </w:rPr>
      </w:pPr>
      <w:r w:rsidRPr="00D10ED2">
        <w:rPr>
          <w:rFonts w:ascii="Arial" w:hAnsi="Arial" w:cs="Arial"/>
          <w:sz w:val="22"/>
          <w:szCs w:val="22"/>
        </w:rPr>
        <w:t>The recommended starting dose</w:t>
      </w:r>
      <w:r w:rsidR="0069592C" w:rsidRPr="00D10ED2">
        <w:rPr>
          <w:rFonts w:ascii="Arial" w:hAnsi="Arial" w:cs="Arial"/>
          <w:sz w:val="22"/>
          <w:szCs w:val="22"/>
        </w:rPr>
        <w:t xml:space="preserve"> of ICLUSIG</w:t>
      </w:r>
      <w:r w:rsidRPr="00D10ED2">
        <w:rPr>
          <w:rFonts w:ascii="Arial" w:hAnsi="Arial" w:cs="Arial"/>
          <w:sz w:val="22"/>
          <w:szCs w:val="22"/>
        </w:rPr>
        <w:t xml:space="preserve"> is 45 mg once daily</w:t>
      </w:r>
      <w:r w:rsidR="000003AB">
        <w:rPr>
          <w:rFonts w:ascii="Arial" w:hAnsi="Arial" w:cs="Arial"/>
          <w:sz w:val="22"/>
          <w:szCs w:val="22"/>
        </w:rPr>
        <w:t>, taken at the same approximate time each day</w:t>
      </w:r>
      <w:r w:rsidRPr="00D10ED2">
        <w:rPr>
          <w:rFonts w:ascii="Arial" w:hAnsi="Arial" w:cs="Arial"/>
          <w:sz w:val="22"/>
          <w:szCs w:val="22"/>
        </w:rPr>
        <w:t xml:space="preserve">.  </w:t>
      </w:r>
      <w:r w:rsidR="0069592C" w:rsidRPr="00D10ED2">
        <w:rPr>
          <w:rFonts w:ascii="Arial" w:hAnsi="Arial" w:cs="Arial"/>
          <w:sz w:val="22"/>
          <w:szCs w:val="22"/>
        </w:rPr>
        <w:t xml:space="preserve">ICLUSIG may be taken with or without food.  </w:t>
      </w:r>
      <w:r w:rsidRPr="00D10ED2">
        <w:rPr>
          <w:rFonts w:ascii="Arial" w:hAnsi="Arial" w:cs="Arial"/>
          <w:sz w:val="22"/>
          <w:szCs w:val="22"/>
        </w:rPr>
        <w:t xml:space="preserve">For the standard dose of 45 mg once daily, a 45 mg film-coated tablet is available. Treatment should be continued as long as the patient does not show evidence of disease progression or unacceptable toxicity.  </w:t>
      </w:r>
    </w:p>
    <w:p w14:paraId="37B876F0" w14:textId="77777777" w:rsidR="0066441C" w:rsidRDefault="0066441C" w:rsidP="008E0092">
      <w:pPr>
        <w:rPr>
          <w:rFonts w:ascii="Arial" w:hAnsi="Arial" w:cs="Arial"/>
          <w:sz w:val="22"/>
          <w:szCs w:val="22"/>
        </w:rPr>
      </w:pPr>
    </w:p>
    <w:p w14:paraId="1368F8CE" w14:textId="6C8F97AF" w:rsidR="00455A63" w:rsidRPr="00362404" w:rsidRDefault="0066441C" w:rsidP="00362404">
      <w:pPr>
        <w:widowControl w:val="0"/>
        <w:autoSpaceDE w:val="0"/>
        <w:autoSpaceDN w:val="0"/>
        <w:adjustRightInd w:val="0"/>
        <w:rPr>
          <w:rFonts w:ascii="Arial" w:hAnsi="Arial" w:cs="Arial"/>
          <w:iCs/>
          <w:sz w:val="22"/>
          <w:szCs w:val="22"/>
        </w:rPr>
      </w:pPr>
      <w:r w:rsidRPr="0066441C">
        <w:rPr>
          <w:rFonts w:ascii="Arial" w:hAnsi="Arial" w:cs="Arial"/>
          <w:sz w:val="22"/>
          <w:szCs w:val="22"/>
        </w:rPr>
        <w:t xml:space="preserve">Consider reducing the dose of </w:t>
      </w:r>
      <w:r w:rsidR="0095498E">
        <w:rPr>
          <w:rFonts w:ascii="Arial" w:hAnsi="Arial" w:cs="Arial"/>
          <w:sz w:val="22"/>
          <w:szCs w:val="22"/>
        </w:rPr>
        <w:t xml:space="preserve">ICLUSIG </w:t>
      </w:r>
      <w:r w:rsidR="00362404" w:rsidRPr="00362404">
        <w:rPr>
          <w:rFonts w:ascii="Arial" w:hAnsi="Arial" w:cs="Arial"/>
          <w:iCs/>
          <w:sz w:val="22"/>
          <w:szCs w:val="22"/>
        </w:rPr>
        <w:t>to 30mg or 15mg</w:t>
      </w:r>
      <w:r w:rsidRPr="0066441C">
        <w:rPr>
          <w:rFonts w:ascii="Arial" w:hAnsi="Arial" w:cs="Arial"/>
          <w:sz w:val="22"/>
          <w:szCs w:val="22"/>
        </w:rPr>
        <w:t xml:space="preserve"> for </w:t>
      </w:r>
      <w:r w:rsidR="00362404" w:rsidRPr="00362404">
        <w:rPr>
          <w:rFonts w:ascii="Arial" w:hAnsi="Arial" w:cs="Arial"/>
          <w:iCs/>
          <w:sz w:val="22"/>
          <w:szCs w:val="22"/>
        </w:rPr>
        <w:t>chronic phase (</w:t>
      </w:r>
      <w:r w:rsidR="00AD294C">
        <w:rPr>
          <w:rFonts w:ascii="Arial" w:hAnsi="Arial" w:cs="Arial"/>
          <w:sz w:val="22"/>
          <w:szCs w:val="22"/>
        </w:rPr>
        <w:t>CP</w:t>
      </w:r>
      <w:r w:rsidR="00362404">
        <w:rPr>
          <w:rFonts w:ascii="Arial" w:hAnsi="Arial" w:cs="Arial"/>
          <w:sz w:val="22"/>
          <w:szCs w:val="22"/>
        </w:rPr>
        <w:t>)</w:t>
      </w:r>
      <w:r w:rsidR="006F408F">
        <w:rPr>
          <w:rFonts w:ascii="Arial" w:hAnsi="Arial" w:cs="Arial"/>
          <w:sz w:val="22"/>
          <w:szCs w:val="22"/>
        </w:rPr>
        <w:t xml:space="preserve"> </w:t>
      </w:r>
      <w:r w:rsidR="001F1286" w:rsidRPr="0066441C">
        <w:rPr>
          <w:rFonts w:ascii="Arial" w:hAnsi="Arial" w:cs="Arial"/>
          <w:sz w:val="22"/>
          <w:szCs w:val="22"/>
        </w:rPr>
        <w:t>CM</w:t>
      </w:r>
      <w:r w:rsidR="001F1286">
        <w:rPr>
          <w:rFonts w:ascii="Arial" w:hAnsi="Arial" w:cs="Arial"/>
          <w:sz w:val="22"/>
          <w:szCs w:val="22"/>
        </w:rPr>
        <w:t>L</w:t>
      </w:r>
      <w:r w:rsidR="001F1286" w:rsidRPr="0066441C">
        <w:rPr>
          <w:rFonts w:ascii="Arial" w:hAnsi="Arial" w:cs="Arial"/>
          <w:sz w:val="22"/>
          <w:szCs w:val="22"/>
        </w:rPr>
        <w:t xml:space="preserve"> </w:t>
      </w:r>
      <w:r w:rsidRPr="0066441C">
        <w:rPr>
          <w:rFonts w:ascii="Arial" w:hAnsi="Arial" w:cs="Arial"/>
          <w:sz w:val="22"/>
          <w:szCs w:val="22"/>
        </w:rPr>
        <w:t>patients who have achie</w:t>
      </w:r>
      <w:r>
        <w:rPr>
          <w:rFonts w:ascii="Arial" w:hAnsi="Arial" w:cs="Arial"/>
          <w:sz w:val="22"/>
          <w:szCs w:val="22"/>
        </w:rPr>
        <w:t xml:space="preserve">ved a major </w:t>
      </w:r>
      <w:r w:rsidR="00762639">
        <w:rPr>
          <w:rFonts w:ascii="Arial" w:hAnsi="Arial" w:cs="Arial"/>
          <w:sz w:val="22"/>
          <w:szCs w:val="22"/>
        </w:rPr>
        <w:t xml:space="preserve">cytogenetic </w:t>
      </w:r>
      <w:r>
        <w:rPr>
          <w:rFonts w:ascii="Arial" w:hAnsi="Arial" w:cs="Arial"/>
          <w:sz w:val="22"/>
          <w:szCs w:val="22"/>
        </w:rPr>
        <w:t>response</w:t>
      </w:r>
      <w:r w:rsidR="00362404">
        <w:rPr>
          <w:rFonts w:ascii="Arial" w:hAnsi="Arial" w:cs="Arial"/>
          <w:sz w:val="22"/>
          <w:szCs w:val="22"/>
        </w:rPr>
        <w:t xml:space="preserve">, </w:t>
      </w:r>
      <w:r w:rsidR="00362404" w:rsidRPr="00362404">
        <w:rPr>
          <w:rFonts w:ascii="Arial" w:hAnsi="Arial" w:cs="Arial"/>
          <w:iCs/>
          <w:sz w:val="22"/>
          <w:szCs w:val="22"/>
        </w:rPr>
        <w:t>especially in subjects at risk of</w:t>
      </w:r>
      <w:r w:rsidR="00362404">
        <w:rPr>
          <w:rFonts w:ascii="Arial" w:hAnsi="Arial" w:cs="Arial"/>
          <w:iCs/>
          <w:sz w:val="22"/>
          <w:szCs w:val="22"/>
        </w:rPr>
        <w:t xml:space="preserve"> </w:t>
      </w:r>
      <w:r w:rsidR="00362404" w:rsidRPr="00362404">
        <w:rPr>
          <w:rFonts w:ascii="Arial" w:hAnsi="Arial" w:cs="Arial"/>
          <w:iCs/>
          <w:sz w:val="22"/>
          <w:szCs w:val="22"/>
        </w:rPr>
        <w:t>vascular adverse events</w:t>
      </w:r>
      <w:r>
        <w:rPr>
          <w:rFonts w:ascii="Arial" w:hAnsi="Arial" w:cs="Arial"/>
          <w:sz w:val="22"/>
          <w:szCs w:val="22"/>
        </w:rPr>
        <w:t xml:space="preserve">. </w:t>
      </w:r>
    </w:p>
    <w:p w14:paraId="384937A5" w14:textId="77777777" w:rsidR="00455A63" w:rsidRDefault="00455A63" w:rsidP="0066441C">
      <w:pPr>
        <w:rPr>
          <w:rFonts w:ascii="Arial" w:hAnsi="Arial" w:cs="Arial"/>
          <w:sz w:val="22"/>
          <w:szCs w:val="22"/>
        </w:rPr>
      </w:pPr>
    </w:p>
    <w:p w14:paraId="3AB7AD9B" w14:textId="5BBB0AF6" w:rsidR="0066441C" w:rsidRPr="00D10ED2" w:rsidRDefault="002E7E1A" w:rsidP="0066441C">
      <w:pPr>
        <w:rPr>
          <w:rFonts w:ascii="Arial" w:hAnsi="Arial" w:cs="Arial"/>
          <w:sz w:val="22"/>
          <w:szCs w:val="22"/>
        </w:rPr>
      </w:pPr>
      <w:r>
        <w:rPr>
          <w:rFonts w:ascii="Arial" w:hAnsi="Arial" w:cs="Arial"/>
          <w:sz w:val="22"/>
          <w:szCs w:val="22"/>
        </w:rPr>
        <w:t>Although late responses may be observed, c</w:t>
      </w:r>
      <w:r w:rsidRPr="0066441C">
        <w:rPr>
          <w:rFonts w:ascii="Arial" w:hAnsi="Arial" w:cs="Arial"/>
          <w:sz w:val="22"/>
          <w:szCs w:val="22"/>
        </w:rPr>
        <w:t xml:space="preserve">onsider </w:t>
      </w:r>
      <w:r w:rsidR="0066441C" w:rsidRPr="0066441C">
        <w:rPr>
          <w:rFonts w:ascii="Arial" w:hAnsi="Arial" w:cs="Arial"/>
          <w:sz w:val="22"/>
          <w:szCs w:val="22"/>
        </w:rPr>
        <w:t xml:space="preserve">discontinuing </w:t>
      </w:r>
      <w:proofErr w:type="spellStart"/>
      <w:r w:rsidR="0066441C" w:rsidRPr="0066441C">
        <w:rPr>
          <w:rFonts w:ascii="Arial" w:hAnsi="Arial" w:cs="Arial"/>
          <w:sz w:val="22"/>
          <w:szCs w:val="22"/>
        </w:rPr>
        <w:t>ponatinib</w:t>
      </w:r>
      <w:proofErr w:type="spellEnd"/>
      <w:r w:rsidR="0066441C" w:rsidRPr="0066441C">
        <w:rPr>
          <w:rFonts w:ascii="Arial" w:hAnsi="Arial" w:cs="Arial"/>
          <w:sz w:val="22"/>
          <w:szCs w:val="22"/>
        </w:rPr>
        <w:t xml:space="preserve"> if a </w:t>
      </w:r>
      <w:proofErr w:type="spellStart"/>
      <w:r w:rsidR="0066441C" w:rsidRPr="0066441C">
        <w:rPr>
          <w:rFonts w:ascii="Arial" w:hAnsi="Arial" w:cs="Arial"/>
          <w:sz w:val="22"/>
          <w:szCs w:val="22"/>
        </w:rPr>
        <w:t>h</w:t>
      </w:r>
      <w:r w:rsidR="002A1A4D">
        <w:rPr>
          <w:rFonts w:ascii="Arial" w:hAnsi="Arial" w:cs="Arial"/>
          <w:sz w:val="22"/>
          <w:szCs w:val="22"/>
        </w:rPr>
        <w:t>a</w:t>
      </w:r>
      <w:r w:rsidR="0066441C" w:rsidRPr="0066441C">
        <w:rPr>
          <w:rFonts w:ascii="Arial" w:hAnsi="Arial" w:cs="Arial"/>
          <w:sz w:val="22"/>
          <w:szCs w:val="22"/>
        </w:rPr>
        <w:t>ematologic</w:t>
      </w:r>
      <w:proofErr w:type="spellEnd"/>
      <w:r w:rsidR="0066441C" w:rsidRPr="0066441C">
        <w:rPr>
          <w:rFonts w:ascii="Arial" w:hAnsi="Arial" w:cs="Arial"/>
          <w:sz w:val="22"/>
          <w:szCs w:val="22"/>
        </w:rPr>
        <w:t xml:space="preserve"> response has not occurred by 3 months (90 days)</w:t>
      </w:r>
      <w:r w:rsidR="00864BF0">
        <w:rPr>
          <w:rFonts w:ascii="Arial" w:hAnsi="Arial" w:cs="Arial"/>
          <w:sz w:val="22"/>
          <w:szCs w:val="22"/>
        </w:rPr>
        <w:t xml:space="preserve"> especially in subjects at risk of vascular adverse event</w:t>
      </w:r>
      <w:r w:rsidR="0066441C" w:rsidRPr="0066441C">
        <w:rPr>
          <w:rFonts w:ascii="Arial" w:hAnsi="Arial" w:cs="Arial"/>
          <w:sz w:val="22"/>
          <w:szCs w:val="22"/>
        </w:rPr>
        <w:t>.</w:t>
      </w:r>
    </w:p>
    <w:p w14:paraId="2F318ACC" w14:textId="77777777" w:rsidR="008E0092" w:rsidRPr="00D10ED2" w:rsidRDefault="008E0092" w:rsidP="008E0092">
      <w:pPr>
        <w:rPr>
          <w:rFonts w:ascii="Arial" w:hAnsi="Arial" w:cs="Arial"/>
          <w:sz w:val="22"/>
          <w:szCs w:val="22"/>
        </w:rPr>
      </w:pPr>
    </w:p>
    <w:p w14:paraId="4DE0C41E" w14:textId="77777777" w:rsidR="008C48AE" w:rsidRPr="00D10ED2" w:rsidRDefault="008C48AE" w:rsidP="008E0092">
      <w:pPr>
        <w:rPr>
          <w:rFonts w:ascii="Arial" w:hAnsi="Arial" w:cs="Arial"/>
          <w:sz w:val="22"/>
          <w:szCs w:val="22"/>
        </w:rPr>
      </w:pPr>
    </w:p>
    <w:p w14:paraId="1AA68B7A" w14:textId="77777777" w:rsidR="008E0092" w:rsidRPr="00D10ED2" w:rsidRDefault="008E0092" w:rsidP="008E0092">
      <w:pPr>
        <w:keepNext/>
        <w:rPr>
          <w:rFonts w:ascii="Arial" w:hAnsi="Arial" w:cs="Arial"/>
          <w:i/>
          <w:sz w:val="22"/>
          <w:szCs w:val="22"/>
          <w:u w:val="single"/>
        </w:rPr>
      </w:pPr>
      <w:r w:rsidRPr="00D10ED2">
        <w:rPr>
          <w:rFonts w:ascii="Arial" w:hAnsi="Arial" w:cs="Arial"/>
          <w:i/>
          <w:sz w:val="22"/>
          <w:szCs w:val="22"/>
          <w:u w:val="single"/>
        </w:rPr>
        <w:lastRenderedPageBreak/>
        <w:t>Dose adjustments or modifications</w:t>
      </w:r>
    </w:p>
    <w:p w14:paraId="02419939" w14:textId="77777777" w:rsidR="008E0092" w:rsidRPr="00D10ED2" w:rsidRDefault="008E0092" w:rsidP="008E0092">
      <w:pPr>
        <w:keepNext/>
        <w:rPr>
          <w:rFonts w:ascii="Arial" w:hAnsi="Arial" w:cs="Arial"/>
          <w:sz w:val="22"/>
          <w:szCs w:val="22"/>
        </w:rPr>
      </w:pPr>
      <w:r w:rsidRPr="00D10ED2">
        <w:rPr>
          <w:rFonts w:ascii="Arial" w:hAnsi="Arial" w:cs="Arial"/>
          <w:sz w:val="22"/>
          <w:szCs w:val="22"/>
        </w:rPr>
        <w:t>Dose modifications should be considered for the management of treatment toxicity. For a dose of 30 mg or 15 mg once daily, 15 mg film-coated tablets are available.</w:t>
      </w:r>
    </w:p>
    <w:p w14:paraId="299FC147" w14:textId="77777777" w:rsidR="008E0092" w:rsidRPr="00D10ED2" w:rsidRDefault="008E0092" w:rsidP="008E0092">
      <w:pPr>
        <w:rPr>
          <w:rFonts w:ascii="Arial" w:hAnsi="Arial" w:cs="Arial"/>
          <w:sz w:val="22"/>
          <w:szCs w:val="22"/>
        </w:rPr>
      </w:pPr>
    </w:p>
    <w:p w14:paraId="70C682A8" w14:textId="77777777" w:rsidR="008E0092" w:rsidRPr="00D10ED2" w:rsidRDefault="008E0092" w:rsidP="008E0092">
      <w:pPr>
        <w:pStyle w:val="List3"/>
        <w:keepNext/>
        <w:tabs>
          <w:tab w:val="clear" w:pos="2016"/>
        </w:tabs>
        <w:spacing w:before="0" w:after="0"/>
        <w:ind w:left="0" w:firstLine="0"/>
        <w:rPr>
          <w:rFonts w:ascii="Arial" w:hAnsi="Arial" w:cs="Arial"/>
          <w:i/>
          <w:sz w:val="22"/>
          <w:szCs w:val="22"/>
          <w:u w:val="single"/>
        </w:rPr>
      </w:pPr>
      <w:proofErr w:type="spellStart"/>
      <w:r w:rsidRPr="00D10ED2">
        <w:rPr>
          <w:rFonts w:ascii="Arial" w:hAnsi="Arial" w:cs="Arial"/>
          <w:i/>
          <w:sz w:val="22"/>
          <w:szCs w:val="22"/>
          <w:u w:val="single"/>
        </w:rPr>
        <w:t>Myelosuppression</w:t>
      </w:r>
      <w:proofErr w:type="spellEnd"/>
    </w:p>
    <w:p w14:paraId="7E89A724" w14:textId="7F645463" w:rsidR="005C6C85" w:rsidRDefault="005C6C85" w:rsidP="005C6C85">
      <w:pPr>
        <w:rPr>
          <w:rFonts w:ascii="Arial" w:hAnsi="Arial" w:cs="Arial"/>
          <w:sz w:val="22"/>
          <w:szCs w:val="22"/>
        </w:rPr>
      </w:pPr>
      <w:proofErr w:type="spellStart"/>
      <w:r w:rsidRPr="00D10ED2">
        <w:rPr>
          <w:rFonts w:ascii="Arial" w:hAnsi="Arial" w:cs="Arial"/>
          <w:sz w:val="22"/>
          <w:szCs w:val="22"/>
        </w:rPr>
        <w:t>Haematologic</w:t>
      </w:r>
      <w:proofErr w:type="spellEnd"/>
      <w:r w:rsidRPr="00D10ED2">
        <w:rPr>
          <w:rFonts w:ascii="Arial" w:hAnsi="Arial" w:cs="Arial"/>
          <w:sz w:val="22"/>
          <w:szCs w:val="22"/>
        </w:rPr>
        <w:t xml:space="preserve"> support such as platelet transfusion and </w:t>
      </w:r>
      <w:proofErr w:type="spellStart"/>
      <w:r w:rsidRPr="00D10ED2">
        <w:rPr>
          <w:rFonts w:ascii="Arial" w:hAnsi="Arial" w:cs="Arial"/>
          <w:sz w:val="22"/>
          <w:szCs w:val="22"/>
        </w:rPr>
        <w:t>haematopoietic</w:t>
      </w:r>
      <w:proofErr w:type="spellEnd"/>
      <w:r w:rsidRPr="00D10ED2">
        <w:rPr>
          <w:rFonts w:ascii="Arial" w:hAnsi="Arial" w:cs="Arial"/>
          <w:sz w:val="22"/>
          <w:szCs w:val="22"/>
        </w:rPr>
        <w:t xml:space="preserve"> growth factors can be used during treatment if clinically indicated</w:t>
      </w:r>
      <w:r>
        <w:rPr>
          <w:rFonts w:ascii="Arial" w:hAnsi="Arial" w:cs="Arial"/>
          <w:sz w:val="22"/>
          <w:szCs w:val="22"/>
        </w:rPr>
        <w:t>.</w:t>
      </w:r>
    </w:p>
    <w:p w14:paraId="01DE12AF" w14:textId="77777777" w:rsidR="005C6C85" w:rsidRDefault="005C6C85" w:rsidP="008E0092">
      <w:pPr>
        <w:keepNext/>
        <w:rPr>
          <w:rFonts w:ascii="Arial" w:hAnsi="Arial" w:cs="Arial"/>
          <w:sz w:val="22"/>
          <w:szCs w:val="22"/>
        </w:rPr>
      </w:pPr>
    </w:p>
    <w:p w14:paraId="0A8F4AEA" w14:textId="1D52020B" w:rsidR="008E0092" w:rsidRPr="00D10ED2" w:rsidRDefault="008E0092" w:rsidP="008E0092">
      <w:pPr>
        <w:keepNext/>
        <w:rPr>
          <w:rFonts w:ascii="Arial" w:hAnsi="Arial" w:cs="Arial"/>
          <w:sz w:val="22"/>
          <w:szCs w:val="22"/>
        </w:rPr>
      </w:pPr>
      <w:r w:rsidRPr="00D10ED2">
        <w:rPr>
          <w:rFonts w:ascii="Arial" w:hAnsi="Arial" w:cs="Arial"/>
          <w:sz w:val="22"/>
          <w:szCs w:val="22"/>
        </w:rPr>
        <w:t>Dose modifications for neutropenia (ANC* &lt; 1.0 x 10</w:t>
      </w:r>
      <w:r w:rsidRPr="00D10ED2">
        <w:rPr>
          <w:rFonts w:ascii="Arial" w:hAnsi="Arial" w:cs="Arial"/>
          <w:sz w:val="22"/>
          <w:szCs w:val="22"/>
          <w:vertAlign w:val="superscript"/>
        </w:rPr>
        <w:t>9</w:t>
      </w:r>
      <w:r w:rsidRPr="00D10ED2">
        <w:rPr>
          <w:rFonts w:ascii="Arial" w:hAnsi="Arial" w:cs="Arial"/>
          <w:sz w:val="22"/>
          <w:szCs w:val="22"/>
        </w:rPr>
        <w:t>/L) and thrombocytopenia (platelet &lt; 50 x 10</w:t>
      </w:r>
      <w:r w:rsidRPr="00D10ED2">
        <w:rPr>
          <w:rFonts w:ascii="Arial" w:hAnsi="Arial" w:cs="Arial"/>
          <w:sz w:val="22"/>
          <w:szCs w:val="22"/>
          <w:vertAlign w:val="superscript"/>
        </w:rPr>
        <w:t>9</w:t>
      </w:r>
      <w:r w:rsidRPr="00D10ED2">
        <w:rPr>
          <w:rFonts w:ascii="Arial" w:hAnsi="Arial" w:cs="Arial"/>
          <w:sz w:val="22"/>
          <w:szCs w:val="22"/>
        </w:rPr>
        <w:t xml:space="preserve">/L) that are unrelated to </w:t>
      </w:r>
      <w:proofErr w:type="spellStart"/>
      <w:r w:rsidRPr="00D10ED2">
        <w:rPr>
          <w:rFonts w:ascii="Arial" w:hAnsi="Arial" w:cs="Arial"/>
          <w:sz w:val="22"/>
          <w:szCs w:val="22"/>
        </w:rPr>
        <w:t>leu</w:t>
      </w:r>
      <w:r w:rsidR="00FC3569" w:rsidRPr="00D10ED2">
        <w:rPr>
          <w:rFonts w:ascii="Arial" w:hAnsi="Arial" w:cs="Arial"/>
          <w:sz w:val="22"/>
          <w:szCs w:val="22"/>
        </w:rPr>
        <w:t>kaemia</w:t>
      </w:r>
      <w:proofErr w:type="spellEnd"/>
      <w:r w:rsidR="00FC3569" w:rsidRPr="00D10ED2">
        <w:rPr>
          <w:rFonts w:ascii="Arial" w:hAnsi="Arial" w:cs="Arial"/>
          <w:sz w:val="22"/>
          <w:szCs w:val="22"/>
        </w:rPr>
        <w:t xml:space="preserve"> are </w:t>
      </w:r>
      <w:proofErr w:type="spellStart"/>
      <w:r w:rsidR="00FC3569" w:rsidRPr="00D10ED2">
        <w:rPr>
          <w:rFonts w:ascii="Arial" w:hAnsi="Arial" w:cs="Arial"/>
          <w:sz w:val="22"/>
          <w:szCs w:val="22"/>
        </w:rPr>
        <w:t>summari</w:t>
      </w:r>
      <w:r w:rsidR="0069592C" w:rsidRPr="00D10ED2">
        <w:rPr>
          <w:rFonts w:ascii="Arial" w:hAnsi="Arial" w:cs="Arial"/>
          <w:sz w:val="22"/>
          <w:szCs w:val="22"/>
        </w:rPr>
        <w:t>s</w:t>
      </w:r>
      <w:r w:rsidR="00FC3569" w:rsidRPr="00D10ED2">
        <w:rPr>
          <w:rFonts w:ascii="Arial" w:hAnsi="Arial" w:cs="Arial"/>
          <w:sz w:val="22"/>
          <w:szCs w:val="22"/>
        </w:rPr>
        <w:t>ed</w:t>
      </w:r>
      <w:proofErr w:type="spellEnd"/>
      <w:r w:rsidR="00FC3569" w:rsidRPr="00D10ED2">
        <w:rPr>
          <w:rFonts w:ascii="Arial" w:hAnsi="Arial" w:cs="Arial"/>
          <w:sz w:val="22"/>
          <w:szCs w:val="22"/>
        </w:rPr>
        <w:t xml:space="preserve"> in Table </w:t>
      </w:r>
      <w:r w:rsidR="00EB57E0" w:rsidRPr="00D10ED2">
        <w:rPr>
          <w:rFonts w:ascii="Arial" w:hAnsi="Arial" w:cs="Arial"/>
          <w:sz w:val="22"/>
          <w:szCs w:val="22"/>
        </w:rPr>
        <w:t>6</w:t>
      </w:r>
      <w:r w:rsidRPr="00D10ED2">
        <w:rPr>
          <w:rFonts w:ascii="Arial" w:hAnsi="Arial" w:cs="Arial"/>
          <w:sz w:val="22"/>
          <w:szCs w:val="22"/>
        </w:rPr>
        <w:t>.</w:t>
      </w:r>
    </w:p>
    <w:p w14:paraId="3639AB6E" w14:textId="77777777" w:rsidR="008E0092" w:rsidRPr="00D10ED2" w:rsidRDefault="008E0092" w:rsidP="008E0092">
      <w:pPr>
        <w:rPr>
          <w:rFonts w:ascii="Arial" w:hAnsi="Arial" w:cs="Arial"/>
          <w:sz w:val="22"/>
          <w:szCs w:val="22"/>
        </w:rPr>
      </w:pPr>
    </w:p>
    <w:p w14:paraId="5D726C2F" w14:textId="6E2517E4" w:rsidR="008E0092" w:rsidRPr="00D10ED2" w:rsidRDefault="00887562" w:rsidP="008E0092">
      <w:pPr>
        <w:pStyle w:val="Table"/>
        <w:keepNext/>
        <w:keepLines/>
        <w:tabs>
          <w:tab w:val="clear" w:pos="1008"/>
        </w:tabs>
        <w:spacing w:after="0"/>
        <w:ind w:left="1134" w:hanging="1134"/>
        <w:jc w:val="left"/>
        <w:rPr>
          <w:rFonts w:ascii="Arial" w:hAnsi="Arial" w:cs="Arial"/>
          <w:sz w:val="22"/>
          <w:szCs w:val="22"/>
        </w:rPr>
      </w:pPr>
      <w:r w:rsidRPr="00D10ED2">
        <w:rPr>
          <w:rFonts w:ascii="Arial" w:hAnsi="Arial" w:cs="Arial"/>
          <w:sz w:val="22"/>
          <w:szCs w:val="22"/>
        </w:rPr>
        <w:t xml:space="preserve">Table </w:t>
      </w:r>
      <w:r w:rsidR="00EB57E0" w:rsidRPr="00D10ED2">
        <w:rPr>
          <w:rFonts w:ascii="Arial" w:hAnsi="Arial" w:cs="Arial"/>
          <w:sz w:val="22"/>
          <w:szCs w:val="22"/>
        </w:rPr>
        <w:t>6</w:t>
      </w:r>
      <w:r w:rsidR="008E0092" w:rsidRPr="00D10ED2">
        <w:rPr>
          <w:rFonts w:ascii="Arial" w:hAnsi="Arial" w:cs="Arial"/>
          <w:sz w:val="22"/>
          <w:szCs w:val="22"/>
        </w:rPr>
        <w:tab/>
        <w:t xml:space="preserve">Dose modifications for </w:t>
      </w:r>
      <w:proofErr w:type="spellStart"/>
      <w:r w:rsidR="008E0092" w:rsidRPr="00D10ED2">
        <w:rPr>
          <w:rFonts w:ascii="Arial" w:hAnsi="Arial" w:cs="Arial"/>
          <w:sz w:val="22"/>
          <w:szCs w:val="22"/>
        </w:rPr>
        <w:t>myelosuppression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5621"/>
      </w:tblGrid>
      <w:tr w:rsidR="008E0092" w:rsidRPr="00D10ED2" w14:paraId="0B15AE82" w14:textId="77777777" w:rsidTr="008E0092">
        <w:trPr>
          <w:trHeight w:val="512"/>
        </w:trPr>
        <w:tc>
          <w:tcPr>
            <w:tcW w:w="1700" w:type="pct"/>
            <w:vMerge w:val="restart"/>
            <w:vAlign w:val="center"/>
          </w:tcPr>
          <w:p w14:paraId="09AD1D05" w14:textId="77777777" w:rsidR="008E0092" w:rsidRPr="00D10ED2" w:rsidRDefault="008E0092" w:rsidP="008E0092">
            <w:pPr>
              <w:pStyle w:val="TableText10"/>
              <w:keepNext/>
              <w:keepLines/>
              <w:rPr>
                <w:rFonts w:ascii="Arial" w:hAnsi="Arial" w:cs="Arial"/>
                <w:sz w:val="22"/>
                <w:szCs w:val="22"/>
              </w:rPr>
            </w:pPr>
            <w:r w:rsidRPr="00D10ED2">
              <w:rPr>
                <w:rFonts w:ascii="Arial" w:hAnsi="Arial" w:cs="Arial"/>
                <w:sz w:val="22"/>
                <w:szCs w:val="22"/>
              </w:rPr>
              <w:t>ANC* &lt; 1.0 x 10</w:t>
            </w:r>
            <w:r w:rsidRPr="00D10ED2">
              <w:rPr>
                <w:rFonts w:ascii="Arial" w:hAnsi="Arial" w:cs="Arial"/>
                <w:sz w:val="22"/>
                <w:szCs w:val="22"/>
                <w:vertAlign w:val="superscript"/>
              </w:rPr>
              <w:t>9</w:t>
            </w:r>
            <w:r w:rsidRPr="00D10ED2">
              <w:rPr>
                <w:rFonts w:ascii="Arial" w:hAnsi="Arial" w:cs="Arial"/>
                <w:sz w:val="22"/>
                <w:szCs w:val="22"/>
              </w:rPr>
              <w:t>/L</w:t>
            </w:r>
          </w:p>
          <w:p w14:paraId="513F0967" w14:textId="77777777" w:rsidR="008E0092" w:rsidRPr="00D10ED2" w:rsidRDefault="008E0092" w:rsidP="008E0092">
            <w:pPr>
              <w:pStyle w:val="TableText10"/>
              <w:keepNext/>
              <w:keepLines/>
              <w:rPr>
                <w:rFonts w:ascii="Arial" w:hAnsi="Arial" w:cs="Arial"/>
                <w:sz w:val="22"/>
                <w:szCs w:val="22"/>
              </w:rPr>
            </w:pPr>
            <w:r w:rsidRPr="00D10ED2">
              <w:rPr>
                <w:rFonts w:ascii="Arial" w:hAnsi="Arial" w:cs="Arial"/>
                <w:sz w:val="22"/>
                <w:szCs w:val="22"/>
              </w:rPr>
              <w:t>or</w:t>
            </w:r>
          </w:p>
          <w:p w14:paraId="7A58A448" w14:textId="77777777" w:rsidR="008E0092" w:rsidRPr="00D10ED2" w:rsidRDefault="008E0092" w:rsidP="008E0092">
            <w:pPr>
              <w:pStyle w:val="TableText10"/>
              <w:keepNext/>
              <w:keepLines/>
              <w:rPr>
                <w:rFonts w:ascii="Arial" w:hAnsi="Arial" w:cs="Arial"/>
                <w:sz w:val="22"/>
                <w:szCs w:val="22"/>
              </w:rPr>
            </w:pPr>
            <w:r w:rsidRPr="00D10ED2">
              <w:rPr>
                <w:rFonts w:ascii="Arial" w:hAnsi="Arial" w:cs="Arial"/>
                <w:sz w:val="22"/>
                <w:szCs w:val="22"/>
              </w:rPr>
              <w:t>platelet &lt; 50 x 10</w:t>
            </w:r>
            <w:r w:rsidRPr="00D10ED2">
              <w:rPr>
                <w:rFonts w:ascii="Arial" w:hAnsi="Arial" w:cs="Arial"/>
                <w:sz w:val="22"/>
                <w:szCs w:val="22"/>
                <w:vertAlign w:val="superscript"/>
              </w:rPr>
              <w:t>9</w:t>
            </w:r>
            <w:r w:rsidRPr="00D10ED2">
              <w:rPr>
                <w:rFonts w:ascii="Arial" w:hAnsi="Arial" w:cs="Arial"/>
                <w:sz w:val="22"/>
                <w:szCs w:val="22"/>
              </w:rPr>
              <w:t>/L</w:t>
            </w:r>
          </w:p>
        </w:tc>
        <w:tc>
          <w:tcPr>
            <w:tcW w:w="3300" w:type="pct"/>
          </w:tcPr>
          <w:p w14:paraId="35A365A1" w14:textId="77777777" w:rsidR="008E0092" w:rsidRPr="00D10ED2" w:rsidRDefault="008E0092" w:rsidP="008E0092">
            <w:pPr>
              <w:pStyle w:val="TableText10"/>
              <w:keepNext/>
              <w:keepLines/>
              <w:rPr>
                <w:rFonts w:ascii="Arial" w:hAnsi="Arial" w:cs="Arial"/>
                <w:sz w:val="22"/>
                <w:szCs w:val="22"/>
                <w:lang w:val="en-GB"/>
              </w:rPr>
            </w:pPr>
            <w:r w:rsidRPr="00D10ED2">
              <w:rPr>
                <w:rFonts w:ascii="Arial" w:hAnsi="Arial" w:cs="Arial"/>
                <w:sz w:val="22"/>
                <w:szCs w:val="22"/>
                <w:lang w:val="en-GB"/>
              </w:rPr>
              <w:t xml:space="preserve">First occurrence: </w:t>
            </w:r>
          </w:p>
          <w:p w14:paraId="587E948C" w14:textId="6B0413D9" w:rsidR="008E0092" w:rsidRPr="00D10ED2" w:rsidRDefault="008E0092" w:rsidP="008E0092">
            <w:pPr>
              <w:pStyle w:val="TableText10"/>
              <w:keepNext/>
              <w:keepLines/>
              <w:numPr>
                <w:ilvl w:val="0"/>
                <w:numId w:val="2"/>
              </w:numPr>
              <w:ind w:left="367"/>
              <w:rPr>
                <w:rFonts w:ascii="Arial" w:hAnsi="Arial" w:cs="Arial"/>
                <w:sz w:val="22"/>
                <w:szCs w:val="22"/>
                <w:lang w:val="en-GB"/>
              </w:rPr>
            </w:pPr>
            <w:r w:rsidRPr="00D10ED2">
              <w:rPr>
                <w:rFonts w:ascii="Arial" w:hAnsi="Arial" w:cs="Arial"/>
                <w:sz w:val="22"/>
                <w:szCs w:val="22"/>
                <w:lang w:val="en-GB"/>
              </w:rPr>
              <w:t xml:space="preserve">Withhold </w:t>
            </w:r>
            <w:r w:rsidR="0011623F" w:rsidRPr="00D10ED2">
              <w:rPr>
                <w:rFonts w:ascii="Arial" w:hAnsi="Arial" w:cs="Arial"/>
                <w:sz w:val="22"/>
                <w:szCs w:val="22"/>
                <w:lang w:val="en-GB"/>
              </w:rPr>
              <w:t>ICLUSIG</w:t>
            </w:r>
            <w:r w:rsidRPr="00D10ED2">
              <w:rPr>
                <w:rFonts w:ascii="Arial" w:hAnsi="Arial" w:cs="Arial"/>
                <w:sz w:val="22"/>
                <w:szCs w:val="22"/>
                <w:lang w:val="en-GB"/>
              </w:rPr>
              <w:t xml:space="preserve"> and resume initial 45 mg dose after recovery to ANC ≥ 1.5 x 10</w:t>
            </w:r>
            <w:r w:rsidRPr="00D10ED2">
              <w:rPr>
                <w:rFonts w:ascii="Arial" w:hAnsi="Arial" w:cs="Arial"/>
                <w:sz w:val="22"/>
                <w:szCs w:val="22"/>
                <w:vertAlign w:val="superscript"/>
                <w:lang w:val="en-GB"/>
              </w:rPr>
              <w:t>9</w:t>
            </w:r>
            <w:r w:rsidRPr="00D10ED2">
              <w:rPr>
                <w:rFonts w:ascii="Arial" w:hAnsi="Arial" w:cs="Arial"/>
                <w:sz w:val="22"/>
                <w:szCs w:val="22"/>
                <w:lang w:val="en-GB"/>
              </w:rPr>
              <w:t>/L and platelet ≥ 75 x 10</w:t>
            </w:r>
            <w:r w:rsidRPr="00D10ED2">
              <w:rPr>
                <w:rFonts w:ascii="Arial" w:hAnsi="Arial" w:cs="Arial"/>
                <w:sz w:val="22"/>
                <w:szCs w:val="22"/>
                <w:vertAlign w:val="superscript"/>
                <w:lang w:val="en-GB"/>
              </w:rPr>
              <w:t>9</w:t>
            </w:r>
            <w:r w:rsidRPr="00D10ED2">
              <w:rPr>
                <w:rFonts w:ascii="Arial" w:hAnsi="Arial" w:cs="Arial"/>
                <w:sz w:val="22"/>
                <w:szCs w:val="22"/>
                <w:lang w:val="en-GB"/>
              </w:rPr>
              <w:t>/L</w:t>
            </w:r>
          </w:p>
        </w:tc>
      </w:tr>
      <w:tr w:rsidR="008E0092" w:rsidRPr="00D10ED2" w14:paraId="1E1ACE37" w14:textId="77777777" w:rsidTr="008E0092">
        <w:trPr>
          <w:trHeight w:val="539"/>
        </w:trPr>
        <w:tc>
          <w:tcPr>
            <w:tcW w:w="1700" w:type="pct"/>
            <w:vMerge/>
          </w:tcPr>
          <w:p w14:paraId="59D45710" w14:textId="77777777" w:rsidR="008E0092" w:rsidRPr="00D10ED2" w:rsidRDefault="008E0092" w:rsidP="008E0092">
            <w:pPr>
              <w:pStyle w:val="TableText10"/>
              <w:keepNext/>
              <w:keepLines/>
              <w:rPr>
                <w:rFonts w:ascii="Arial" w:hAnsi="Arial" w:cs="Arial"/>
                <w:sz w:val="22"/>
                <w:szCs w:val="22"/>
                <w:lang w:val="en-GB"/>
              </w:rPr>
            </w:pPr>
          </w:p>
        </w:tc>
        <w:tc>
          <w:tcPr>
            <w:tcW w:w="3300" w:type="pct"/>
          </w:tcPr>
          <w:p w14:paraId="421CF69A" w14:textId="77777777" w:rsidR="008E0092" w:rsidRPr="00D10ED2" w:rsidRDefault="008E0092" w:rsidP="008E0092">
            <w:pPr>
              <w:pStyle w:val="TableText10"/>
              <w:keepNext/>
              <w:keepLines/>
              <w:rPr>
                <w:rFonts w:ascii="Arial" w:hAnsi="Arial" w:cs="Arial"/>
                <w:sz w:val="22"/>
                <w:szCs w:val="22"/>
                <w:lang w:val="en-GB"/>
              </w:rPr>
            </w:pPr>
            <w:r w:rsidRPr="00D10ED2">
              <w:rPr>
                <w:rFonts w:ascii="Arial" w:hAnsi="Arial" w:cs="Arial"/>
                <w:sz w:val="22"/>
                <w:szCs w:val="22"/>
                <w:lang w:val="en-GB"/>
              </w:rPr>
              <w:t xml:space="preserve">Second occurrence: </w:t>
            </w:r>
          </w:p>
          <w:p w14:paraId="6C2D3A19" w14:textId="41F25E7E" w:rsidR="008E0092" w:rsidRPr="00D10ED2" w:rsidRDefault="008E0092" w:rsidP="008E0092">
            <w:pPr>
              <w:pStyle w:val="TableText10"/>
              <w:keepNext/>
              <w:keepLines/>
              <w:numPr>
                <w:ilvl w:val="0"/>
                <w:numId w:val="2"/>
              </w:numPr>
              <w:ind w:left="367"/>
              <w:rPr>
                <w:rFonts w:ascii="Arial" w:hAnsi="Arial" w:cs="Arial"/>
                <w:sz w:val="22"/>
                <w:szCs w:val="22"/>
                <w:lang w:val="en-GB"/>
              </w:rPr>
            </w:pPr>
            <w:r w:rsidRPr="00D10ED2">
              <w:rPr>
                <w:rFonts w:ascii="Arial" w:hAnsi="Arial" w:cs="Arial"/>
                <w:sz w:val="22"/>
                <w:szCs w:val="22"/>
                <w:lang w:val="en-GB"/>
              </w:rPr>
              <w:t xml:space="preserve">Withhold </w:t>
            </w:r>
            <w:r w:rsidR="0011623F" w:rsidRPr="00D10ED2">
              <w:rPr>
                <w:rFonts w:ascii="Arial" w:hAnsi="Arial" w:cs="Arial"/>
                <w:sz w:val="22"/>
                <w:szCs w:val="22"/>
                <w:lang w:val="en-GB"/>
              </w:rPr>
              <w:t>ICLUSIG</w:t>
            </w:r>
            <w:r w:rsidRPr="00D10ED2">
              <w:rPr>
                <w:rFonts w:ascii="Arial" w:hAnsi="Arial" w:cs="Arial"/>
                <w:sz w:val="22"/>
                <w:szCs w:val="22"/>
                <w:lang w:val="en-GB"/>
              </w:rPr>
              <w:t xml:space="preserve"> and resume at 30 mg after recovery to </w:t>
            </w:r>
            <w:r w:rsidRPr="00D10ED2">
              <w:rPr>
                <w:rFonts w:ascii="Arial" w:hAnsi="Arial" w:cs="Arial"/>
                <w:sz w:val="22"/>
                <w:szCs w:val="22"/>
                <w:lang w:val="en-GB"/>
              </w:rPr>
              <w:br/>
              <w:t>ANC ≥ 1.5 x 10</w:t>
            </w:r>
            <w:r w:rsidRPr="00D10ED2">
              <w:rPr>
                <w:rFonts w:ascii="Arial" w:hAnsi="Arial" w:cs="Arial"/>
                <w:sz w:val="22"/>
                <w:szCs w:val="22"/>
                <w:vertAlign w:val="superscript"/>
                <w:lang w:val="en-GB"/>
              </w:rPr>
              <w:t>9</w:t>
            </w:r>
            <w:r w:rsidRPr="00D10ED2">
              <w:rPr>
                <w:rFonts w:ascii="Arial" w:hAnsi="Arial" w:cs="Arial"/>
                <w:sz w:val="22"/>
                <w:szCs w:val="22"/>
                <w:lang w:val="en-GB"/>
              </w:rPr>
              <w:t>/L and platelet ≥ 75 x 10</w:t>
            </w:r>
            <w:r w:rsidRPr="00D10ED2">
              <w:rPr>
                <w:rFonts w:ascii="Arial" w:hAnsi="Arial" w:cs="Arial"/>
                <w:sz w:val="22"/>
                <w:szCs w:val="22"/>
                <w:vertAlign w:val="superscript"/>
                <w:lang w:val="en-GB"/>
              </w:rPr>
              <w:t>9</w:t>
            </w:r>
            <w:r w:rsidRPr="00D10ED2">
              <w:rPr>
                <w:rFonts w:ascii="Arial" w:hAnsi="Arial" w:cs="Arial"/>
                <w:sz w:val="22"/>
                <w:szCs w:val="22"/>
                <w:lang w:val="en-GB"/>
              </w:rPr>
              <w:t>/L</w:t>
            </w:r>
          </w:p>
        </w:tc>
      </w:tr>
      <w:tr w:rsidR="008E0092" w:rsidRPr="00D10ED2" w14:paraId="1AE3AC93" w14:textId="77777777" w:rsidTr="008E0092">
        <w:tc>
          <w:tcPr>
            <w:tcW w:w="1700" w:type="pct"/>
            <w:vMerge/>
          </w:tcPr>
          <w:p w14:paraId="0565D4A6" w14:textId="77777777" w:rsidR="008E0092" w:rsidRPr="00D10ED2" w:rsidRDefault="008E0092" w:rsidP="008E0092">
            <w:pPr>
              <w:pStyle w:val="TableText10"/>
              <w:rPr>
                <w:rFonts w:ascii="Arial" w:hAnsi="Arial" w:cs="Arial"/>
                <w:sz w:val="22"/>
                <w:szCs w:val="22"/>
                <w:lang w:val="en-GB"/>
              </w:rPr>
            </w:pPr>
          </w:p>
        </w:tc>
        <w:tc>
          <w:tcPr>
            <w:tcW w:w="3300" w:type="pct"/>
          </w:tcPr>
          <w:p w14:paraId="2E9B8E6A" w14:textId="77777777" w:rsidR="008E0092" w:rsidRPr="00D10ED2" w:rsidRDefault="008E0092" w:rsidP="008E0092">
            <w:pPr>
              <w:pStyle w:val="TableText10"/>
              <w:rPr>
                <w:rFonts w:ascii="Arial" w:hAnsi="Arial" w:cs="Arial"/>
                <w:sz w:val="22"/>
                <w:szCs w:val="22"/>
                <w:lang w:val="en-GB"/>
              </w:rPr>
            </w:pPr>
            <w:r w:rsidRPr="00D10ED2">
              <w:rPr>
                <w:rFonts w:ascii="Arial" w:hAnsi="Arial" w:cs="Arial"/>
                <w:sz w:val="22"/>
                <w:szCs w:val="22"/>
                <w:lang w:val="en-GB"/>
              </w:rPr>
              <w:t xml:space="preserve">Third occurrence: </w:t>
            </w:r>
          </w:p>
          <w:p w14:paraId="20B3557F" w14:textId="067D9A6C" w:rsidR="008E0092" w:rsidRPr="00D10ED2" w:rsidRDefault="008E0092" w:rsidP="008E0092">
            <w:pPr>
              <w:pStyle w:val="TableText10"/>
              <w:keepNext/>
              <w:keepLines/>
              <w:numPr>
                <w:ilvl w:val="0"/>
                <w:numId w:val="2"/>
              </w:numPr>
              <w:ind w:left="367"/>
              <w:rPr>
                <w:rFonts w:ascii="Arial" w:hAnsi="Arial" w:cs="Arial"/>
                <w:sz w:val="22"/>
                <w:szCs w:val="22"/>
                <w:lang w:val="en-GB"/>
              </w:rPr>
            </w:pPr>
            <w:r w:rsidRPr="00D10ED2">
              <w:rPr>
                <w:rFonts w:ascii="Arial" w:hAnsi="Arial" w:cs="Arial"/>
                <w:sz w:val="22"/>
                <w:szCs w:val="22"/>
                <w:lang w:val="en-GB"/>
              </w:rPr>
              <w:t xml:space="preserve">Withhold </w:t>
            </w:r>
            <w:r w:rsidR="0011623F" w:rsidRPr="00D10ED2">
              <w:rPr>
                <w:rFonts w:ascii="Arial" w:hAnsi="Arial" w:cs="Arial"/>
                <w:sz w:val="22"/>
                <w:szCs w:val="22"/>
                <w:lang w:val="en-GB"/>
              </w:rPr>
              <w:t>ICLUSIG</w:t>
            </w:r>
            <w:r w:rsidRPr="00D10ED2">
              <w:rPr>
                <w:rFonts w:ascii="Arial" w:hAnsi="Arial" w:cs="Arial"/>
                <w:sz w:val="22"/>
                <w:szCs w:val="22"/>
                <w:lang w:val="en-GB"/>
              </w:rPr>
              <w:t xml:space="preserve"> and resume at 15 mg after recovery to </w:t>
            </w:r>
            <w:r w:rsidRPr="00D10ED2">
              <w:rPr>
                <w:rFonts w:ascii="Arial" w:hAnsi="Arial" w:cs="Arial"/>
                <w:sz w:val="22"/>
                <w:szCs w:val="22"/>
                <w:lang w:val="en-GB"/>
              </w:rPr>
              <w:br/>
              <w:t>ANC ≥ 1.5 x 10</w:t>
            </w:r>
            <w:r w:rsidRPr="00D10ED2">
              <w:rPr>
                <w:rFonts w:ascii="Arial" w:hAnsi="Arial" w:cs="Arial"/>
                <w:sz w:val="22"/>
                <w:szCs w:val="22"/>
                <w:vertAlign w:val="superscript"/>
                <w:lang w:val="en-GB"/>
              </w:rPr>
              <w:t>9</w:t>
            </w:r>
            <w:r w:rsidRPr="00D10ED2">
              <w:rPr>
                <w:rFonts w:ascii="Arial" w:hAnsi="Arial" w:cs="Arial"/>
                <w:sz w:val="22"/>
                <w:szCs w:val="22"/>
                <w:lang w:val="en-GB"/>
              </w:rPr>
              <w:t>/L and platelet ≥ 75 x 10</w:t>
            </w:r>
            <w:r w:rsidRPr="00D10ED2">
              <w:rPr>
                <w:rFonts w:ascii="Arial" w:hAnsi="Arial" w:cs="Arial"/>
                <w:sz w:val="22"/>
                <w:szCs w:val="22"/>
                <w:vertAlign w:val="superscript"/>
                <w:lang w:val="en-GB"/>
              </w:rPr>
              <w:t>9</w:t>
            </w:r>
            <w:r w:rsidRPr="00D10ED2">
              <w:rPr>
                <w:rFonts w:ascii="Arial" w:hAnsi="Arial" w:cs="Arial"/>
                <w:sz w:val="22"/>
                <w:szCs w:val="22"/>
                <w:lang w:val="en-GB"/>
              </w:rPr>
              <w:t>/L</w:t>
            </w:r>
          </w:p>
        </w:tc>
      </w:tr>
      <w:tr w:rsidR="008E0092" w:rsidRPr="00D10ED2" w14:paraId="27E387DB" w14:textId="77777777" w:rsidTr="008E0092">
        <w:tc>
          <w:tcPr>
            <w:tcW w:w="5000" w:type="pct"/>
            <w:gridSpan w:val="2"/>
          </w:tcPr>
          <w:p w14:paraId="2B60492A" w14:textId="77777777" w:rsidR="008E0092" w:rsidRPr="00D10ED2" w:rsidRDefault="008E0092" w:rsidP="008E0092">
            <w:pPr>
              <w:pStyle w:val="TableSource10"/>
              <w:spacing w:before="0" w:after="0"/>
              <w:rPr>
                <w:rFonts w:ascii="Arial" w:hAnsi="Arial" w:cs="Arial"/>
                <w:sz w:val="22"/>
                <w:szCs w:val="22"/>
              </w:rPr>
            </w:pPr>
            <w:r w:rsidRPr="00D10ED2">
              <w:rPr>
                <w:rFonts w:ascii="Arial" w:hAnsi="Arial" w:cs="Arial"/>
                <w:sz w:val="22"/>
                <w:szCs w:val="22"/>
              </w:rPr>
              <w:t>*ANC = absolute neutrophil count</w:t>
            </w:r>
          </w:p>
        </w:tc>
      </w:tr>
    </w:tbl>
    <w:p w14:paraId="5EDFADDB" w14:textId="77777777" w:rsidR="008E0092" w:rsidRPr="00D10ED2" w:rsidRDefault="008E0092" w:rsidP="008E0092">
      <w:pPr>
        <w:pStyle w:val="List3"/>
        <w:tabs>
          <w:tab w:val="clear" w:pos="2016"/>
        </w:tabs>
        <w:spacing w:before="0" w:after="0"/>
        <w:ind w:left="0" w:firstLine="0"/>
        <w:rPr>
          <w:rFonts w:ascii="Arial" w:hAnsi="Arial" w:cs="Arial"/>
          <w:b/>
          <w:sz w:val="22"/>
          <w:szCs w:val="22"/>
        </w:rPr>
      </w:pPr>
    </w:p>
    <w:p w14:paraId="461D8778" w14:textId="77777777" w:rsidR="008E0092" w:rsidRPr="00745BC9" w:rsidRDefault="008E0092" w:rsidP="008E0092">
      <w:pPr>
        <w:pStyle w:val="List3"/>
        <w:tabs>
          <w:tab w:val="clear" w:pos="2016"/>
        </w:tabs>
        <w:spacing w:before="0" w:after="0"/>
        <w:ind w:left="0" w:firstLine="0"/>
        <w:rPr>
          <w:rFonts w:ascii="Arial" w:hAnsi="Arial" w:cs="Arial"/>
          <w:i/>
          <w:sz w:val="22"/>
          <w:szCs w:val="22"/>
          <w:u w:val="single"/>
        </w:rPr>
      </w:pPr>
      <w:r w:rsidRPr="00745BC9">
        <w:rPr>
          <w:rFonts w:ascii="Arial" w:hAnsi="Arial" w:cs="Arial"/>
          <w:i/>
          <w:sz w:val="22"/>
          <w:szCs w:val="22"/>
          <w:u w:val="single"/>
        </w:rPr>
        <w:t>Non-</w:t>
      </w:r>
      <w:proofErr w:type="spellStart"/>
      <w:r w:rsidRPr="00745BC9">
        <w:rPr>
          <w:rFonts w:ascii="Arial" w:hAnsi="Arial" w:cs="Arial"/>
          <w:i/>
          <w:sz w:val="22"/>
          <w:szCs w:val="22"/>
          <w:u w:val="single"/>
        </w:rPr>
        <w:t>haematological</w:t>
      </w:r>
      <w:proofErr w:type="spellEnd"/>
      <w:r w:rsidRPr="00745BC9">
        <w:rPr>
          <w:rFonts w:ascii="Arial" w:hAnsi="Arial" w:cs="Arial"/>
          <w:i/>
          <w:sz w:val="22"/>
          <w:szCs w:val="22"/>
          <w:u w:val="single"/>
        </w:rPr>
        <w:t xml:space="preserve"> adverse reactions</w:t>
      </w:r>
    </w:p>
    <w:p w14:paraId="34A72EC0" w14:textId="77777777" w:rsidR="00CE3D63" w:rsidRPr="00D10ED2" w:rsidRDefault="008E0092" w:rsidP="008E0092">
      <w:pPr>
        <w:rPr>
          <w:rFonts w:ascii="Arial" w:hAnsi="Arial" w:cs="Arial"/>
          <w:sz w:val="22"/>
          <w:szCs w:val="22"/>
        </w:rPr>
      </w:pPr>
      <w:r w:rsidRPr="00D10ED2">
        <w:rPr>
          <w:rFonts w:ascii="Arial" w:hAnsi="Arial" w:cs="Arial"/>
          <w:sz w:val="22"/>
          <w:szCs w:val="22"/>
        </w:rPr>
        <w:t>If a severe non-</w:t>
      </w:r>
      <w:proofErr w:type="spellStart"/>
      <w:r w:rsidRPr="00D10ED2">
        <w:rPr>
          <w:rFonts w:ascii="Arial" w:hAnsi="Arial" w:cs="Arial"/>
          <w:sz w:val="22"/>
          <w:szCs w:val="22"/>
        </w:rPr>
        <w:t>haematological</w:t>
      </w:r>
      <w:proofErr w:type="spellEnd"/>
      <w:r w:rsidRPr="00D10ED2">
        <w:rPr>
          <w:rFonts w:ascii="Arial" w:hAnsi="Arial" w:cs="Arial"/>
          <w:sz w:val="22"/>
          <w:szCs w:val="22"/>
        </w:rPr>
        <w:t xml:space="preserve"> adverse reaction occurs, treatment should be withheld.  After the event is resolved or attenuated in severity, </w:t>
      </w:r>
      <w:r w:rsidR="0011623F" w:rsidRPr="00D10ED2">
        <w:rPr>
          <w:rFonts w:ascii="Arial" w:hAnsi="Arial" w:cs="Arial"/>
          <w:sz w:val="22"/>
          <w:szCs w:val="22"/>
        </w:rPr>
        <w:t>ICLUSIG</w:t>
      </w:r>
      <w:r w:rsidRPr="00D10ED2">
        <w:rPr>
          <w:rFonts w:ascii="Arial" w:hAnsi="Arial" w:cs="Arial"/>
          <w:sz w:val="22"/>
          <w:szCs w:val="22"/>
        </w:rPr>
        <w:t xml:space="preserve"> may be resumed at the same dose or at a reduced dose according to initial grade of the adverse reaction. </w:t>
      </w:r>
    </w:p>
    <w:p w14:paraId="5CE01ABB" w14:textId="77777777" w:rsidR="00CE3D63" w:rsidRPr="00D10ED2" w:rsidRDefault="00CE3D63" w:rsidP="008E0092">
      <w:pPr>
        <w:rPr>
          <w:rFonts w:ascii="Arial" w:hAnsi="Arial" w:cs="Arial"/>
          <w:sz w:val="22"/>
          <w:szCs w:val="22"/>
        </w:rPr>
      </w:pPr>
    </w:p>
    <w:p w14:paraId="2834DAB3" w14:textId="77777777" w:rsidR="00CE3D63" w:rsidRPr="00745BC9" w:rsidRDefault="00CE3D63" w:rsidP="00CE3D63">
      <w:pPr>
        <w:pStyle w:val="List3"/>
        <w:tabs>
          <w:tab w:val="clear" w:pos="2016"/>
        </w:tabs>
        <w:spacing w:before="0" w:after="0"/>
        <w:ind w:left="0" w:firstLine="0"/>
        <w:rPr>
          <w:rFonts w:ascii="Arial" w:hAnsi="Arial" w:cs="Arial"/>
          <w:i/>
          <w:sz w:val="22"/>
          <w:szCs w:val="22"/>
          <w:u w:val="single"/>
        </w:rPr>
      </w:pPr>
      <w:r w:rsidRPr="00745BC9">
        <w:rPr>
          <w:rFonts w:ascii="Arial" w:hAnsi="Arial" w:cs="Arial"/>
          <w:i/>
          <w:sz w:val="22"/>
          <w:szCs w:val="22"/>
          <w:u w:val="single"/>
        </w:rPr>
        <w:t>Vascular occlusion</w:t>
      </w:r>
    </w:p>
    <w:p w14:paraId="0EB6C7DE" w14:textId="6859172F" w:rsidR="00CE3D63" w:rsidRPr="00D10ED2" w:rsidRDefault="00CE3D63" w:rsidP="00CE3D63">
      <w:pPr>
        <w:pStyle w:val="List3"/>
        <w:tabs>
          <w:tab w:val="clear" w:pos="2016"/>
        </w:tabs>
        <w:spacing w:before="0" w:after="0"/>
        <w:ind w:left="0" w:firstLine="0"/>
        <w:rPr>
          <w:rFonts w:ascii="Arial" w:hAnsi="Arial" w:cs="Arial"/>
          <w:sz w:val="22"/>
          <w:szCs w:val="22"/>
        </w:rPr>
      </w:pPr>
      <w:r w:rsidRPr="00D10ED2">
        <w:rPr>
          <w:rFonts w:ascii="Arial" w:hAnsi="Arial" w:cs="Arial"/>
          <w:sz w:val="22"/>
          <w:szCs w:val="22"/>
        </w:rPr>
        <w:t xml:space="preserve">In </w:t>
      </w:r>
      <w:r w:rsidR="00000B54">
        <w:rPr>
          <w:rFonts w:ascii="Arial" w:hAnsi="Arial" w:cs="Arial"/>
          <w:sz w:val="22"/>
          <w:szCs w:val="22"/>
        </w:rPr>
        <w:t xml:space="preserve">a </w:t>
      </w:r>
      <w:r w:rsidRPr="00D10ED2">
        <w:rPr>
          <w:rFonts w:ascii="Arial" w:hAnsi="Arial" w:cs="Arial"/>
          <w:sz w:val="22"/>
          <w:szCs w:val="22"/>
        </w:rPr>
        <w:t xml:space="preserve">patient suspected of developing </w:t>
      </w:r>
      <w:r w:rsidR="00000B54">
        <w:rPr>
          <w:rFonts w:ascii="Arial" w:hAnsi="Arial" w:cs="Arial"/>
          <w:sz w:val="22"/>
          <w:szCs w:val="22"/>
        </w:rPr>
        <w:t xml:space="preserve">an </w:t>
      </w:r>
      <w:r w:rsidR="00DC5FD6">
        <w:rPr>
          <w:rFonts w:ascii="Arial" w:hAnsi="Arial" w:cs="Arial"/>
          <w:sz w:val="22"/>
          <w:szCs w:val="22"/>
        </w:rPr>
        <w:t>arterial or venous occlusive</w:t>
      </w:r>
      <w:r w:rsidR="00000B54">
        <w:rPr>
          <w:rFonts w:ascii="Arial" w:hAnsi="Arial" w:cs="Arial"/>
          <w:sz w:val="22"/>
          <w:szCs w:val="22"/>
        </w:rPr>
        <w:t xml:space="preserve"> event</w:t>
      </w:r>
      <w:r w:rsidRPr="00D10ED2">
        <w:rPr>
          <w:rFonts w:ascii="Arial" w:hAnsi="Arial" w:cs="Arial"/>
          <w:sz w:val="22"/>
          <w:szCs w:val="22"/>
        </w:rPr>
        <w:t xml:space="preserve">, </w:t>
      </w:r>
      <w:r w:rsidR="0061703C" w:rsidRPr="00D10ED2">
        <w:rPr>
          <w:rFonts w:ascii="Arial" w:hAnsi="Arial" w:cs="Arial"/>
          <w:sz w:val="22"/>
          <w:szCs w:val="22"/>
        </w:rPr>
        <w:t>ICLUSIG</w:t>
      </w:r>
      <w:r w:rsidRPr="00D10ED2">
        <w:rPr>
          <w:rFonts w:ascii="Arial" w:hAnsi="Arial" w:cs="Arial"/>
          <w:sz w:val="22"/>
          <w:szCs w:val="22"/>
        </w:rPr>
        <w:t xml:space="preserve"> should be immediately interrupted. A benefit-risk consideration should guide a decision to restart </w:t>
      </w:r>
      <w:r w:rsidR="0061703C" w:rsidRPr="00D10ED2">
        <w:rPr>
          <w:rFonts w:ascii="Arial" w:hAnsi="Arial" w:cs="Arial"/>
          <w:sz w:val="22"/>
          <w:szCs w:val="22"/>
        </w:rPr>
        <w:t>ICLUSIG</w:t>
      </w:r>
      <w:r w:rsidRPr="00D10ED2">
        <w:rPr>
          <w:rFonts w:ascii="Arial" w:hAnsi="Arial" w:cs="Arial"/>
          <w:sz w:val="22"/>
          <w:szCs w:val="22"/>
        </w:rPr>
        <w:t xml:space="preserve"> therapy (see </w:t>
      </w:r>
      <w:r w:rsidR="0066441C">
        <w:rPr>
          <w:rFonts w:ascii="Arial" w:hAnsi="Arial" w:cs="Arial"/>
          <w:b/>
          <w:sz w:val="22"/>
          <w:szCs w:val="22"/>
        </w:rPr>
        <w:t>Precautions</w:t>
      </w:r>
      <w:r w:rsidRPr="00D10ED2">
        <w:rPr>
          <w:rFonts w:ascii="Arial" w:hAnsi="Arial" w:cs="Arial"/>
          <w:sz w:val="22"/>
          <w:szCs w:val="22"/>
        </w:rPr>
        <w:t>)</w:t>
      </w:r>
      <w:r w:rsidR="00000B54">
        <w:rPr>
          <w:rFonts w:ascii="Arial" w:hAnsi="Arial" w:cs="Arial"/>
          <w:sz w:val="22"/>
          <w:szCs w:val="22"/>
        </w:rPr>
        <w:t xml:space="preserve"> after the event is resolved.</w:t>
      </w:r>
    </w:p>
    <w:p w14:paraId="151E5B07" w14:textId="77777777" w:rsidR="00CE3D63" w:rsidRPr="00D10ED2" w:rsidRDefault="00CE3D63" w:rsidP="00CE3D63">
      <w:pPr>
        <w:pStyle w:val="List3"/>
        <w:tabs>
          <w:tab w:val="clear" w:pos="2016"/>
        </w:tabs>
        <w:spacing w:before="0" w:after="0"/>
        <w:ind w:left="0" w:firstLine="0"/>
        <w:rPr>
          <w:rFonts w:ascii="Arial" w:hAnsi="Arial" w:cs="Arial"/>
          <w:sz w:val="22"/>
          <w:szCs w:val="22"/>
        </w:rPr>
      </w:pPr>
    </w:p>
    <w:p w14:paraId="4896EB0B" w14:textId="4ED23D59" w:rsidR="00CE3D63" w:rsidRPr="00D10ED2" w:rsidRDefault="00CE3D63" w:rsidP="00CE3D63">
      <w:pPr>
        <w:pStyle w:val="List3"/>
        <w:tabs>
          <w:tab w:val="clear" w:pos="2016"/>
        </w:tabs>
        <w:spacing w:before="0" w:after="0"/>
        <w:ind w:left="0" w:firstLine="0"/>
        <w:rPr>
          <w:rFonts w:ascii="Arial" w:hAnsi="Arial" w:cs="Arial"/>
          <w:sz w:val="22"/>
          <w:szCs w:val="22"/>
        </w:rPr>
      </w:pPr>
      <w:r w:rsidRPr="00D10ED2">
        <w:rPr>
          <w:rFonts w:ascii="Arial" w:hAnsi="Arial" w:cs="Arial"/>
          <w:sz w:val="22"/>
          <w:szCs w:val="22"/>
        </w:rPr>
        <w:t xml:space="preserve">Hypertension may contribute to risk of arterial thrombotic events.  </w:t>
      </w:r>
      <w:r w:rsidR="0061703C" w:rsidRPr="00D10ED2">
        <w:rPr>
          <w:rFonts w:ascii="Arial" w:hAnsi="Arial" w:cs="Arial"/>
          <w:sz w:val="22"/>
          <w:szCs w:val="22"/>
        </w:rPr>
        <w:t>ICLUSIG</w:t>
      </w:r>
      <w:r w:rsidRPr="00D10ED2">
        <w:rPr>
          <w:rFonts w:ascii="Arial" w:hAnsi="Arial" w:cs="Arial"/>
          <w:sz w:val="22"/>
          <w:szCs w:val="22"/>
        </w:rPr>
        <w:t xml:space="preserve"> treatment should be temporarily interrupted if hypertension is not medically controlled.</w:t>
      </w:r>
    </w:p>
    <w:p w14:paraId="60C3D41E" w14:textId="77777777" w:rsidR="00CE3D63" w:rsidRPr="00D10ED2" w:rsidRDefault="00CE3D63" w:rsidP="00CE3D63">
      <w:pPr>
        <w:pStyle w:val="List3"/>
        <w:tabs>
          <w:tab w:val="clear" w:pos="2016"/>
        </w:tabs>
        <w:spacing w:before="0" w:after="0"/>
        <w:ind w:left="0" w:firstLine="0"/>
        <w:rPr>
          <w:rFonts w:ascii="Arial" w:hAnsi="Arial" w:cs="Arial"/>
          <w:sz w:val="22"/>
          <w:szCs w:val="22"/>
        </w:rPr>
      </w:pPr>
    </w:p>
    <w:p w14:paraId="3E1807E3" w14:textId="383F390C" w:rsidR="00CE3D63" w:rsidRPr="00745BC9" w:rsidRDefault="00CE3D63" w:rsidP="006A15A5">
      <w:pPr>
        <w:pStyle w:val="List3"/>
        <w:keepNext/>
        <w:keepLines/>
        <w:tabs>
          <w:tab w:val="clear" w:pos="2016"/>
        </w:tabs>
        <w:spacing w:before="0" w:after="0"/>
        <w:ind w:left="0" w:firstLine="0"/>
        <w:rPr>
          <w:rFonts w:ascii="Arial" w:hAnsi="Arial" w:cs="Arial"/>
          <w:i/>
          <w:sz w:val="22"/>
          <w:szCs w:val="22"/>
          <w:u w:val="single"/>
        </w:rPr>
      </w:pPr>
      <w:r w:rsidRPr="00745BC9">
        <w:rPr>
          <w:rFonts w:ascii="Arial" w:hAnsi="Arial" w:cs="Arial"/>
          <w:i/>
          <w:sz w:val="22"/>
          <w:szCs w:val="22"/>
          <w:u w:val="single"/>
        </w:rPr>
        <w:t>Pancreatitis</w:t>
      </w:r>
      <w:r w:rsidR="00762639">
        <w:rPr>
          <w:rFonts w:ascii="Arial" w:hAnsi="Arial" w:cs="Arial"/>
          <w:i/>
          <w:sz w:val="22"/>
          <w:szCs w:val="22"/>
          <w:u w:val="single"/>
        </w:rPr>
        <w:t xml:space="preserve"> and</w:t>
      </w:r>
      <w:r w:rsidR="00714E68">
        <w:rPr>
          <w:rFonts w:ascii="Arial" w:hAnsi="Arial" w:cs="Arial"/>
          <w:i/>
          <w:sz w:val="22"/>
          <w:szCs w:val="22"/>
          <w:u w:val="single"/>
        </w:rPr>
        <w:t>/or elevated</w:t>
      </w:r>
      <w:r w:rsidR="00762639">
        <w:rPr>
          <w:rFonts w:ascii="Arial" w:hAnsi="Arial" w:cs="Arial"/>
          <w:i/>
          <w:sz w:val="22"/>
          <w:szCs w:val="22"/>
          <w:u w:val="single"/>
        </w:rPr>
        <w:t xml:space="preserve"> serum lipase</w:t>
      </w:r>
    </w:p>
    <w:p w14:paraId="75E2E96C" w14:textId="3AF37598" w:rsidR="008E0092" w:rsidRPr="00D10ED2" w:rsidRDefault="008E0092" w:rsidP="006A15A5">
      <w:pPr>
        <w:keepNext/>
        <w:keepLines/>
        <w:rPr>
          <w:rFonts w:ascii="Arial" w:hAnsi="Arial" w:cs="Arial"/>
          <w:sz w:val="22"/>
          <w:szCs w:val="22"/>
        </w:rPr>
      </w:pPr>
      <w:r w:rsidRPr="00D10ED2">
        <w:rPr>
          <w:rFonts w:ascii="Arial" w:hAnsi="Arial" w:cs="Arial"/>
          <w:sz w:val="22"/>
          <w:szCs w:val="22"/>
        </w:rPr>
        <w:t>Recommended modifications for pancreatic adverse rea</w:t>
      </w:r>
      <w:r w:rsidR="00FC3569" w:rsidRPr="00D10ED2">
        <w:rPr>
          <w:rFonts w:ascii="Arial" w:hAnsi="Arial" w:cs="Arial"/>
          <w:sz w:val="22"/>
          <w:szCs w:val="22"/>
        </w:rPr>
        <w:t xml:space="preserve">ctions are </w:t>
      </w:r>
      <w:proofErr w:type="spellStart"/>
      <w:r w:rsidR="00FC3569" w:rsidRPr="00D10ED2">
        <w:rPr>
          <w:rFonts w:ascii="Arial" w:hAnsi="Arial" w:cs="Arial"/>
          <w:sz w:val="22"/>
          <w:szCs w:val="22"/>
        </w:rPr>
        <w:t>summari</w:t>
      </w:r>
      <w:r w:rsidR="008E54F0" w:rsidRPr="00D10ED2">
        <w:rPr>
          <w:rFonts w:ascii="Arial" w:hAnsi="Arial" w:cs="Arial"/>
          <w:sz w:val="22"/>
          <w:szCs w:val="22"/>
        </w:rPr>
        <w:t>s</w:t>
      </w:r>
      <w:r w:rsidR="00FC3569" w:rsidRPr="00D10ED2">
        <w:rPr>
          <w:rFonts w:ascii="Arial" w:hAnsi="Arial" w:cs="Arial"/>
          <w:sz w:val="22"/>
          <w:szCs w:val="22"/>
        </w:rPr>
        <w:t>ed</w:t>
      </w:r>
      <w:proofErr w:type="spellEnd"/>
      <w:r w:rsidR="00FC3569" w:rsidRPr="00D10ED2">
        <w:rPr>
          <w:rFonts w:ascii="Arial" w:hAnsi="Arial" w:cs="Arial"/>
          <w:sz w:val="22"/>
          <w:szCs w:val="22"/>
        </w:rPr>
        <w:t xml:space="preserve"> in Table </w:t>
      </w:r>
      <w:r w:rsidR="008E54F0" w:rsidRPr="00D10ED2">
        <w:rPr>
          <w:rFonts w:ascii="Arial" w:hAnsi="Arial" w:cs="Arial"/>
          <w:sz w:val="22"/>
          <w:szCs w:val="22"/>
        </w:rPr>
        <w:t>7</w:t>
      </w:r>
      <w:r w:rsidRPr="00D10ED2">
        <w:rPr>
          <w:rFonts w:ascii="Arial" w:hAnsi="Arial" w:cs="Arial"/>
          <w:sz w:val="22"/>
          <w:szCs w:val="22"/>
        </w:rPr>
        <w:t>.</w:t>
      </w:r>
    </w:p>
    <w:p w14:paraId="337B5A0F" w14:textId="77777777" w:rsidR="00FC3569" w:rsidRPr="00D10ED2" w:rsidRDefault="00FC3569" w:rsidP="008E0092">
      <w:pPr>
        <w:rPr>
          <w:rFonts w:ascii="Arial" w:hAnsi="Arial" w:cs="Arial"/>
          <w:sz w:val="22"/>
          <w:szCs w:val="22"/>
        </w:rPr>
      </w:pPr>
    </w:p>
    <w:p w14:paraId="1E3AADD8" w14:textId="7ED29380" w:rsidR="008E0092" w:rsidRPr="00D10ED2" w:rsidRDefault="00887562" w:rsidP="00EC45EA">
      <w:pPr>
        <w:pStyle w:val="Table"/>
        <w:keepNext/>
        <w:keepLines/>
        <w:pageBreakBefore/>
        <w:tabs>
          <w:tab w:val="clear" w:pos="1008"/>
        </w:tabs>
        <w:spacing w:after="0"/>
        <w:ind w:left="1138" w:hanging="1138"/>
        <w:jc w:val="left"/>
        <w:rPr>
          <w:rFonts w:ascii="Arial" w:hAnsi="Arial" w:cs="Arial"/>
          <w:sz w:val="22"/>
          <w:szCs w:val="22"/>
        </w:rPr>
      </w:pPr>
      <w:r w:rsidRPr="00D10ED2">
        <w:rPr>
          <w:rFonts w:ascii="Arial" w:hAnsi="Arial" w:cs="Arial"/>
          <w:sz w:val="22"/>
          <w:szCs w:val="22"/>
        </w:rPr>
        <w:lastRenderedPageBreak/>
        <w:t xml:space="preserve">Table </w:t>
      </w:r>
      <w:r w:rsidR="00863D20" w:rsidRPr="00D10ED2">
        <w:rPr>
          <w:rFonts w:ascii="Arial" w:hAnsi="Arial" w:cs="Arial"/>
          <w:sz w:val="22"/>
          <w:szCs w:val="22"/>
        </w:rPr>
        <w:t>7</w:t>
      </w:r>
      <w:r w:rsidR="008E0092" w:rsidRPr="00D10ED2">
        <w:rPr>
          <w:rFonts w:ascii="Arial" w:hAnsi="Arial" w:cs="Arial"/>
          <w:sz w:val="22"/>
          <w:szCs w:val="22"/>
        </w:rPr>
        <w:tab/>
        <w:t>Dose modifications for pancreatitis and elevation of lipase/amylase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5432"/>
      </w:tblGrid>
      <w:tr w:rsidR="008E0092" w:rsidRPr="00D10ED2" w14:paraId="51FBE45C" w14:textId="77777777" w:rsidTr="008E0092">
        <w:tc>
          <w:tcPr>
            <w:tcW w:w="1811" w:type="pct"/>
            <w:vAlign w:val="center"/>
          </w:tcPr>
          <w:p w14:paraId="4C2BFA61"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Asymptomatic Grade 2 pancreatitis and/or elevation of lipase/amylase</w:t>
            </w:r>
          </w:p>
        </w:tc>
        <w:tc>
          <w:tcPr>
            <w:tcW w:w="3189" w:type="pct"/>
            <w:vAlign w:val="center"/>
          </w:tcPr>
          <w:p w14:paraId="4E313CF2" w14:textId="3902BF8B" w:rsidR="008E0092" w:rsidRPr="00D10ED2" w:rsidRDefault="008E0092" w:rsidP="008E0092">
            <w:pPr>
              <w:pStyle w:val="TableText10"/>
              <w:rPr>
                <w:rFonts w:ascii="Arial" w:hAnsi="Arial" w:cs="Arial"/>
                <w:sz w:val="22"/>
                <w:szCs w:val="22"/>
              </w:rPr>
            </w:pPr>
            <w:r w:rsidRPr="00D10ED2">
              <w:rPr>
                <w:rFonts w:ascii="Arial" w:hAnsi="Arial" w:cs="Arial"/>
                <w:sz w:val="22"/>
                <w:szCs w:val="22"/>
              </w:rPr>
              <w:t xml:space="preserve">Continue </w:t>
            </w:r>
            <w:r w:rsidR="0011623F" w:rsidRPr="00D10ED2">
              <w:rPr>
                <w:rFonts w:ascii="Arial" w:hAnsi="Arial" w:cs="Arial"/>
                <w:sz w:val="22"/>
                <w:szCs w:val="22"/>
              </w:rPr>
              <w:t>ICLUSIG</w:t>
            </w:r>
            <w:r w:rsidRPr="00D10ED2">
              <w:rPr>
                <w:rFonts w:ascii="Arial" w:hAnsi="Arial" w:cs="Arial"/>
                <w:sz w:val="22"/>
                <w:szCs w:val="22"/>
              </w:rPr>
              <w:t xml:space="preserve"> at the same dose</w:t>
            </w:r>
          </w:p>
        </w:tc>
      </w:tr>
      <w:tr w:rsidR="008E0092" w:rsidRPr="00D10ED2" w14:paraId="53ABFD5C" w14:textId="77777777" w:rsidTr="008E0092">
        <w:tc>
          <w:tcPr>
            <w:tcW w:w="1811" w:type="pct"/>
            <w:vAlign w:val="center"/>
          </w:tcPr>
          <w:p w14:paraId="47746C19"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Grade 3 or 4 asymptomatic elevation of lipase/amylase (&gt; 2.0 x IULN*) only</w:t>
            </w:r>
          </w:p>
        </w:tc>
        <w:tc>
          <w:tcPr>
            <w:tcW w:w="3189" w:type="pct"/>
            <w:vAlign w:val="center"/>
          </w:tcPr>
          <w:p w14:paraId="5863CA48"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Occurrence at 45 mg:</w:t>
            </w:r>
          </w:p>
          <w:p w14:paraId="075405C6" w14:textId="458F81AD" w:rsidR="008E0092" w:rsidRPr="00D10ED2" w:rsidRDefault="008E0092" w:rsidP="008E0092">
            <w:pPr>
              <w:pStyle w:val="TableText10"/>
              <w:keepNext/>
              <w:keepLines/>
              <w:numPr>
                <w:ilvl w:val="0"/>
                <w:numId w:val="2"/>
              </w:numPr>
              <w:ind w:left="213" w:hanging="206"/>
              <w:rPr>
                <w:rFonts w:ascii="Arial" w:hAnsi="Arial" w:cs="Arial"/>
                <w:sz w:val="22"/>
                <w:szCs w:val="22"/>
                <w:lang w:val="en-GB"/>
              </w:rPr>
            </w:pPr>
            <w:r w:rsidRPr="00D10ED2">
              <w:rPr>
                <w:rFonts w:ascii="Arial" w:hAnsi="Arial" w:cs="Arial"/>
                <w:sz w:val="22"/>
                <w:szCs w:val="22"/>
                <w:lang w:val="en-GB"/>
              </w:rPr>
              <w:t xml:space="preserve">Withhold </w:t>
            </w:r>
            <w:r w:rsidR="0011623F" w:rsidRPr="00D10ED2">
              <w:rPr>
                <w:rFonts w:ascii="Arial" w:hAnsi="Arial" w:cs="Arial"/>
                <w:sz w:val="22"/>
                <w:szCs w:val="22"/>
                <w:lang w:val="en-GB"/>
              </w:rPr>
              <w:t>ICLUSIG</w:t>
            </w:r>
            <w:r w:rsidRPr="00D10ED2">
              <w:rPr>
                <w:rFonts w:ascii="Arial" w:hAnsi="Arial" w:cs="Arial"/>
                <w:sz w:val="22"/>
                <w:szCs w:val="22"/>
                <w:lang w:val="en-GB"/>
              </w:rPr>
              <w:t xml:space="preserve"> and resume at 30 mg after recovery to </w:t>
            </w:r>
            <w:r w:rsidRPr="00D10ED2">
              <w:rPr>
                <w:rFonts w:ascii="Arial" w:hAnsi="Arial" w:cs="Arial"/>
                <w:szCs w:val="20"/>
              </w:rPr>
              <w:t>≤</w:t>
            </w:r>
            <w:r w:rsidRPr="00D10ED2">
              <w:rPr>
                <w:rFonts w:ascii="Arial" w:hAnsi="Arial" w:cs="Arial"/>
                <w:sz w:val="22"/>
                <w:szCs w:val="22"/>
                <w:lang w:val="en-GB"/>
              </w:rPr>
              <w:t> Grade 1 (</w:t>
            </w:r>
            <w:r w:rsidR="00523101" w:rsidRPr="00D10ED2">
              <w:rPr>
                <w:rFonts w:ascii="Arial" w:eastAsia="MS Gothic" w:hAnsi="Arial" w:cs="Arial"/>
                <w:color w:val="000000"/>
                <w:sz w:val="22"/>
                <w:szCs w:val="22"/>
              </w:rPr>
              <w:t>≤</w:t>
            </w:r>
            <w:r w:rsidRPr="00D10ED2">
              <w:rPr>
                <w:rFonts w:ascii="Arial" w:hAnsi="Arial" w:cs="Arial"/>
                <w:sz w:val="22"/>
                <w:szCs w:val="22"/>
                <w:lang w:val="en-GB"/>
              </w:rPr>
              <w:t xml:space="preserve"> 1.5 x IULN) </w:t>
            </w:r>
          </w:p>
          <w:p w14:paraId="3D6E39B2"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 xml:space="preserve">Recurrence at 30 mg: </w:t>
            </w:r>
          </w:p>
          <w:p w14:paraId="48A8476B" w14:textId="2D6EAD0E" w:rsidR="008E0092" w:rsidRPr="00D10ED2" w:rsidRDefault="008E0092" w:rsidP="008E0092">
            <w:pPr>
              <w:pStyle w:val="TableText10"/>
              <w:keepNext/>
              <w:keepLines/>
              <w:numPr>
                <w:ilvl w:val="0"/>
                <w:numId w:val="2"/>
              </w:numPr>
              <w:ind w:left="213" w:hanging="206"/>
              <w:rPr>
                <w:rFonts w:ascii="Arial" w:hAnsi="Arial" w:cs="Arial"/>
                <w:sz w:val="22"/>
                <w:szCs w:val="22"/>
                <w:lang w:val="en-GB"/>
              </w:rPr>
            </w:pPr>
            <w:r w:rsidRPr="00D10ED2">
              <w:rPr>
                <w:rFonts w:ascii="Arial" w:hAnsi="Arial" w:cs="Arial"/>
                <w:sz w:val="22"/>
                <w:szCs w:val="22"/>
                <w:lang w:val="en-GB"/>
              </w:rPr>
              <w:t xml:space="preserve">Withhold </w:t>
            </w:r>
            <w:r w:rsidR="0011623F" w:rsidRPr="00D10ED2">
              <w:rPr>
                <w:rFonts w:ascii="Arial" w:hAnsi="Arial" w:cs="Arial"/>
                <w:sz w:val="22"/>
                <w:szCs w:val="22"/>
                <w:lang w:val="en-GB"/>
              </w:rPr>
              <w:t>ICLUSIG</w:t>
            </w:r>
            <w:r w:rsidRPr="00D10ED2">
              <w:rPr>
                <w:rFonts w:ascii="Arial" w:hAnsi="Arial" w:cs="Arial"/>
                <w:sz w:val="22"/>
                <w:szCs w:val="22"/>
                <w:lang w:val="en-GB"/>
              </w:rPr>
              <w:t xml:space="preserve"> and resume at 15 mg after recovery to </w:t>
            </w:r>
            <w:r w:rsidRPr="00D10ED2">
              <w:rPr>
                <w:rFonts w:ascii="Arial" w:hAnsi="Arial" w:cs="Arial"/>
                <w:szCs w:val="20"/>
              </w:rPr>
              <w:t>≤</w:t>
            </w:r>
            <w:r w:rsidRPr="00D10ED2">
              <w:rPr>
                <w:rFonts w:ascii="Arial" w:hAnsi="Arial" w:cs="Arial"/>
                <w:sz w:val="22"/>
                <w:szCs w:val="22"/>
                <w:lang w:val="en-GB"/>
              </w:rPr>
              <w:t> Grade 1 (</w:t>
            </w:r>
            <w:r w:rsidR="00523101" w:rsidRPr="00D10ED2">
              <w:rPr>
                <w:rFonts w:ascii="Arial" w:eastAsia="MS Gothic" w:hAnsi="Arial" w:cs="Arial"/>
                <w:color w:val="000000"/>
                <w:sz w:val="22"/>
                <w:szCs w:val="22"/>
              </w:rPr>
              <w:t>≤</w:t>
            </w:r>
            <w:r w:rsidRPr="00D10ED2">
              <w:rPr>
                <w:rFonts w:ascii="Arial" w:hAnsi="Arial" w:cs="Arial"/>
                <w:sz w:val="22"/>
                <w:szCs w:val="22"/>
                <w:lang w:val="en-GB"/>
              </w:rPr>
              <w:t xml:space="preserve"> 1.5 x IULN)</w:t>
            </w:r>
          </w:p>
          <w:p w14:paraId="7AC8A0F8"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Recurrence at 15 mg:</w:t>
            </w:r>
          </w:p>
          <w:p w14:paraId="7DD446C5" w14:textId="397B1682" w:rsidR="008E0092" w:rsidRPr="00D10ED2" w:rsidRDefault="008E0092" w:rsidP="008E0092">
            <w:pPr>
              <w:pStyle w:val="TableText10"/>
              <w:keepNext/>
              <w:keepLines/>
              <w:numPr>
                <w:ilvl w:val="0"/>
                <w:numId w:val="2"/>
              </w:numPr>
              <w:ind w:left="213" w:hanging="206"/>
              <w:rPr>
                <w:rFonts w:ascii="Arial" w:hAnsi="Arial" w:cs="Arial"/>
                <w:sz w:val="22"/>
                <w:szCs w:val="22"/>
                <w:lang w:val="en-GB"/>
              </w:rPr>
            </w:pPr>
            <w:r w:rsidRPr="00D10ED2">
              <w:rPr>
                <w:rFonts w:ascii="Arial" w:hAnsi="Arial" w:cs="Arial"/>
                <w:sz w:val="22"/>
                <w:szCs w:val="22"/>
                <w:lang w:val="en-GB"/>
              </w:rPr>
              <w:t xml:space="preserve">Consider discontinuing </w:t>
            </w:r>
            <w:r w:rsidR="0011623F" w:rsidRPr="00D10ED2">
              <w:rPr>
                <w:rFonts w:ascii="Arial" w:hAnsi="Arial" w:cs="Arial"/>
                <w:sz w:val="22"/>
                <w:szCs w:val="22"/>
                <w:lang w:val="en-GB"/>
              </w:rPr>
              <w:t>ICLUSIG</w:t>
            </w:r>
          </w:p>
        </w:tc>
      </w:tr>
      <w:tr w:rsidR="008E0092" w:rsidRPr="00D10ED2" w14:paraId="36DCDE5E" w14:textId="77777777" w:rsidTr="008E0092">
        <w:tc>
          <w:tcPr>
            <w:tcW w:w="1811" w:type="pct"/>
            <w:vAlign w:val="center"/>
          </w:tcPr>
          <w:p w14:paraId="08238DC3"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 xml:space="preserve">Grade 3 pancreatitis </w:t>
            </w:r>
          </w:p>
        </w:tc>
        <w:tc>
          <w:tcPr>
            <w:tcW w:w="3189" w:type="pct"/>
            <w:vAlign w:val="center"/>
          </w:tcPr>
          <w:p w14:paraId="5702356D"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Occurrence at 45 mg:</w:t>
            </w:r>
          </w:p>
          <w:p w14:paraId="0AC86A4C" w14:textId="421B38FE" w:rsidR="008E0092" w:rsidRPr="00D10ED2" w:rsidRDefault="008E0092" w:rsidP="008E0092">
            <w:pPr>
              <w:pStyle w:val="TableText10"/>
              <w:keepNext/>
              <w:keepLines/>
              <w:numPr>
                <w:ilvl w:val="0"/>
                <w:numId w:val="2"/>
              </w:numPr>
              <w:ind w:left="213" w:hanging="206"/>
              <w:rPr>
                <w:rFonts w:ascii="Arial" w:hAnsi="Arial" w:cs="Arial"/>
                <w:sz w:val="22"/>
                <w:szCs w:val="22"/>
                <w:lang w:val="en-GB"/>
              </w:rPr>
            </w:pPr>
            <w:r w:rsidRPr="00D10ED2">
              <w:rPr>
                <w:rFonts w:ascii="Arial" w:hAnsi="Arial" w:cs="Arial"/>
                <w:sz w:val="22"/>
                <w:szCs w:val="22"/>
                <w:lang w:val="en-GB"/>
              </w:rPr>
              <w:t xml:space="preserve">Withhold </w:t>
            </w:r>
            <w:r w:rsidR="0011623F" w:rsidRPr="00D10ED2">
              <w:rPr>
                <w:rFonts w:ascii="Arial" w:hAnsi="Arial" w:cs="Arial"/>
                <w:sz w:val="22"/>
                <w:szCs w:val="22"/>
                <w:lang w:val="en-GB"/>
              </w:rPr>
              <w:t>ICLUSIG</w:t>
            </w:r>
            <w:r w:rsidRPr="00D10ED2">
              <w:rPr>
                <w:rFonts w:ascii="Arial" w:hAnsi="Arial" w:cs="Arial"/>
                <w:sz w:val="22"/>
                <w:szCs w:val="22"/>
                <w:lang w:val="en-GB"/>
              </w:rPr>
              <w:t xml:space="preserve"> and resume at 30 mg after recovery to &lt; Grade 2</w:t>
            </w:r>
          </w:p>
          <w:p w14:paraId="45A294F7"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Recurrence at 30</w:t>
            </w:r>
            <w:r w:rsidRPr="00D10ED2">
              <w:rPr>
                <w:rFonts w:ascii="Arial" w:hAnsi="Arial" w:cs="Arial"/>
              </w:rPr>
              <w:t> </w:t>
            </w:r>
            <w:r w:rsidRPr="00D10ED2">
              <w:rPr>
                <w:rFonts w:ascii="Arial" w:hAnsi="Arial" w:cs="Arial"/>
                <w:sz w:val="22"/>
                <w:szCs w:val="22"/>
              </w:rPr>
              <w:t>mg:</w:t>
            </w:r>
          </w:p>
          <w:p w14:paraId="093999C8" w14:textId="40E11C5F" w:rsidR="008E0092" w:rsidRPr="00D10ED2" w:rsidRDefault="008E0092" w:rsidP="008E0092">
            <w:pPr>
              <w:pStyle w:val="TableText10"/>
              <w:keepNext/>
              <w:keepLines/>
              <w:numPr>
                <w:ilvl w:val="0"/>
                <w:numId w:val="2"/>
              </w:numPr>
              <w:ind w:left="213" w:hanging="206"/>
              <w:rPr>
                <w:rFonts w:ascii="Arial" w:hAnsi="Arial" w:cs="Arial"/>
                <w:sz w:val="22"/>
                <w:szCs w:val="22"/>
                <w:lang w:val="en-GB"/>
              </w:rPr>
            </w:pPr>
            <w:r w:rsidRPr="00D10ED2">
              <w:rPr>
                <w:rFonts w:ascii="Arial" w:hAnsi="Arial" w:cs="Arial"/>
                <w:sz w:val="22"/>
                <w:szCs w:val="22"/>
                <w:lang w:val="en-GB"/>
              </w:rPr>
              <w:t xml:space="preserve">Withhold </w:t>
            </w:r>
            <w:r w:rsidR="0011623F" w:rsidRPr="00D10ED2">
              <w:rPr>
                <w:rFonts w:ascii="Arial" w:hAnsi="Arial" w:cs="Arial"/>
                <w:sz w:val="22"/>
                <w:szCs w:val="22"/>
                <w:lang w:val="en-GB"/>
              </w:rPr>
              <w:t>ICLUSIG</w:t>
            </w:r>
            <w:r w:rsidRPr="00D10ED2">
              <w:rPr>
                <w:rFonts w:ascii="Arial" w:hAnsi="Arial" w:cs="Arial"/>
                <w:sz w:val="22"/>
                <w:szCs w:val="22"/>
                <w:lang w:val="en-GB"/>
              </w:rPr>
              <w:t xml:space="preserve"> and resume at 15 mg after recovery to &lt; Grade 2</w:t>
            </w:r>
          </w:p>
          <w:p w14:paraId="01CD3D2A"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Recurrence at 15 mg:</w:t>
            </w:r>
          </w:p>
          <w:p w14:paraId="39B02DE1" w14:textId="296631DB" w:rsidR="008E0092" w:rsidRPr="00D10ED2" w:rsidRDefault="008E0092" w:rsidP="008E0092">
            <w:pPr>
              <w:pStyle w:val="TableText10"/>
              <w:keepNext/>
              <w:keepLines/>
              <w:numPr>
                <w:ilvl w:val="0"/>
                <w:numId w:val="2"/>
              </w:numPr>
              <w:ind w:left="213" w:hanging="206"/>
              <w:rPr>
                <w:rFonts w:ascii="Arial" w:hAnsi="Arial" w:cs="Arial"/>
                <w:sz w:val="22"/>
                <w:szCs w:val="22"/>
                <w:lang w:val="en-GB"/>
              </w:rPr>
            </w:pPr>
            <w:r w:rsidRPr="00D10ED2">
              <w:rPr>
                <w:rFonts w:ascii="Arial" w:hAnsi="Arial" w:cs="Arial"/>
                <w:sz w:val="22"/>
                <w:szCs w:val="22"/>
                <w:lang w:val="en-GB"/>
              </w:rPr>
              <w:t xml:space="preserve">Consider discontinuing </w:t>
            </w:r>
            <w:r w:rsidR="0011623F" w:rsidRPr="00D10ED2">
              <w:rPr>
                <w:rFonts w:ascii="Arial" w:hAnsi="Arial" w:cs="Arial"/>
                <w:sz w:val="22"/>
                <w:szCs w:val="22"/>
                <w:lang w:val="en-GB"/>
              </w:rPr>
              <w:t>ICLUSIG</w:t>
            </w:r>
          </w:p>
        </w:tc>
      </w:tr>
      <w:tr w:rsidR="008E0092" w:rsidRPr="00D10ED2" w14:paraId="6C975BDF" w14:textId="77777777" w:rsidTr="008E0092">
        <w:tc>
          <w:tcPr>
            <w:tcW w:w="1811" w:type="pct"/>
            <w:vAlign w:val="center"/>
          </w:tcPr>
          <w:p w14:paraId="524B8D85" w14:textId="77777777" w:rsidR="008E0092" w:rsidRPr="00D10ED2" w:rsidRDefault="008E0092" w:rsidP="008E0092">
            <w:pPr>
              <w:pStyle w:val="TableText10"/>
              <w:rPr>
                <w:rFonts w:ascii="Arial" w:hAnsi="Arial" w:cs="Arial"/>
                <w:sz w:val="22"/>
                <w:szCs w:val="22"/>
              </w:rPr>
            </w:pPr>
            <w:r w:rsidRPr="00D10ED2">
              <w:rPr>
                <w:rFonts w:ascii="Arial" w:hAnsi="Arial" w:cs="Arial"/>
                <w:sz w:val="22"/>
                <w:szCs w:val="22"/>
              </w:rPr>
              <w:t>Grade 4 pancreatitis</w:t>
            </w:r>
          </w:p>
        </w:tc>
        <w:tc>
          <w:tcPr>
            <w:tcW w:w="3189" w:type="pct"/>
            <w:vAlign w:val="center"/>
          </w:tcPr>
          <w:p w14:paraId="37810B32" w14:textId="50936045" w:rsidR="008E0092" w:rsidRPr="00D10ED2" w:rsidRDefault="008E0092" w:rsidP="008E0092">
            <w:pPr>
              <w:pStyle w:val="TableText10"/>
              <w:rPr>
                <w:rFonts w:ascii="Arial" w:hAnsi="Arial" w:cs="Arial"/>
                <w:sz w:val="22"/>
                <w:szCs w:val="22"/>
              </w:rPr>
            </w:pPr>
            <w:r w:rsidRPr="00D10ED2">
              <w:rPr>
                <w:rFonts w:ascii="Arial" w:hAnsi="Arial" w:cs="Arial"/>
                <w:sz w:val="22"/>
                <w:szCs w:val="22"/>
              </w:rPr>
              <w:t xml:space="preserve">Discontinue </w:t>
            </w:r>
            <w:r w:rsidR="0011623F" w:rsidRPr="00D10ED2">
              <w:rPr>
                <w:rFonts w:ascii="Arial" w:hAnsi="Arial" w:cs="Arial"/>
                <w:sz w:val="22"/>
                <w:szCs w:val="22"/>
              </w:rPr>
              <w:t>ICLUSIG</w:t>
            </w:r>
          </w:p>
        </w:tc>
      </w:tr>
      <w:tr w:rsidR="008E0092" w:rsidRPr="00D10ED2" w14:paraId="42837CA1" w14:textId="77777777" w:rsidTr="008E0092">
        <w:tc>
          <w:tcPr>
            <w:tcW w:w="5000" w:type="pct"/>
            <w:gridSpan w:val="2"/>
            <w:vAlign w:val="center"/>
          </w:tcPr>
          <w:p w14:paraId="05AC6AA2" w14:textId="77777777" w:rsidR="008E0092" w:rsidRPr="00D10ED2" w:rsidRDefault="008E0092" w:rsidP="008E0092">
            <w:pPr>
              <w:pStyle w:val="TableSource10"/>
              <w:spacing w:before="0" w:after="0"/>
              <w:rPr>
                <w:rFonts w:ascii="Arial" w:hAnsi="Arial" w:cs="Arial"/>
                <w:sz w:val="22"/>
                <w:szCs w:val="22"/>
              </w:rPr>
            </w:pPr>
            <w:r w:rsidRPr="00D10ED2">
              <w:rPr>
                <w:rFonts w:ascii="Arial" w:hAnsi="Arial" w:cs="Arial"/>
                <w:sz w:val="22"/>
                <w:szCs w:val="22"/>
              </w:rPr>
              <w:t>*IULN = institution upper limit of normal</w:t>
            </w:r>
          </w:p>
        </w:tc>
      </w:tr>
    </w:tbl>
    <w:p w14:paraId="4950F3AB" w14:textId="77777777" w:rsidR="008E0092" w:rsidRPr="00D10ED2" w:rsidRDefault="008E0092" w:rsidP="008E0092">
      <w:pPr>
        <w:rPr>
          <w:rFonts w:ascii="Arial" w:hAnsi="Arial" w:cs="Arial"/>
          <w:sz w:val="22"/>
          <w:szCs w:val="22"/>
        </w:rPr>
      </w:pPr>
    </w:p>
    <w:p w14:paraId="41A0D664" w14:textId="31A058E8" w:rsidR="008E0092" w:rsidRPr="00D10ED2" w:rsidRDefault="008E0092" w:rsidP="008E0092">
      <w:pPr>
        <w:rPr>
          <w:rFonts w:ascii="Arial" w:hAnsi="Arial" w:cs="Arial"/>
          <w:sz w:val="22"/>
          <w:szCs w:val="22"/>
        </w:rPr>
      </w:pPr>
      <w:r w:rsidRPr="00D10ED2">
        <w:rPr>
          <w:rFonts w:ascii="Arial" w:hAnsi="Arial" w:cs="Arial"/>
          <w:sz w:val="22"/>
          <w:szCs w:val="22"/>
        </w:rPr>
        <w:t xml:space="preserve">For patients whose adverse reactions are resolved, escalation of the dose back to </w:t>
      </w:r>
      <w:r w:rsidR="001E3DF6">
        <w:rPr>
          <w:rFonts w:ascii="Arial" w:hAnsi="Arial" w:cs="Arial"/>
          <w:sz w:val="22"/>
          <w:szCs w:val="22"/>
        </w:rPr>
        <w:t>the patient’s former dose</w:t>
      </w:r>
      <w:r w:rsidRPr="00D10ED2">
        <w:rPr>
          <w:rFonts w:ascii="Arial" w:hAnsi="Arial" w:cs="Arial"/>
          <w:sz w:val="22"/>
          <w:szCs w:val="22"/>
        </w:rPr>
        <w:t xml:space="preserve"> should be considered, if clinically appropriate.</w:t>
      </w:r>
    </w:p>
    <w:p w14:paraId="73A56D10" w14:textId="77777777" w:rsidR="008E0092" w:rsidRPr="00D10ED2" w:rsidRDefault="008E0092" w:rsidP="008E0092">
      <w:pPr>
        <w:rPr>
          <w:rFonts w:ascii="Arial" w:hAnsi="Arial" w:cs="Arial"/>
          <w:sz w:val="22"/>
          <w:szCs w:val="22"/>
        </w:rPr>
      </w:pPr>
    </w:p>
    <w:p w14:paraId="2C560011" w14:textId="77777777" w:rsidR="008E0092" w:rsidRPr="00D10ED2" w:rsidRDefault="00514926" w:rsidP="008E0092">
      <w:pPr>
        <w:rPr>
          <w:rFonts w:ascii="Arial" w:hAnsi="Arial" w:cs="Arial"/>
          <w:i/>
          <w:sz w:val="22"/>
          <w:szCs w:val="22"/>
          <w:u w:val="single"/>
        </w:rPr>
      </w:pPr>
      <w:r w:rsidRPr="00D10ED2">
        <w:rPr>
          <w:rFonts w:ascii="Arial" w:hAnsi="Arial" w:cs="Arial"/>
          <w:i/>
          <w:sz w:val="22"/>
          <w:szCs w:val="22"/>
          <w:u w:val="single"/>
        </w:rPr>
        <w:t xml:space="preserve">Patients with </w:t>
      </w:r>
      <w:r w:rsidR="008E0092" w:rsidRPr="00D10ED2">
        <w:rPr>
          <w:rFonts w:ascii="Arial" w:hAnsi="Arial" w:cs="Arial"/>
          <w:i/>
          <w:sz w:val="22"/>
          <w:szCs w:val="22"/>
          <w:u w:val="single"/>
        </w:rPr>
        <w:t>Hepatic impairment</w:t>
      </w:r>
    </w:p>
    <w:p w14:paraId="7A4D4C63" w14:textId="589EE63E" w:rsidR="008E0092" w:rsidRPr="00D10ED2" w:rsidRDefault="008E0092" w:rsidP="008E0092">
      <w:pPr>
        <w:rPr>
          <w:rFonts w:ascii="Arial" w:hAnsi="Arial" w:cs="Arial"/>
          <w:sz w:val="22"/>
          <w:szCs w:val="22"/>
        </w:rPr>
      </w:pPr>
      <w:r w:rsidRPr="00D10ED2">
        <w:rPr>
          <w:rFonts w:ascii="Arial" w:hAnsi="Arial" w:cs="Arial"/>
          <w:sz w:val="22"/>
          <w:szCs w:val="22"/>
        </w:rPr>
        <w:t xml:space="preserve">Caution is recommended when administering </w:t>
      </w:r>
      <w:r w:rsidR="0011623F" w:rsidRPr="00D10ED2">
        <w:rPr>
          <w:rFonts w:ascii="Arial" w:hAnsi="Arial" w:cs="Arial"/>
          <w:sz w:val="22"/>
          <w:szCs w:val="22"/>
        </w:rPr>
        <w:t>ICLUSIG</w:t>
      </w:r>
      <w:r w:rsidRPr="00D10ED2">
        <w:rPr>
          <w:rFonts w:ascii="Arial" w:hAnsi="Arial" w:cs="Arial"/>
          <w:sz w:val="22"/>
          <w:szCs w:val="22"/>
        </w:rPr>
        <w:t xml:space="preserve"> to patients with </w:t>
      </w:r>
      <w:r w:rsidR="008B0231" w:rsidRPr="00D10ED2">
        <w:rPr>
          <w:rFonts w:ascii="Arial" w:hAnsi="Arial" w:cs="Arial"/>
          <w:sz w:val="22"/>
          <w:szCs w:val="22"/>
        </w:rPr>
        <w:t>moderate to severe</w:t>
      </w:r>
      <w:r w:rsidRPr="00D10ED2">
        <w:rPr>
          <w:rFonts w:ascii="Arial" w:hAnsi="Arial" w:cs="Arial"/>
          <w:sz w:val="22"/>
          <w:szCs w:val="22"/>
        </w:rPr>
        <w:t xml:space="preserve"> hepatic impairment (see </w:t>
      </w:r>
      <w:r w:rsidR="00A744C8" w:rsidRPr="00745BC9">
        <w:rPr>
          <w:rFonts w:ascii="Arial" w:hAnsi="Arial" w:cs="Arial"/>
          <w:b/>
          <w:sz w:val="22"/>
          <w:szCs w:val="22"/>
        </w:rPr>
        <w:t>P</w:t>
      </w:r>
      <w:r w:rsidR="00F22F98" w:rsidRPr="00745BC9">
        <w:rPr>
          <w:rFonts w:ascii="Arial" w:hAnsi="Arial" w:cs="Arial"/>
          <w:b/>
          <w:sz w:val="22"/>
          <w:szCs w:val="22"/>
        </w:rPr>
        <w:t>recautions</w:t>
      </w:r>
      <w:r w:rsidRPr="00D10ED2">
        <w:rPr>
          <w:rFonts w:ascii="Arial" w:hAnsi="Arial" w:cs="Arial"/>
          <w:sz w:val="22"/>
          <w:szCs w:val="22"/>
        </w:rPr>
        <w:t>).</w:t>
      </w:r>
    </w:p>
    <w:p w14:paraId="0278655C" w14:textId="77777777" w:rsidR="008E0092" w:rsidRPr="00D10ED2" w:rsidRDefault="008E0092" w:rsidP="008E0092">
      <w:pPr>
        <w:rPr>
          <w:rFonts w:ascii="Arial" w:hAnsi="Arial" w:cs="Arial"/>
          <w:sz w:val="22"/>
          <w:szCs w:val="22"/>
        </w:rPr>
      </w:pPr>
    </w:p>
    <w:p w14:paraId="5FD52368" w14:textId="77777777" w:rsidR="008E0092" w:rsidRPr="00D10ED2" w:rsidRDefault="00514926" w:rsidP="008E0092">
      <w:pPr>
        <w:rPr>
          <w:rFonts w:ascii="Arial" w:hAnsi="Arial" w:cs="Arial"/>
          <w:i/>
          <w:sz w:val="22"/>
          <w:szCs w:val="22"/>
          <w:u w:val="single"/>
        </w:rPr>
      </w:pPr>
      <w:r w:rsidRPr="00D10ED2">
        <w:rPr>
          <w:rFonts w:ascii="Arial" w:hAnsi="Arial" w:cs="Arial"/>
          <w:i/>
          <w:sz w:val="22"/>
          <w:szCs w:val="22"/>
          <w:u w:val="single"/>
        </w:rPr>
        <w:t xml:space="preserve">Patients with </w:t>
      </w:r>
      <w:r w:rsidR="008E0092" w:rsidRPr="00D10ED2">
        <w:rPr>
          <w:rFonts w:ascii="Arial" w:hAnsi="Arial" w:cs="Arial"/>
          <w:i/>
          <w:sz w:val="22"/>
          <w:szCs w:val="22"/>
          <w:u w:val="single"/>
        </w:rPr>
        <w:t>Renal impairment</w:t>
      </w:r>
    </w:p>
    <w:p w14:paraId="0EBC3456" w14:textId="6F7F9871" w:rsidR="008E0092" w:rsidRPr="00D10ED2" w:rsidRDefault="0011623F" w:rsidP="008E0092">
      <w:pPr>
        <w:rPr>
          <w:rFonts w:ascii="Arial" w:hAnsi="Arial" w:cs="Arial"/>
          <w:sz w:val="22"/>
          <w:szCs w:val="22"/>
        </w:rPr>
      </w:pPr>
      <w:r w:rsidRPr="00D10ED2">
        <w:rPr>
          <w:rFonts w:ascii="Arial" w:hAnsi="Arial" w:cs="Arial"/>
          <w:sz w:val="22"/>
          <w:szCs w:val="22"/>
        </w:rPr>
        <w:t>ICLUSIG</w:t>
      </w:r>
      <w:r w:rsidR="008E0092" w:rsidRPr="00D10ED2">
        <w:rPr>
          <w:rFonts w:ascii="Arial" w:hAnsi="Arial" w:cs="Arial"/>
          <w:sz w:val="22"/>
          <w:szCs w:val="22"/>
        </w:rPr>
        <w:t xml:space="preserve"> has not been studied in patients with renal impairment.  </w:t>
      </w:r>
      <w:r w:rsidR="00D8406A">
        <w:rPr>
          <w:rFonts w:ascii="Arial" w:hAnsi="Arial" w:cs="Arial"/>
          <w:sz w:val="22"/>
          <w:szCs w:val="22"/>
        </w:rPr>
        <w:t>R</w:t>
      </w:r>
      <w:r w:rsidR="008B0231" w:rsidRPr="00D10ED2">
        <w:rPr>
          <w:rFonts w:ascii="Arial" w:hAnsi="Arial" w:cs="Arial"/>
          <w:sz w:val="22"/>
          <w:szCs w:val="22"/>
        </w:rPr>
        <w:t xml:space="preserve">enal excretion is not a major route of </w:t>
      </w:r>
      <w:proofErr w:type="spellStart"/>
      <w:r w:rsidR="008B0231" w:rsidRPr="00D10ED2">
        <w:rPr>
          <w:rFonts w:ascii="Arial" w:hAnsi="Arial" w:cs="Arial"/>
          <w:sz w:val="22"/>
          <w:szCs w:val="22"/>
        </w:rPr>
        <w:t>ponatinib</w:t>
      </w:r>
      <w:proofErr w:type="spellEnd"/>
      <w:r w:rsidR="008B0231" w:rsidRPr="00D10ED2">
        <w:rPr>
          <w:rFonts w:ascii="Arial" w:hAnsi="Arial" w:cs="Arial"/>
          <w:sz w:val="22"/>
          <w:szCs w:val="22"/>
        </w:rPr>
        <w:t xml:space="preserve"> elimination</w:t>
      </w:r>
      <w:r w:rsidR="001E3DF6">
        <w:rPr>
          <w:rFonts w:ascii="Arial" w:hAnsi="Arial" w:cs="Arial"/>
          <w:sz w:val="22"/>
          <w:szCs w:val="22"/>
        </w:rPr>
        <w:t>.  T</w:t>
      </w:r>
      <w:r w:rsidR="008B0231" w:rsidRPr="00D10ED2">
        <w:rPr>
          <w:rFonts w:ascii="Arial" w:hAnsi="Arial" w:cs="Arial"/>
          <w:sz w:val="22"/>
          <w:szCs w:val="22"/>
        </w:rPr>
        <w:t xml:space="preserve">he potential for moderate or severe renal impairment to affect renal elimination has not been determined. </w:t>
      </w:r>
    </w:p>
    <w:p w14:paraId="653092C5" w14:textId="77777777" w:rsidR="008E0092" w:rsidRPr="00D10ED2" w:rsidRDefault="008E0092" w:rsidP="008E0092">
      <w:pPr>
        <w:rPr>
          <w:rFonts w:ascii="Arial" w:hAnsi="Arial" w:cs="Arial"/>
          <w:sz w:val="22"/>
          <w:szCs w:val="22"/>
        </w:rPr>
      </w:pPr>
    </w:p>
    <w:p w14:paraId="0AC0CC37" w14:textId="216709DD" w:rsidR="00A744C8" w:rsidRPr="00D10ED2" w:rsidRDefault="00A744C8" w:rsidP="008E0092">
      <w:pPr>
        <w:rPr>
          <w:rFonts w:ascii="Arial" w:hAnsi="Arial" w:cs="Arial"/>
          <w:sz w:val="22"/>
          <w:szCs w:val="22"/>
        </w:rPr>
      </w:pPr>
      <w:r w:rsidRPr="00D10ED2">
        <w:rPr>
          <w:rFonts w:ascii="Arial" w:hAnsi="Arial" w:cs="Arial"/>
          <w:sz w:val="22"/>
          <w:szCs w:val="22"/>
          <w:u w:val="single"/>
        </w:rPr>
        <w:t>Missed Dose</w:t>
      </w:r>
    </w:p>
    <w:p w14:paraId="08F21963" w14:textId="4AC4A3FC" w:rsidR="00A744C8" w:rsidRPr="00D10ED2" w:rsidRDefault="00A744C8" w:rsidP="008E0092">
      <w:pPr>
        <w:rPr>
          <w:rFonts w:ascii="Arial" w:hAnsi="Arial" w:cs="Arial"/>
          <w:sz w:val="22"/>
          <w:szCs w:val="22"/>
        </w:rPr>
      </w:pPr>
      <w:r w:rsidRPr="00D10ED2">
        <w:rPr>
          <w:rFonts w:ascii="Arial" w:hAnsi="Arial" w:cs="Arial"/>
          <w:sz w:val="22"/>
          <w:szCs w:val="22"/>
        </w:rPr>
        <w:t>If a dose is missed, the patient should not take an additional dose.  In this case, the patient should take the usual dose at the next scheduled time.</w:t>
      </w:r>
    </w:p>
    <w:p w14:paraId="00F6945F" w14:textId="77777777" w:rsidR="00FC3569" w:rsidRPr="00D10ED2" w:rsidRDefault="00FC3569" w:rsidP="008E0092">
      <w:pPr>
        <w:rPr>
          <w:rFonts w:ascii="Arial" w:hAnsi="Arial" w:cs="Arial"/>
          <w:sz w:val="22"/>
          <w:szCs w:val="22"/>
          <w:u w:val="single"/>
        </w:rPr>
      </w:pPr>
    </w:p>
    <w:p w14:paraId="0EA6A1D2" w14:textId="77777777" w:rsidR="008E0092" w:rsidRPr="00D10ED2" w:rsidRDefault="008E0092" w:rsidP="00745BC9">
      <w:pPr>
        <w:keepNext/>
        <w:keepLines/>
        <w:rPr>
          <w:rFonts w:ascii="Arial" w:hAnsi="Arial" w:cs="Arial"/>
          <w:sz w:val="22"/>
          <w:szCs w:val="22"/>
          <w:u w:val="single"/>
        </w:rPr>
      </w:pPr>
      <w:r w:rsidRPr="00D10ED2">
        <w:rPr>
          <w:rFonts w:ascii="Arial" w:hAnsi="Arial" w:cs="Arial"/>
          <w:sz w:val="22"/>
          <w:szCs w:val="22"/>
          <w:u w:val="single"/>
        </w:rPr>
        <w:t>Method of administration</w:t>
      </w:r>
    </w:p>
    <w:p w14:paraId="299AB1F2" w14:textId="42FE40DF" w:rsidR="008E0092" w:rsidRPr="00D10ED2" w:rsidRDefault="008E0092" w:rsidP="00745BC9">
      <w:pPr>
        <w:keepNext/>
        <w:keepLines/>
        <w:rPr>
          <w:rFonts w:ascii="Arial" w:hAnsi="Arial" w:cs="Arial"/>
          <w:sz w:val="22"/>
          <w:szCs w:val="22"/>
        </w:rPr>
      </w:pPr>
      <w:r w:rsidRPr="00D10ED2">
        <w:rPr>
          <w:rFonts w:ascii="Arial" w:hAnsi="Arial" w:cs="Arial"/>
          <w:sz w:val="22"/>
          <w:szCs w:val="22"/>
        </w:rPr>
        <w:t xml:space="preserve">The tablets should be swallowed whole.  Patients should not crush or dissolve the tablets.  </w:t>
      </w:r>
      <w:r w:rsidR="0011623F" w:rsidRPr="00D10ED2">
        <w:rPr>
          <w:rFonts w:ascii="Arial" w:hAnsi="Arial" w:cs="Arial"/>
          <w:sz w:val="22"/>
          <w:szCs w:val="22"/>
        </w:rPr>
        <w:t>ICLUSIG</w:t>
      </w:r>
      <w:r w:rsidRPr="00D10ED2">
        <w:rPr>
          <w:rFonts w:ascii="Arial" w:hAnsi="Arial" w:cs="Arial"/>
          <w:sz w:val="22"/>
          <w:szCs w:val="22"/>
        </w:rPr>
        <w:t xml:space="preserve"> may be taken with or without food.</w:t>
      </w:r>
    </w:p>
    <w:p w14:paraId="2EA96489" w14:textId="77777777" w:rsidR="008E0092" w:rsidRPr="00D10ED2" w:rsidRDefault="008E0092" w:rsidP="005329CC">
      <w:pPr>
        <w:rPr>
          <w:rFonts w:ascii="Arial" w:hAnsi="Arial" w:cs="Arial"/>
          <w:b/>
          <w:sz w:val="28"/>
          <w:szCs w:val="28"/>
        </w:rPr>
      </w:pPr>
    </w:p>
    <w:p w14:paraId="3382AA85" w14:textId="77777777" w:rsidR="0057419A" w:rsidRPr="00D10ED2" w:rsidRDefault="0057419A" w:rsidP="005329CC">
      <w:pPr>
        <w:rPr>
          <w:rFonts w:ascii="Arial" w:hAnsi="Arial" w:cs="Arial"/>
          <w:b/>
          <w:sz w:val="28"/>
          <w:szCs w:val="28"/>
        </w:rPr>
      </w:pPr>
      <w:proofErr w:type="spellStart"/>
      <w:r w:rsidRPr="00D10ED2">
        <w:rPr>
          <w:rFonts w:ascii="Arial" w:hAnsi="Arial" w:cs="Arial"/>
          <w:b/>
          <w:sz w:val="28"/>
          <w:szCs w:val="28"/>
        </w:rPr>
        <w:t>Overdosage</w:t>
      </w:r>
      <w:proofErr w:type="spellEnd"/>
    </w:p>
    <w:p w14:paraId="36D4867C" w14:textId="77777777" w:rsidR="0057419A" w:rsidRPr="001F1286" w:rsidRDefault="0057419A" w:rsidP="005329CC">
      <w:pPr>
        <w:rPr>
          <w:rFonts w:ascii="Arial" w:hAnsi="Arial" w:cs="Arial"/>
          <w:b/>
          <w:sz w:val="22"/>
          <w:szCs w:val="28"/>
        </w:rPr>
      </w:pPr>
    </w:p>
    <w:p w14:paraId="12A3E142" w14:textId="7F57F7F6" w:rsidR="00D50B85" w:rsidRPr="00D93951" w:rsidRDefault="00D50B85" w:rsidP="00D93951">
      <w:pPr>
        <w:widowControl w:val="0"/>
        <w:autoSpaceDE w:val="0"/>
        <w:autoSpaceDN w:val="0"/>
        <w:adjustRightInd w:val="0"/>
        <w:rPr>
          <w:rFonts w:ascii="Arial" w:hAnsi="Arial" w:cs="Arial"/>
          <w:sz w:val="22"/>
          <w:szCs w:val="22"/>
        </w:rPr>
      </w:pPr>
      <w:r w:rsidRPr="00D93951">
        <w:rPr>
          <w:rFonts w:ascii="Arial" w:hAnsi="Arial" w:cs="Arial"/>
          <w:sz w:val="22"/>
          <w:szCs w:val="22"/>
        </w:rPr>
        <w:t>Overdoses with I</w:t>
      </w:r>
      <w:r w:rsidR="00D93951">
        <w:rPr>
          <w:rFonts w:ascii="Arial" w:hAnsi="Arial" w:cs="Arial"/>
          <w:sz w:val="22"/>
          <w:szCs w:val="22"/>
        </w:rPr>
        <w:t>CLUSIG</w:t>
      </w:r>
      <w:r w:rsidRPr="00D93951">
        <w:rPr>
          <w:rFonts w:ascii="Arial" w:hAnsi="Arial" w:cs="Arial"/>
          <w:sz w:val="22"/>
          <w:szCs w:val="22"/>
        </w:rPr>
        <w:t xml:space="preserve"> were reported in clinical trials. One patient was accidentally admini</w:t>
      </w:r>
      <w:r w:rsidRPr="00D50B85">
        <w:rPr>
          <w:rFonts w:ascii="Arial" w:hAnsi="Arial" w:cs="Arial"/>
          <w:sz w:val="22"/>
          <w:szCs w:val="22"/>
        </w:rPr>
        <w:t>stered the entire contents of a</w:t>
      </w:r>
      <w:r>
        <w:rPr>
          <w:rFonts w:ascii="Arial" w:hAnsi="Arial" w:cs="Arial"/>
          <w:sz w:val="22"/>
          <w:szCs w:val="22"/>
        </w:rPr>
        <w:t xml:space="preserve"> </w:t>
      </w:r>
      <w:r w:rsidRPr="00D93951">
        <w:rPr>
          <w:rFonts w:ascii="Arial" w:hAnsi="Arial" w:cs="Arial"/>
          <w:sz w:val="22"/>
          <w:szCs w:val="22"/>
        </w:rPr>
        <w:t>bottle of study medication via nasogastric tube. The investigator estimated that the patient received 540 mg of I</w:t>
      </w:r>
      <w:r w:rsidR="00D93951">
        <w:rPr>
          <w:rFonts w:ascii="Arial" w:hAnsi="Arial" w:cs="Arial"/>
          <w:sz w:val="22"/>
          <w:szCs w:val="22"/>
        </w:rPr>
        <w:t>CLUSIG</w:t>
      </w:r>
      <w:r w:rsidRPr="00D93951">
        <w:rPr>
          <w:rFonts w:ascii="Arial" w:hAnsi="Arial" w:cs="Arial"/>
          <w:sz w:val="22"/>
          <w:szCs w:val="22"/>
        </w:rPr>
        <w:t>.</w:t>
      </w:r>
      <w:r>
        <w:rPr>
          <w:rFonts w:ascii="Arial" w:hAnsi="Arial" w:cs="Arial"/>
          <w:sz w:val="22"/>
          <w:szCs w:val="22"/>
        </w:rPr>
        <w:t xml:space="preserve"> </w:t>
      </w:r>
      <w:r w:rsidRPr="00D93951">
        <w:rPr>
          <w:rFonts w:ascii="Arial" w:hAnsi="Arial" w:cs="Arial"/>
          <w:sz w:val="22"/>
          <w:szCs w:val="22"/>
        </w:rPr>
        <w:t xml:space="preserve">Two hours after the overdose, the patient had an uncorrected QT interval of 520 </w:t>
      </w:r>
      <w:proofErr w:type="spellStart"/>
      <w:proofErr w:type="gramStart"/>
      <w:r w:rsidRPr="00D93951">
        <w:rPr>
          <w:rFonts w:ascii="Arial" w:hAnsi="Arial" w:cs="Arial"/>
          <w:sz w:val="22"/>
          <w:szCs w:val="22"/>
        </w:rPr>
        <w:t>ms</w:t>
      </w:r>
      <w:proofErr w:type="gramEnd"/>
      <w:r w:rsidRPr="00D93951">
        <w:rPr>
          <w:rFonts w:ascii="Arial" w:hAnsi="Arial" w:cs="Arial"/>
          <w:sz w:val="22"/>
          <w:szCs w:val="22"/>
        </w:rPr>
        <w:t>.</w:t>
      </w:r>
      <w:proofErr w:type="spellEnd"/>
      <w:r w:rsidRPr="00D93951">
        <w:rPr>
          <w:rFonts w:ascii="Arial" w:hAnsi="Arial" w:cs="Arial"/>
          <w:sz w:val="22"/>
          <w:szCs w:val="22"/>
        </w:rPr>
        <w:t xml:space="preserve"> Subsequent ECGs showed normal</w:t>
      </w:r>
      <w:r>
        <w:rPr>
          <w:rFonts w:ascii="Arial" w:hAnsi="Arial" w:cs="Arial"/>
          <w:sz w:val="22"/>
          <w:szCs w:val="22"/>
        </w:rPr>
        <w:t xml:space="preserve"> </w:t>
      </w:r>
      <w:r w:rsidRPr="00D93951">
        <w:rPr>
          <w:rFonts w:ascii="Arial" w:hAnsi="Arial" w:cs="Arial"/>
          <w:sz w:val="22"/>
          <w:szCs w:val="22"/>
        </w:rPr>
        <w:t xml:space="preserve">sinus rhythm with uncorrected QT intervals of 480 and 400 </w:t>
      </w:r>
      <w:proofErr w:type="spellStart"/>
      <w:r w:rsidRPr="00D93951">
        <w:rPr>
          <w:rFonts w:ascii="Arial" w:hAnsi="Arial" w:cs="Arial"/>
          <w:sz w:val="22"/>
          <w:szCs w:val="22"/>
        </w:rPr>
        <w:t>ms.</w:t>
      </w:r>
      <w:proofErr w:type="spellEnd"/>
      <w:r w:rsidRPr="00D93951">
        <w:rPr>
          <w:rFonts w:ascii="Arial" w:hAnsi="Arial" w:cs="Arial"/>
          <w:sz w:val="22"/>
          <w:szCs w:val="22"/>
        </w:rPr>
        <w:t xml:space="preserve"> The patient died 9 days after the overdose from pneumonia</w:t>
      </w:r>
      <w:r>
        <w:rPr>
          <w:rFonts w:ascii="Arial" w:hAnsi="Arial" w:cs="Arial"/>
          <w:sz w:val="22"/>
          <w:szCs w:val="22"/>
        </w:rPr>
        <w:t xml:space="preserve"> </w:t>
      </w:r>
      <w:r w:rsidRPr="00D93951">
        <w:rPr>
          <w:rFonts w:ascii="Arial" w:hAnsi="Arial" w:cs="Arial"/>
          <w:sz w:val="22"/>
          <w:szCs w:val="22"/>
        </w:rPr>
        <w:t xml:space="preserve">and sepsis. Another patient accidentally self-administered 165 mg on cycle 1 day 2. The patient </w:t>
      </w:r>
      <w:r w:rsidRPr="00D93951">
        <w:rPr>
          <w:rFonts w:ascii="Arial" w:hAnsi="Arial" w:cs="Arial"/>
          <w:sz w:val="22"/>
          <w:szCs w:val="22"/>
        </w:rPr>
        <w:lastRenderedPageBreak/>
        <w:t>experienced fatigue and</w:t>
      </w:r>
      <w:r>
        <w:rPr>
          <w:rFonts w:ascii="Arial" w:hAnsi="Arial" w:cs="Arial"/>
          <w:sz w:val="22"/>
          <w:szCs w:val="22"/>
        </w:rPr>
        <w:t xml:space="preserve"> </w:t>
      </w:r>
      <w:r w:rsidRPr="00D93951">
        <w:rPr>
          <w:rFonts w:ascii="Arial" w:hAnsi="Arial" w:cs="Arial"/>
          <w:sz w:val="22"/>
          <w:szCs w:val="22"/>
        </w:rPr>
        <w:t>non-cardiac chest pain on day 3. Multiple doses of 90 mg per day for 12 days in a patient resulted in pneumonia, systemic</w:t>
      </w:r>
      <w:r>
        <w:rPr>
          <w:rFonts w:ascii="Arial" w:hAnsi="Arial" w:cs="Arial"/>
          <w:sz w:val="22"/>
          <w:szCs w:val="22"/>
        </w:rPr>
        <w:t xml:space="preserve"> </w:t>
      </w:r>
      <w:r w:rsidRPr="00D93951">
        <w:rPr>
          <w:rFonts w:ascii="Arial" w:hAnsi="Arial" w:cs="Arial"/>
          <w:sz w:val="22"/>
          <w:szCs w:val="22"/>
        </w:rPr>
        <w:t>inflammatory response, atrial fibrillation, and a moderate pericardial effusion.</w:t>
      </w:r>
    </w:p>
    <w:p w14:paraId="0A2E2DBE" w14:textId="5980FD94" w:rsidR="00D50B85" w:rsidRPr="00D50B85" w:rsidRDefault="00D50B85" w:rsidP="00D50B85">
      <w:pPr>
        <w:rPr>
          <w:rFonts w:ascii="Arial" w:hAnsi="Arial" w:cs="Arial"/>
          <w:sz w:val="22"/>
          <w:szCs w:val="22"/>
        </w:rPr>
      </w:pPr>
    </w:p>
    <w:p w14:paraId="1238188B" w14:textId="042B3F75" w:rsidR="008E0092" w:rsidRPr="00D10ED2" w:rsidRDefault="008E0092" w:rsidP="008E0092">
      <w:pPr>
        <w:rPr>
          <w:rFonts w:ascii="Arial" w:hAnsi="Arial" w:cs="Arial"/>
          <w:sz w:val="22"/>
          <w:szCs w:val="22"/>
        </w:rPr>
      </w:pPr>
      <w:r w:rsidRPr="00D10ED2">
        <w:rPr>
          <w:rFonts w:ascii="Arial" w:hAnsi="Arial" w:cs="Arial"/>
          <w:sz w:val="22"/>
          <w:szCs w:val="22"/>
        </w:rPr>
        <w:t xml:space="preserve">In the event of an overdose of </w:t>
      </w:r>
      <w:r w:rsidR="0011623F" w:rsidRPr="00D10ED2">
        <w:rPr>
          <w:rFonts w:ascii="Arial" w:hAnsi="Arial" w:cs="Arial"/>
          <w:sz w:val="22"/>
          <w:szCs w:val="22"/>
        </w:rPr>
        <w:t>ICLUSIG</w:t>
      </w:r>
      <w:r w:rsidRPr="00D10ED2">
        <w:rPr>
          <w:rFonts w:ascii="Arial" w:hAnsi="Arial" w:cs="Arial"/>
          <w:sz w:val="22"/>
          <w:szCs w:val="22"/>
        </w:rPr>
        <w:t>, the patient should be observed and appropriate supportive treatment given.</w:t>
      </w:r>
    </w:p>
    <w:p w14:paraId="0D1249A4" w14:textId="77777777" w:rsidR="00514926" w:rsidRPr="00D10ED2" w:rsidRDefault="00514926" w:rsidP="008E0092">
      <w:pPr>
        <w:rPr>
          <w:rFonts w:ascii="Arial" w:hAnsi="Arial" w:cs="Arial"/>
          <w:sz w:val="22"/>
          <w:szCs w:val="22"/>
        </w:rPr>
      </w:pPr>
    </w:p>
    <w:p w14:paraId="119FD473" w14:textId="37EF99A4" w:rsidR="00514926" w:rsidRPr="00D10ED2" w:rsidRDefault="00514926" w:rsidP="008E0092">
      <w:pPr>
        <w:rPr>
          <w:rFonts w:ascii="Arial" w:hAnsi="Arial" w:cs="Arial"/>
          <w:sz w:val="22"/>
          <w:szCs w:val="22"/>
        </w:rPr>
      </w:pPr>
      <w:r w:rsidRPr="00D10ED2">
        <w:rPr>
          <w:rFonts w:ascii="Arial" w:hAnsi="Arial" w:cs="Arial"/>
          <w:sz w:val="22"/>
          <w:szCs w:val="22"/>
        </w:rPr>
        <w:t>For information on the management of o</w:t>
      </w:r>
      <w:r w:rsidR="00F22F98" w:rsidRPr="00D10ED2">
        <w:rPr>
          <w:rFonts w:ascii="Arial" w:hAnsi="Arial" w:cs="Arial"/>
          <w:sz w:val="22"/>
          <w:szCs w:val="22"/>
        </w:rPr>
        <w:t xml:space="preserve">verdose, contact </w:t>
      </w:r>
      <w:r w:rsidR="004718D2" w:rsidRPr="00D10ED2">
        <w:rPr>
          <w:rFonts w:ascii="Arial" w:hAnsi="Arial" w:cs="Arial"/>
          <w:sz w:val="22"/>
          <w:szCs w:val="22"/>
        </w:rPr>
        <w:t xml:space="preserve">the </w:t>
      </w:r>
      <w:r w:rsidR="00F22F98" w:rsidRPr="00D10ED2">
        <w:rPr>
          <w:rFonts w:ascii="Arial" w:hAnsi="Arial" w:cs="Arial"/>
          <w:sz w:val="22"/>
          <w:szCs w:val="22"/>
        </w:rPr>
        <w:t>Poison Informa</w:t>
      </w:r>
      <w:r w:rsidRPr="00D10ED2">
        <w:rPr>
          <w:rFonts w:ascii="Arial" w:hAnsi="Arial" w:cs="Arial"/>
          <w:sz w:val="22"/>
          <w:szCs w:val="22"/>
        </w:rPr>
        <w:t>t</w:t>
      </w:r>
      <w:r w:rsidR="00F22F98" w:rsidRPr="00D10ED2">
        <w:rPr>
          <w:rFonts w:ascii="Arial" w:hAnsi="Arial" w:cs="Arial"/>
          <w:sz w:val="22"/>
          <w:szCs w:val="22"/>
        </w:rPr>
        <w:t>i</w:t>
      </w:r>
      <w:r w:rsidRPr="00D10ED2">
        <w:rPr>
          <w:rFonts w:ascii="Arial" w:hAnsi="Arial" w:cs="Arial"/>
          <w:sz w:val="22"/>
          <w:szCs w:val="22"/>
        </w:rPr>
        <w:t>on Centre on 13 11 26 (Australia)</w:t>
      </w:r>
      <w:r w:rsidR="00833AB0" w:rsidRPr="00D10ED2">
        <w:rPr>
          <w:rFonts w:ascii="Arial" w:hAnsi="Arial" w:cs="Arial"/>
          <w:sz w:val="22"/>
          <w:szCs w:val="22"/>
        </w:rPr>
        <w:t>.</w:t>
      </w:r>
    </w:p>
    <w:p w14:paraId="3BA5F846" w14:textId="77777777" w:rsidR="008E0092" w:rsidRDefault="008E0092" w:rsidP="005329CC">
      <w:pPr>
        <w:rPr>
          <w:rFonts w:ascii="Arial" w:hAnsi="Arial" w:cs="Arial"/>
          <w:b/>
          <w:sz w:val="28"/>
          <w:szCs w:val="28"/>
        </w:rPr>
      </w:pPr>
    </w:p>
    <w:p w14:paraId="30E3E098" w14:textId="00FAA513" w:rsidR="00395AD3" w:rsidRDefault="00395AD3" w:rsidP="00395AD3">
      <w:pPr>
        <w:rPr>
          <w:rFonts w:ascii="Arial" w:hAnsi="Arial" w:cs="Arial"/>
          <w:b/>
          <w:sz w:val="28"/>
          <w:szCs w:val="28"/>
        </w:rPr>
      </w:pPr>
      <w:r>
        <w:rPr>
          <w:rFonts w:ascii="Arial" w:hAnsi="Arial" w:cs="Arial"/>
          <w:b/>
          <w:sz w:val="28"/>
          <w:szCs w:val="28"/>
        </w:rPr>
        <w:t>Patient Counselling Information</w:t>
      </w:r>
    </w:p>
    <w:p w14:paraId="0D0290CC" w14:textId="77777777" w:rsidR="00395AD3" w:rsidRPr="00D10ED2" w:rsidRDefault="00395AD3" w:rsidP="00395AD3">
      <w:pPr>
        <w:rPr>
          <w:rFonts w:ascii="Arial" w:hAnsi="Arial" w:cs="Arial"/>
          <w:b/>
          <w:sz w:val="28"/>
          <w:szCs w:val="28"/>
        </w:rPr>
      </w:pPr>
    </w:p>
    <w:p w14:paraId="2F3A6900" w14:textId="0A878B95" w:rsidR="00395AD3" w:rsidRDefault="00395AD3" w:rsidP="00395AD3">
      <w:pPr>
        <w:widowControl w:val="0"/>
        <w:autoSpaceDE w:val="0"/>
        <w:autoSpaceDN w:val="0"/>
        <w:adjustRightInd w:val="0"/>
        <w:rPr>
          <w:rFonts w:ascii="Arial" w:hAnsi="Arial" w:cs="Arial"/>
          <w:b/>
          <w:bCs/>
          <w:sz w:val="22"/>
          <w:szCs w:val="22"/>
        </w:rPr>
      </w:pPr>
      <w:r w:rsidRPr="00395AD3">
        <w:rPr>
          <w:rFonts w:ascii="Arial" w:hAnsi="Arial" w:cs="Arial"/>
          <w:b/>
          <w:bCs/>
          <w:sz w:val="22"/>
          <w:szCs w:val="22"/>
        </w:rPr>
        <w:t xml:space="preserve">Advise patients of the following and provide a copy of the </w:t>
      </w:r>
      <w:r>
        <w:rPr>
          <w:rFonts w:ascii="Arial" w:hAnsi="Arial" w:cs="Arial"/>
          <w:b/>
          <w:bCs/>
          <w:sz w:val="22"/>
          <w:szCs w:val="22"/>
        </w:rPr>
        <w:t>Consumer Medicine Information</w:t>
      </w:r>
      <w:r w:rsidRPr="00395AD3">
        <w:rPr>
          <w:rFonts w:ascii="Arial" w:hAnsi="Arial" w:cs="Arial"/>
          <w:b/>
          <w:bCs/>
          <w:sz w:val="22"/>
          <w:szCs w:val="22"/>
        </w:rPr>
        <w:t>:</w:t>
      </w:r>
    </w:p>
    <w:p w14:paraId="3679A865" w14:textId="77777777" w:rsidR="00395AD3" w:rsidRPr="00395AD3" w:rsidRDefault="00395AD3" w:rsidP="00395AD3">
      <w:pPr>
        <w:widowControl w:val="0"/>
        <w:autoSpaceDE w:val="0"/>
        <w:autoSpaceDN w:val="0"/>
        <w:adjustRightInd w:val="0"/>
        <w:rPr>
          <w:rFonts w:ascii="Arial" w:hAnsi="Arial" w:cs="Arial"/>
          <w:b/>
          <w:bCs/>
          <w:sz w:val="22"/>
          <w:szCs w:val="22"/>
        </w:rPr>
      </w:pPr>
    </w:p>
    <w:p w14:paraId="6EDAEEA7" w14:textId="77777777" w:rsidR="00395AD3" w:rsidRPr="00395AD3" w:rsidRDefault="00395AD3" w:rsidP="00395AD3">
      <w:pPr>
        <w:widowControl w:val="0"/>
        <w:autoSpaceDE w:val="0"/>
        <w:autoSpaceDN w:val="0"/>
        <w:adjustRightInd w:val="0"/>
        <w:rPr>
          <w:rFonts w:ascii="Arial" w:hAnsi="Arial" w:cs="Arial"/>
          <w:sz w:val="22"/>
          <w:szCs w:val="22"/>
          <w:u w:val="single"/>
        </w:rPr>
      </w:pPr>
      <w:r w:rsidRPr="00395AD3">
        <w:rPr>
          <w:rFonts w:ascii="Arial" w:hAnsi="Arial" w:cs="Arial"/>
          <w:sz w:val="22"/>
          <w:szCs w:val="22"/>
          <w:u w:val="single"/>
        </w:rPr>
        <w:t>Vascular Occlusions</w:t>
      </w:r>
    </w:p>
    <w:p w14:paraId="70DDF94D" w14:textId="41B3FF90" w:rsidR="00395AD3" w:rsidRDefault="00395AD3" w:rsidP="00395AD3">
      <w:pPr>
        <w:widowControl w:val="0"/>
        <w:autoSpaceDE w:val="0"/>
        <w:autoSpaceDN w:val="0"/>
        <w:adjustRightInd w:val="0"/>
        <w:rPr>
          <w:rFonts w:ascii="Arial" w:hAnsi="Arial" w:cs="Arial"/>
          <w:iCs/>
          <w:sz w:val="22"/>
          <w:szCs w:val="22"/>
        </w:rPr>
      </w:pPr>
      <w:r w:rsidRPr="00313296">
        <w:rPr>
          <w:rFonts w:ascii="Arial" w:hAnsi="Arial" w:cs="Arial"/>
          <w:sz w:val="22"/>
          <w:szCs w:val="22"/>
        </w:rPr>
        <w:t xml:space="preserve">Inform patients that serious arterial </w:t>
      </w:r>
      <w:proofErr w:type="spellStart"/>
      <w:r w:rsidRPr="00313296">
        <w:rPr>
          <w:rFonts w:ascii="Arial" w:hAnsi="Arial" w:cs="Arial"/>
          <w:sz w:val="22"/>
          <w:szCs w:val="22"/>
        </w:rPr>
        <w:t>thromboses</w:t>
      </w:r>
      <w:proofErr w:type="spellEnd"/>
      <w:r w:rsidRPr="00313296">
        <w:rPr>
          <w:rFonts w:ascii="Arial" w:hAnsi="Arial" w:cs="Arial"/>
          <w:sz w:val="22"/>
          <w:szCs w:val="22"/>
        </w:rPr>
        <w:t xml:space="preserve"> (including arterial stenosis sometimes requiring </w:t>
      </w:r>
      <w:proofErr w:type="spellStart"/>
      <w:r w:rsidRPr="00313296">
        <w:rPr>
          <w:rFonts w:ascii="Arial" w:hAnsi="Arial" w:cs="Arial"/>
          <w:sz w:val="22"/>
          <w:szCs w:val="22"/>
        </w:rPr>
        <w:t>revasculari</w:t>
      </w:r>
      <w:r w:rsidR="00E75499">
        <w:rPr>
          <w:rFonts w:ascii="Arial" w:hAnsi="Arial" w:cs="Arial"/>
          <w:sz w:val="22"/>
          <w:szCs w:val="22"/>
        </w:rPr>
        <w:t>s</w:t>
      </w:r>
      <w:r w:rsidRPr="00313296">
        <w:rPr>
          <w:rFonts w:ascii="Arial" w:hAnsi="Arial" w:cs="Arial"/>
          <w:sz w:val="22"/>
          <w:szCs w:val="22"/>
        </w:rPr>
        <w:t>ation</w:t>
      </w:r>
      <w:proofErr w:type="spellEnd"/>
      <w:r w:rsidRPr="00313296">
        <w:rPr>
          <w:rFonts w:ascii="Arial" w:hAnsi="Arial" w:cs="Arial"/>
          <w:sz w:val="22"/>
          <w:szCs w:val="22"/>
        </w:rPr>
        <w:t>) and</w:t>
      </w:r>
      <w:r w:rsidRPr="00E75499">
        <w:rPr>
          <w:rFonts w:ascii="Arial" w:hAnsi="Arial" w:cs="Arial"/>
          <w:sz w:val="22"/>
          <w:szCs w:val="22"/>
        </w:rPr>
        <w:t xml:space="preserve"> venous thromboembolism events have occurred. </w:t>
      </w:r>
      <w:proofErr w:type="gramStart"/>
      <w:r w:rsidRPr="00E75499">
        <w:rPr>
          <w:rFonts w:ascii="Arial" w:hAnsi="Arial" w:cs="Arial"/>
          <w:sz w:val="22"/>
          <w:szCs w:val="22"/>
        </w:rPr>
        <w:t>Advise</w:t>
      </w:r>
      <w:proofErr w:type="gramEnd"/>
      <w:r w:rsidRPr="00E75499">
        <w:rPr>
          <w:rFonts w:ascii="Arial" w:hAnsi="Arial" w:cs="Arial"/>
          <w:sz w:val="22"/>
          <w:szCs w:val="22"/>
        </w:rPr>
        <w:t xml:space="preserve"> patients to immediately contact their health care provider with any</w:t>
      </w:r>
      <w:r w:rsidRPr="004A7AF0">
        <w:rPr>
          <w:rFonts w:ascii="Arial" w:hAnsi="Arial" w:cs="Arial"/>
          <w:sz w:val="22"/>
          <w:szCs w:val="22"/>
        </w:rPr>
        <w:t xml:space="preserve"> symptoms suggestive of a blood clot such as chest pain, shortness of breath, weakness on one side of the body, speech problems, leg pain, or leg swelling </w:t>
      </w:r>
      <w:r w:rsidRPr="00395AD3">
        <w:rPr>
          <w:rFonts w:ascii="Arial" w:hAnsi="Arial" w:cs="Arial"/>
          <w:iCs/>
          <w:sz w:val="22"/>
          <w:szCs w:val="22"/>
        </w:rPr>
        <w:t xml:space="preserve">(see </w:t>
      </w:r>
      <w:r w:rsidRPr="00395AD3">
        <w:rPr>
          <w:rFonts w:ascii="Arial" w:hAnsi="Arial" w:cs="Arial"/>
          <w:b/>
          <w:iCs/>
          <w:sz w:val="22"/>
          <w:szCs w:val="22"/>
        </w:rPr>
        <w:t>Precautions</w:t>
      </w:r>
      <w:r w:rsidRPr="00395AD3">
        <w:rPr>
          <w:rFonts w:ascii="Arial" w:hAnsi="Arial" w:cs="Arial"/>
          <w:iCs/>
          <w:sz w:val="22"/>
          <w:szCs w:val="22"/>
        </w:rPr>
        <w:t>).</w:t>
      </w:r>
    </w:p>
    <w:p w14:paraId="6D44673D" w14:textId="77777777" w:rsidR="00395AD3" w:rsidRPr="00395AD3" w:rsidRDefault="00395AD3" w:rsidP="00395AD3">
      <w:pPr>
        <w:widowControl w:val="0"/>
        <w:autoSpaceDE w:val="0"/>
        <w:autoSpaceDN w:val="0"/>
        <w:adjustRightInd w:val="0"/>
        <w:rPr>
          <w:rFonts w:ascii="Arial" w:hAnsi="Arial" w:cs="Arial"/>
          <w:sz w:val="22"/>
          <w:szCs w:val="22"/>
        </w:rPr>
      </w:pPr>
    </w:p>
    <w:p w14:paraId="0EB1F2BD" w14:textId="77777777" w:rsidR="00395AD3" w:rsidRPr="00395AD3" w:rsidRDefault="00395AD3" w:rsidP="00395AD3">
      <w:pPr>
        <w:widowControl w:val="0"/>
        <w:autoSpaceDE w:val="0"/>
        <w:autoSpaceDN w:val="0"/>
        <w:adjustRightInd w:val="0"/>
        <w:rPr>
          <w:rFonts w:ascii="Arial" w:hAnsi="Arial" w:cs="Arial"/>
          <w:sz w:val="22"/>
          <w:szCs w:val="22"/>
          <w:u w:val="single"/>
        </w:rPr>
      </w:pPr>
      <w:r w:rsidRPr="00395AD3">
        <w:rPr>
          <w:rFonts w:ascii="Arial" w:hAnsi="Arial" w:cs="Arial"/>
          <w:sz w:val="22"/>
          <w:szCs w:val="22"/>
          <w:u w:val="single"/>
        </w:rPr>
        <w:t>Heart Failure and Cardiac Arrhythmias</w:t>
      </w:r>
    </w:p>
    <w:p w14:paraId="67E3C7B5" w14:textId="0106DD30" w:rsidR="00395AD3" w:rsidRDefault="00395AD3" w:rsidP="00395AD3">
      <w:pPr>
        <w:widowControl w:val="0"/>
        <w:autoSpaceDE w:val="0"/>
        <w:autoSpaceDN w:val="0"/>
        <w:adjustRightInd w:val="0"/>
        <w:rPr>
          <w:rFonts w:ascii="Arial" w:hAnsi="Arial" w:cs="Arial"/>
          <w:sz w:val="22"/>
          <w:szCs w:val="22"/>
        </w:rPr>
      </w:pPr>
      <w:r w:rsidRPr="00395AD3">
        <w:rPr>
          <w:rFonts w:ascii="Arial" w:hAnsi="Arial" w:cs="Arial"/>
          <w:sz w:val="22"/>
          <w:szCs w:val="22"/>
        </w:rPr>
        <w:t xml:space="preserve">Inform patients of the possibility of heart failure, and abnormally slow or fast heart rates. </w:t>
      </w:r>
      <w:proofErr w:type="gramStart"/>
      <w:r w:rsidRPr="00395AD3">
        <w:rPr>
          <w:rFonts w:ascii="Arial" w:hAnsi="Arial" w:cs="Arial"/>
          <w:sz w:val="22"/>
          <w:szCs w:val="22"/>
        </w:rPr>
        <w:t>Advise</w:t>
      </w:r>
      <w:proofErr w:type="gramEnd"/>
      <w:r w:rsidRPr="00395AD3">
        <w:rPr>
          <w:rFonts w:ascii="Arial" w:hAnsi="Arial" w:cs="Arial"/>
          <w:sz w:val="22"/>
          <w:szCs w:val="22"/>
        </w:rPr>
        <w:t xml:space="preserve"> patients to contact their</w:t>
      </w:r>
      <w:r w:rsidR="00D13811">
        <w:rPr>
          <w:rFonts w:ascii="Arial" w:hAnsi="Arial" w:cs="Arial"/>
          <w:sz w:val="22"/>
          <w:szCs w:val="22"/>
        </w:rPr>
        <w:t xml:space="preserve"> </w:t>
      </w:r>
      <w:r w:rsidRPr="00D13811">
        <w:rPr>
          <w:rFonts w:ascii="Arial" w:hAnsi="Arial" w:cs="Arial"/>
          <w:sz w:val="22"/>
          <w:szCs w:val="22"/>
        </w:rPr>
        <w:t xml:space="preserve">health care provider if they experience symptoms such as shortness of breath, chest pain, palpitations, </w:t>
      </w:r>
      <w:r w:rsidR="00185A1B">
        <w:rPr>
          <w:rFonts w:ascii="Arial" w:hAnsi="Arial" w:cs="Arial"/>
          <w:sz w:val="22"/>
          <w:szCs w:val="22"/>
        </w:rPr>
        <w:t xml:space="preserve">fluid retention, </w:t>
      </w:r>
      <w:r w:rsidRPr="00D13811">
        <w:rPr>
          <w:rFonts w:ascii="Arial" w:hAnsi="Arial" w:cs="Arial"/>
          <w:sz w:val="22"/>
          <w:szCs w:val="22"/>
        </w:rPr>
        <w:t>dizziness, or fainting</w:t>
      </w:r>
      <w:r w:rsidR="00D13811">
        <w:rPr>
          <w:rFonts w:ascii="Arial" w:hAnsi="Arial" w:cs="Arial"/>
          <w:sz w:val="22"/>
          <w:szCs w:val="22"/>
        </w:rPr>
        <w:t xml:space="preserve"> </w:t>
      </w:r>
      <w:r w:rsidR="00D13811">
        <w:rPr>
          <w:rFonts w:ascii="Arial" w:hAnsi="Arial" w:cs="Arial"/>
          <w:iCs/>
          <w:sz w:val="22"/>
          <w:szCs w:val="22"/>
        </w:rPr>
        <w:t>(</w:t>
      </w:r>
      <w:r w:rsidRPr="00395AD3">
        <w:rPr>
          <w:rFonts w:ascii="Arial" w:hAnsi="Arial" w:cs="Arial"/>
          <w:iCs/>
          <w:sz w:val="22"/>
          <w:szCs w:val="22"/>
        </w:rPr>
        <w:t xml:space="preserve">see </w:t>
      </w:r>
      <w:r w:rsidR="00D13811" w:rsidRPr="00E75499">
        <w:rPr>
          <w:rFonts w:ascii="Arial" w:hAnsi="Arial" w:cs="Arial"/>
          <w:b/>
          <w:iCs/>
          <w:sz w:val="22"/>
          <w:szCs w:val="22"/>
        </w:rPr>
        <w:t>Precautions</w:t>
      </w:r>
      <w:r w:rsidR="00D13811">
        <w:rPr>
          <w:rFonts w:ascii="Arial" w:hAnsi="Arial" w:cs="Arial"/>
          <w:iCs/>
          <w:sz w:val="22"/>
          <w:szCs w:val="22"/>
        </w:rPr>
        <w:t>)</w:t>
      </w:r>
      <w:r w:rsidRPr="00395AD3">
        <w:rPr>
          <w:rFonts w:ascii="Arial" w:hAnsi="Arial" w:cs="Arial"/>
          <w:sz w:val="22"/>
          <w:szCs w:val="22"/>
        </w:rPr>
        <w:t>.</w:t>
      </w:r>
    </w:p>
    <w:p w14:paraId="018E5A6F" w14:textId="77777777" w:rsidR="00D13811" w:rsidRPr="00395AD3" w:rsidRDefault="00D13811" w:rsidP="00395AD3">
      <w:pPr>
        <w:widowControl w:val="0"/>
        <w:autoSpaceDE w:val="0"/>
        <w:autoSpaceDN w:val="0"/>
        <w:adjustRightInd w:val="0"/>
        <w:rPr>
          <w:rFonts w:ascii="Arial" w:hAnsi="Arial" w:cs="Arial"/>
          <w:sz w:val="22"/>
          <w:szCs w:val="22"/>
        </w:rPr>
      </w:pPr>
    </w:p>
    <w:p w14:paraId="28716663" w14:textId="77777777" w:rsidR="00395AD3" w:rsidRPr="00395AD3" w:rsidRDefault="00395AD3" w:rsidP="00395AD3">
      <w:pPr>
        <w:widowControl w:val="0"/>
        <w:autoSpaceDE w:val="0"/>
        <w:autoSpaceDN w:val="0"/>
        <w:adjustRightInd w:val="0"/>
        <w:rPr>
          <w:rFonts w:ascii="Arial" w:hAnsi="Arial" w:cs="Arial"/>
          <w:sz w:val="22"/>
          <w:szCs w:val="22"/>
          <w:u w:val="single"/>
        </w:rPr>
      </w:pPr>
      <w:r w:rsidRPr="00395AD3">
        <w:rPr>
          <w:rFonts w:ascii="Arial" w:hAnsi="Arial" w:cs="Arial"/>
          <w:sz w:val="22"/>
          <w:szCs w:val="22"/>
          <w:u w:val="single"/>
        </w:rPr>
        <w:t>Hepatotoxicity</w:t>
      </w:r>
    </w:p>
    <w:p w14:paraId="16B39E05" w14:textId="71B050E9" w:rsidR="00395AD3" w:rsidRDefault="00395AD3" w:rsidP="00395AD3">
      <w:pPr>
        <w:widowControl w:val="0"/>
        <w:autoSpaceDE w:val="0"/>
        <w:autoSpaceDN w:val="0"/>
        <w:adjustRightInd w:val="0"/>
        <w:rPr>
          <w:rFonts w:ascii="Arial" w:hAnsi="Arial" w:cs="Arial"/>
          <w:sz w:val="22"/>
          <w:szCs w:val="22"/>
        </w:rPr>
      </w:pPr>
      <w:r w:rsidRPr="00395AD3">
        <w:rPr>
          <w:rFonts w:ascii="Arial" w:hAnsi="Arial" w:cs="Arial"/>
          <w:sz w:val="22"/>
          <w:szCs w:val="22"/>
        </w:rPr>
        <w:t xml:space="preserve">Inform patients of the possibility of developing liver function abnormalities and serious hepatic toxicity. </w:t>
      </w:r>
      <w:proofErr w:type="gramStart"/>
      <w:r w:rsidRPr="00395AD3">
        <w:rPr>
          <w:rFonts w:ascii="Arial" w:hAnsi="Arial" w:cs="Arial"/>
          <w:sz w:val="22"/>
          <w:szCs w:val="22"/>
        </w:rPr>
        <w:t>Advise</w:t>
      </w:r>
      <w:proofErr w:type="gramEnd"/>
      <w:r w:rsidRPr="00395AD3">
        <w:rPr>
          <w:rFonts w:ascii="Arial" w:hAnsi="Arial" w:cs="Arial"/>
          <w:sz w:val="22"/>
          <w:szCs w:val="22"/>
        </w:rPr>
        <w:t xml:space="preserve"> patients to</w:t>
      </w:r>
      <w:r w:rsidR="009901C8">
        <w:rPr>
          <w:rFonts w:ascii="Arial" w:hAnsi="Arial" w:cs="Arial"/>
          <w:sz w:val="22"/>
          <w:szCs w:val="22"/>
        </w:rPr>
        <w:t xml:space="preserve"> </w:t>
      </w:r>
      <w:r w:rsidRPr="009901C8">
        <w:rPr>
          <w:rFonts w:ascii="Arial" w:hAnsi="Arial" w:cs="Arial"/>
          <w:sz w:val="22"/>
          <w:szCs w:val="22"/>
        </w:rPr>
        <w:t>immediately contact their health care provider if signs of liver failure occur, including jaundice, anorexia, bleeding or</w:t>
      </w:r>
      <w:r w:rsidR="009901C8">
        <w:rPr>
          <w:rFonts w:ascii="Arial" w:hAnsi="Arial" w:cs="Arial"/>
          <w:sz w:val="22"/>
          <w:szCs w:val="22"/>
        </w:rPr>
        <w:t xml:space="preserve"> </w:t>
      </w:r>
      <w:r w:rsidRPr="009901C8">
        <w:rPr>
          <w:rFonts w:ascii="Arial" w:hAnsi="Arial" w:cs="Arial"/>
          <w:sz w:val="22"/>
          <w:szCs w:val="22"/>
        </w:rPr>
        <w:t xml:space="preserve">bruising </w:t>
      </w:r>
      <w:r w:rsidR="009901C8">
        <w:rPr>
          <w:rFonts w:ascii="Arial" w:hAnsi="Arial" w:cs="Arial"/>
          <w:iCs/>
          <w:sz w:val="22"/>
          <w:szCs w:val="22"/>
        </w:rPr>
        <w:t>(</w:t>
      </w:r>
      <w:r w:rsidRPr="00395AD3">
        <w:rPr>
          <w:rFonts w:ascii="Arial" w:hAnsi="Arial" w:cs="Arial"/>
          <w:iCs/>
          <w:sz w:val="22"/>
          <w:szCs w:val="22"/>
        </w:rPr>
        <w:t>see</w:t>
      </w:r>
      <w:r w:rsidR="00AD7900">
        <w:rPr>
          <w:rFonts w:ascii="Arial" w:hAnsi="Arial" w:cs="Arial"/>
          <w:iCs/>
          <w:sz w:val="22"/>
          <w:szCs w:val="22"/>
        </w:rPr>
        <w:t xml:space="preserve"> </w:t>
      </w:r>
      <w:r w:rsidR="009901C8" w:rsidRPr="00E75499">
        <w:rPr>
          <w:rFonts w:ascii="Arial" w:hAnsi="Arial" w:cs="Arial"/>
          <w:b/>
          <w:iCs/>
          <w:sz w:val="22"/>
          <w:szCs w:val="22"/>
        </w:rPr>
        <w:t>Precautions</w:t>
      </w:r>
      <w:r w:rsidR="009901C8">
        <w:rPr>
          <w:rFonts w:ascii="Arial" w:hAnsi="Arial" w:cs="Arial"/>
          <w:iCs/>
          <w:sz w:val="22"/>
          <w:szCs w:val="22"/>
        </w:rPr>
        <w:t>)</w:t>
      </w:r>
      <w:r w:rsidRPr="00395AD3">
        <w:rPr>
          <w:rFonts w:ascii="Arial" w:hAnsi="Arial" w:cs="Arial"/>
          <w:sz w:val="22"/>
          <w:szCs w:val="22"/>
        </w:rPr>
        <w:t>.</w:t>
      </w:r>
    </w:p>
    <w:p w14:paraId="0FDCD140" w14:textId="77777777" w:rsidR="005B01FE" w:rsidRPr="00395AD3" w:rsidRDefault="005B01FE" w:rsidP="00395AD3">
      <w:pPr>
        <w:widowControl w:val="0"/>
        <w:autoSpaceDE w:val="0"/>
        <w:autoSpaceDN w:val="0"/>
        <w:adjustRightInd w:val="0"/>
        <w:rPr>
          <w:rFonts w:ascii="Arial" w:hAnsi="Arial" w:cs="Arial"/>
          <w:sz w:val="22"/>
          <w:szCs w:val="22"/>
        </w:rPr>
      </w:pPr>
    </w:p>
    <w:p w14:paraId="03C1E236" w14:textId="77777777" w:rsidR="00395AD3" w:rsidRPr="00727E57" w:rsidRDefault="00395AD3" w:rsidP="00395AD3">
      <w:pPr>
        <w:widowControl w:val="0"/>
        <w:autoSpaceDE w:val="0"/>
        <w:autoSpaceDN w:val="0"/>
        <w:adjustRightInd w:val="0"/>
        <w:rPr>
          <w:rFonts w:ascii="Arial" w:hAnsi="Arial" w:cs="Arial"/>
          <w:sz w:val="22"/>
          <w:szCs w:val="22"/>
          <w:u w:val="single"/>
        </w:rPr>
      </w:pPr>
      <w:r w:rsidRPr="00727E57">
        <w:rPr>
          <w:rFonts w:ascii="Arial" w:hAnsi="Arial" w:cs="Arial"/>
          <w:sz w:val="22"/>
          <w:szCs w:val="22"/>
          <w:u w:val="single"/>
        </w:rPr>
        <w:t>Hypertension</w:t>
      </w:r>
    </w:p>
    <w:p w14:paraId="00035A33" w14:textId="613E6969" w:rsidR="00395AD3" w:rsidRDefault="00395AD3" w:rsidP="00395AD3">
      <w:pPr>
        <w:widowControl w:val="0"/>
        <w:autoSpaceDE w:val="0"/>
        <w:autoSpaceDN w:val="0"/>
        <w:adjustRightInd w:val="0"/>
        <w:rPr>
          <w:rFonts w:ascii="Arial" w:hAnsi="Arial" w:cs="Arial"/>
          <w:iCs/>
          <w:sz w:val="22"/>
          <w:szCs w:val="22"/>
        </w:rPr>
      </w:pPr>
      <w:r w:rsidRPr="00727E57">
        <w:rPr>
          <w:rFonts w:ascii="Arial" w:hAnsi="Arial" w:cs="Arial"/>
          <w:sz w:val="22"/>
          <w:szCs w:val="22"/>
        </w:rPr>
        <w:t>Inform patients of the possibility of new or worsening of existing hypertension. Advise patien</w:t>
      </w:r>
      <w:r w:rsidR="00727E57" w:rsidRPr="00727E57">
        <w:rPr>
          <w:rFonts w:ascii="Arial" w:hAnsi="Arial" w:cs="Arial"/>
          <w:sz w:val="22"/>
          <w:szCs w:val="22"/>
        </w:rPr>
        <w:t>ts to contact their health care</w:t>
      </w:r>
      <w:r w:rsidR="00727E57">
        <w:rPr>
          <w:rFonts w:ascii="Arial" w:hAnsi="Arial" w:cs="Arial"/>
          <w:sz w:val="22"/>
          <w:szCs w:val="22"/>
        </w:rPr>
        <w:t xml:space="preserve"> </w:t>
      </w:r>
      <w:r w:rsidRPr="00727E57">
        <w:rPr>
          <w:rFonts w:ascii="Arial" w:hAnsi="Arial" w:cs="Arial"/>
          <w:sz w:val="22"/>
          <w:szCs w:val="22"/>
        </w:rPr>
        <w:t>provider for elevated blood pressure or if symptoms of hypertension occur including headache, dizziness, chest pain, or</w:t>
      </w:r>
      <w:r w:rsidR="00727E57">
        <w:rPr>
          <w:rFonts w:ascii="Arial" w:hAnsi="Arial" w:cs="Arial"/>
          <w:sz w:val="22"/>
          <w:szCs w:val="22"/>
        </w:rPr>
        <w:t xml:space="preserve"> </w:t>
      </w:r>
      <w:r w:rsidRPr="00727E57">
        <w:rPr>
          <w:rFonts w:ascii="Arial" w:hAnsi="Arial" w:cs="Arial"/>
          <w:sz w:val="22"/>
          <w:szCs w:val="22"/>
        </w:rPr>
        <w:t xml:space="preserve">shortness of breath </w:t>
      </w:r>
      <w:r w:rsidR="00727E57">
        <w:rPr>
          <w:rFonts w:ascii="Arial" w:hAnsi="Arial" w:cs="Arial"/>
          <w:iCs/>
          <w:sz w:val="22"/>
          <w:szCs w:val="22"/>
        </w:rPr>
        <w:t>(</w:t>
      </w:r>
      <w:r w:rsidRPr="00395AD3">
        <w:rPr>
          <w:rFonts w:ascii="Arial" w:hAnsi="Arial" w:cs="Arial"/>
          <w:iCs/>
          <w:sz w:val="22"/>
          <w:szCs w:val="22"/>
        </w:rPr>
        <w:t>see</w:t>
      </w:r>
      <w:r w:rsidR="00727E57">
        <w:rPr>
          <w:rFonts w:ascii="Arial" w:hAnsi="Arial" w:cs="Arial"/>
          <w:iCs/>
          <w:sz w:val="22"/>
          <w:szCs w:val="22"/>
        </w:rPr>
        <w:t xml:space="preserve"> </w:t>
      </w:r>
      <w:r w:rsidR="00727E57" w:rsidRPr="00E75499">
        <w:rPr>
          <w:rFonts w:ascii="Arial" w:hAnsi="Arial" w:cs="Arial"/>
          <w:b/>
          <w:iCs/>
          <w:sz w:val="22"/>
          <w:szCs w:val="22"/>
        </w:rPr>
        <w:t>Precautions</w:t>
      </w:r>
      <w:r w:rsidR="00727E57">
        <w:rPr>
          <w:rFonts w:ascii="Arial" w:hAnsi="Arial" w:cs="Arial"/>
          <w:iCs/>
          <w:sz w:val="22"/>
          <w:szCs w:val="22"/>
        </w:rPr>
        <w:t>)</w:t>
      </w:r>
      <w:r w:rsidRPr="00395AD3">
        <w:rPr>
          <w:rFonts w:ascii="Arial" w:hAnsi="Arial" w:cs="Arial"/>
          <w:iCs/>
          <w:sz w:val="22"/>
          <w:szCs w:val="22"/>
        </w:rPr>
        <w:t>.</w:t>
      </w:r>
    </w:p>
    <w:p w14:paraId="3CA76BA7" w14:textId="77777777" w:rsidR="00863086" w:rsidRPr="00727E57" w:rsidRDefault="00863086" w:rsidP="00395AD3">
      <w:pPr>
        <w:widowControl w:val="0"/>
        <w:autoSpaceDE w:val="0"/>
        <w:autoSpaceDN w:val="0"/>
        <w:adjustRightInd w:val="0"/>
        <w:rPr>
          <w:rFonts w:ascii="Arial" w:hAnsi="Arial" w:cs="Arial"/>
          <w:sz w:val="22"/>
          <w:szCs w:val="22"/>
        </w:rPr>
      </w:pPr>
    </w:p>
    <w:p w14:paraId="1BA7FED7" w14:textId="77777777" w:rsidR="00395AD3" w:rsidRPr="00395AD3" w:rsidRDefault="00395AD3" w:rsidP="00395AD3">
      <w:pPr>
        <w:widowControl w:val="0"/>
        <w:autoSpaceDE w:val="0"/>
        <w:autoSpaceDN w:val="0"/>
        <w:adjustRightInd w:val="0"/>
        <w:rPr>
          <w:rFonts w:ascii="Arial" w:hAnsi="Arial" w:cs="Arial"/>
          <w:sz w:val="22"/>
          <w:szCs w:val="22"/>
          <w:u w:val="single"/>
        </w:rPr>
      </w:pPr>
      <w:r w:rsidRPr="00395AD3">
        <w:rPr>
          <w:rFonts w:ascii="Arial" w:hAnsi="Arial" w:cs="Arial"/>
          <w:sz w:val="22"/>
          <w:szCs w:val="22"/>
          <w:u w:val="single"/>
        </w:rPr>
        <w:t>Pancreatitis</w:t>
      </w:r>
    </w:p>
    <w:p w14:paraId="68EA90C6" w14:textId="0D4EFB0D" w:rsidR="00395AD3" w:rsidRDefault="00395AD3" w:rsidP="00395AD3">
      <w:pPr>
        <w:widowControl w:val="0"/>
        <w:autoSpaceDE w:val="0"/>
        <w:autoSpaceDN w:val="0"/>
        <w:adjustRightInd w:val="0"/>
        <w:rPr>
          <w:rFonts w:ascii="Arial" w:hAnsi="Arial" w:cs="Arial"/>
          <w:iCs/>
          <w:sz w:val="22"/>
          <w:szCs w:val="22"/>
        </w:rPr>
      </w:pPr>
      <w:r w:rsidRPr="00863086">
        <w:rPr>
          <w:rFonts w:ascii="Arial" w:hAnsi="Arial" w:cs="Arial"/>
          <w:sz w:val="22"/>
          <w:szCs w:val="22"/>
        </w:rPr>
        <w:t>Inform patients of the possibility of developing pancreatitis that may be accompanied by na</w:t>
      </w:r>
      <w:r w:rsidR="00863086" w:rsidRPr="00863086">
        <w:rPr>
          <w:rFonts w:ascii="Arial" w:hAnsi="Arial" w:cs="Arial"/>
          <w:sz w:val="22"/>
          <w:szCs w:val="22"/>
        </w:rPr>
        <w:t>usea, vomiting, abdominal pain,</w:t>
      </w:r>
      <w:r w:rsidR="00863086">
        <w:rPr>
          <w:rFonts w:ascii="Arial" w:hAnsi="Arial" w:cs="Arial"/>
          <w:sz w:val="22"/>
          <w:szCs w:val="22"/>
        </w:rPr>
        <w:t xml:space="preserve"> </w:t>
      </w:r>
      <w:r w:rsidRPr="00863086">
        <w:rPr>
          <w:rFonts w:ascii="Arial" w:hAnsi="Arial" w:cs="Arial"/>
          <w:sz w:val="22"/>
          <w:szCs w:val="22"/>
        </w:rPr>
        <w:t xml:space="preserve">or abdominal discomfort, and to promptly report these symptoms </w:t>
      </w:r>
      <w:r w:rsidR="00863086">
        <w:rPr>
          <w:rFonts w:ascii="Arial" w:hAnsi="Arial" w:cs="Arial"/>
          <w:iCs/>
          <w:sz w:val="22"/>
          <w:szCs w:val="22"/>
        </w:rPr>
        <w:t>(</w:t>
      </w:r>
      <w:r w:rsidRPr="00395AD3">
        <w:rPr>
          <w:rFonts w:ascii="Arial" w:hAnsi="Arial" w:cs="Arial"/>
          <w:iCs/>
          <w:sz w:val="22"/>
          <w:szCs w:val="22"/>
        </w:rPr>
        <w:t>see</w:t>
      </w:r>
      <w:r w:rsidR="00863086">
        <w:rPr>
          <w:rFonts w:ascii="Arial" w:hAnsi="Arial" w:cs="Arial"/>
          <w:iCs/>
          <w:sz w:val="22"/>
          <w:szCs w:val="22"/>
        </w:rPr>
        <w:t xml:space="preserve"> </w:t>
      </w:r>
      <w:r w:rsidR="00863086" w:rsidRPr="00E75499">
        <w:rPr>
          <w:rFonts w:ascii="Arial" w:hAnsi="Arial" w:cs="Arial"/>
          <w:b/>
          <w:iCs/>
          <w:sz w:val="22"/>
          <w:szCs w:val="22"/>
        </w:rPr>
        <w:t>Precautions</w:t>
      </w:r>
      <w:r w:rsidR="00863086">
        <w:rPr>
          <w:rFonts w:ascii="Arial" w:hAnsi="Arial" w:cs="Arial"/>
          <w:iCs/>
          <w:sz w:val="22"/>
          <w:szCs w:val="22"/>
        </w:rPr>
        <w:t>)</w:t>
      </w:r>
      <w:r w:rsidRPr="00395AD3">
        <w:rPr>
          <w:rFonts w:ascii="Arial" w:hAnsi="Arial" w:cs="Arial"/>
          <w:iCs/>
          <w:sz w:val="22"/>
          <w:szCs w:val="22"/>
        </w:rPr>
        <w:t>.</w:t>
      </w:r>
    </w:p>
    <w:p w14:paraId="346DADED" w14:textId="77777777" w:rsidR="00CF2D73" w:rsidRPr="00CF2D73" w:rsidRDefault="00CF2D73" w:rsidP="00395AD3">
      <w:pPr>
        <w:widowControl w:val="0"/>
        <w:autoSpaceDE w:val="0"/>
        <w:autoSpaceDN w:val="0"/>
        <w:adjustRightInd w:val="0"/>
        <w:rPr>
          <w:rFonts w:ascii="Arial" w:hAnsi="Arial" w:cs="Arial"/>
          <w:sz w:val="22"/>
          <w:szCs w:val="22"/>
        </w:rPr>
      </w:pPr>
    </w:p>
    <w:p w14:paraId="5E2CC7F4" w14:textId="4B845AD1" w:rsidR="00395AD3" w:rsidRPr="00395AD3" w:rsidRDefault="00395AD3" w:rsidP="00395AD3">
      <w:pPr>
        <w:widowControl w:val="0"/>
        <w:autoSpaceDE w:val="0"/>
        <w:autoSpaceDN w:val="0"/>
        <w:adjustRightInd w:val="0"/>
        <w:rPr>
          <w:rFonts w:ascii="Arial" w:hAnsi="Arial" w:cs="Arial"/>
          <w:sz w:val="22"/>
          <w:szCs w:val="22"/>
          <w:u w:val="single"/>
        </w:rPr>
      </w:pPr>
      <w:proofErr w:type="spellStart"/>
      <w:r w:rsidRPr="00395AD3">
        <w:rPr>
          <w:rFonts w:ascii="Arial" w:hAnsi="Arial" w:cs="Arial"/>
          <w:sz w:val="22"/>
          <w:szCs w:val="22"/>
          <w:u w:val="single"/>
        </w:rPr>
        <w:t>H</w:t>
      </w:r>
      <w:r w:rsidR="00C235B6">
        <w:rPr>
          <w:rFonts w:ascii="Arial" w:hAnsi="Arial" w:cs="Arial"/>
          <w:sz w:val="22"/>
          <w:szCs w:val="22"/>
          <w:u w:val="single"/>
        </w:rPr>
        <w:t>a</w:t>
      </w:r>
      <w:r w:rsidRPr="00395AD3">
        <w:rPr>
          <w:rFonts w:ascii="Arial" w:hAnsi="Arial" w:cs="Arial"/>
          <w:sz w:val="22"/>
          <w:szCs w:val="22"/>
          <w:u w:val="single"/>
        </w:rPr>
        <w:t>emorrhage</w:t>
      </w:r>
      <w:proofErr w:type="spellEnd"/>
    </w:p>
    <w:p w14:paraId="4BC7F702" w14:textId="0AB12BBD" w:rsidR="00395AD3" w:rsidRDefault="00395AD3" w:rsidP="00395AD3">
      <w:pPr>
        <w:widowControl w:val="0"/>
        <w:autoSpaceDE w:val="0"/>
        <w:autoSpaceDN w:val="0"/>
        <w:adjustRightInd w:val="0"/>
        <w:rPr>
          <w:rFonts w:ascii="Arial" w:hAnsi="Arial" w:cs="Arial"/>
          <w:sz w:val="22"/>
          <w:szCs w:val="22"/>
        </w:rPr>
      </w:pPr>
      <w:r w:rsidRPr="00C235B6">
        <w:rPr>
          <w:rFonts w:ascii="Arial" w:hAnsi="Arial" w:cs="Arial"/>
          <w:sz w:val="22"/>
          <w:szCs w:val="22"/>
        </w:rPr>
        <w:t xml:space="preserve">Inform patients of the possibility of serious bleeding and to immediately contact their health </w:t>
      </w:r>
      <w:r w:rsidR="00C235B6" w:rsidRPr="00C235B6">
        <w:rPr>
          <w:rFonts w:ascii="Arial" w:hAnsi="Arial" w:cs="Arial"/>
          <w:sz w:val="22"/>
          <w:szCs w:val="22"/>
        </w:rPr>
        <w:t>care provider with any signs or</w:t>
      </w:r>
      <w:r w:rsidR="00C235B6">
        <w:rPr>
          <w:rFonts w:ascii="Arial" w:hAnsi="Arial" w:cs="Arial"/>
          <w:sz w:val="22"/>
          <w:szCs w:val="22"/>
        </w:rPr>
        <w:t xml:space="preserve"> </w:t>
      </w:r>
      <w:r w:rsidRPr="00C235B6">
        <w:rPr>
          <w:rFonts w:ascii="Arial" w:hAnsi="Arial" w:cs="Arial"/>
          <w:sz w:val="22"/>
          <w:szCs w:val="22"/>
        </w:rPr>
        <w:t xml:space="preserve">symptoms suggestive of </w:t>
      </w:r>
      <w:proofErr w:type="spellStart"/>
      <w:r w:rsidRPr="00C235B6">
        <w:rPr>
          <w:rFonts w:ascii="Arial" w:hAnsi="Arial" w:cs="Arial"/>
          <w:sz w:val="22"/>
          <w:szCs w:val="22"/>
        </w:rPr>
        <w:t>h</w:t>
      </w:r>
      <w:r w:rsidR="00C235B6">
        <w:rPr>
          <w:rFonts w:ascii="Arial" w:hAnsi="Arial" w:cs="Arial"/>
          <w:sz w:val="22"/>
          <w:szCs w:val="22"/>
        </w:rPr>
        <w:t>a</w:t>
      </w:r>
      <w:r w:rsidRPr="00C235B6">
        <w:rPr>
          <w:rFonts w:ascii="Arial" w:hAnsi="Arial" w:cs="Arial"/>
          <w:sz w:val="22"/>
          <w:szCs w:val="22"/>
        </w:rPr>
        <w:t>emorrhage</w:t>
      </w:r>
      <w:proofErr w:type="spellEnd"/>
      <w:r w:rsidRPr="00C235B6">
        <w:rPr>
          <w:rFonts w:ascii="Arial" w:hAnsi="Arial" w:cs="Arial"/>
          <w:sz w:val="22"/>
          <w:szCs w:val="22"/>
        </w:rPr>
        <w:t xml:space="preserve"> such as unusual bleeding or easy bruising </w:t>
      </w:r>
      <w:r w:rsidR="00C235B6">
        <w:rPr>
          <w:rFonts w:ascii="Arial" w:hAnsi="Arial" w:cs="Arial"/>
          <w:iCs/>
          <w:sz w:val="22"/>
          <w:szCs w:val="22"/>
        </w:rPr>
        <w:t>(</w:t>
      </w:r>
      <w:r w:rsidRPr="00395AD3">
        <w:rPr>
          <w:rFonts w:ascii="Arial" w:hAnsi="Arial" w:cs="Arial"/>
          <w:iCs/>
          <w:sz w:val="22"/>
          <w:szCs w:val="22"/>
        </w:rPr>
        <w:t>see</w:t>
      </w:r>
      <w:r w:rsidR="00C235B6">
        <w:rPr>
          <w:rFonts w:ascii="Arial" w:hAnsi="Arial" w:cs="Arial"/>
          <w:iCs/>
          <w:sz w:val="22"/>
          <w:szCs w:val="22"/>
        </w:rPr>
        <w:t xml:space="preserve"> </w:t>
      </w:r>
      <w:r w:rsidR="00C235B6" w:rsidRPr="00E75499">
        <w:rPr>
          <w:rFonts w:ascii="Arial" w:hAnsi="Arial" w:cs="Arial"/>
          <w:b/>
          <w:iCs/>
          <w:sz w:val="22"/>
          <w:szCs w:val="22"/>
        </w:rPr>
        <w:t>Precautions</w:t>
      </w:r>
      <w:r w:rsidR="00C235B6">
        <w:rPr>
          <w:rFonts w:ascii="Arial" w:hAnsi="Arial" w:cs="Arial"/>
          <w:iCs/>
          <w:sz w:val="22"/>
          <w:szCs w:val="22"/>
        </w:rPr>
        <w:t>)</w:t>
      </w:r>
      <w:r w:rsidRPr="00395AD3">
        <w:rPr>
          <w:rFonts w:ascii="Arial" w:hAnsi="Arial" w:cs="Arial"/>
          <w:sz w:val="22"/>
          <w:szCs w:val="22"/>
        </w:rPr>
        <w:t>.</w:t>
      </w:r>
    </w:p>
    <w:p w14:paraId="76DC8272" w14:textId="77777777" w:rsidR="001568D8" w:rsidRPr="00395AD3" w:rsidRDefault="001568D8" w:rsidP="00395AD3">
      <w:pPr>
        <w:widowControl w:val="0"/>
        <w:autoSpaceDE w:val="0"/>
        <w:autoSpaceDN w:val="0"/>
        <w:adjustRightInd w:val="0"/>
        <w:rPr>
          <w:rFonts w:ascii="Arial" w:hAnsi="Arial" w:cs="Arial"/>
          <w:sz w:val="22"/>
          <w:szCs w:val="22"/>
        </w:rPr>
      </w:pPr>
    </w:p>
    <w:p w14:paraId="7082BD49" w14:textId="77777777" w:rsidR="000E6D14" w:rsidRPr="00330B57" w:rsidRDefault="000E6D14" w:rsidP="00395AD3">
      <w:pPr>
        <w:widowControl w:val="0"/>
        <w:autoSpaceDE w:val="0"/>
        <w:autoSpaceDN w:val="0"/>
        <w:adjustRightInd w:val="0"/>
        <w:rPr>
          <w:rFonts w:ascii="Arial" w:hAnsi="Arial" w:cs="Arial"/>
          <w:sz w:val="22"/>
          <w:szCs w:val="22"/>
        </w:rPr>
      </w:pPr>
    </w:p>
    <w:p w14:paraId="0C84D4CD" w14:textId="77777777" w:rsidR="00395AD3" w:rsidRPr="00395AD3" w:rsidRDefault="00395AD3" w:rsidP="00395AD3">
      <w:pPr>
        <w:widowControl w:val="0"/>
        <w:autoSpaceDE w:val="0"/>
        <w:autoSpaceDN w:val="0"/>
        <w:adjustRightInd w:val="0"/>
        <w:rPr>
          <w:rFonts w:ascii="Arial" w:hAnsi="Arial" w:cs="Arial"/>
          <w:sz w:val="22"/>
          <w:szCs w:val="22"/>
          <w:u w:val="single"/>
        </w:rPr>
      </w:pPr>
      <w:proofErr w:type="spellStart"/>
      <w:r w:rsidRPr="00395AD3">
        <w:rPr>
          <w:rFonts w:ascii="Arial" w:hAnsi="Arial" w:cs="Arial"/>
          <w:sz w:val="22"/>
          <w:szCs w:val="22"/>
          <w:u w:val="single"/>
        </w:rPr>
        <w:lastRenderedPageBreak/>
        <w:t>Myelosuppression</w:t>
      </w:r>
      <w:proofErr w:type="spellEnd"/>
    </w:p>
    <w:p w14:paraId="7C1D9527" w14:textId="49357222" w:rsidR="00395AD3" w:rsidRDefault="00395AD3" w:rsidP="00395AD3">
      <w:pPr>
        <w:widowControl w:val="0"/>
        <w:autoSpaceDE w:val="0"/>
        <w:autoSpaceDN w:val="0"/>
        <w:adjustRightInd w:val="0"/>
        <w:rPr>
          <w:rFonts w:ascii="Arial" w:hAnsi="Arial" w:cs="Arial"/>
          <w:sz w:val="22"/>
          <w:szCs w:val="22"/>
        </w:rPr>
      </w:pPr>
      <w:r w:rsidRPr="000E6D14">
        <w:rPr>
          <w:rFonts w:ascii="Arial" w:hAnsi="Arial" w:cs="Arial"/>
          <w:sz w:val="22"/>
          <w:szCs w:val="22"/>
        </w:rPr>
        <w:t xml:space="preserve">Inform patients of the possibility of developing low blood cell counts; inform patients to </w:t>
      </w:r>
      <w:r w:rsidR="000E6D14" w:rsidRPr="000E6D14">
        <w:rPr>
          <w:rFonts w:ascii="Arial" w:hAnsi="Arial" w:cs="Arial"/>
          <w:sz w:val="22"/>
          <w:szCs w:val="22"/>
        </w:rPr>
        <w:t>report immediately should fever</w:t>
      </w:r>
      <w:r w:rsidR="000E6D14">
        <w:rPr>
          <w:rFonts w:ascii="Arial" w:hAnsi="Arial" w:cs="Arial"/>
          <w:sz w:val="22"/>
          <w:szCs w:val="22"/>
        </w:rPr>
        <w:t xml:space="preserve"> </w:t>
      </w:r>
      <w:r w:rsidRPr="000E6D14">
        <w:rPr>
          <w:rFonts w:ascii="Arial" w:hAnsi="Arial" w:cs="Arial"/>
          <w:sz w:val="22"/>
          <w:szCs w:val="22"/>
        </w:rPr>
        <w:t xml:space="preserve">develop, particularly in association with any suggestion of infection </w:t>
      </w:r>
      <w:r w:rsidR="000E6D14">
        <w:rPr>
          <w:rFonts w:ascii="Arial" w:hAnsi="Arial" w:cs="Arial"/>
          <w:iCs/>
          <w:sz w:val="22"/>
          <w:szCs w:val="22"/>
        </w:rPr>
        <w:t>(</w:t>
      </w:r>
      <w:r w:rsidRPr="00395AD3">
        <w:rPr>
          <w:rFonts w:ascii="Arial" w:hAnsi="Arial" w:cs="Arial"/>
          <w:iCs/>
          <w:sz w:val="22"/>
          <w:szCs w:val="22"/>
        </w:rPr>
        <w:t xml:space="preserve">see </w:t>
      </w:r>
      <w:r w:rsidR="000E6D14" w:rsidRPr="00E75499">
        <w:rPr>
          <w:rFonts w:ascii="Arial" w:hAnsi="Arial" w:cs="Arial"/>
          <w:b/>
          <w:iCs/>
          <w:sz w:val="22"/>
          <w:szCs w:val="22"/>
        </w:rPr>
        <w:t>Precautions</w:t>
      </w:r>
      <w:r w:rsidR="000E6D14">
        <w:rPr>
          <w:rFonts w:ascii="Arial" w:hAnsi="Arial" w:cs="Arial"/>
          <w:iCs/>
          <w:sz w:val="22"/>
          <w:szCs w:val="22"/>
        </w:rPr>
        <w:t>)</w:t>
      </w:r>
      <w:r w:rsidRPr="00395AD3">
        <w:rPr>
          <w:rFonts w:ascii="Arial" w:hAnsi="Arial" w:cs="Arial"/>
          <w:sz w:val="22"/>
          <w:szCs w:val="22"/>
        </w:rPr>
        <w:t>.</w:t>
      </w:r>
    </w:p>
    <w:p w14:paraId="30AC4FE5" w14:textId="77777777" w:rsidR="00363E99" w:rsidRPr="00395AD3" w:rsidRDefault="00363E99" w:rsidP="00395AD3">
      <w:pPr>
        <w:widowControl w:val="0"/>
        <w:autoSpaceDE w:val="0"/>
        <w:autoSpaceDN w:val="0"/>
        <w:adjustRightInd w:val="0"/>
        <w:rPr>
          <w:rFonts w:ascii="Arial" w:hAnsi="Arial" w:cs="Arial"/>
          <w:iCs/>
          <w:sz w:val="22"/>
          <w:szCs w:val="22"/>
        </w:rPr>
      </w:pPr>
    </w:p>
    <w:p w14:paraId="47BEAFC4" w14:textId="00BA4DA3" w:rsidR="00395AD3" w:rsidRPr="00395AD3" w:rsidRDefault="00395AD3" w:rsidP="00395AD3">
      <w:pPr>
        <w:widowControl w:val="0"/>
        <w:autoSpaceDE w:val="0"/>
        <w:autoSpaceDN w:val="0"/>
        <w:adjustRightInd w:val="0"/>
        <w:rPr>
          <w:rFonts w:ascii="Arial" w:hAnsi="Arial" w:cs="Arial"/>
          <w:sz w:val="22"/>
          <w:szCs w:val="22"/>
          <w:u w:val="single"/>
        </w:rPr>
      </w:pPr>
      <w:r w:rsidRPr="00395AD3">
        <w:rPr>
          <w:rFonts w:ascii="Arial" w:hAnsi="Arial" w:cs="Arial"/>
          <w:sz w:val="22"/>
          <w:szCs w:val="22"/>
          <w:u w:val="single"/>
        </w:rPr>
        <w:t>Embryo-</w:t>
      </w:r>
      <w:proofErr w:type="spellStart"/>
      <w:r w:rsidRPr="00395AD3">
        <w:rPr>
          <w:rFonts w:ascii="Arial" w:hAnsi="Arial" w:cs="Arial"/>
          <w:sz w:val="22"/>
          <w:szCs w:val="22"/>
          <w:u w:val="single"/>
        </w:rPr>
        <w:t>F</w:t>
      </w:r>
      <w:r w:rsidR="006F3E37">
        <w:rPr>
          <w:rFonts w:ascii="Arial" w:hAnsi="Arial" w:cs="Arial"/>
          <w:sz w:val="22"/>
          <w:szCs w:val="22"/>
          <w:u w:val="single"/>
        </w:rPr>
        <w:t>o</w:t>
      </w:r>
      <w:r w:rsidRPr="00395AD3">
        <w:rPr>
          <w:rFonts w:ascii="Arial" w:hAnsi="Arial" w:cs="Arial"/>
          <w:sz w:val="22"/>
          <w:szCs w:val="22"/>
          <w:u w:val="single"/>
        </w:rPr>
        <w:t>etal</w:t>
      </w:r>
      <w:proofErr w:type="spellEnd"/>
      <w:r w:rsidRPr="00395AD3">
        <w:rPr>
          <w:rFonts w:ascii="Arial" w:hAnsi="Arial" w:cs="Arial"/>
          <w:sz w:val="22"/>
          <w:szCs w:val="22"/>
          <w:u w:val="single"/>
        </w:rPr>
        <w:t xml:space="preserve"> Toxicity</w:t>
      </w:r>
    </w:p>
    <w:p w14:paraId="48B0AFAA" w14:textId="68BEB956" w:rsidR="00395AD3" w:rsidRDefault="00395AD3" w:rsidP="00395AD3">
      <w:pPr>
        <w:widowControl w:val="0"/>
        <w:autoSpaceDE w:val="0"/>
        <w:autoSpaceDN w:val="0"/>
        <w:adjustRightInd w:val="0"/>
        <w:rPr>
          <w:rFonts w:ascii="Arial" w:hAnsi="Arial" w:cs="Arial"/>
          <w:sz w:val="22"/>
          <w:szCs w:val="22"/>
        </w:rPr>
      </w:pPr>
      <w:r w:rsidRPr="00363E99">
        <w:rPr>
          <w:rFonts w:ascii="Arial" w:hAnsi="Arial" w:cs="Arial"/>
          <w:sz w:val="22"/>
          <w:szCs w:val="22"/>
        </w:rPr>
        <w:t xml:space="preserve">Inform patients that </w:t>
      </w:r>
      <w:r w:rsidR="00313296">
        <w:rPr>
          <w:rFonts w:ascii="Arial" w:hAnsi="Arial" w:cs="Arial"/>
          <w:sz w:val="22"/>
          <w:szCs w:val="22"/>
        </w:rPr>
        <w:t>ICLUSIG</w:t>
      </w:r>
      <w:r w:rsidRPr="00363E99">
        <w:rPr>
          <w:rFonts w:ascii="Arial" w:hAnsi="Arial" w:cs="Arial"/>
          <w:sz w:val="22"/>
          <w:szCs w:val="22"/>
        </w:rPr>
        <w:t xml:space="preserve"> can cause </w:t>
      </w:r>
      <w:proofErr w:type="spellStart"/>
      <w:r w:rsidRPr="00363E99">
        <w:rPr>
          <w:rFonts w:ascii="Arial" w:hAnsi="Arial" w:cs="Arial"/>
          <w:sz w:val="22"/>
          <w:szCs w:val="22"/>
        </w:rPr>
        <w:t>f</w:t>
      </w:r>
      <w:r w:rsidR="004D27AE">
        <w:rPr>
          <w:rFonts w:ascii="Arial" w:hAnsi="Arial" w:cs="Arial"/>
          <w:sz w:val="22"/>
          <w:szCs w:val="22"/>
        </w:rPr>
        <w:t>o</w:t>
      </w:r>
      <w:r w:rsidRPr="00363E99">
        <w:rPr>
          <w:rFonts w:ascii="Arial" w:hAnsi="Arial" w:cs="Arial"/>
          <w:sz w:val="22"/>
          <w:szCs w:val="22"/>
        </w:rPr>
        <w:t>etal</w:t>
      </w:r>
      <w:proofErr w:type="spellEnd"/>
      <w:r w:rsidRPr="00363E99">
        <w:rPr>
          <w:rFonts w:ascii="Arial" w:hAnsi="Arial" w:cs="Arial"/>
          <w:sz w:val="22"/>
          <w:szCs w:val="22"/>
        </w:rPr>
        <w:t xml:space="preserve"> harm when administered to a pregnant woman</w:t>
      </w:r>
      <w:r w:rsidR="00363E99" w:rsidRPr="00363E99">
        <w:rPr>
          <w:rFonts w:ascii="Arial" w:hAnsi="Arial" w:cs="Arial"/>
          <w:sz w:val="22"/>
          <w:szCs w:val="22"/>
        </w:rPr>
        <w:t xml:space="preserve">. </w:t>
      </w:r>
      <w:proofErr w:type="gramStart"/>
      <w:r w:rsidR="00363E99" w:rsidRPr="00363E99">
        <w:rPr>
          <w:rFonts w:ascii="Arial" w:hAnsi="Arial" w:cs="Arial"/>
          <w:sz w:val="22"/>
          <w:szCs w:val="22"/>
        </w:rPr>
        <w:t>Advise</w:t>
      </w:r>
      <w:proofErr w:type="gramEnd"/>
      <w:r w:rsidR="00363E99" w:rsidRPr="00363E99">
        <w:rPr>
          <w:rFonts w:ascii="Arial" w:hAnsi="Arial" w:cs="Arial"/>
          <w:sz w:val="22"/>
          <w:szCs w:val="22"/>
        </w:rPr>
        <w:t xml:space="preserve"> women of the potential</w:t>
      </w:r>
      <w:r w:rsidR="00363E99">
        <w:rPr>
          <w:rFonts w:ascii="Arial" w:hAnsi="Arial" w:cs="Arial"/>
          <w:sz w:val="22"/>
          <w:szCs w:val="22"/>
        </w:rPr>
        <w:t xml:space="preserve"> </w:t>
      </w:r>
      <w:r w:rsidRPr="00363E99">
        <w:rPr>
          <w:rFonts w:ascii="Arial" w:hAnsi="Arial" w:cs="Arial"/>
          <w:sz w:val="22"/>
          <w:szCs w:val="22"/>
        </w:rPr>
        <w:t xml:space="preserve">hazard to a </w:t>
      </w:r>
      <w:proofErr w:type="spellStart"/>
      <w:r w:rsidRPr="00363E99">
        <w:rPr>
          <w:rFonts w:ascii="Arial" w:hAnsi="Arial" w:cs="Arial"/>
          <w:sz w:val="22"/>
          <w:szCs w:val="22"/>
        </w:rPr>
        <w:t>f</w:t>
      </w:r>
      <w:r w:rsidR="00363E99">
        <w:rPr>
          <w:rFonts w:ascii="Arial" w:hAnsi="Arial" w:cs="Arial"/>
          <w:sz w:val="22"/>
          <w:szCs w:val="22"/>
        </w:rPr>
        <w:t>o</w:t>
      </w:r>
      <w:r w:rsidRPr="00363E99">
        <w:rPr>
          <w:rFonts w:ascii="Arial" w:hAnsi="Arial" w:cs="Arial"/>
          <w:sz w:val="22"/>
          <w:szCs w:val="22"/>
        </w:rPr>
        <w:t>etus</w:t>
      </w:r>
      <w:proofErr w:type="spellEnd"/>
      <w:r w:rsidRPr="00363E99">
        <w:rPr>
          <w:rFonts w:ascii="Arial" w:hAnsi="Arial" w:cs="Arial"/>
          <w:sz w:val="22"/>
          <w:szCs w:val="22"/>
        </w:rPr>
        <w:t xml:space="preserve"> and to avoid becoming pregnant </w:t>
      </w:r>
      <w:r w:rsidR="00363E99">
        <w:rPr>
          <w:rFonts w:ascii="Arial" w:hAnsi="Arial" w:cs="Arial"/>
          <w:iCs/>
          <w:sz w:val="22"/>
          <w:szCs w:val="22"/>
        </w:rPr>
        <w:t xml:space="preserve">(see </w:t>
      </w:r>
      <w:r w:rsidRPr="00E75499">
        <w:rPr>
          <w:rFonts w:ascii="Arial" w:hAnsi="Arial" w:cs="Arial"/>
          <w:b/>
          <w:iCs/>
          <w:sz w:val="22"/>
          <w:szCs w:val="22"/>
        </w:rPr>
        <w:t>Precautions</w:t>
      </w:r>
      <w:r w:rsidR="00363E99">
        <w:rPr>
          <w:rFonts w:ascii="Arial" w:hAnsi="Arial" w:cs="Arial"/>
          <w:iCs/>
          <w:sz w:val="22"/>
          <w:szCs w:val="22"/>
        </w:rPr>
        <w:t>)</w:t>
      </w:r>
      <w:r w:rsidRPr="00395AD3">
        <w:rPr>
          <w:rFonts w:ascii="Arial" w:hAnsi="Arial" w:cs="Arial"/>
          <w:sz w:val="22"/>
          <w:szCs w:val="22"/>
        </w:rPr>
        <w:t>.</w:t>
      </w:r>
    </w:p>
    <w:p w14:paraId="5FC472E6" w14:textId="77777777" w:rsidR="00363E99" w:rsidRPr="00395AD3" w:rsidRDefault="00363E99" w:rsidP="00395AD3">
      <w:pPr>
        <w:widowControl w:val="0"/>
        <w:autoSpaceDE w:val="0"/>
        <w:autoSpaceDN w:val="0"/>
        <w:adjustRightInd w:val="0"/>
        <w:rPr>
          <w:rFonts w:ascii="Arial" w:hAnsi="Arial" w:cs="Arial"/>
          <w:sz w:val="22"/>
          <w:szCs w:val="22"/>
        </w:rPr>
      </w:pPr>
    </w:p>
    <w:p w14:paraId="3D4FDB22" w14:textId="4A1B0CCD" w:rsidR="00395AD3" w:rsidRPr="003C3110" w:rsidRDefault="00395AD3" w:rsidP="00395AD3">
      <w:pPr>
        <w:widowControl w:val="0"/>
        <w:autoSpaceDE w:val="0"/>
        <w:autoSpaceDN w:val="0"/>
        <w:adjustRightInd w:val="0"/>
        <w:rPr>
          <w:rFonts w:ascii="Arial" w:hAnsi="Arial" w:cs="Arial"/>
          <w:sz w:val="22"/>
          <w:szCs w:val="22"/>
          <w:u w:val="single"/>
        </w:rPr>
      </w:pPr>
      <w:r w:rsidRPr="003C3110">
        <w:rPr>
          <w:rFonts w:ascii="Arial" w:hAnsi="Arial" w:cs="Arial"/>
          <w:sz w:val="22"/>
          <w:szCs w:val="22"/>
          <w:u w:val="single"/>
        </w:rPr>
        <w:t xml:space="preserve">Instructions for Taking </w:t>
      </w:r>
      <w:r w:rsidR="00313296">
        <w:rPr>
          <w:rFonts w:ascii="Arial" w:hAnsi="Arial" w:cs="Arial"/>
          <w:sz w:val="22"/>
          <w:szCs w:val="22"/>
          <w:u w:val="single"/>
        </w:rPr>
        <w:t>ICLUSIG</w:t>
      </w:r>
    </w:p>
    <w:p w14:paraId="38635591" w14:textId="4BF62646" w:rsidR="00395AD3" w:rsidRPr="003C3110" w:rsidRDefault="00395AD3" w:rsidP="00395AD3">
      <w:pPr>
        <w:widowControl w:val="0"/>
        <w:autoSpaceDE w:val="0"/>
        <w:autoSpaceDN w:val="0"/>
        <w:adjustRightInd w:val="0"/>
        <w:rPr>
          <w:rFonts w:ascii="Arial" w:hAnsi="Arial" w:cs="Arial"/>
          <w:sz w:val="22"/>
          <w:szCs w:val="22"/>
        </w:rPr>
      </w:pPr>
      <w:r w:rsidRPr="003C3110">
        <w:rPr>
          <w:rFonts w:ascii="Arial" w:hAnsi="Arial" w:cs="Arial"/>
          <w:sz w:val="22"/>
          <w:szCs w:val="22"/>
        </w:rPr>
        <w:t xml:space="preserve">Advise patients to take </w:t>
      </w:r>
      <w:r w:rsidR="00313296">
        <w:rPr>
          <w:rFonts w:ascii="Arial" w:hAnsi="Arial" w:cs="Arial"/>
          <w:sz w:val="22"/>
          <w:szCs w:val="22"/>
        </w:rPr>
        <w:t>ICLUSIG</w:t>
      </w:r>
      <w:r w:rsidRPr="003C3110">
        <w:rPr>
          <w:rFonts w:ascii="Arial" w:hAnsi="Arial" w:cs="Arial"/>
          <w:sz w:val="22"/>
          <w:szCs w:val="22"/>
        </w:rPr>
        <w:t xml:space="preserve"> exactly as prescribed and not to change their dose or to stop</w:t>
      </w:r>
      <w:r w:rsidR="003C3110" w:rsidRPr="003C3110">
        <w:rPr>
          <w:rFonts w:ascii="Arial" w:hAnsi="Arial" w:cs="Arial"/>
          <w:sz w:val="22"/>
          <w:szCs w:val="22"/>
        </w:rPr>
        <w:t xml:space="preserve"> taking </w:t>
      </w:r>
      <w:r w:rsidR="00313296">
        <w:rPr>
          <w:rFonts w:ascii="Arial" w:hAnsi="Arial" w:cs="Arial"/>
          <w:sz w:val="22"/>
          <w:szCs w:val="22"/>
        </w:rPr>
        <w:t>ICLUSIG</w:t>
      </w:r>
      <w:r w:rsidR="003C3110" w:rsidRPr="003C3110">
        <w:rPr>
          <w:rFonts w:ascii="Arial" w:hAnsi="Arial" w:cs="Arial"/>
          <w:sz w:val="22"/>
          <w:szCs w:val="22"/>
        </w:rPr>
        <w:t xml:space="preserve"> unless they are</w:t>
      </w:r>
      <w:r w:rsidR="003C3110">
        <w:rPr>
          <w:rFonts w:ascii="Arial" w:hAnsi="Arial" w:cs="Arial"/>
          <w:sz w:val="22"/>
          <w:szCs w:val="22"/>
        </w:rPr>
        <w:t xml:space="preserve"> </w:t>
      </w:r>
      <w:r w:rsidRPr="003C3110">
        <w:rPr>
          <w:rFonts w:ascii="Arial" w:hAnsi="Arial" w:cs="Arial"/>
          <w:sz w:val="22"/>
          <w:szCs w:val="22"/>
        </w:rPr>
        <w:t xml:space="preserve">told to do so by their health care provider. </w:t>
      </w:r>
      <w:r w:rsidR="00313296">
        <w:rPr>
          <w:rFonts w:ascii="Arial" w:hAnsi="Arial" w:cs="Arial"/>
          <w:sz w:val="22"/>
          <w:szCs w:val="22"/>
        </w:rPr>
        <w:t>ICLUSIG</w:t>
      </w:r>
      <w:r w:rsidRPr="003C3110">
        <w:rPr>
          <w:rFonts w:ascii="Arial" w:hAnsi="Arial" w:cs="Arial"/>
          <w:sz w:val="22"/>
          <w:szCs w:val="22"/>
        </w:rPr>
        <w:t xml:space="preserve"> may be taken with or without food. </w:t>
      </w:r>
      <w:r w:rsidR="00313296">
        <w:rPr>
          <w:rFonts w:ascii="Arial" w:hAnsi="Arial" w:cs="Arial"/>
          <w:sz w:val="22"/>
          <w:szCs w:val="22"/>
        </w:rPr>
        <w:t>ICLUSIG</w:t>
      </w:r>
      <w:r w:rsidRPr="003C3110">
        <w:rPr>
          <w:rFonts w:ascii="Arial" w:hAnsi="Arial" w:cs="Arial"/>
          <w:sz w:val="22"/>
          <w:szCs w:val="22"/>
        </w:rPr>
        <w:t xml:space="preserve"> tablets should be swallowed</w:t>
      </w:r>
      <w:r w:rsidR="003C3110">
        <w:rPr>
          <w:rFonts w:ascii="Arial" w:hAnsi="Arial" w:cs="Arial"/>
          <w:sz w:val="22"/>
          <w:szCs w:val="22"/>
        </w:rPr>
        <w:t xml:space="preserve"> </w:t>
      </w:r>
      <w:r w:rsidRPr="003C3110">
        <w:rPr>
          <w:rFonts w:ascii="Arial" w:hAnsi="Arial" w:cs="Arial"/>
          <w:sz w:val="22"/>
          <w:szCs w:val="22"/>
        </w:rPr>
        <w:t>whole. Patients should not crush or dissolve the tablets.</w:t>
      </w:r>
    </w:p>
    <w:p w14:paraId="5ADCF6DA" w14:textId="77777777" w:rsidR="003C3110" w:rsidRDefault="003C3110" w:rsidP="00395AD3">
      <w:pPr>
        <w:widowControl w:val="0"/>
        <w:autoSpaceDE w:val="0"/>
        <w:autoSpaceDN w:val="0"/>
        <w:adjustRightInd w:val="0"/>
        <w:rPr>
          <w:rFonts w:ascii="Arial" w:hAnsi="Arial" w:cs="Arial"/>
          <w:sz w:val="22"/>
          <w:szCs w:val="22"/>
        </w:rPr>
      </w:pPr>
    </w:p>
    <w:p w14:paraId="55D66927" w14:textId="77777777" w:rsidR="00395AD3" w:rsidRDefault="00395AD3" w:rsidP="00395AD3">
      <w:pPr>
        <w:widowControl w:val="0"/>
        <w:autoSpaceDE w:val="0"/>
        <w:autoSpaceDN w:val="0"/>
        <w:adjustRightInd w:val="0"/>
        <w:rPr>
          <w:rFonts w:ascii="Arial" w:hAnsi="Arial" w:cs="Arial"/>
          <w:sz w:val="22"/>
          <w:szCs w:val="22"/>
        </w:rPr>
      </w:pPr>
      <w:r w:rsidRPr="003C3110">
        <w:rPr>
          <w:rFonts w:ascii="Arial" w:hAnsi="Arial" w:cs="Arial"/>
          <w:sz w:val="22"/>
          <w:szCs w:val="22"/>
        </w:rPr>
        <w:t>Patients should not take two doses at the same time to make up for a missed dose.</w:t>
      </w:r>
    </w:p>
    <w:p w14:paraId="69F6FBC2" w14:textId="77777777" w:rsidR="003C3110" w:rsidRPr="003C3110" w:rsidRDefault="003C3110" w:rsidP="00395AD3">
      <w:pPr>
        <w:widowControl w:val="0"/>
        <w:autoSpaceDE w:val="0"/>
        <w:autoSpaceDN w:val="0"/>
        <w:adjustRightInd w:val="0"/>
        <w:rPr>
          <w:rFonts w:ascii="Arial" w:hAnsi="Arial" w:cs="Arial"/>
          <w:sz w:val="22"/>
          <w:szCs w:val="22"/>
        </w:rPr>
      </w:pPr>
    </w:p>
    <w:p w14:paraId="1D8CCFF7" w14:textId="77777777" w:rsidR="00395AD3" w:rsidRPr="00313296" w:rsidRDefault="00395AD3" w:rsidP="00395AD3">
      <w:pPr>
        <w:widowControl w:val="0"/>
        <w:autoSpaceDE w:val="0"/>
        <w:autoSpaceDN w:val="0"/>
        <w:adjustRightInd w:val="0"/>
        <w:rPr>
          <w:rFonts w:ascii="Arial" w:hAnsi="Arial" w:cs="Arial"/>
          <w:sz w:val="22"/>
          <w:szCs w:val="22"/>
          <w:u w:val="single"/>
        </w:rPr>
      </w:pPr>
      <w:r w:rsidRPr="00313296">
        <w:rPr>
          <w:rFonts w:ascii="Arial" w:hAnsi="Arial" w:cs="Arial"/>
          <w:sz w:val="22"/>
          <w:szCs w:val="22"/>
          <w:u w:val="single"/>
        </w:rPr>
        <w:t>Lactose</w:t>
      </w:r>
    </w:p>
    <w:p w14:paraId="7D6899DE" w14:textId="2473FB38" w:rsidR="00395AD3" w:rsidRDefault="00395AD3" w:rsidP="00395AD3">
      <w:pPr>
        <w:rPr>
          <w:rFonts w:ascii="Arial" w:hAnsi="Arial" w:cs="Arial"/>
          <w:sz w:val="22"/>
          <w:szCs w:val="22"/>
        </w:rPr>
      </w:pPr>
      <w:r w:rsidRPr="00AE5223">
        <w:rPr>
          <w:rFonts w:ascii="Arial" w:hAnsi="Arial" w:cs="Arial"/>
          <w:sz w:val="22"/>
          <w:szCs w:val="22"/>
        </w:rPr>
        <w:t xml:space="preserve">Inform patients that </w:t>
      </w:r>
      <w:r w:rsidR="00313296">
        <w:rPr>
          <w:rFonts w:ascii="Arial" w:hAnsi="Arial" w:cs="Arial"/>
          <w:sz w:val="22"/>
          <w:szCs w:val="22"/>
        </w:rPr>
        <w:t>ICLUSIG</w:t>
      </w:r>
      <w:r w:rsidRPr="00313296">
        <w:rPr>
          <w:rFonts w:ascii="Arial" w:hAnsi="Arial" w:cs="Arial"/>
          <w:sz w:val="22"/>
          <w:szCs w:val="22"/>
        </w:rPr>
        <w:t xml:space="preserve"> contains 121 mg of lactose monohydrate i</w:t>
      </w:r>
      <w:r w:rsidRPr="00AE5223">
        <w:rPr>
          <w:rFonts w:ascii="Arial" w:hAnsi="Arial" w:cs="Arial"/>
          <w:sz w:val="22"/>
          <w:szCs w:val="22"/>
        </w:rPr>
        <w:t>n a 45 mg daily dose.</w:t>
      </w:r>
    </w:p>
    <w:p w14:paraId="43253744" w14:textId="77777777" w:rsidR="003C3110" w:rsidRPr="003C3110" w:rsidRDefault="003C3110" w:rsidP="00395AD3">
      <w:pPr>
        <w:rPr>
          <w:rFonts w:ascii="Arial" w:hAnsi="Arial" w:cs="Arial"/>
          <w:b/>
          <w:sz w:val="22"/>
          <w:szCs w:val="22"/>
        </w:rPr>
      </w:pPr>
    </w:p>
    <w:p w14:paraId="69326D9E" w14:textId="77777777" w:rsidR="0057419A" w:rsidRPr="00D10ED2" w:rsidRDefault="0057419A" w:rsidP="005329CC">
      <w:pPr>
        <w:rPr>
          <w:rFonts w:ascii="Arial" w:hAnsi="Arial" w:cs="Arial"/>
          <w:b/>
          <w:sz w:val="28"/>
          <w:szCs w:val="28"/>
        </w:rPr>
      </w:pPr>
      <w:r w:rsidRPr="00D10ED2">
        <w:rPr>
          <w:rFonts w:ascii="Arial" w:hAnsi="Arial" w:cs="Arial"/>
          <w:b/>
          <w:sz w:val="28"/>
          <w:szCs w:val="28"/>
        </w:rPr>
        <w:t>Presentation and Storage Conditions</w:t>
      </w:r>
    </w:p>
    <w:p w14:paraId="4EA43E95" w14:textId="77777777" w:rsidR="00737F7A" w:rsidRPr="00D10ED2" w:rsidRDefault="00737F7A" w:rsidP="00832185">
      <w:pPr>
        <w:rPr>
          <w:rFonts w:ascii="Arial" w:hAnsi="Arial" w:cs="Arial"/>
          <w:sz w:val="22"/>
          <w:szCs w:val="22"/>
        </w:rPr>
      </w:pPr>
    </w:p>
    <w:p w14:paraId="0E01C175" w14:textId="77777777" w:rsidR="00514926" w:rsidRPr="00D10ED2" w:rsidRDefault="00514926" w:rsidP="00832185">
      <w:pPr>
        <w:rPr>
          <w:rFonts w:ascii="Arial" w:hAnsi="Arial" w:cs="Arial"/>
          <w:sz w:val="22"/>
          <w:szCs w:val="22"/>
          <w:u w:val="single"/>
        </w:rPr>
      </w:pPr>
      <w:r w:rsidRPr="00D10ED2">
        <w:rPr>
          <w:rFonts w:ascii="Arial" w:hAnsi="Arial" w:cs="Arial"/>
          <w:sz w:val="22"/>
          <w:szCs w:val="22"/>
          <w:u w:val="single"/>
        </w:rPr>
        <w:t>Presentation:</w:t>
      </w:r>
    </w:p>
    <w:p w14:paraId="74676B7C" w14:textId="77777777" w:rsidR="00514926" w:rsidRPr="00D10ED2" w:rsidRDefault="00514926" w:rsidP="00832185">
      <w:pPr>
        <w:rPr>
          <w:rFonts w:ascii="Arial" w:hAnsi="Arial" w:cs="Arial"/>
          <w:sz w:val="22"/>
          <w:szCs w:val="22"/>
          <w:u w:val="single"/>
        </w:rPr>
      </w:pPr>
    </w:p>
    <w:p w14:paraId="3E9366EA" w14:textId="77777777" w:rsidR="00514926" w:rsidRPr="00D10ED2" w:rsidRDefault="00514926" w:rsidP="00514926">
      <w:pPr>
        <w:rPr>
          <w:rFonts w:ascii="Arial" w:hAnsi="Arial" w:cs="Arial"/>
          <w:sz w:val="22"/>
          <w:szCs w:val="22"/>
        </w:rPr>
      </w:pPr>
      <w:r w:rsidRPr="00D10ED2">
        <w:rPr>
          <w:rFonts w:ascii="Arial" w:hAnsi="Arial" w:cs="Arial"/>
          <w:sz w:val="22"/>
          <w:szCs w:val="22"/>
        </w:rPr>
        <w:t>15 mg Film Coated Tablet:</w:t>
      </w:r>
      <w:r w:rsidR="00F22F98" w:rsidRPr="00D10ED2">
        <w:rPr>
          <w:rFonts w:ascii="Arial" w:hAnsi="Arial" w:cs="Arial"/>
          <w:sz w:val="22"/>
          <w:szCs w:val="22"/>
        </w:rPr>
        <w:t xml:space="preserve"> </w:t>
      </w:r>
      <w:r w:rsidRPr="00D10ED2">
        <w:rPr>
          <w:rFonts w:ascii="Arial" w:hAnsi="Arial" w:cs="Arial"/>
          <w:sz w:val="22"/>
          <w:szCs w:val="22"/>
        </w:rPr>
        <w:t>White, biconvex, round film-coated tablet that is approximately 6 mm in diameter, with "A5" debossed on one side.</w:t>
      </w:r>
    </w:p>
    <w:p w14:paraId="37DFE405" w14:textId="77777777" w:rsidR="00514926" w:rsidRPr="00D10ED2" w:rsidRDefault="00514926" w:rsidP="00514926">
      <w:pPr>
        <w:rPr>
          <w:rFonts w:ascii="Arial" w:hAnsi="Arial" w:cs="Arial"/>
          <w:sz w:val="22"/>
          <w:szCs w:val="22"/>
        </w:rPr>
      </w:pPr>
    </w:p>
    <w:p w14:paraId="233B5275" w14:textId="77777777" w:rsidR="00514926" w:rsidRPr="00D10ED2" w:rsidRDefault="00514926" w:rsidP="00514926">
      <w:pPr>
        <w:rPr>
          <w:rFonts w:ascii="Arial" w:hAnsi="Arial" w:cs="Arial"/>
          <w:sz w:val="22"/>
          <w:szCs w:val="22"/>
        </w:rPr>
      </w:pPr>
      <w:r w:rsidRPr="00D10ED2">
        <w:rPr>
          <w:rFonts w:ascii="Arial" w:hAnsi="Arial" w:cs="Arial"/>
          <w:sz w:val="22"/>
          <w:szCs w:val="22"/>
        </w:rPr>
        <w:t>45 mg Film Coated Tablet:</w:t>
      </w:r>
      <w:r w:rsidR="00F22F98" w:rsidRPr="00D10ED2">
        <w:rPr>
          <w:rFonts w:ascii="Arial" w:hAnsi="Arial" w:cs="Arial"/>
          <w:sz w:val="22"/>
          <w:szCs w:val="22"/>
        </w:rPr>
        <w:t xml:space="preserve"> </w:t>
      </w:r>
      <w:r w:rsidRPr="00D10ED2">
        <w:rPr>
          <w:rFonts w:ascii="Arial" w:hAnsi="Arial" w:cs="Arial"/>
          <w:sz w:val="22"/>
          <w:szCs w:val="22"/>
        </w:rPr>
        <w:t>White, biconvex, round film-coated tablet that is approximately 9 mm in diameter, with "AP4" debossed on one side.</w:t>
      </w:r>
    </w:p>
    <w:p w14:paraId="35D726A6" w14:textId="77777777" w:rsidR="00514926" w:rsidRPr="00D10ED2" w:rsidRDefault="00514926" w:rsidP="00832185">
      <w:pPr>
        <w:rPr>
          <w:rFonts w:ascii="Arial" w:hAnsi="Arial" w:cs="Arial"/>
          <w:sz w:val="22"/>
          <w:szCs w:val="22"/>
        </w:rPr>
      </w:pPr>
    </w:p>
    <w:p w14:paraId="19F28779" w14:textId="074E1F89" w:rsidR="00514926" w:rsidRPr="00D10ED2" w:rsidRDefault="00514926" w:rsidP="00832185">
      <w:pPr>
        <w:rPr>
          <w:rFonts w:ascii="Arial" w:hAnsi="Arial" w:cs="Arial"/>
          <w:sz w:val="22"/>
          <w:szCs w:val="22"/>
        </w:rPr>
      </w:pPr>
      <w:r w:rsidRPr="00D10ED2">
        <w:rPr>
          <w:rFonts w:ascii="Arial" w:hAnsi="Arial" w:cs="Arial"/>
          <w:sz w:val="22"/>
          <w:szCs w:val="22"/>
        </w:rPr>
        <w:t xml:space="preserve">ICLUSIG film </w:t>
      </w:r>
      <w:r w:rsidR="004F36D6" w:rsidRPr="00D10ED2">
        <w:rPr>
          <w:rFonts w:ascii="Arial" w:hAnsi="Arial" w:cs="Arial"/>
          <w:sz w:val="22"/>
          <w:szCs w:val="22"/>
        </w:rPr>
        <w:t>coated tablets are supplied in h</w:t>
      </w:r>
      <w:r w:rsidRPr="00D10ED2">
        <w:rPr>
          <w:rFonts w:ascii="Arial" w:hAnsi="Arial" w:cs="Arial"/>
          <w:sz w:val="22"/>
          <w:szCs w:val="22"/>
        </w:rPr>
        <w:t xml:space="preserve">igh density polyethylene (HDPE) bottles with </w:t>
      </w:r>
      <w:r w:rsidR="00AB11AF">
        <w:rPr>
          <w:rFonts w:ascii="Arial" w:hAnsi="Arial" w:cs="Arial"/>
          <w:sz w:val="22"/>
          <w:szCs w:val="22"/>
        </w:rPr>
        <w:t xml:space="preserve">child resistant, </w:t>
      </w:r>
      <w:r w:rsidRPr="00D10ED2">
        <w:rPr>
          <w:rFonts w:ascii="Arial" w:hAnsi="Arial" w:cs="Arial"/>
          <w:sz w:val="22"/>
          <w:szCs w:val="22"/>
        </w:rPr>
        <w:t>screw-top closures.</w:t>
      </w:r>
    </w:p>
    <w:p w14:paraId="0843E648" w14:textId="77777777" w:rsidR="00514926" w:rsidRPr="00D10ED2" w:rsidRDefault="00514926" w:rsidP="00832185">
      <w:pPr>
        <w:rPr>
          <w:rFonts w:ascii="Arial" w:hAnsi="Arial" w:cs="Arial"/>
          <w:sz w:val="22"/>
          <w:szCs w:val="22"/>
        </w:rPr>
      </w:pPr>
    </w:p>
    <w:p w14:paraId="2FE609E9" w14:textId="77777777" w:rsidR="00F22F98" w:rsidRPr="00D10ED2" w:rsidRDefault="00514926" w:rsidP="00514926">
      <w:pPr>
        <w:rPr>
          <w:rFonts w:ascii="Arial" w:hAnsi="Arial" w:cs="Arial"/>
          <w:sz w:val="22"/>
          <w:szCs w:val="22"/>
        </w:rPr>
      </w:pPr>
      <w:r w:rsidRPr="00D10ED2">
        <w:rPr>
          <w:rFonts w:ascii="Arial" w:hAnsi="Arial" w:cs="Arial"/>
          <w:sz w:val="22"/>
          <w:szCs w:val="22"/>
        </w:rPr>
        <w:t>Each bottle contains</w:t>
      </w:r>
      <w:r w:rsidR="00F22F98" w:rsidRPr="00D10ED2">
        <w:rPr>
          <w:rFonts w:ascii="Arial" w:hAnsi="Arial" w:cs="Arial"/>
          <w:sz w:val="22"/>
          <w:szCs w:val="22"/>
        </w:rPr>
        <w:t xml:space="preserve"> either;</w:t>
      </w:r>
    </w:p>
    <w:p w14:paraId="2716FA80" w14:textId="77777777" w:rsidR="00F22F98" w:rsidRPr="00D10ED2" w:rsidRDefault="00F22F98" w:rsidP="00514926">
      <w:pPr>
        <w:rPr>
          <w:rFonts w:ascii="Arial" w:hAnsi="Arial" w:cs="Arial"/>
          <w:sz w:val="22"/>
          <w:szCs w:val="22"/>
        </w:rPr>
      </w:pPr>
    </w:p>
    <w:p w14:paraId="3794C596" w14:textId="322088E5" w:rsidR="00F22F98" w:rsidRPr="00D10ED2" w:rsidRDefault="00832185" w:rsidP="00E43D6D">
      <w:pPr>
        <w:pStyle w:val="ListParagraph"/>
        <w:numPr>
          <w:ilvl w:val="0"/>
          <w:numId w:val="29"/>
        </w:numPr>
        <w:rPr>
          <w:rFonts w:ascii="Arial" w:hAnsi="Arial" w:cs="Arial"/>
        </w:rPr>
      </w:pPr>
      <w:r w:rsidRPr="00D10ED2">
        <w:rPr>
          <w:rFonts w:ascii="Arial" w:hAnsi="Arial" w:cs="Arial"/>
        </w:rPr>
        <w:t xml:space="preserve">60 </w:t>
      </w:r>
      <w:r w:rsidR="00E43D6D" w:rsidRPr="00D10ED2">
        <w:rPr>
          <w:rFonts w:ascii="Arial" w:hAnsi="Arial" w:cs="Arial"/>
        </w:rPr>
        <w:t xml:space="preserve">15 mg </w:t>
      </w:r>
      <w:r w:rsidR="00F22F98" w:rsidRPr="00D10ED2">
        <w:rPr>
          <w:rFonts w:ascii="Arial" w:hAnsi="Arial" w:cs="Arial"/>
        </w:rPr>
        <w:t>film-coated</w:t>
      </w:r>
      <w:r w:rsidR="00514926" w:rsidRPr="00D10ED2">
        <w:rPr>
          <w:rFonts w:ascii="Arial" w:hAnsi="Arial" w:cs="Arial"/>
        </w:rPr>
        <w:t xml:space="preserve"> tablets,</w:t>
      </w:r>
      <w:r w:rsidR="00F22F98" w:rsidRPr="00D10ED2">
        <w:rPr>
          <w:rFonts w:ascii="Arial" w:hAnsi="Arial" w:cs="Arial"/>
        </w:rPr>
        <w:t xml:space="preserve"> </w:t>
      </w:r>
      <w:r w:rsidR="00514926" w:rsidRPr="00D10ED2">
        <w:rPr>
          <w:rFonts w:ascii="Arial" w:hAnsi="Arial" w:cs="Arial"/>
        </w:rPr>
        <w:t xml:space="preserve">or </w:t>
      </w:r>
    </w:p>
    <w:p w14:paraId="616CD119" w14:textId="53434E8D" w:rsidR="00514926" w:rsidRPr="00D10ED2" w:rsidRDefault="00514926" w:rsidP="00E43D6D">
      <w:pPr>
        <w:pStyle w:val="ListParagraph"/>
        <w:numPr>
          <w:ilvl w:val="0"/>
          <w:numId w:val="29"/>
        </w:numPr>
        <w:rPr>
          <w:rFonts w:ascii="Arial" w:hAnsi="Arial" w:cs="Arial"/>
        </w:rPr>
      </w:pPr>
      <w:r w:rsidRPr="00D10ED2">
        <w:rPr>
          <w:rFonts w:ascii="Arial" w:hAnsi="Arial" w:cs="Arial"/>
        </w:rPr>
        <w:t xml:space="preserve">30 </w:t>
      </w:r>
      <w:r w:rsidR="00E43D6D" w:rsidRPr="00D10ED2">
        <w:rPr>
          <w:rFonts w:ascii="Arial" w:hAnsi="Arial" w:cs="Arial"/>
        </w:rPr>
        <w:t xml:space="preserve">45 mg </w:t>
      </w:r>
      <w:r w:rsidRPr="00D10ED2">
        <w:rPr>
          <w:rFonts w:ascii="Arial" w:hAnsi="Arial" w:cs="Arial"/>
        </w:rPr>
        <w:t>film-coated tablets.</w:t>
      </w:r>
    </w:p>
    <w:p w14:paraId="269EA278" w14:textId="77777777" w:rsidR="00832185" w:rsidRPr="00D10ED2" w:rsidRDefault="00832185" w:rsidP="00832185">
      <w:pPr>
        <w:rPr>
          <w:rFonts w:ascii="Arial" w:hAnsi="Arial" w:cs="Arial"/>
          <w:sz w:val="22"/>
          <w:szCs w:val="22"/>
        </w:rPr>
      </w:pPr>
    </w:p>
    <w:p w14:paraId="2ECBAF22" w14:textId="77777777" w:rsidR="00737F7A" w:rsidRPr="00D10ED2" w:rsidRDefault="00514926" w:rsidP="00832185">
      <w:pPr>
        <w:rPr>
          <w:rFonts w:ascii="Arial" w:hAnsi="Arial" w:cs="Arial"/>
          <w:sz w:val="22"/>
          <w:szCs w:val="22"/>
          <w:u w:val="single"/>
        </w:rPr>
      </w:pPr>
      <w:r w:rsidRPr="00D10ED2">
        <w:rPr>
          <w:rFonts w:ascii="Arial" w:hAnsi="Arial" w:cs="Arial"/>
          <w:sz w:val="22"/>
          <w:szCs w:val="22"/>
          <w:u w:val="single"/>
        </w:rPr>
        <w:t>Storage:</w:t>
      </w:r>
    </w:p>
    <w:p w14:paraId="570A8783" w14:textId="77777777" w:rsidR="00381564" w:rsidRPr="00D10ED2" w:rsidRDefault="00381564" w:rsidP="00832185">
      <w:pPr>
        <w:rPr>
          <w:rFonts w:ascii="Arial" w:hAnsi="Arial" w:cs="Arial"/>
          <w:sz w:val="22"/>
          <w:szCs w:val="22"/>
          <w:u w:val="single"/>
        </w:rPr>
      </w:pPr>
    </w:p>
    <w:p w14:paraId="49FD9677" w14:textId="655309E4" w:rsidR="00381564" w:rsidRPr="00D10ED2" w:rsidRDefault="00E43D6D" w:rsidP="00381564">
      <w:pPr>
        <w:rPr>
          <w:rFonts w:ascii="Arial" w:hAnsi="Arial" w:cs="Arial"/>
          <w:sz w:val="22"/>
          <w:szCs w:val="22"/>
        </w:rPr>
      </w:pPr>
      <w:r w:rsidRPr="00D10ED2">
        <w:rPr>
          <w:rFonts w:ascii="Arial" w:hAnsi="Arial" w:cs="Arial"/>
          <w:sz w:val="22"/>
          <w:szCs w:val="22"/>
        </w:rPr>
        <w:t xml:space="preserve">Store below </w:t>
      </w:r>
      <w:r w:rsidR="009009F3" w:rsidRPr="00D10ED2">
        <w:rPr>
          <w:rFonts w:ascii="Arial" w:hAnsi="Arial" w:cs="Arial"/>
          <w:sz w:val="22"/>
          <w:szCs w:val="22"/>
        </w:rPr>
        <w:t>30</w:t>
      </w:r>
      <w:r w:rsidRPr="00D10ED2">
        <w:rPr>
          <w:rFonts w:ascii="Arial" w:hAnsi="Arial" w:cs="Arial"/>
          <w:sz w:val="22"/>
          <w:szCs w:val="22"/>
        </w:rPr>
        <w:t>°</w:t>
      </w:r>
      <w:r w:rsidR="00381564" w:rsidRPr="00D10ED2">
        <w:rPr>
          <w:rFonts w:ascii="Arial" w:hAnsi="Arial" w:cs="Arial"/>
          <w:sz w:val="22"/>
          <w:szCs w:val="22"/>
        </w:rPr>
        <w:t>C</w:t>
      </w:r>
    </w:p>
    <w:p w14:paraId="20821FF6" w14:textId="77777777" w:rsidR="00381564" w:rsidRPr="00D10ED2" w:rsidRDefault="00381564" w:rsidP="00381564">
      <w:pPr>
        <w:rPr>
          <w:rFonts w:ascii="Arial" w:hAnsi="Arial" w:cs="Arial"/>
          <w:sz w:val="22"/>
          <w:szCs w:val="22"/>
        </w:rPr>
      </w:pPr>
      <w:proofErr w:type="gramStart"/>
      <w:r w:rsidRPr="00D10ED2">
        <w:rPr>
          <w:rFonts w:ascii="Arial" w:hAnsi="Arial" w:cs="Arial"/>
          <w:sz w:val="22"/>
          <w:szCs w:val="22"/>
        </w:rPr>
        <w:t>Store in the original container in order to protect from light.</w:t>
      </w:r>
      <w:proofErr w:type="gramEnd"/>
      <w:r w:rsidRPr="00D10ED2">
        <w:rPr>
          <w:rFonts w:ascii="Arial" w:hAnsi="Arial" w:cs="Arial"/>
          <w:sz w:val="22"/>
          <w:szCs w:val="22"/>
        </w:rPr>
        <w:t xml:space="preserve"> </w:t>
      </w:r>
    </w:p>
    <w:p w14:paraId="025C1094" w14:textId="0F1C58B8" w:rsidR="00AF4E31" w:rsidRDefault="00AF4E31" w:rsidP="005329CC">
      <w:pPr>
        <w:rPr>
          <w:rFonts w:ascii="Arial" w:hAnsi="Arial" w:cs="Arial"/>
          <w:b/>
          <w:sz w:val="28"/>
          <w:szCs w:val="28"/>
        </w:rPr>
      </w:pPr>
    </w:p>
    <w:p w14:paraId="68995977" w14:textId="77777777" w:rsidR="0057419A" w:rsidRPr="00D10ED2" w:rsidRDefault="0057419A" w:rsidP="005329CC">
      <w:pPr>
        <w:rPr>
          <w:rFonts w:ascii="Arial" w:hAnsi="Arial" w:cs="Arial"/>
          <w:noProof/>
          <w:szCs w:val="22"/>
        </w:rPr>
      </w:pPr>
      <w:r w:rsidRPr="00D10ED2">
        <w:rPr>
          <w:rFonts w:ascii="Arial" w:hAnsi="Arial" w:cs="Arial"/>
          <w:b/>
          <w:sz w:val="28"/>
          <w:szCs w:val="28"/>
        </w:rPr>
        <w:t>Name and Address of Sponsor</w:t>
      </w:r>
    </w:p>
    <w:p w14:paraId="5E0A1ED1" w14:textId="77777777" w:rsidR="00381564" w:rsidRPr="00D10ED2" w:rsidRDefault="00381564" w:rsidP="005329CC">
      <w:pPr>
        <w:rPr>
          <w:rFonts w:ascii="Arial" w:hAnsi="Arial" w:cs="Arial"/>
          <w:sz w:val="20"/>
          <w:szCs w:val="20"/>
        </w:rPr>
      </w:pPr>
    </w:p>
    <w:p w14:paraId="454D2A0B" w14:textId="77777777" w:rsidR="0057419A" w:rsidRPr="00D10ED2" w:rsidRDefault="00381564" w:rsidP="005329CC">
      <w:pPr>
        <w:rPr>
          <w:rFonts w:ascii="Arial" w:hAnsi="Arial" w:cs="Arial"/>
          <w:sz w:val="22"/>
          <w:szCs w:val="22"/>
        </w:rPr>
      </w:pPr>
      <w:r w:rsidRPr="00D10ED2">
        <w:rPr>
          <w:rFonts w:ascii="Arial" w:hAnsi="Arial" w:cs="Arial"/>
          <w:sz w:val="22"/>
          <w:szCs w:val="22"/>
        </w:rPr>
        <w:t>ARIAD Pharmaceuticals (Australia) Pty Ltd</w:t>
      </w:r>
    </w:p>
    <w:p w14:paraId="3C52B3F9" w14:textId="77777777" w:rsidR="00E43D6D" w:rsidRPr="00D10ED2" w:rsidRDefault="00E43D6D" w:rsidP="005329CC">
      <w:pPr>
        <w:rPr>
          <w:rFonts w:ascii="Arial" w:hAnsi="Arial" w:cs="Arial"/>
          <w:sz w:val="22"/>
          <w:szCs w:val="22"/>
        </w:rPr>
      </w:pPr>
      <w:r w:rsidRPr="00D10ED2">
        <w:rPr>
          <w:rFonts w:ascii="Arial" w:hAnsi="Arial" w:cs="Arial"/>
          <w:sz w:val="22"/>
          <w:szCs w:val="22"/>
        </w:rPr>
        <w:t>Level 1, 711 High Street</w:t>
      </w:r>
    </w:p>
    <w:p w14:paraId="4BCF3857" w14:textId="77777777" w:rsidR="00E43D6D" w:rsidRPr="00D10ED2" w:rsidRDefault="00E43D6D" w:rsidP="005329CC">
      <w:pPr>
        <w:rPr>
          <w:rFonts w:ascii="Arial" w:hAnsi="Arial" w:cs="Arial"/>
          <w:sz w:val="22"/>
          <w:szCs w:val="22"/>
        </w:rPr>
      </w:pPr>
      <w:r w:rsidRPr="00D10ED2">
        <w:rPr>
          <w:rFonts w:ascii="Arial" w:hAnsi="Arial" w:cs="Arial"/>
          <w:sz w:val="22"/>
          <w:szCs w:val="22"/>
        </w:rPr>
        <w:t>Kew East Victoria 3102</w:t>
      </w:r>
    </w:p>
    <w:p w14:paraId="67B1361F" w14:textId="77777777" w:rsidR="00E43D6D" w:rsidRDefault="00E43D6D" w:rsidP="005329CC">
      <w:pPr>
        <w:rPr>
          <w:rFonts w:ascii="Arial" w:hAnsi="Arial" w:cs="Arial"/>
          <w:sz w:val="22"/>
          <w:szCs w:val="22"/>
        </w:rPr>
      </w:pPr>
      <w:r w:rsidRPr="00D10ED2">
        <w:rPr>
          <w:rFonts w:ascii="Arial" w:hAnsi="Arial" w:cs="Arial"/>
          <w:sz w:val="22"/>
          <w:szCs w:val="22"/>
        </w:rPr>
        <w:t>Australia</w:t>
      </w:r>
    </w:p>
    <w:p w14:paraId="7F8C2CB8" w14:textId="77777777" w:rsidR="0066441C" w:rsidRDefault="0066441C" w:rsidP="005329CC">
      <w:pPr>
        <w:rPr>
          <w:rFonts w:ascii="Arial" w:hAnsi="Arial" w:cs="Arial"/>
          <w:sz w:val="22"/>
          <w:szCs w:val="22"/>
        </w:rPr>
      </w:pPr>
    </w:p>
    <w:p w14:paraId="1414FDA5" w14:textId="77777777" w:rsidR="0066441C" w:rsidRPr="0066441C" w:rsidRDefault="0066441C" w:rsidP="0066441C">
      <w:pPr>
        <w:rPr>
          <w:rFonts w:ascii="Arial" w:hAnsi="Arial" w:cs="Arial"/>
          <w:sz w:val="22"/>
          <w:szCs w:val="22"/>
        </w:rPr>
      </w:pPr>
      <w:r w:rsidRPr="0066441C">
        <w:rPr>
          <w:rFonts w:ascii="Arial" w:hAnsi="Arial" w:cs="Arial"/>
          <w:sz w:val="22"/>
          <w:szCs w:val="22"/>
        </w:rPr>
        <w:lastRenderedPageBreak/>
        <w:t xml:space="preserve">Distributed by </w:t>
      </w:r>
      <w:proofErr w:type="spellStart"/>
      <w:r w:rsidRPr="0066441C">
        <w:rPr>
          <w:rFonts w:ascii="Arial" w:hAnsi="Arial" w:cs="Arial"/>
          <w:sz w:val="22"/>
          <w:szCs w:val="22"/>
        </w:rPr>
        <w:t>Specialised</w:t>
      </w:r>
      <w:proofErr w:type="spellEnd"/>
      <w:r w:rsidRPr="0066441C">
        <w:rPr>
          <w:rFonts w:ascii="Arial" w:hAnsi="Arial" w:cs="Arial"/>
          <w:sz w:val="22"/>
          <w:szCs w:val="22"/>
        </w:rPr>
        <w:t xml:space="preserve"> Therapeutics Australia Pty Ltd</w:t>
      </w:r>
    </w:p>
    <w:p w14:paraId="04536FBF" w14:textId="77777777" w:rsidR="0066441C" w:rsidRPr="0066441C" w:rsidRDefault="0066441C" w:rsidP="0066441C">
      <w:pPr>
        <w:rPr>
          <w:rFonts w:ascii="Arial" w:hAnsi="Arial" w:cs="Arial"/>
          <w:sz w:val="22"/>
          <w:szCs w:val="22"/>
        </w:rPr>
      </w:pPr>
      <w:proofErr w:type="spellStart"/>
      <w:r w:rsidRPr="0066441C">
        <w:rPr>
          <w:rFonts w:ascii="Arial" w:hAnsi="Arial" w:cs="Arial"/>
          <w:sz w:val="22"/>
          <w:szCs w:val="22"/>
        </w:rPr>
        <w:t>Ph</w:t>
      </w:r>
      <w:proofErr w:type="spellEnd"/>
      <w:r w:rsidRPr="0066441C">
        <w:rPr>
          <w:rFonts w:ascii="Arial" w:hAnsi="Arial" w:cs="Arial"/>
          <w:sz w:val="22"/>
          <w:szCs w:val="22"/>
        </w:rPr>
        <w:t>:    1300 798 820</w:t>
      </w:r>
    </w:p>
    <w:p w14:paraId="0FF2ACD6" w14:textId="77777777" w:rsidR="0066441C" w:rsidRPr="0066441C" w:rsidRDefault="0066441C" w:rsidP="0066441C">
      <w:pPr>
        <w:rPr>
          <w:rFonts w:ascii="Arial" w:hAnsi="Arial" w:cs="Arial"/>
          <w:sz w:val="22"/>
          <w:szCs w:val="22"/>
        </w:rPr>
      </w:pPr>
      <w:r w:rsidRPr="0066441C">
        <w:rPr>
          <w:rFonts w:ascii="Arial" w:hAnsi="Arial" w:cs="Arial"/>
          <w:sz w:val="22"/>
          <w:szCs w:val="22"/>
        </w:rPr>
        <w:t>Fax:  1800 798 829</w:t>
      </w:r>
    </w:p>
    <w:p w14:paraId="3F9C78F1" w14:textId="6BDD34ED" w:rsidR="0066441C" w:rsidRPr="00D10ED2" w:rsidRDefault="0066441C" w:rsidP="0066441C">
      <w:pPr>
        <w:rPr>
          <w:rFonts w:ascii="Arial" w:hAnsi="Arial" w:cs="Arial"/>
          <w:sz w:val="22"/>
          <w:szCs w:val="22"/>
        </w:rPr>
      </w:pPr>
      <w:r w:rsidRPr="0066441C">
        <w:rPr>
          <w:rFonts w:ascii="Arial" w:hAnsi="Arial" w:cs="Arial"/>
          <w:sz w:val="22"/>
          <w:szCs w:val="22"/>
        </w:rPr>
        <w:t>www.specialisedtherapeutics.com.au</w:t>
      </w:r>
    </w:p>
    <w:p w14:paraId="14763F45" w14:textId="77777777" w:rsidR="00381564" w:rsidRPr="00D10ED2" w:rsidRDefault="00381564" w:rsidP="005329CC">
      <w:pPr>
        <w:rPr>
          <w:rFonts w:ascii="Arial" w:hAnsi="Arial" w:cs="Arial"/>
          <w:b/>
          <w:sz w:val="28"/>
          <w:szCs w:val="28"/>
        </w:rPr>
      </w:pPr>
    </w:p>
    <w:p w14:paraId="17660526" w14:textId="77777777" w:rsidR="0057419A" w:rsidRPr="00D10ED2" w:rsidRDefault="0057419A" w:rsidP="005329CC">
      <w:pPr>
        <w:rPr>
          <w:rFonts w:ascii="Arial" w:hAnsi="Arial" w:cs="Arial"/>
          <w:b/>
          <w:sz w:val="28"/>
          <w:szCs w:val="28"/>
        </w:rPr>
      </w:pPr>
      <w:r w:rsidRPr="00D10ED2">
        <w:rPr>
          <w:rFonts w:ascii="Arial" w:hAnsi="Arial" w:cs="Arial"/>
          <w:b/>
          <w:sz w:val="28"/>
          <w:szCs w:val="28"/>
        </w:rPr>
        <w:t>Poison Schedule of the Medicine</w:t>
      </w:r>
      <w:r w:rsidR="00381564" w:rsidRPr="00D10ED2">
        <w:rPr>
          <w:rFonts w:ascii="Arial" w:hAnsi="Arial" w:cs="Arial"/>
          <w:b/>
          <w:sz w:val="28"/>
          <w:szCs w:val="28"/>
        </w:rPr>
        <w:t xml:space="preserve">: </w:t>
      </w:r>
    </w:p>
    <w:p w14:paraId="3FE0366E" w14:textId="77777777" w:rsidR="00A119E6" w:rsidRPr="001F1286" w:rsidRDefault="00A119E6" w:rsidP="005329CC">
      <w:pPr>
        <w:rPr>
          <w:rFonts w:ascii="Arial" w:hAnsi="Arial" w:cs="Arial"/>
          <w:sz w:val="22"/>
          <w:szCs w:val="20"/>
        </w:rPr>
      </w:pPr>
    </w:p>
    <w:p w14:paraId="1794F992" w14:textId="77777777" w:rsidR="0057419A" w:rsidRPr="00D10ED2" w:rsidRDefault="00A119E6" w:rsidP="005329CC">
      <w:pPr>
        <w:rPr>
          <w:rFonts w:ascii="Arial" w:hAnsi="Arial" w:cs="Arial"/>
          <w:sz w:val="22"/>
          <w:szCs w:val="22"/>
        </w:rPr>
      </w:pPr>
      <w:r w:rsidRPr="00D10ED2">
        <w:rPr>
          <w:rFonts w:ascii="Arial" w:hAnsi="Arial" w:cs="Arial"/>
          <w:sz w:val="22"/>
          <w:szCs w:val="22"/>
        </w:rPr>
        <w:t>Prescription Only Medicine (</w:t>
      </w:r>
      <w:r w:rsidR="00381564" w:rsidRPr="00D10ED2">
        <w:rPr>
          <w:rFonts w:ascii="Arial" w:hAnsi="Arial" w:cs="Arial"/>
          <w:sz w:val="22"/>
          <w:szCs w:val="22"/>
        </w:rPr>
        <w:t>S4</w:t>
      </w:r>
      <w:r w:rsidRPr="00D10ED2">
        <w:rPr>
          <w:rFonts w:ascii="Arial" w:hAnsi="Arial" w:cs="Arial"/>
          <w:sz w:val="22"/>
          <w:szCs w:val="22"/>
        </w:rPr>
        <w:t>)</w:t>
      </w:r>
    </w:p>
    <w:p w14:paraId="49372730" w14:textId="77777777" w:rsidR="00A119E6" w:rsidRPr="00D10ED2" w:rsidRDefault="00A119E6" w:rsidP="005329CC">
      <w:pPr>
        <w:rPr>
          <w:rFonts w:ascii="Arial" w:hAnsi="Arial" w:cs="Arial"/>
          <w:b/>
          <w:sz w:val="28"/>
          <w:szCs w:val="28"/>
        </w:rPr>
      </w:pPr>
    </w:p>
    <w:p w14:paraId="63E72B69" w14:textId="77777777" w:rsidR="0057419A" w:rsidRDefault="0057419A" w:rsidP="005329CC">
      <w:pPr>
        <w:rPr>
          <w:rFonts w:ascii="Arial" w:hAnsi="Arial" w:cs="Arial"/>
          <w:b/>
          <w:sz w:val="28"/>
          <w:szCs w:val="28"/>
        </w:rPr>
      </w:pPr>
      <w:r w:rsidRPr="00D10ED2">
        <w:rPr>
          <w:rFonts w:ascii="Arial" w:hAnsi="Arial" w:cs="Arial"/>
          <w:b/>
          <w:sz w:val="28"/>
          <w:szCs w:val="28"/>
        </w:rPr>
        <w:t>Date of First Inclusion in the ARTG</w:t>
      </w:r>
    </w:p>
    <w:p w14:paraId="261D25F4" w14:textId="77777777" w:rsidR="00B127C7" w:rsidRDefault="00B127C7" w:rsidP="005329CC">
      <w:pPr>
        <w:rPr>
          <w:rFonts w:ascii="Arial" w:hAnsi="Arial" w:cs="Arial"/>
          <w:sz w:val="22"/>
          <w:szCs w:val="22"/>
          <w:highlight w:val="yellow"/>
        </w:rPr>
      </w:pPr>
    </w:p>
    <w:p w14:paraId="699CB091" w14:textId="36E6CE75" w:rsidR="003108A0" w:rsidRPr="001C372D" w:rsidRDefault="00E7156F" w:rsidP="005329CC">
      <w:pPr>
        <w:rPr>
          <w:rFonts w:ascii="Arial" w:hAnsi="Arial" w:cs="Arial"/>
          <w:sz w:val="22"/>
          <w:szCs w:val="22"/>
        </w:rPr>
      </w:pPr>
      <w:r w:rsidRPr="00E7156F">
        <w:rPr>
          <w:rFonts w:ascii="Arial" w:hAnsi="Arial" w:cs="Arial"/>
          <w:sz w:val="22"/>
          <w:szCs w:val="22"/>
        </w:rPr>
        <w:t>26</w:t>
      </w:r>
      <w:r w:rsidR="003108A0" w:rsidRPr="00E7156F">
        <w:rPr>
          <w:rFonts w:ascii="Arial" w:hAnsi="Arial" w:cs="Arial"/>
          <w:sz w:val="22"/>
          <w:szCs w:val="22"/>
        </w:rPr>
        <w:t xml:space="preserve"> November 2014</w:t>
      </w:r>
    </w:p>
    <w:p w14:paraId="36794638" w14:textId="77777777" w:rsidR="0057419A" w:rsidRPr="00D10ED2" w:rsidRDefault="0057419A" w:rsidP="005329CC">
      <w:pPr>
        <w:rPr>
          <w:rFonts w:ascii="Arial" w:hAnsi="Arial" w:cs="Arial"/>
          <w:b/>
          <w:sz w:val="28"/>
          <w:szCs w:val="28"/>
        </w:rPr>
      </w:pPr>
    </w:p>
    <w:p w14:paraId="65879B79" w14:textId="77777777" w:rsidR="0057419A" w:rsidRPr="00D10ED2" w:rsidRDefault="0057419A" w:rsidP="005329CC">
      <w:pPr>
        <w:rPr>
          <w:rFonts w:ascii="Arial" w:hAnsi="Arial" w:cs="Arial"/>
          <w:b/>
          <w:sz w:val="28"/>
          <w:szCs w:val="28"/>
        </w:rPr>
      </w:pPr>
      <w:r w:rsidRPr="00D10ED2">
        <w:rPr>
          <w:rFonts w:ascii="Arial" w:hAnsi="Arial" w:cs="Arial"/>
          <w:b/>
          <w:sz w:val="28"/>
          <w:szCs w:val="28"/>
        </w:rPr>
        <w:t>Date of the Most Recent Amendment</w:t>
      </w:r>
    </w:p>
    <w:p w14:paraId="1E645597" w14:textId="77777777" w:rsidR="0057419A" w:rsidRPr="00D10ED2" w:rsidRDefault="0057419A" w:rsidP="005329CC">
      <w:pPr>
        <w:rPr>
          <w:rFonts w:ascii="Arial" w:hAnsi="Arial" w:cs="Arial"/>
          <w:b/>
          <w:sz w:val="28"/>
          <w:szCs w:val="28"/>
        </w:rPr>
      </w:pPr>
    </w:p>
    <w:p w14:paraId="0A343329" w14:textId="77777777" w:rsidR="0057419A" w:rsidRPr="00D10ED2" w:rsidRDefault="0057419A" w:rsidP="005329CC">
      <w:pPr>
        <w:rPr>
          <w:rFonts w:ascii="Arial" w:hAnsi="Arial" w:cs="Arial"/>
          <w:b/>
          <w:sz w:val="28"/>
          <w:szCs w:val="28"/>
        </w:rPr>
      </w:pPr>
    </w:p>
    <w:p w14:paraId="0F9B734E" w14:textId="77777777" w:rsidR="0057419A" w:rsidRPr="00D10ED2" w:rsidRDefault="0057419A" w:rsidP="005329CC">
      <w:pPr>
        <w:rPr>
          <w:rFonts w:ascii="Arial" w:hAnsi="Arial" w:cs="Arial"/>
          <w:b/>
          <w:sz w:val="28"/>
          <w:szCs w:val="28"/>
        </w:rPr>
      </w:pPr>
    </w:p>
    <w:p w14:paraId="59A32EC8" w14:textId="77777777" w:rsidR="0057419A" w:rsidRPr="00D10ED2" w:rsidRDefault="0057419A" w:rsidP="005329CC">
      <w:pPr>
        <w:rPr>
          <w:rFonts w:ascii="Arial" w:hAnsi="Arial" w:cs="Arial"/>
          <w:b/>
          <w:sz w:val="28"/>
          <w:szCs w:val="28"/>
        </w:rPr>
      </w:pPr>
    </w:p>
    <w:p w14:paraId="64469861" w14:textId="77777777" w:rsidR="005329CC" w:rsidRPr="00D10ED2" w:rsidRDefault="005329CC" w:rsidP="005329CC">
      <w:pPr>
        <w:rPr>
          <w:rFonts w:ascii="Arial" w:hAnsi="Arial" w:cs="Arial"/>
          <w:b/>
          <w:sz w:val="28"/>
          <w:szCs w:val="28"/>
        </w:rPr>
      </w:pPr>
    </w:p>
    <w:p w14:paraId="0350A665" w14:textId="77777777" w:rsidR="005329CC" w:rsidRPr="00D10ED2" w:rsidRDefault="005329CC" w:rsidP="005329CC">
      <w:pPr>
        <w:ind w:left="-1134"/>
        <w:rPr>
          <w:rFonts w:ascii="Arial" w:hAnsi="Arial" w:cs="Arial"/>
          <w:b/>
          <w:sz w:val="28"/>
          <w:szCs w:val="28"/>
        </w:rPr>
      </w:pPr>
    </w:p>
    <w:sectPr w:rsidR="005329CC" w:rsidRPr="00D10ED2" w:rsidSect="00F427CC">
      <w:headerReference w:type="even" r:id="rId10"/>
      <w:headerReference w:type="default" r:id="rId11"/>
      <w:footerReference w:type="even" r:id="rId12"/>
      <w:footerReference w:type="default" r:id="rId13"/>
      <w:headerReference w:type="first" r:id="rId14"/>
      <w:footerReference w:type="first" r:id="rId15"/>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23C9D" w14:textId="77777777" w:rsidR="00545A93" w:rsidRDefault="00545A93" w:rsidP="00D84532">
      <w:r>
        <w:separator/>
      </w:r>
    </w:p>
  </w:endnote>
  <w:endnote w:type="continuationSeparator" w:id="0">
    <w:p w14:paraId="49C28027" w14:textId="77777777" w:rsidR="00545A93" w:rsidRDefault="00545A93" w:rsidP="00D8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9E35" w14:textId="77777777" w:rsidR="00B60833" w:rsidRDefault="00B60833" w:rsidP="00323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57576" w14:textId="77777777" w:rsidR="00B60833" w:rsidRDefault="00B60833" w:rsidP="00AC3FAD">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E627A02" w14:textId="77777777" w:rsidR="00B60833" w:rsidRDefault="00B60833" w:rsidP="00AC3F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CFED1" w14:textId="77777777" w:rsidR="00B60833" w:rsidRDefault="00B60833" w:rsidP="00323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7618">
      <w:rPr>
        <w:rStyle w:val="PageNumber"/>
        <w:noProof/>
      </w:rPr>
      <w:t>1</w:t>
    </w:r>
    <w:r>
      <w:rPr>
        <w:rStyle w:val="PageNumber"/>
      </w:rPr>
      <w:fldChar w:fldCharType="end"/>
    </w:r>
  </w:p>
  <w:p w14:paraId="15DDE260" w14:textId="340310C7" w:rsidR="00B60833" w:rsidRPr="00DC00CC" w:rsidRDefault="00021C2E" w:rsidP="00AC3FAD">
    <w:pPr>
      <w:pStyle w:val="Footer"/>
      <w:ind w:right="360"/>
      <w:rPr>
        <w:sz w:val="20"/>
        <w:szCs w:val="20"/>
        <w:lang w:val="fr-CH"/>
      </w:rPr>
    </w:pPr>
    <w:r>
      <w:rPr>
        <w:sz w:val="20"/>
        <w:szCs w:val="20"/>
        <w:lang w:val="fr-CH"/>
      </w:rPr>
      <w:t>ICL</w:t>
    </w:r>
    <w:r w:rsidR="00B60833" w:rsidRPr="00E7156F">
      <w:rPr>
        <w:sz w:val="20"/>
        <w:szCs w:val="20"/>
        <w:lang w:val="fr-CH"/>
      </w:rPr>
      <w:t>_PI_AU_CAT 1-MS</w:t>
    </w:r>
    <w:r w:rsidR="003108A0" w:rsidRPr="00E7156F">
      <w:rPr>
        <w:sz w:val="20"/>
        <w:szCs w:val="20"/>
        <w:lang w:val="fr-CH"/>
      </w:rPr>
      <w:t>8</w:t>
    </w:r>
    <w:r w:rsidR="00B60833" w:rsidRPr="00E7156F">
      <w:rPr>
        <w:sz w:val="20"/>
        <w:szCs w:val="20"/>
        <w:lang w:val="fr-CH"/>
      </w:rPr>
      <w:t>_</w:t>
    </w:r>
    <w:r w:rsidR="003108A0" w:rsidRPr="00E7156F">
      <w:rPr>
        <w:sz w:val="20"/>
        <w:szCs w:val="20"/>
        <w:lang w:val="fr-CH"/>
      </w:rPr>
      <w:t>Final</w:t>
    </w:r>
    <w:r w:rsidR="00B60833" w:rsidRPr="00E7156F">
      <w:rPr>
        <w:sz w:val="20"/>
        <w:szCs w:val="20"/>
        <w:lang w:val="fr-CH"/>
      </w:rPr>
      <w:t>_</w:t>
    </w:r>
    <w:r w:rsidR="00E7156F" w:rsidRPr="00E7156F">
      <w:rPr>
        <w:sz w:val="20"/>
        <w:szCs w:val="20"/>
        <w:lang w:val="fr-CH"/>
      </w:rPr>
      <w:t>26Nov</w:t>
    </w:r>
    <w:r w:rsidR="00B60833" w:rsidRPr="00E7156F">
      <w:rPr>
        <w:sz w:val="20"/>
        <w:szCs w:val="20"/>
        <w:lang w:val="fr-CH"/>
      </w:rPr>
      <w:t>14</w:t>
    </w:r>
    <w:r w:rsidR="00B60833" w:rsidRPr="00DC00CC">
      <w:rPr>
        <w:sz w:val="20"/>
        <w:szCs w:val="20"/>
        <w:lang w:val="fr-CH"/>
      </w:rPr>
      <w:tab/>
    </w:r>
    <w:r w:rsidR="00B60833" w:rsidRPr="00DC00CC">
      <w:rPr>
        <w:sz w:val="20"/>
        <w:szCs w:val="20"/>
        <w:lang w:val="fr-CH"/>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48DF6" w14:textId="77777777" w:rsidR="003C7A1A" w:rsidRDefault="003C7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884E8" w14:textId="77777777" w:rsidR="00545A93" w:rsidRDefault="00545A93" w:rsidP="00D84532">
      <w:r>
        <w:separator/>
      </w:r>
    </w:p>
  </w:footnote>
  <w:footnote w:type="continuationSeparator" w:id="0">
    <w:p w14:paraId="32757CAF" w14:textId="77777777" w:rsidR="00545A93" w:rsidRDefault="00545A93" w:rsidP="00D8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A3F16" w14:textId="77777777" w:rsidR="003C7A1A" w:rsidRDefault="003C7A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16"/>
    </w:tblGrid>
    <w:tr w:rsidR="003C7A1A" w:rsidRPr="003C7A1A" w14:paraId="74349AB4" w14:textId="77777777" w:rsidTr="00F775DC">
      <w:tc>
        <w:tcPr>
          <w:tcW w:w="8720" w:type="dxa"/>
          <w:shd w:val="clear" w:color="auto" w:fill="E4F2E0"/>
        </w:tcPr>
        <w:p w14:paraId="7B833928" w14:textId="77777777" w:rsidR="003C7A1A" w:rsidRPr="003C7A1A" w:rsidRDefault="003C7A1A" w:rsidP="00F775DC">
          <w:pPr>
            <w:pStyle w:val="Footer"/>
            <w:rPr>
              <w:rFonts w:ascii="Cambria" w:hAnsi="Cambria"/>
              <w:b/>
            </w:rPr>
          </w:pPr>
          <w:r w:rsidRPr="003C7A1A">
            <w:rPr>
              <w:rFonts w:ascii="Cambria" w:hAnsi="Cambria"/>
              <w:b/>
            </w:rPr>
            <w:t xml:space="preserve">Attachment 1: Product information for </w:t>
          </w:r>
          <w:proofErr w:type="spellStart"/>
          <w:r w:rsidRPr="003C7A1A">
            <w:rPr>
              <w:rFonts w:ascii="Cambria" w:hAnsi="Cambria"/>
              <w:b/>
            </w:rPr>
            <w:t>AusPAR</w:t>
          </w:r>
          <w:proofErr w:type="spellEnd"/>
          <w:r w:rsidRPr="003C7A1A">
            <w:rPr>
              <w:rFonts w:ascii="Cambria" w:hAnsi="Cambria"/>
              <w:b/>
            </w:rPr>
            <w:t xml:space="preserve"> </w:t>
          </w:r>
          <w:proofErr w:type="spellStart"/>
          <w:r w:rsidRPr="003C7A1A">
            <w:rPr>
              <w:rFonts w:ascii="Cambria" w:hAnsi="Cambria"/>
              <w:b/>
            </w:rPr>
            <w:t>Iclusig</w:t>
          </w:r>
          <w:proofErr w:type="spellEnd"/>
          <w:r w:rsidRPr="003C7A1A">
            <w:rPr>
              <w:rFonts w:ascii="Cambria" w:hAnsi="Cambria"/>
              <w:b/>
            </w:rPr>
            <w:t xml:space="preserve"> </w:t>
          </w:r>
          <w:proofErr w:type="spellStart"/>
          <w:r w:rsidRPr="003C7A1A">
            <w:rPr>
              <w:rFonts w:ascii="Cambria" w:hAnsi="Cambria"/>
              <w:b/>
            </w:rPr>
            <w:t>Ponatinib</w:t>
          </w:r>
          <w:proofErr w:type="spellEnd"/>
          <w:r w:rsidRPr="003C7A1A">
            <w:rPr>
              <w:rFonts w:ascii="Cambria" w:hAnsi="Cambria"/>
              <w:b/>
            </w:rPr>
            <w:t xml:space="preserve"> ARIAD Pharmaceuticals Australia Pty Ltd PM-2013-02061-1-4 Final 16 April 2015This Product Information was approved at the time this AusPAR was published.</w:t>
          </w:r>
        </w:p>
      </w:tc>
    </w:tr>
  </w:tbl>
  <w:p w14:paraId="34C399AC" w14:textId="77777777" w:rsidR="003C7A1A" w:rsidRDefault="003C7A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619B" w14:textId="77777777" w:rsidR="003C7A1A" w:rsidRDefault="003C7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7E5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B64B5"/>
    <w:multiLevelType w:val="hybridMultilevel"/>
    <w:tmpl w:val="5D18BA38"/>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cs="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cs="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cs="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2">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1623DA"/>
    <w:multiLevelType w:val="hybridMultilevel"/>
    <w:tmpl w:val="34E8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540AC"/>
    <w:multiLevelType w:val="multilevel"/>
    <w:tmpl w:val="04090023"/>
    <w:styleLink w:val="ArticleSection"/>
    <w:lvl w:ilvl="0">
      <w:start w:val="1"/>
      <w:numFmt w:val="upperRoman"/>
      <w:pStyle w:val="Heading1"/>
      <w:lvlText w:val="Article %1."/>
      <w:lvlJc w:val="left"/>
      <w:pPr>
        <w:tabs>
          <w:tab w:val="num" w:pos="1440"/>
        </w:tabs>
        <w:ind w:left="0" w:firstLine="0"/>
      </w:pPr>
      <w:rPr>
        <w:rFonts w:ascii="Times New Roman" w:hAnsi="Times New Roman" w:cs="Times New Roman"/>
      </w:r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7">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F83245A"/>
    <w:multiLevelType w:val="hybridMultilevel"/>
    <w:tmpl w:val="AB8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7E4B4C"/>
    <w:multiLevelType w:val="multilevel"/>
    <w:tmpl w:val="1012FFA2"/>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Restart w:val="5"/>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2">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F174DBC"/>
    <w:multiLevelType w:val="multilevel"/>
    <w:tmpl w:val="33386706"/>
    <w:lvl w:ilvl="0">
      <w:start w:val="1"/>
      <w:numFmt w:val="decimal"/>
      <w:pStyle w:val="Normal12pt"/>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890"/>
        </w:tabs>
        <w:ind w:left="189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F6445D0"/>
    <w:multiLevelType w:val="multilevel"/>
    <w:tmpl w:val="ED021962"/>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Restart w:val="5"/>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6">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66501"/>
    <w:multiLevelType w:val="hybridMultilevel"/>
    <w:tmpl w:val="3B6E3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43BB2875"/>
    <w:multiLevelType w:val="hybridMultilevel"/>
    <w:tmpl w:val="ABE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B4EF3"/>
    <w:multiLevelType w:val="hybridMultilevel"/>
    <w:tmpl w:val="C2049FD2"/>
    <w:lvl w:ilvl="0" w:tplc="0BA2B2A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9A46FA2"/>
    <w:multiLevelType w:val="hybridMultilevel"/>
    <w:tmpl w:val="CE8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3C4DCE"/>
    <w:multiLevelType w:val="hybridMultilevel"/>
    <w:tmpl w:val="081EE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38253B"/>
    <w:multiLevelType w:val="hybridMultilevel"/>
    <w:tmpl w:val="E3608524"/>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D4601E2"/>
    <w:multiLevelType w:val="hybridMultilevel"/>
    <w:tmpl w:val="B2C6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3E6330D"/>
    <w:multiLevelType w:val="hybridMultilevel"/>
    <w:tmpl w:val="4718D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E0642B"/>
    <w:multiLevelType w:val="hybridMultilevel"/>
    <w:tmpl w:val="F8C4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8D45DE8"/>
    <w:multiLevelType w:val="hybridMultilevel"/>
    <w:tmpl w:val="063438C8"/>
    <w:lvl w:ilvl="0" w:tplc="6AFA7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2"/>
  </w:num>
  <w:num w:numId="3">
    <w:abstractNumId w:val="15"/>
  </w:num>
  <w:num w:numId="4">
    <w:abstractNumId w:val="13"/>
  </w:num>
  <w:num w:numId="5">
    <w:abstractNumId w:val="30"/>
  </w:num>
  <w:num w:numId="6">
    <w:abstractNumId w:val="5"/>
  </w:num>
  <w:num w:numId="7">
    <w:abstractNumId w:val="10"/>
  </w:num>
  <w:num w:numId="8">
    <w:abstractNumId w:val="14"/>
  </w:num>
  <w:num w:numId="9">
    <w:abstractNumId w:val="21"/>
  </w:num>
  <w:num w:numId="10">
    <w:abstractNumId w:val="8"/>
  </w:num>
  <w:num w:numId="11">
    <w:abstractNumId w:val="6"/>
  </w:num>
  <w:num w:numId="12">
    <w:abstractNumId w:val="25"/>
  </w:num>
  <w:num w:numId="13">
    <w:abstractNumId w:val="7"/>
  </w:num>
  <w:num w:numId="14">
    <w:abstractNumId w:val="2"/>
  </w:num>
  <w:num w:numId="15">
    <w:abstractNumId w:val="23"/>
  </w:num>
  <w:num w:numId="16">
    <w:abstractNumId w:val="20"/>
  </w:num>
  <w:num w:numId="17">
    <w:abstractNumId w:val="1"/>
  </w:num>
  <w:num w:numId="18">
    <w:abstractNumId w:val="11"/>
  </w:num>
  <w:num w:numId="19">
    <w:abstractNumId w:val="26"/>
  </w:num>
  <w:num w:numId="20">
    <w:abstractNumId w:val="27"/>
  </w:num>
  <w:num w:numId="21">
    <w:abstractNumId w:val="17"/>
  </w:num>
  <w:num w:numId="22">
    <w:abstractNumId w:val="1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
  </w:num>
  <w:num w:numId="26">
    <w:abstractNumId w:val="29"/>
  </w:num>
  <w:num w:numId="27">
    <w:abstractNumId w:val="29"/>
  </w:num>
  <w:num w:numId="28">
    <w:abstractNumId w:val="0"/>
  </w:num>
  <w:num w:numId="29">
    <w:abstractNumId w:val="22"/>
  </w:num>
  <w:num w:numId="30">
    <w:abstractNumId w:val="9"/>
  </w:num>
  <w:num w:numId="31">
    <w:abstractNumId w:val="4"/>
  </w:num>
  <w:num w:numId="32">
    <w:abstractNumId w:val="2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C7"/>
    <w:rsid w:val="000003AB"/>
    <w:rsid w:val="00000B54"/>
    <w:rsid w:val="0000274D"/>
    <w:rsid w:val="00003E68"/>
    <w:rsid w:val="00003EC9"/>
    <w:rsid w:val="000060F3"/>
    <w:rsid w:val="000111EF"/>
    <w:rsid w:val="000147A8"/>
    <w:rsid w:val="00016440"/>
    <w:rsid w:val="00017356"/>
    <w:rsid w:val="00021C2E"/>
    <w:rsid w:val="0002226F"/>
    <w:rsid w:val="000310DD"/>
    <w:rsid w:val="000339EC"/>
    <w:rsid w:val="00041FD7"/>
    <w:rsid w:val="0004489C"/>
    <w:rsid w:val="00051994"/>
    <w:rsid w:val="000523C2"/>
    <w:rsid w:val="00057230"/>
    <w:rsid w:val="0006183B"/>
    <w:rsid w:val="00067A68"/>
    <w:rsid w:val="00076533"/>
    <w:rsid w:val="00080757"/>
    <w:rsid w:val="000832AD"/>
    <w:rsid w:val="000844FC"/>
    <w:rsid w:val="00084B71"/>
    <w:rsid w:val="0009026F"/>
    <w:rsid w:val="000A13D9"/>
    <w:rsid w:val="000A2B34"/>
    <w:rsid w:val="000A34E5"/>
    <w:rsid w:val="000B2A6C"/>
    <w:rsid w:val="000B3834"/>
    <w:rsid w:val="000B45D4"/>
    <w:rsid w:val="000C74BC"/>
    <w:rsid w:val="000D0A9A"/>
    <w:rsid w:val="000D4E9F"/>
    <w:rsid w:val="000E3ABA"/>
    <w:rsid w:val="000E5715"/>
    <w:rsid w:val="000E6D14"/>
    <w:rsid w:val="000F28D9"/>
    <w:rsid w:val="000F7E19"/>
    <w:rsid w:val="00100740"/>
    <w:rsid w:val="001019E4"/>
    <w:rsid w:val="00103629"/>
    <w:rsid w:val="00103D91"/>
    <w:rsid w:val="001056C6"/>
    <w:rsid w:val="00112F9D"/>
    <w:rsid w:val="00113747"/>
    <w:rsid w:val="0011623F"/>
    <w:rsid w:val="001200D8"/>
    <w:rsid w:val="001249D2"/>
    <w:rsid w:val="00127BD4"/>
    <w:rsid w:val="001303F7"/>
    <w:rsid w:val="00131E68"/>
    <w:rsid w:val="0013257A"/>
    <w:rsid w:val="001328F6"/>
    <w:rsid w:val="00134D0D"/>
    <w:rsid w:val="00136CAC"/>
    <w:rsid w:val="0014051D"/>
    <w:rsid w:val="001439AC"/>
    <w:rsid w:val="001443CA"/>
    <w:rsid w:val="00151DE5"/>
    <w:rsid w:val="0015302E"/>
    <w:rsid w:val="00155B97"/>
    <w:rsid w:val="00156086"/>
    <w:rsid w:val="001568D8"/>
    <w:rsid w:val="001569DC"/>
    <w:rsid w:val="001622BB"/>
    <w:rsid w:val="00162C8F"/>
    <w:rsid w:val="0017041C"/>
    <w:rsid w:val="001730B0"/>
    <w:rsid w:val="001774F6"/>
    <w:rsid w:val="00185A1B"/>
    <w:rsid w:val="001906B5"/>
    <w:rsid w:val="00190FD8"/>
    <w:rsid w:val="00196560"/>
    <w:rsid w:val="001967A3"/>
    <w:rsid w:val="001A0B38"/>
    <w:rsid w:val="001A4C3C"/>
    <w:rsid w:val="001A5EF1"/>
    <w:rsid w:val="001B0242"/>
    <w:rsid w:val="001B345C"/>
    <w:rsid w:val="001B45D1"/>
    <w:rsid w:val="001B77E9"/>
    <w:rsid w:val="001B7F9A"/>
    <w:rsid w:val="001C372D"/>
    <w:rsid w:val="001D7E37"/>
    <w:rsid w:val="001E021F"/>
    <w:rsid w:val="001E31A5"/>
    <w:rsid w:val="001E3DF6"/>
    <w:rsid w:val="001F1286"/>
    <w:rsid w:val="001F3008"/>
    <w:rsid w:val="00200444"/>
    <w:rsid w:val="00200658"/>
    <w:rsid w:val="0020228E"/>
    <w:rsid w:val="00216393"/>
    <w:rsid w:val="0022113F"/>
    <w:rsid w:val="0022424A"/>
    <w:rsid w:val="002344F3"/>
    <w:rsid w:val="0024091F"/>
    <w:rsid w:val="00240C7A"/>
    <w:rsid w:val="002532CD"/>
    <w:rsid w:val="002569A5"/>
    <w:rsid w:val="00256F55"/>
    <w:rsid w:val="002632B5"/>
    <w:rsid w:val="0026599A"/>
    <w:rsid w:val="00270584"/>
    <w:rsid w:val="00272AA4"/>
    <w:rsid w:val="002757CE"/>
    <w:rsid w:val="00283C9A"/>
    <w:rsid w:val="0029233E"/>
    <w:rsid w:val="002958A8"/>
    <w:rsid w:val="00296AAE"/>
    <w:rsid w:val="00297154"/>
    <w:rsid w:val="0029799A"/>
    <w:rsid w:val="002A007F"/>
    <w:rsid w:val="002A1A4D"/>
    <w:rsid w:val="002A2A00"/>
    <w:rsid w:val="002A5E86"/>
    <w:rsid w:val="002B1264"/>
    <w:rsid w:val="002B3A63"/>
    <w:rsid w:val="002B4C2C"/>
    <w:rsid w:val="002B5860"/>
    <w:rsid w:val="002C67FD"/>
    <w:rsid w:val="002D3E23"/>
    <w:rsid w:val="002D429D"/>
    <w:rsid w:val="002E11CF"/>
    <w:rsid w:val="002E1C10"/>
    <w:rsid w:val="002E70D1"/>
    <w:rsid w:val="002E7E1A"/>
    <w:rsid w:val="002F4537"/>
    <w:rsid w:val="002F711C"/>
    <w:rsid w:val="00301AF1"/>
    <w:rsid w:val="0030503B"/>
    <w:rsid w:val="0030596B"/>
    <w:rsid w:val="003065A0"/>
    <w:rsid w:val="003108A0"/>
    <w:rsid w:val="00313296"/>
    <w:rsid w:val="0032309B"/>
    <w:rsid w:val="00330B57"/>
    <w:rsid w:val="00332942"/>
    <w:rsid w:val="003430CB"/>
    <w:rsid w:val="00347389"/>
    <w:rsid w:val="00356A0D"/>
    <w:rsid w:val="00362404"/>
    <w:rsid w:val="00363E99"/>
    <w:rsid w:val="003652AB"/>
    <w:rsid w:val="00366F4C"/>
    <w:rsid w:val="00367896"/>
    <w:rsid w:val="00374A04"/>
    <w:rsid w:val="00377AB2"/>
    <w:rsid w:val="00381564"/>
    <w:rsid w:val="00383C66"/>
    <w:rsid w:val="00387DB7"/>
    <w:rsid w:val="00391CDE"/>
    <w:rsid w:val="00394481"/>
    <w:rsid w:val="00395AD3"/>
    <w:rsid w:val="003A1ECC"/>
    <w:rsid w:val="003A54F5"/>
    <w:rsid w:val="003A745C"/>
    <w:rsid w:val="003A7AF2"/>
    <w:rsid w:val="003B09A8"/>
    <w:rsid w:val="003C17AA"/>
    <w:rsid w:val="003C3110"/>
    <w:rsid w:val="003C44E9"/>
    <w:rsid w:val="003C7A1A"/>
    <w:rsid w:val="003D5E6E"/>
    <w:rsid w:val="003E1FAD"/>
    <w:rsid w:val="003E4FC1"/>
    <w:rsid w:val="003E56D6"/>
    <w:rsid w:val="003E5873"/>
    <w:rsid w:val="003E5E5A"/>
    <w:rsid w:val="003F13A0"/>
    <w:rsid w:val="003F1DA1"/>
    <w:rsid w:val="003F7660"/>
    <w:rsid w:val="00403912"/>
    <w:rsid w:val="0040569B"/>
    <w:rsid w:val="00406E56"/>
    <w:rsid w:val="00411527"/>
    <w:rsid w:val="0041332A"/>
    <w:rsid w:val="00422F33"/>
    <w:rsid w:val="00423862"/>
    <w:rsid w:val="004249E3"/>
    <w:rsid w:val="00426E51"/>
    <w:rsid w:val="00430280"/>
    <w:rsid w:val="004372DB"/>
    <w:rsid w:val="004523D4"/>
    <w:rsid w:val="00452608"/>
    <w:rsid w:val="00452A7A"/>
    <w:rsid w:val="00455A63"/>
    <w:rsid w:val="00455F24"/>
    <w:rsid w:val="00461AE2"/>
    <w:rsid w:val="0046685D"/>
    <w:rsid w:val="004718D2"/>
    <w:rsid w:val="00480621"/>
    <w:rsid w:val="00480A3C"/>
    <w:rsid w:val="0048230A"/>
    <w:rsid w:val="00485FCE"/>
    <w:rsid w:val="0048713B"/>
    <w:rsid w:val="00487B10"/>
    <w:rsid w:val="004931F6"/>
    <w:rsid w:val="004975D9"/>
    <w:rsid w:val="0049766D"/>
    <w:rsid w:val="004A1B59"/>
    <w:rsid w:val="004A2578"/>
    <w:rsid w:val="004A4F33"/>
    <w:rsid w:val="004A7AF0"/>
    <w:rsid w:val="004B380A"/>
    <w:rsid w:val="004B45DD"/>
    <w:rsid w:val="004C207C"/>
    <w:rsid w:val="004C779D"/>
    <w:rsid w:val="004D27AE"/>
    <w:rsid w:val="004D38E1"/>
    <w:rsid w:val="004D74E8"/>
    <w:rsid w:val="004E1882"/>
    <w:rsid w:val="004E65CD"/>
    <w:rsid w:val="004E6F45"/>
    <w:rsid w:val="004F0F05"/>
    <w:rsid w:val="004F36D6"/>
    <w:rsid w:val="005026A7"/>
    <w:rsid w:val="00511F68"/>
    <w:rsid w:val="00513A5F"/>
    <w:rsid w:val="00514926"/>
    <w:rsid w:val="0052271C"/>
    <w:rsid w:val="00523101"/>
    <w:rsid w:val="00526A32"/>
    <w:rsid w:val="005311B1"/>
    <w:rsid w:val="00531CF8"/>
    <w:rsid w:val="005329CC"/>
    <w:rsid w:val="00533185"/>
    <w:rsid w:val="005372B9"/>
    <w:rsid w:val="00537732"/>
    <w:rsid w:val="00540E84"/>
    <w:rsid w:val="00541775"/>
    <w:rsid w:val="00545A93"/>
    <w:rsid w:val="00550CEA"/>
    <w:rsid w:val="00562A33"/>
    <w:rsid w:val="0056507A"/>
    <w:rsid w:val="005679E9"/>
    <w:rsid w:val="0057419A"/>
    <w:rsid w:val="005743AE"/>
    <w:rsid w:val="0057583F"/>
    <w:rsid w:val="0059236B"/>
    <w:rsid w:val="005A06CA"/>
    <w:rsid w:val="005A0B8B"/>
    <w:rsid w:val="005A2D97"/>
    <w:rsid w:val="005B01FE"/>
    <w:rsid w:val="005B03F3"/>
    <w:rsid w:val="005B0C65"/>
    <w:rsid w:val="005B5677"/>
    <w:rsid w:val="005B656D"/>
    <w:rsid w:val="005C05ED"/>
    <w:rsid w:val="005C6166"/>
    <w:rsid w:val="005C6C85"/>
    <w:rsid w:val="005D042F"/>
    <w:rsid w:val="005D1ADC"/>
    <w:rsid w:val="005E20B4"/>
    <w:rsid w:val="005E698B"/>
    <w:rsid w:val="005F13BC"/>
    <w:rsid w:val="005F6EDB"/>
    <w:rsid w:val="006048A6"/>
    <w:rsid w:val="0061703C"/>
    <w:rsid w:val="0061729E"/>
    <w:rsid w:val="00624FAF"/>
    <w:rsid w:val="00625ECE"/>
    <w:rsid w:val="0062642D"/>
    <w:rsid w:val="00627E6F"/>
    <w:rsid w:val="0063066F"/>
    <w:rsid w:val="00630C11"/>
    <w:rsid w:val="00640BF3"/>
    <w:rsid w:val="00640F5B"/>
    <w:rsid w:val="006417C0"/>
    <w:rsid w:val="00642594"/>
    <w:rsid w:val="00645931"/>
    <w:rsid w:val="006574E3"/>
    <w:rsid w:val="0066441C"/>
    <w:rsid w:val="00664FA8"/>
    <w:rsid w:val="00666044"/>
    <w:rsid w:val="00666369"/>
    <w:rsid w:val="006674E7"/>
    <w:rsid w:val="0068010D"/>
    <w:rsid w:val="00680B99"/>
    <w:rsid w:val="00693658"/>
    <w:rsid w:val="00693F1F"/>
    <w:rsid w:val="00694825"/>
    <w:rsid w:val="0069592C"/>
    <w:rsid w:val="006959AD"/>
    <w:rsid w:val="006A15A5"/>
    <w:rsid w:val="006A24A8"/>
    <w:rsid w:val="006B1735"/>
    <w:rsid w:val="006B4A84"/>
    <w:rsid w:val="006B7AE0"/>
    <w:rsid w:val="006C17E6"/>
    <w:rsid w:val="006C2398"/>
    <w:rsid w:val="006C4531"/>
    <w:rsid w:val="006C4C87"/>
    <w:rsid w:val="006C6430"/>
    <w:rsid w:val="006D2670"/>
    <w:rsid w:val="006D6E4A"/>
    <w:rsid w:val="006F3E37"/>
    <w:rsid w:val="006F408F"/>
    <w:rsid w:val="006F6297"/>
    <w:rsid w:val="0070045A"/>
    <w:rsid w:val="00714E68"/>
    <w:rsid w:val="00727E57"/>
    <w:rsid w:val="00732ECA"/>
    <w:rsid w:val="00734190"/>
    <w:rsid w:val="0073434B"/>
    <w:rsid w:val="0073616C"/>
    <w:rsid w:val="00737405"/>
    <w:rsid w:val="00737F7A"/>
    <w:rsid w:val="007444E7"/>
    <w:rsid w:val="00745BC9"/>
    <w:rsid w:val="00747D1D"/>
    <w:rsid w:val="00757ADF"/>
    <w:rsid w:val="00761B90"/>
    <w:rsid w:val="00762639"/>
    <w:rsid w:val="00767964"/>
    <w:rsid w:val="00770CB9"/>
    <w:rsid w:val="00772666"/>
    <w:rsid w:val="00776429"/>
    <w:rsid w:val="00776BCE"/>
    <w:rsid w:val="00784C5F"/>
    <w:rsid w:val="007A2FBD"/>
    <w:rsid w:val="007B1CDA"/>
    <w:rsid w:val="007E1EE5"/>
    <w:rsid w:val="007E23E4"/>
    <w:rsid w:val="007E4719"/>
    <w:rsid w:val="007E56F5"/>
    <w:rsid w:val="007E6971"/>
    <w:rsid w:val="007F180D"/>
    <w:rsid w:val="007F29BB"/>
    <w:rsid w:val="007F546B"/>
    <w:rsid w:val="007F5FE2"/>
    <w:rsid w:val="007F6E0B"/>
    <w:rsid w:val="00812012"/>
    <w:rsid w:val="00813942"/>
    <w:rsid w:val="00814F83"/>
    <w:rsid w:val="00815F8D"/>
    <w:rsid w:val="0082316C"/>
    <w:rsid w:val="008254BD"/>
    <w:rsid w:val="00827450"/>
    <w:rsid w:val="00831A35"/>
    <w:rsid w:val="00832185"/>
    <w:rsid w:val="00832CC7"/>
    <w:rsid w:val="00833AB0"/>
    <w:rsid w:val="00835DF1"/>
    <w:rsid w:val="0085005B"/>
    <w:rsid w:val="008511C3"/>
    <w:rsid w:val="00854DBA"/>
    <w:rsid w:val="0085630C"/>
    <w:rsid w:val="008605A2"/>
    <w:rsid w:val="00863086"/>
    <w:rsid w:val="00863D20"/>
    <w:rsid w:val="00864BF0"/>
    <w:rsid w:val="00865B9F"/>
    <w:rsid w:val="008762A8"/>
    <w:rsid w:val="008856C6"/>
    <w:rsid w:val="0088618B"/>
    <w:rsid w:val="00887562"/>
    <w:rsid w:val="0089565F"/>
    <w:rsid w:val="00896CE1"/>
    <w:rsid w:val="0089776F"/>
    <w:rsid w:val="008A19A1"/>
    <w:rsid w:val="008A3185"/>
    <w:rsid w:val="008A35DA"/>
    <w:rsid w:val="008A41FD"/>
    <w:rsid w:val="008A460C"/>
    <w:rsid w:val="008A4D54"/>
    <w:rsid w:val="008A5A20"/>
    <w:rsid w:val="008A7EA1"/>
    <w:rsid w:val="008B01F8"/>
    <w:rsid w:val="008B0231"/>
    <w:rsid w:val="008B0D60"/>
    <w:rsid w:val="008B5395"/>
    <w:rsid w:val="008B5B9E"/>
    <w:rsid w:val="008C0A4A"/>
    <w:rsid w:val="008C24A7"/>
    <w:rsid w:val="008C29FB"/>
    <w:rsid w:val="008C3FBD"/>
    <w:rsid w:val="008C4560"/>
    <w:rsid w:val="008C48AE"/>
    <w:rsid w:val="008C6619"/>
    <w:rsid w:val="008C709C"/>
    <w:rsid w:val="008D0473"/>
    <w:rsid w:val="008D425E"/>
    <w:rsid w:val="008D4A46"/>
    <w:rsid w:val="008D6E9A"/>
    <w:rsid w:val="008D6E9C"/>
    <w:rsid w:val="008E0092"/>
    <w:rsid w:val="008E54F0"/>
    <w:rsid w:val="008F1AF5"/>
    <w:rsid w:val="008F33F6"/>
    <w:rsid w:val="008F4579"/>
    <w:rsid w:val="009009F3"/>
    <w:rsid w:val="00900C49"/>
    <w:rsid w:val="00901B08"/>
    <w:rsid w:val="00906A02"/>
    <w:rsid w:val="00910C99"/>
    <w:rsid w:val="0091144F"/>
    <w:rsid w:val="0091346D"/>
    <w:rsid w:val="009161CA"/>
    <w:rsid w:val="00916906"/>
    <w:rsid w:val="00921F39"/>
    <w:rsid w:val="00925000"/>
    <w:rsid w:val="009303C6"/>
    <w:rsid w:val="00951239"/>
    <w:rsid w:val="0095498E"/>
    <w:rsid w:val="00956C27"/>
    <w:rsid w:val="0095740E"/>
    <w:rsid w:val="00960DD9"/>
    <w:rsid w:val="009615C3"/>
    <w:rsid w:val="00972EAC"/>
    <w:rsid w:val="00976A65"/>
    <w:rsid w:val="0098645D"/>
    <w:rsid w:val="00986BA2"/>
    <w:rsid w:val="0099004A"/>
    <w:rsid w:val="009901C8"/>
    <w:rsid w:val="009B09C9"/>
    <w:rsid w:val="009B1BF4"/>
    <w:rsid w:val="009C14E0"/>
    <w:rsid w:val="009D5041"/>
    <w:rsid w:val="009D63A2"/>
    <w:rsid w:val="009D7278"/>
    <w:rsid w:val="009E01D7"/>
    <w:rsid w:val="009E091D"/>
    <w:rsid w:val="009E2F77"/>
    <w:rsid w:val="009E474F"/>
    <w:rsid w:val="009F0B35"/>
    <w:rsid w:val="009F1D30"/>
    <w:rsid w:val="009F25E5"/>
    <w:rsid w:val="00A031B5"/>
    <w:rsid w:val="00A04EC8"/>
    <w:rsid w:val="00A056AF"/>
    <w:rsid w:val="00A06C17"/>
    <w:rsid w:val="00A06D80"/>
    <w:rsid w:val="00A107D2"/>
    <w:rsid w:val="00A1099B"/>
    <w:rsid w:val="00A119E6"/>
    <w:rsid w:val="00A124DC"/>
    <w:rsid w:val="00A160EE"/>
    <w:rsid w:val="00A256E4"/>
    <w:rsid w:val="00A31EBC"/>
    <w:rsid w:val="00A32411"/>
    <w:rsid w:val="00A34B1F"/>
    <w:rsid w:val="00A37D92"/>
    <w:rsid w:val="00A40473"/>
    <w:rsid w:val="00A448DD"/>
    <w:rsid w:val="00A52C34"/>
    <w:rsid w:val="00A65402"/>
    <w:rsid w:val="00A7101F"/>
    <w:rsid w:val="00A73D7B"/>
    <w:rsid w:val="00A744C8"/>
    <w:rsid w:val="00A85E3B"/>
    <w:rsid w:val="00A86365"/>
    <w:rsid w:val="00A8676B"/>
    <w:rsid w:val="00A96773"/>
    <w:rsid w:val="00A97E22"/>
    <w:rsid w:val="00AA46EF"/>
    <w:rsid w:val="00AA5CDE"/>
    <w:rsid w:val="00AA6276"/>
    <w:rsid w:val="00AA67AA"/>
    <w:rsid w:val="00AB11AF"/>
    <w:rsid w:val="00AC3FAD"/>
    <w:rsid w:val="00AD02A1"/>
    <w:rsid w:val="00AD294C"/>
    <w:rsid w:val="00AD73EB"/>
    <w:rsid w:val="00AD7900"/>
    <w:rsid w:val="00AE5223"/>
    <w:rsid w:val="00AF48BF"/>
    <w:rsid w:val="00AF4E31"/>
    <w:rsid w:val="00B001FB"/>
    <w:rsid w:val="00B03C30"/>
    <w:rsid w:val="00B127C7"/>
    <w:rsid w:val="00B1621D"/>
    <w:rsid w:val="00B2089F"/>
    <w:rsid w:val="00B316D3"/>
    <w:rsid w:val="00B33FD7"/>
    <w:rsid w:val="00B34350"/>
    <w:rsid w:val="00B401EE"/>
    <w:rsid w:val="00B524C7"/>
    <w:rsid w:val="00B60833"/>
    <w:rsid w:val="00B63F00"/>
    <w:rsid w:val="00B737C4"/>
    <w:rsid w:val="00B76A37"/>
    <w:rsid w:val="00B76BA5"/>
    <w:rsid w:val="00B80D68"/>
    <w:rsid w:val="00B8200B"/>
    <w:rsid w:val="00B85EC6"/>
    <w:rsid w:val="00B87CD8"/>
    <w:rsid w:val="00B968CE"/>
    <w:rsid w:val="00BA0346"/>
    <w:rsid w:val="00BA56DA"/>
    <w:rsid w:val="00BB48DC"/>
    <w:rsid w:val="00BB70A4"/>
    <w:rsid w:val="00BC010E"/>
    <w:rsid w:val="00BC0737"/>
    <w:rsid w:val="00BD17FC"/>
    <w:rsid w:val="00BD4F75"/>
    <w:rsid w:val="00BD560C"/>
    <w:rsid w:val="00BE5FB2"/>
    <w:rsid w:val="00BF4F79"/>
    <w:rsid w:val="00BF5DB7"/>
    <w:rsid w:val="00BF6064"/>
    <w:rsid w:val="00BF7E49"/>
    <w:rsid w:val="00C07E8E"/>
    <w:rsid w:val="00C10314"/>
    <w:rsid w:val="00C13F98"/>
    <w:rsid w:val="00C2245C"/>
    <w:rsid w:val="00C235B6"/>
    <w:rsid w:val="00C266F2"/>
    <w:rsid w:val="00C26AC8"/>
    <w:rsid w:val="00C279AA"/>
    <w:rsid w:val="00C30B19"/>
    <w:rsid w:val="00C30F0A"/>
    <w:rsid w:val="00C3659F"/>
    <w:rsid w:val="00C41020"/>
    <w:rsid w:val="00C43164"/>
    <w:rsid w:val="00C45B6A"/>
    <w:rsid w:val="00C52D69"/>
    <w:rsid w:val="00C538D1"/>
    <w:rsid w:val="00C600F5"/>
    <w:rsid w:val="00C73383"/>
    <w:rsid w:val="00C77FD3"/>
    <w:rsid w:val="00C800DE"/>
    <w:rsid w:val="00C820C1"/>
    <w:rsid w:val="00C85C06"/>
    <w:rsid w:val="00C8722B"/>
    <w:rsid w:val="00C966E8"/>
    <w:rsid w:val="00CB62EC"/>
    <w:rsid w:val="00CC4AFB"/>
    <w:rsid w:val="00CD772B"/>
    <w:rsid w:val="00CE095F"/>
    <w:rsid w:val="00CE3D63"/>
    <w:rsid w:val="00CE4CC9"/>
    <w:rsid w:val="00CF1C7A"/>
    <w:rsid w:val="00CF2D73"/>
    <w:rsid w:val="00CF5D21"/>
    <w:rsid w:val="00D01AC3"/>
    <w:rsid w:val="00D05CAE"/>
    <w:rsid w:val="00D10697"/>
    <w:rsid w:val="00D10ED2"/>
    <w:rsid w:val="00D126A8"/>
    <w:rsid w:val="00D13811"/>
    <w:rsid w:val="00D15DC1"/>
    <w:rsid w:val="00D16145"/>
    <w:rsid w:val="00D17EF0"/>
    <w:rsid w:val="00D21BB6"/>
    <w:rsid w:val="00D2704C"/>
    <w:rsid w:val="00D27BA1"/>
    <w:rsid w:val="00D34EEA"/>
    <w:rsid w:val="00D35DD1"/>
    <w:rsid w:val="00D3772D"/>
    <w:rsid w:val="00D40776"/>
    <w:rsid w:val="00D413DC"/>
    <w:rsid w:val="00D4290F"/>
    <w:rsid w:val="00D42B61"/>
    <w:rsid w:val="00D50B85"/>
    <w:rsid w:val="00D530E2"/>
    <w:rsid w:val="00D64009"/>
    <w:rsid w:val="00D64426"/>
    <w:rsid w:val="00D679EF"/>
    <w:rsid w:val="00D80F20"/>
    <w:rsid w:val="00D8406A"/>
    <w:rsid w:val="00D843B2"/>
    <w:rsid w:val="00D84532"/>
    <w:rsid w:val="00D93951"/>
    <w:rsid w:val="00D93E04"/>
    <w:rsid w:val="00DA35EF"/>
    <w:rsid w:val="00DA74B8"/>
    <w:rsid w:val="00DC00CC"/>
    <w:rsid w:val="00DC03AB"/>
    <w:rsid w:val="00DC4634"/>
    <w:rsid w:val="00DC5FD6"/>
    <w:rsid w:val="00DD73BF"/>
    <w:rsid w:val="00DE01A5"/>
    <w:rsid w:val="00DE5AE7"/>
    <w:rsid w:val="00DF7CD1"/>
    <w:rsid w:val="00E0020E"/>
    <w:rsid w:val="00E11710"/>
    <w:rsid w:val="00E12AF3"/>
    <w:rsid w:val="00E131D6"/>
    <w:rsid w:val="00E1340D"/>
    <w:rsid w:val="00E13B52"/>
    <w:rsid w:val="00E20AA7"/>
    <w:rsid w:val="00E213D6"/>
    <w:rsid w:val="00E22CC1"/>
    <w:rsid w:val="00E22DEC"/>
    <w:rsid w:val="00E2545D"/>
    <w:rsid w:val="00E31814"/>
    <w:rsid w:val="00E34EB5"/>
    <w:rsid w:val="00E43D6D"/>
    <w:rsid w:val="00E453D1"/>
    <w:rsid w:val="00E45714"/>
    <w:rsid w:val="00E51116"/>
    <w:rsid w:val="00E52EB4"/>
    <w:rsid w:val="00E54D77"/>
    <w:rsid w:val="00E607DF"/>
    <w:rsid w:val="00E63C90"/>
    <w:rsid w:val="00E647B9"/>
    <w:rsid w:val="00E70B03"/>
    <w:rsid w:val="00E7156F"/>
    <w:rsid w:val="00E727CC"/>
    <w:rsid w:val="00E741DD"/>
    <w:rsid w:val="00E746CF"/>
    <w:rsid w:val="00E75499"/>
    <w:rsid w:val="00E82D48"/>
    <w:rsid w:val="00E87E76"/>
    <w:rsid w:val="00E91AC0"/>
    <w:rsid w:val="00E94414"/>
    <w:rsid w:val="00E9796A"/>
    <w:rsid w:val="00E97A80"/>
    <w:rsid w:val="00EA2E93"/>
    <w:rsid w:val="00EA5F6F"/>
    <w:rsid w:val="00EA60C2"/>
    <w:rsid w:val="00EA6EF1"/>
    <w:rsid w:val="00EA7618"/>
    <w:rsid w:val="00EB0581"/>
    <w:rsid w:val="00EB57E0"/>
    <w:rsid w:val="00EB62A2"/>
    <w:rsid w:val="00EC25D8"/>
    <w:rsid w:val="00EC45EA"/>
    <w:rsid w:val="00EC71B4"/>
    <w:rsid w:val="00ED15DA"/>
    <w:rsid w:val="00ED4390"/>
    <w:rsid w:val="00F008B8"/>
    <w:rsid w:val="00F03977"/>
    <w:rsid w:val="00F04E0B"/>
    <w:rsid w:val="00F067D6"/>
    <w:rsid w:val="00F10C8C"/>
    <w:rsid w:val="00F12A99"/>
    <w:rsid w:val="00F14C9D"/>
    <w:rsid w:val="00F15556"/>
    <w:rsid w:val="00F16421"/>
    <w:rsid w:val="00F221BB"/>
    <w:rsid w:val="00F22F98"/>
    <w:rsid w:val="00F35F39"/>
    <w:rsid w:val="00F366DD"/>
    <w:rsid w:val="00F411B7"/>
    <w:rsid w:val="00F42443"/>
    <w:rsid w:val="00F42500"/>
    <w:rsid w:val="00F427CC"/>
    <w:rsid w:val="00F51089"/>
    <w:rsid w:val="00F52252"/>
    <w:rsid w:val="00F52C50"/>
    <w:rsid w:val="00F664EE"/>
    <w:rsid w:val="00F72BD1"/>
    <w:rsid w:val="00F747C6"/>
    <w:rsid w:val="00F8528E"/>
    <w:rsid w:val="00F917E9"/>
    <w:rsid w:val="00F92CA4"/>
    <w:rsid w:val="00FA3416"/>
    <w:rsid w:val="00FA6484"/>
    <w:rsid w:val="00FB108C"/>
    <w:rsid w:val="00FC257D"/>
    <w:rsid w:val="00FC3569"/>
    <w:rsid w:val="00FE4FB9"/>
    <w:rsid w:val="00FE53BF"/>
    <w:rsid w:val="00FF2FD8"/>
    <w:rsid w:val="00FF5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1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29CC"/>
    <w:pPr>
      <w:keepNext/>
      <w:keepLines/>
      <w:numPr>
        <w:numId w:val="6"/>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8E0092"/>
    <w:pPr>
      <w:keepNext/>
      <w:numPr>
        <w:ilvl w:val="1"/>
        <w:numId w:val="6"/>
      </w:numPr>
      <w:spacing w:before="240" w:after="120"/>
      <w:outlineLvl w:val="1"/>
    </w:pPr>
    <w:rPr>
      <w:rFonts w:ascii="Times New Roman" w:eastAsia="Times New Roman" w:hAnsi="Times New Roman" w:cs="Times New Roman"/>
      <w:b/>
      <w:bCs/>
      <w:iCs/>
      <w:szCs w:val="28"/>
    </w:rPr>
  </w:style>
  <w:style w:type="paragraph" w:styleId="Heading3">
    <w:name w:val="heading 3"/>
    <w:basedOn w:val="Normal"/>
    <w:next w:val="Normal"/>
    <w:link w:val="Heading3Char"/>
    <w:qFormat/>
    <w:rsid w:val="008E0092"/>
    <w:pPr>
      <w:keepNext/>
      <w:numPr>
        <w:ilvl w:val="2"/>
        <w:numId w:val="6"/>
      </w:numPr>
      <w:spacing w:before="240" w:after="120"/>
      <w:outlineLvl w:val="2"/>
    </w:pPr>
    <w:rPr>
      <w:rFonts w:ascii="Times New Roman" w:eastAsia="Times New Roman" w:hAnsi="Times New Roman" w:cs="Times New Roman"/>
      <w:b/>
      <w:bCs/>
      <w:szCs w:val="26"/>
      <w:lang w:val="x-none" w:eastAsia="x-none"/>
    </w:rPr>
  </w:style>
  <w:style w:type="paragraph" w:styleId="Heading4">
    <w:name w:val="heading 4"/>
    <w:basedOn w:val="Normal"/>
    <w:next w:val="Normal"/>
    <w:link w:val="Heading4Char"/>
    <w:qFormat/>
    <w:rsid w:val="008E0092"/>
    <w:pPr>
      <w:keepNext/>
      <w:numPr>
        <w:ilvl w:val="3"/>
        <w:numId w:val="6"/>
      </w:numPr>
      <w:spacing w:before="240" w:after="120"/>
      <w:outlineLvl w:val="3"/>
    </w:pPr>
    <w:rPr>
      <w:rFonts w:ascii="Times New Roman" w:eastAsia="Times New Roman" w:hAnsi="Times New Roman" w:cs="Times New Roman"/>
      <w:b/>
      <w:bCs/>
      <w:i/>
      <w:szCs w:val="28"/>
    </w:rPr>
  </w:style>
  <w:style w:type="paragraph" w:styleId="Heading5">
    <w:name w:val="heading 5"/>
    <w:basedOn w:val="Normal"/>
    <w:next w:val="Normal"/>
    <w:link w:val="Heading5Char"/>
    <w:qFormat/>
    <w:rsid w:val="008E0092"/>
    <w:pPr>
      <w:keepNext/>
      <w:numPr>
        <w:ilvl w:val="4"/>
        <w:numId w:val="6"/>
      </w:numPr>
      <w:spacing w:before="240" w:after="120"/>
      <w:outlineLvl w:val="4"/>
    </w:pPr>
    <w:rPr>
      <w:rFonts w:ascii="Times New Roman" w:eastAsia="Times New Roman" w:hAnsi="Times New Roman" w:cs="Times New Roman"/>
      <w:bCs/>
      <w:i/>
      <w:iCs/>
      <w:szCs w:val="26"/>
    </w:rPr>
  </w:style>
  <w:style w:type="paragraph" w:styleId="Heading6">
    <w:name w:val="heading 6"/>
    <w:basedOn w:val="Normal"/>
    <w:next w:val="Normal"/>
    <w:link w:val="Heading6Char"/>
    <w:qFormat/>
    <w:rsid w:val="00737F7A"/>
    <w:pPr>
      <w:keepNext/>
      <w:numPr>
        <w:ilvl w:val="5"/>
        <w:numId w:val="6"/>
      </w:numPr>
      <w:spacing w:before="240" w:after="120"/>
      <w:outlineLvl w:val="5"/>
    </w:pPr>
    <w:rPr>
      <w:rFonts w:ascii="Times New Roman" w:eastAsia="Times New Roman" w:hAnsi="Times New Roman" w:cs="Times New Roman"/>
      <w:bCs/>
      <w:szCs w:val="22"/>
    </w:rPr>
  </w:style>
  <w:style w:type="paragraph" w:styleId="Heading7">
    <w:name w:val="heading 7"/>
    <w:basedOn w:val="Normal"/>
    <w:next w:val="Normal"/>
    <w:link w:val="Heading7Char"/>
    <w:qFormat/>
    <w:rsid w:val="00737F7A"/>
    <w:pPr>
      <w:numPr>
        <w:ilvl w:val="6"/>
        <w:numId w:val="6"/>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qFormat/>
    <w:rsid w:val="00737F7A"/>
    <w:pPr>
      <w:numPr>
        <w:ilvl w:val="7"/>
        <w:numId w:val="6"/>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737F7A"/>
    <w:pPr>
      <w:numPr>
        <w:ilvl w:val="8"/>
        <w:numId w:val="6"/>
      </w:numPr>
      <w:spacing w:before="240" w:after="60"/>
      <w:outlineLvl w:val="8"/>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9C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329CC"/>
    <w:pPr>
      <w:spacing w:line="276" w:lineRule="auto"/>
      <w:outlineLvl w:val="9"/>
    </w:pPr>
    <w:rPr>
      <w:color w:val="365F91" w:themeColor="accent1" w:themeShade="BF"/>
      <w:sz w:val="28"/>
      <w:szCs w:val="28"/>
    </w:rPr>
  </w:style>
  <w:style w:type="paragraph" w:styleId="BalloonText">
    <w:name w:val="Balloon Text"/>
    <w:basedOn w:val="Normal"/>
    <w:link w:val="BalloonTextChar"/>
    <w:unhideWhenUsed/>
    <w:rsid w:val="005329CC"/>
    <w:rPr>
      <w:rFonts w:ascii="Lucida Grande" w:hAnsi="Lucida Grande" w:cs="Lucida Grande"/>
      <w:sz w:val="18"/>
      <w:szCs w:val="18"/>
    </w:rPr>
  </w:style>
  <w:style w:type="character" w:customStyle="1" w:styleId="BalloonTextChar">
    <w:name w:val="Balloon Text Char"/>
    <w:basedOn w:val="DefaultParagraphFont"/>
    <w:link w:val="BalloonText"/>
    <w:rsid w:val="005329CC"/>
    <w:rPr>
      <w:rFonts w:ascii="Lucida Grande" w:hAnsi="Lucida Grande" w:cs="Lucida Grande"/>
      <w:sz w:val="18"/>
      <w:szCs w:val="18"/>
    </w:rPr>
  </w:style>
  <w:style w:type="paragraph" w:styleId="TOC1">
    <w:name w:val="toc 1"/>
    <w:basedOn w:val="Normal"/>
    <w:next w:val="Normal"/>
    <w:autoRedefine/>
    <w:semiHidden/>
    <w:unhideWhenUsed/>
    <w:rsid w:val="005329CC"/>
    <w:pPr>
      <w:spacing w:before="120"/>
    </w:pPr>
    <w:rPr>
      <w:b/>
    </w:rPr>
  </w:style>
  <w:style w:type="paragraph" w:styleId="TOC2">
    <w:name w:val="toc 2"/>
    <w:basedOn w:val="Normal"/>
    <w:next w:val="Normal"/>
    <w:autoRedefine/>
    <w:semiHidden/>
    <w:unhideWhenUsed/>
    <w:rsid w:val="005329CC"/>
    <w:pPr>
      <w:ind w:left="240"/>
    </w:pPr>
    <w:rPr>
      <w:b/>
      <w:sz w:val="22"/>
      <w:szCs w:val="22"/>
    </w:rPr>
  </w:style>
  <w:style w:type="paragraph" w:styleId="TOC3">
    <w:name w:val="toc 3"/>
    <w:basedOn w:val="Normal"/>
    <w:next w:val="Normal"/>
    <w:autoRedefine/>
    <w:semiHidden/>
    <w:unhideWhenUsed/>
    <w:rsid w:val="005329CC"/>
    <w:pPr>
      <w:ind w:left="480"/>
    </w:pPr>
    <w:rPr>
      <w:sz w:val="22"/>
      <w:szCs w:val="22"/>
    </w:rPr>
  </w:style>
  <w:style w:type="paragraph" w:styleId="TOC4">
    <w:name w:val="toc 4"/>
    <w:basedOn w:val="Normal"/>
    <w:next w:val="Normal"/>
    <w:autoRedefine/>
    <w:semiHidden/>
    <w:unhideWhenUsed/>
    <w:rsid w:val="005329CC"/>
    <w:pPr>
      <w:ind w:left="720"/>
    </w:pPr>
    <w:rPr>
      <w:sz w:val="20"/>
      <w:szCs w:val="20"/>
    </w:rPr>
  </w:style>
  <w:style w:type="paragraph" w:styleId="TOC5">
    <w:name w:val="toc 5"/>
    <w:basedOn w:val="Normal"/>
    <w:next w:val="Normal"/>
    <w:autoRedefine/>
    <w:semiHidden/>
    <w:unhideWhenUsed/>
    <w:rsid w:val="005329CC"/>
    <w:pPr>
      <w:ind w:left="960"/>
    </w:pPr>
    <w:rPr>
      <w:sz w:val="20"/>
      <w:szCs w:val="20"/>
    </w:rPr>
  </w:style>
  <w:style w:type="paragraph" w:styleId="TOC6">
    <w:name w:val="toc 6"/>
    <w:basedOn w:val="Normal"/>
    <w:next w:val="Normal"/>
    <w:autoRedefine/>
    <w:semiHidden/>
    <w:unhideWhenUsed/>
    <w:rsid w:val="005329CC"/>
    <w:pPr>
      <w:ind w:left="1200"/>
    </w:pPr>
    <w:rPr>
      <w:sz w:val="20"/>
      <w:szCs w:val="20"/>
    </w:rPr>
  </w:style>
  <w:style w:type="paragraph" w:styleId="TOC7">
    <w:name w:val="toc 7"/>
    <w:basedOn w:val="Normal"/>
    <w:next w:val="Normal"/>
    <w:autoRedefine/>
    <w:semiHidden/>
    <w:unhideWhenUsed/>
    <w:rsid w:val="005329CC"/>
    <w:pPr>
      <w:ind w:left="1440"/>
    </w:pPr>
    <w:rPr>
      <w:sz w:val="20"/>
      <w:szCs w:val="20"/>
    </w:rPr>
  </w:style>
  <w:style w:type="paragraph" w:styleId="TOC8">
    <w:name w:val="toc 8"/>
    <w:basedOn w:val="Normal"/>
    <w:next w:val="Normal"/>
    <w:autoRedefine/>
    <w:semiHidden/>
    <w:unhideWhenUsed/>
    <w:rsid w:val="005329CC"/>
    <w:pPr>
      <w:ind w:left="1680"/>
    </w:pPr>
    <w:rPr>
      <w:sz w:val="20"/>
      <w:szCs w:val="20"/>
    </w:rPr>
  </w:style>
  <w:style w:type="paragraph" w:styleId="TOC9">
    <w:name w:val="toc 9"/>
    <w:basedOn w:val="Normal"/>
    <w:next w:val="Normal"/>
    <w:autoRedefine/>
    <w:semiHidden/>
    <w:unhideWhenUsed/>
    <w:rsid w:val="005329CC"/>
    <w:pPr>
      <w:ind w:left="1920"/>
    </w:pPr>
    <w:rPr>
      <w:sz w:val="20"/>
      <w:szCs w:val="20"/>
    </w:rPr>
  </w:style>
  <w:style w:type="paragraph" w:styleId="Header">
    <w:name w:val="header"/>
    <w:basedOn w:val="Normal"/>
    <w:link w:val="HeaderChar"/>
    <w:unhideWhenUsed/>
    <w:rsid w:val="00D84532"/>
    <w:pPr>
      <w:tabs>
        <w:tab w:val="center" w:pos="4320"/>
        <w:tab w:val="right" w:pos="8640"/>
      </w:tabs>
    </w:pPr>
  </w:style>
  <w:style w:type="character" w:customStyle="1" w:styleId="HeaderChar">
    <w:name w:val="Header Char"/>
    <w:basedOn w:val="DefaultParagraphFont"/>
    <w:link w:val="Header"/>
    <w:uiPriority w:val="99"/>
    <w:rsid w:val="00D84532"/>
  </w:style>
  <w:style w:type="paragraph" w:styleId="Footer">
    <w:name w:val="footer"/>
    <w:basedOn w:val="Normal"/>
    <w:link w:val="FooterChar"/>
    <w:uiPriority w:val="99"/>
    <w:unhideWhenUsed/>
    <w:rsid w:val="00D84532"/>
    <w:pPr>
      <w:tabs>
        <w:tab w:val="center" w:pos="4320"/>
        <w:tab w:val="right" w:pos="8640"/>
      </w:tabs>
    </w:pPr>
  </w:style>
  <w:style w:type="character" w:customStyle="1" w:styleId="FooterChar">
    <w:name w:val="Footer Char"/>
    <w:basedOn w:val="DefaultParagraphFont"/>
    <w:link w:val="Footer"/>
    <w:uiPriority w:val="99"/>
    <w:rsid w:val="00D84532"/>
  </w:style>
  <w:style w:type="character" w:customStyle="1" w:styleId="Heading2Char">
    <w:name w:val="Heading 2 Char"/>
    <w:basedOn w:val="DefaultParagraphFont"/>
    <w:link w:val="Heading2"/>
    <w:rsid w:val="008E0092"/>
    <w:rPr>
      <w:rFonts w:ascii="Times New Roman" w:eastAsia="Times New Roman" w:hAnsi="Times New Roman" w:cs="Times New Roman"/>
      <w:b/>
      <w:bCs/>
      <w:iCs/>
      <w:szCs w:val="28"/>
    </w:rPr>
  </w:style>
  <w:style w:type="character" w:customStyle="1" w:styleId="Heading3Char">
    <w:name w:val="Heading 3 Char"/>
    <w:basedOn w:val="DefaultParagraphFont"/>
    <w:link w:val="Heading3"/>
    <w:rsid w:val="008E0092"/>
    <w:rPr>
      <w:rFonts w:ascii="Times New Roman" w:eastAsia="Times New Roman" w:hAnsi="Times New Roman" w:cs="Times New Roman"/>
      <w:b/>
      <w:bCs/>
      <w:szCs w:val="26"/>
      <w:lang w:val="x-none" w:eastAsia="x-none"/>
    </w:rPr>
  </w:style>
  <w:style w:type="character" w:customStyle="1" w:styleId="Heading4Char">
    <w:name w:val="Heading 4 Char"/>
    <w:basedOn w:val="DefaultParagraphFont"/>
    <w:link w:val="Heading4"/>
    <w:rsid w:val="008E0092"/>
    <w:rPr>
      <w:rFonts w:ascii="Times New Roman" w:eastAsia="Times New Roman" w:hAnsi="Times New Roman" w:cs="Times New Roman"/>
      <w:b/>
      <w:bCs/>
      <w:i/>
      <w:szCs w:val="28"/>
    </w:rPr>
  </w:style>
  <w:style w:type="character" w:customStyle="1" w:styleId="Heading5Char">
    <w:name w:val="Heading 5 Char"/>
    <w:basedOn w:val="DefaultParagraphFont"/>
    <w:link w:val="Heading5"/>
    <w:rsid w:val="008E0092"/>
    <w:rPr>
      <w:rFonts w:ascii="Times New Roman" w:eastAsia="Times New Roman" w:hAnsi="Times New Roman" w:cs="Times New Roman"/>
      <w:bCs/>
      <w:i/>
      <w:iCs/>
      <w:szCs w:val="26"/>
    </w:rPr>
  </w:style>
  <w:style w:type="paragraph" w:customStyle="1" w:styleId="Table">
    <w:name w:val="Table"/>
    <w:basedOn w:val="Normal"/>
    <w:next w:val="Normal"/>
    <w:semiHidden/>
    <w:rsid w:val="008E0092"/>
    <w:pPr>
      <w:tabs>
        <w:tab w:val="left" w:pos="1008"/>
      </w:tabs>
      <w:spacing w:after="120"/>
      <w:jc w:val="center"/>
    </w:pPr>
    <w:rPr>
      <w:rFonts w:ascii="Times New Roman" w:eastAsia="Times New Roman" w:hAnsi="Times New Roman" w:cs="Times New Roman"/>
      <w:b/>
    </w:rPr>
  </w:style>
  <w:style w:type="paragraph" w:customStyle="1" w:styleId="TableText10">
    <w:name w:val="TableText10"/>
    <w:basedOn w:val="Normal"/>
    <w:rsid w:val="008E0092"/>
    <w:rPr>
      <w:rFonts w:ascii="Times New Roman" w:eastAsia="Times New Roman" w:hAnsi="Times New Roman" w:cs="Times New Roman"/>
      <w:sz w:val="20"/>
    </w:rPr>
  </w:style>
  <w:style w:type="paragraph" w:customStyle="1" w:styleId="TableSource10">
    <w:name w:val="TableSource10"/>
    <w:basedOn w:val="TableText10"/>
    <w:next w:val="Normal"/>
    <w:rsid w:val="008E0092"/>
    <w:pPr>
      <w:spacing w:before="120" w:after="120"/>
    </w:pPr>
  </w:style>
  <w:style w:type="paragraph" w:customStyle="1" w:styleId="List1">
    <w:name w:val="List1"/>
    <w:basedOn w:val="Normal"/>
    <w:rsid w:val="008E0092"/>
    <w:pPr>
      <w:tabs>
        <w:tab w:val="num" w:pos="1008"/>
      </w:tabs>
      <w:spacing w:before="120" w:after="120"/>
      <w:ind w:left="1008" w:hanging="504"/>
    </w:pPr>
    <w:rPr>
      <w:rFonts w:ascii="Times New Roman" w:eastAsia="Times New Roman" w:hAnsi="Times New Roman" w:cs="Times New Roman"/>
    </w:rPr>
  </w:style>
  <w:style w:type="paragraph" w:customStyle="1" w:styleId="List2">
    <w:name w:val="List2"/>
    <w:basedOn w:val="Normal"/>
    <w:rsid w:val="008E0092"/>
    <w:pPr>
      <w:tabs>
        <w:tab w:val="num" w:pos="1512"/>
      </w:tabs>
      <w:spacing w:before="120" w:after="120"/>
      <w:ind w:left="1512" w:hanging="504"/>
    </w:pPr>
    <w:rPr>
      <w:rFonts w:ascii="Times New Roman" w:eastAsia="Times New Roman" w:hAnsi="Times New Roman" w:cs="Times New Roman"/>
    </w:rPr>
  </w:style>
  <w:style w:type="paragraph" w:customStyle="1" w:styleId="List4">
    <w:name w:val="List4"/>
    <w:basedOn w:val="Normal"/>
    <w:rsid w:val="008E0092"/>
    <w:pPr>
      <w:tabs>
        <w:tab w:val="num" w:pos="2520"/>
      </w:tabs>
      <w:spacing w:before="120" w:after="120"/>
      <w:ind w:left="2520" w:hanging="504"/>
    </w:pPr>
    <w:rPr>
      <w:rFonts w:ascii="Times New Roman" w:eastAsia="Times New Roman" w:hAnsi="Times New Roman" w:cs="Times New Roman"/>
    </w:rPr>
  </w:style>
  <w:style w:type="paragraph" w:customStyle="1" w:styleId="List3">
    <w:name w:val="List3"/>
    <w:basedOn w:val="Normal"/>
    <w:rsid w:val="008E0092"/>
    <w:pPr>
      <w:tabs>
        <w:tab w:val="num" w:pos="2016"/>
      </w:tabs>
      <w:spacing w:before="120" w:after="120"/>
      <w:ind w:left="2016" w:hanging="504"/>
    </w:pPr>
    <w:rPr>
      <w:rFonts w:ascii="Times New Roman" w:eastAsia="Times New Roman" w:hAnsi="Times New Roman" w:cs="Times New Roman"/>
    </w:rPr>
  </w:style>
  <w:style w:type="paragraph" w:customStyle="1" w:styleId="TableHeader10">
    <w:name w:val="TableHeader10"/>
    <w:basedOn w:val="TableText10"/>
    <w:rsid w:val="008E0092"/>
    <w:pPr>
      <w:jc w:val="center"/>
    </w:pPr>
    <w:rPr>
      <w:b/>
    </w:rPr>
  </w:style>
  <w:style w:type="character" w:customStyle="1" w:styleId="Heading6Char">
    <w:name w:val="Heading 6 Char"/>
    <w:basedOn w:val="DefaultParagraphFont"/>
    <w:link w:val="Heading6"/>
    <w:rsid w:val="00737F7A"/>
    <w:rPr>
      <w:rFonts w:ascii="Times New Roman" w:eastAsia="Times New Roman" w:hAnsi="Times New Roman" w:cs="Times New Roman"/>
      <w:bCs/>
      <w:szCs w:val="22"/>
    </w:rPr>
  </w:style>
  <w:style w:type="character" w:customStyle="1" w:styleId="Heading7Char">
    <w:name w:val="Heading 7 Char"/>
    <w:basedOn w:val="DefaultParagraphFont"/>
    <w:link w:val="Heading7"/>
    <w:rsid w:val="00737F7A"/>
    <w:rPr>
      <w:rFonts w:ascii="Times New Roman" w:eastAsia="Times New Roman" w:hAnsi="Times New Roman" w:cs="Times New Roman"/>
    </w:rPr>
  </w:style>
  <w:style w:type="character" w:customStyle="1" w:styleId="Heading8Char">
    <w:name w:val="Heading 8 Char"/>
    <w:basedOn w:val="DefaultParagraphFont"/>
    <w:link w:val="Heading8"/>
    <w:rsid w:val="00737F7A"/>
    <w:rPr>
      <w:rFonts w:ascii="Times New Roman" w:eastAsia="Times New Roman" w:hAnsi="Times New Roman" w:cs="Times New Roman"/>
      <w:i/>
      <w:iCs/>
    </w:rPr>
  </w:style>
  <w:style w:type="character" w:customStyle="1" w:styleId="Heading9Char">
    <w:name w:val="Heading 9 Char"/>
    <w:basedOn w:val="DefaultParagraphFont"/>
    <w:link w:val="Heading9"/>
    <w:rsid w:val="00737F7A"/>
    <w:rPr>
      <w:rFonts w:ascii="Times New Roman" w:eastAsia="Times New Roman" w:hAnsi="Times New Roman" w:cs="Times New Roman"/>
      <w:sz w:val="22"/>
      <w:szCs w:val="22"/>
    </w:rPr>
  </w:style>
  <w:style w:type="paragraph" w:customStyle="1" w:styleId="Appendix">
    <w:name w:val="Appendix"/>
    <w:basedOn w:val="Normal"/>
    <w:next w:val="Normal"/>
    <w:qFormat/>
    <w:rsid w:val="00737F7A"/>
    <w:pPr>
      <w:keepNext/>
      <w:pageBreakBefore/>
      <w:numPr>
        <w:numId w:val="7"/>
      </w:numPr>
      <w:tabs>
        <w:tab w:val="left" w:pos="1584"/>
      </w:tabs>
      <w:spacing w:before="240" w:after="120"/>
      <w:ind w:left="1584" w:hanging="1584"/>
    </w:pPr>
    <w:rPr>
      <w:rFonts w:ascii="Times New Roman" w:eastAsia="Times New Roman" w:hAnsi="Times New Roman" w:cs="Times New Roman"/>
      <w:b/>
    </w:rPr>
  </w:style>
  <w:style w:type="paragraph" w:customStyle="1" w:styleId="Guidance">
    <w:name w:val="Guidance"/>
    <w:basedOn w:val="Normal"/>
    <w:next w:val="Normal"/>
    <w:rsid w:val="00737F7A"/>
    <w:pPr>
      <w:spacing w:before="120" w:after="120"/>
    </w:pPr>
    <w:rPr>
      <w:rFonts w:ascii="Times New Roman" w:eastAsia="Times New Roman" w:hAnsi="Times New Roman" w:cs="Times New Roman"/>
      <w:color w:val="008000"/>
    </w:rPr>
  </w:style>
  <w:style w:type="paragraph" w:customStyle="1" w:styleId="TitlePDetails">
    <w:name w:val="TitlePDetails"/>
    <w:basedOn w:val="Normal"/>
    <w:semiHidden/>
    <w:rsid w:val="00737F7A"/>
    <w:pPr>
      <w:spacing w:after="240" w:line="360" w:lineRule="auto"/>
      <w:ind w:left="2160" w:hanging="2160"/>
    </w:pPr>
    <w:rPr>
      <w:rFonts w:ascii="Times New Roman" w:eastAsia="Times New Roman" w:hAnsi="Times New Roman" w:cs="Times New Roman"/>
    </w:rPr>
  </w:style>
  <w:style w:type="table" w:styleId="TableGrid">
    <w:name w:val="Table Grid"/>
    <w:basedOn w:val="TableNormal"/>
    <w:uiPriority w:val="59"/>
    <w:rsid w:val="00737F7A"/>
    <w:pPr>
      <w:spacing w:after="120"/>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Numb">
    <w:name w:val="Heading 1NoNumb"/>
    <w:basedOn w:val="Heading1"/>
    <w:next w:val="Normal"/>
    <w:rsid w:val="00737F7A"/>
  </w:style>
  <w:style w:type="paragraph" w:customStyle="1" w:styleId="Heading2NoNumb">
    <w:name w:val="Heading 2NoNumb"/>
    <w:basedOn w:val="Heading2"/>
    <w:next w:val="Normal"/>
    <w:rsid w:val="00737F7A"/>
  </w:style>
  <w:style w:type="paragraph" w:customStyle="1" w:styleId="Heading3NoNumb">
    <w:name w:val="Heading 3NoNumb"/>
    <w:basedOn w:val="Heading3"/>
    <w:next w:val="Normal"/>
    <w:rsid w:val="00737F7A"/>
  </w:style>
  <w:style w:type="paragraph" w:customStyle="1" w:styleId="Heading4NoNumb">
    <w:name w:val="Heading 4NoNumb"/>
    <w:basedOn w:val="Heading4"/>
    <w:next w:val="Normal"/>
    <w:rsid w:val="00737F7A"/>
  </w:style>
  <w:style w:type="paragraph" w:customStyle="1" w:styleId="Heading5NoNumb">
    <w:name w:val="Heading 5NoNumb"/>
    <w:basedOn w:val="Heading5"/>
    <w:next w:val="Normal"/>
    <w:rsid w:val="00737F7A"/>
  </w:style>
  <w:style w:type="paragraph" w:customStyle="1" w:styleId="HeaderLand">
    <w:name w:val="HeaderLand"/>
    <w:basedOn w:val="Header"/>
    <w:rsid w:val="00737F7A"/>
  </w:style>
  <w:style w:type="paragraph" w:customStyle="1" w:styleId="FooterLand">
    <w:name w:val="FooterLand"/>
    <w:basedOn w:val="Footer"/>
    <w:rsid w:val="00737F7A"/>
  </w:style>
  <w:style w:type="paragraph" w:customStyle="1" w:styleId="NormalSingleNoSpace">
    <w:name w:val="NormalSingleNoSpace"/>
    <w:basedOn w:val="Normal"/>
    <w:semiHidden/>
    <w:rsid w:val="00737F7A"/>
    <w:rPr>
      <w:rFonts w:ascii="Times New Roman" w:eastAsia="Times New Roman" w:hAnsi="Times New Roman" w:cs="Times New Roman"/>
      <w:lang w:val="en-GB"/>
    </w:rPr>
  </w:style>
  <w:style w:type="paragraph" w:customStyle="1" w:styleId="Figure">
    <w:name w:val="Figure"/>
    <w:basedOn w:val="Normal"/>
    <w:next w:val="Normal"/>
    <w:rsid w:val="00737F7A"/>
    <w:pPr>
      <w:tabs>
        <w:tab w:val="left" w:pos="1152"/>
      </w:tabs>
      <w:spacing w:after="120"/>
      <w:jc w:val="center"/>
    </w:pPr>
    <w:rPr>
      <w:rFonts w:ascii="Times New Roman" w:eastAsia="Times New Roman" w:hAnsi="Times New Roman" w:cs="Times New Roman"/>
      <w:b/>
    </w:rPr>
  </w:style>
  <w:style w:type="paragraph" w:customStyle="1" w:styleId="TableText9">
    <w:name w:val="TableText9"/>
    <w:basedOn w:val="TableText10"/>
    <w:rsid w:val="00737F7A"/>
    <w:rPr>
      <w:sz w:val="18"/>
    </w:rPr>
  </w:style>
  <w:style w:type="paragraph" w:customStyle="1" w:styleId="TableHeader9">
    <w:name w:val="TableHeader9"/>
    <w:basedOn w:val="TableText9"/>
    <w:rsid w:val="00737F7A"/>
  </w:style>
  <w:style w:type="character" w:styleId="Hyperlink">
    <w:name w:val="Hyperlink"/>
    <w:rsid w:val="00737F7A"/>
    <w:rPr>
      <w:dstrike w:val="0"/>
      <w:color w:val="0000FF"/>
      <w:u w:val="none"/>
      <w:vertAlign w:val="baseline"/>
    </w:rPr>
  </w:style>
  <w:style w:type="paragraph" w:customStyle="1" w:styleId="TableNotes9">
    <w:name w:val="TableNotes9"/>
    <w:basedOn w:val="TableText10"/>
    <w:next w:val="Normal"/>
    <w:rsid w:val="00737F7A"/>
    <w:pPr>
      <w:spacing w:before="120" w:after="120"/>
      <w:ind w:left="576" w:hanging="576"/>
    </w:pPr>
    <w:rPr>
      <w:sz w:val="18"/>
    </w:rPr>
  </w:style>
  <w:style w:type="paragraph" w:customStyle="1" w:styleId="TableText8">
    <w:name w:val="TableText8"/>
    <w:basedOn w:val="Normal"/>
    <w:rsid w:val="00737F7A"/>
    <w:rPr>
      <w:rFonts w:ascii="Times New Roman" w:eastAsia="Times New Roman" w:hAnsi="Times New Roman" w:cs="Times New Roman"/>
      <w:sz w:val="16"/>
    </w:rPr>
  </w:style>
  <w:style w:type="paragraph" w:customStyle="1" w:styleId="TableHeader8">
    <w:name w:val="TableHeader8"/>
    <w:basedOn w:val="TableText8"/>
    <w:rsid w:val="00737F7A"/>
  </w:style>
  <w:style w:type="paragraph" w:customStyle="1" w:styleId="TableSource9">
    <w:name w:val="TableSource9"/>
    <w:basedOn w:val="TableText9"/>
    <w:next w:val="Normal"/>
    <w:rsid w:val="00737F7A"/>
  </w:style>
  <w:style w:type="paragraph" w:customStyle="1" w:styleId="TableSource8">
    <w:name w:val="TableSource8"/>
    <w:basedOn w:val="TableText8"/>
    <w:next w:val="Normal"/>
    <w:rsid w:val="00737F7A"/>
  </w:style>
  <w:style w:type="paragraph" w:customStyle="1" w:styleId="TableCont">
    <w:name w:val="TableCont"/>
    <w:basedOn w:val="Table"/>
    <w:next w:val="Normal"/>
    <w:rsid w:val="00737F7A"/>
    <w:rPr>
      <w:noProof/>
    </w:rPr>
  </w:style>
  <w:style w:type="character" w:styleId="FollowedHyperlink">
    <w:name w:val="FollowedHyperlink"/>
    <w:semiHidden/>
    <w:rsid w:val="00737F7A"/>
    <w:rPr>
      <w:color w:val="800080"/>
      <w:u w:val="single"/>
    </w:rPr>
  </w:style>
  <w:style w:type="paragraph" w:customStyle="1" w:styleId="DocTitle">
    <w:name w:val="DocTitle"/>
    <w:basedOn w:val="Normal"/>
    <w:semiHidden/>
    <w:rsid w:val="00737F7A"/>
    <w:pPr>
      <w:spacing w:before="240" w:after="240"/>
      <w:jc w:val="center"/>
    </w:pPr>
    <w:rPr>
      <w:rFonts w:ascii="Times New Roman" w:eastAsia="Times New Roman" w:hAnsi="Times New Roman" w:cs="Times New Roman"/>
      <w:b/>
      <w:sz w:val="28"/>
    </w:rPr>
  </w:style>
  <w:style w:type="paragraph" w:customStyle="1" w:styleId="Instructions">
    <w:name w:val="Instructions"/>
    <w:basedOn w:val="Normal"/>
    <w:next w:val="Normal"/>
    <w:rsid w:val="00737F7A"/>
    <w:pPr>
      <w:spacing w:before="120" w:after="120"/>
    </w:pPr>
    <w:rPr>
      <w:rFonts w:ascii="Times New Roman" w:eastAsia="Times New Roman" w:hAnsi="Times New Roman" w:cs="Times New Roman"/>
      <w:color w:val="FF0000"/>
    </w:rPr>
  </w:style>
  <w:style w:type="paragraph" w:customStyle="1" w:styleId="DocTitleText">
    <w:name w:val="DocTitleText"/>
    <w:basedOn w:val="DocTitle"/>
    <w:semiHidden/>
    <w:rsid w:val="00737F7A"/>
  </w:style>
  <w:style w:type="paragraph" w:customStyle="1" w:styleId="NormalNoSpace">
    <w:name w:val="NormalNoSpace"/>
    <w:basedOn w:val="Normal"/>
    <w:rsid w:val="00737F7A"/>
    <w:rPr>
      <w:rFonts w:ascii="Times New Roman" w:eastAsia="Times New Roman" w:hAnsi="Times New Roman" w:cs="Times New Roman"/>
      <w:lang w:val="en-GB"/>
    </w:rPr>
  </w:style>
  <w:style w:type="paragraph" w:styleId="Title">
    <w:name w:val="Title"/>
    <w:basedOn w:val="Heading1NoNumb"/>
    <w:next w:val="Normal"/>
    <w:link w:val="TitleChar"/>
    <w:qFormat/>
    <w:rsid w:val="00737F7A"/>
    <w:pPr>
      <w:keepLines w:val="0"/>
      <w:numPr>
        <w:numId w:val="0"/>
      </w:numPr>
      <w:tabs>
        <w:tab w:val="left" w:pos="504"/>
      </w:tabs>
      <w:spacing w:before="240" w:after="120"/>
      <w:jc w:val="center"/>
      <w:outlineLvl w:val="9"/>
    </w:pPr>
    <w:rPr>
      <w:rFonts w:ascii="Times New Roman" w:eastAsia="Times New Roman" w:hAnsi="Times New Roman" w:cs="Times New Roman"/>
      <w:bCs w:val="0"/>
      <w:caps/>
      <w:color w:val="auto"/>
      <w:sz w:val="24"/>
    </w:rPr>
  </w:style>
  <w:style w:type="character" w:customStyle="1" w:styleId="TitleChar">
    <w:name w:val="Title Char"/>
    <w:basedOn w:val="DefaultParagraphFont"/>
    <w:link w:val="Title"/>
    <w:rsid w:val="00737F7A"/>
    <w:rPr>
      <w:rFonts w:ascii="Times New Roman" w:eastAsia="Times New Roman" w:hAnsi="Times New Roman" w:cs="Times New Roman"/>
      <w:b/>
      <w:caps/>
      <w:szCs w:val="32"/>
    </w:rPr>
  </w:style>
  <w:style w:type="paragraph" w:customStyle="1" w:styleId="TableNotes8">
    <w:name w:val="TableNotes8"/>
    <w:basedOn w:val="TableText9"/>
    <w:next w:val="Normal"/>
    <w:rsid w:val="00737F7A"/>
  </w:style>
  <w:style w:type="paragraph" w:customStyle="1" w:styleId="FigureSource">
    <w:name w:val="FigureSource"/>
    <w:basedOn w:val="Normal"/>
    <w:next w:val="Normal"/>
    <w:rsid w:val="00737F7A"/>
    <w:rPr>
      <w:rFonts w:ascii="Times New Roman" w:eastAsia="Times New Roman" w:hAnsi="Times New Roman" w:cs="Times New Roman"/>
      <w:sz w:val="20"/>
    </w:rPr>
  </w:style>
  <w:style w:type="paragraph" w:customStyle="1" w:styleId="Bullet">
    <w:name w:val="Bullet"/>
    <w:basedOn w:val="Normal"/>
    <w:semiHidden/>
    <w:rsid w:val="00737F7A"/>
    <w:pPr>
      <w:spacing w:before="120" w:after="120"/>
    </w:pPr>
    <w:rPr>
      <w:rFonts w:ascii="Times New Roman" w:eastAsia="Times New Roman" w:hAnsi="Times New Roman" w:cs="Times New Roman"/>
    </w:rPr>
  </w:style>
  <w:style w:type="paragraph" w:styleId="Caption">
    <w:name w:val="caption"/>
    <w:basedOn w:val="Normal"/>
    <w:next w:val="Normal"/>
    <w:qFormat/>
    <w:rsid w:val="00737F7A"/>
    <w:pPr>
      <w:spacing w:before="120" w:after="120"/>
    </w:pPr>
    <w:rPr>
      <w:rFonts w:ascii="Times New Roman" w:eastAsia="Times New Roman" w:hAnsi="Times New Roman" w:cs="Times New Roman"/>
      <w:b/>
      <w:bCs/>
      <w:sz w:val="20"/>
      <w:szCs w:val="20"/>
    </w:rPr>
  </w:style>
  <w:style w:type="paragraph" w:styleId="TableofFigures">
    <w:name w:val="table of figures"/>
    <w:basedOn w:val="Normal"/>
    <w:next w:val="Normal"/>
    <w:semiHidden/>
    <w:rsid w:val="00737F7A"/>
    <w:pPr>
      <w:tabs>
        <w:tab w:val="left" w:pos="1008"/>
        <w:tab w:val="right" w:leader="dot" w:pos="9000"/>
      </w:tabs>
      <w:ind w:left="1008" w:hanging="1008"/>
    </w:pPr>
    <w:rPr>
      <w:rFonts w:ascii="Times New Roman" w:eastAsia="Times New Roman" w:hAnsi="Times New Roman" w:cs="Times New Roman"/>
      <w:b/>
      <w:color w:val="000000"/>
    </w:rPr>
  </w:style>
  <w:style w:type="numbering" w:styleId="111111">
    <w:name w:val="Outline List 2"/>
    <w:basedOn w:val="NoList"/>
    <w:semiHidden/>
    <w:rsid w:val="00737F7A"/>
    <w:pPr>
      <w:numPr>
        <w:numId w:val="4"/>
      </w:numPr>
    </w:pPr>
  </w:style>
  <w:style w:type="numbering" w:styleId="1ai">
    <w:name w:val="Outline List 1"/>
    <w:basedOn w:val="NoList"/>
    <w:semiHidden/>
    <w:rsid w:val="00737F7A"/>
    <w:pPr>
      <w:numPr>
        <w:numId w:val="5"/>
      </w:numPr>
    </w:pPr>
  </w:style>
  <w:style w:type="numbering" w:styleId="ArticleSection">
    <w:name w:val="Outline List 3"/>
    <w:basedOn w:val="NoList"/>
    <w:semiHidden/>
    <w:rsid w:val="00737F7A"/>
    <w:pPr>
      <w:numPr>
        <w:numId w:val="6"/>
      </w:numPr>
    </w:pPr>
  </w:style>
  <w:style w:type="paragraph" w:styleId="BlockText">
    <w:name w:val="Block Text"/>
    <w:basedOn w:val="Normal"/>
    <w:semiHidden/>
    <w:rsid w:val="00737F7A"/>
    <w:pPr>
      <w:spacing w:before="120" w:after="120"/>
      <w:ind w:left="1440" w:right="1440"/>
    </w:pPr>
    <w:rPr>
      <w:rFonts w:ascii="Times New Roman" w:eastAsia="Times New Roman" w:hAnsi="Times New Roman" w:cs="Times New Roman"/>
    </w:rPr>
  </w:style>
  <w:style w:type="paragraph" w:styleId="BodyText">
    <w:name w:val="Body Text"/>
    <w:basedOn w:val="Normal"/>
    <w:link w:val="BodyTextChar"/>
    <w:semiHidden/>
    <w:rsid w:val="00737F7A"/>
    <w:pPr>
      <w:spacing w:before="120" w:after="120"/>
    </w:pPr>
    <w:rPr>
      <w:rFonts w:ascii="Times New Roman" w:eastAsia="Times New Roman" w:hAnsi="Times New Roman" w:cs="Times New Roman"/>
    </w:rPr>
  </w:style>
  <w:style w:type="character" w:customStyle="1" w:styleId="BodyTextChar">
    <w:name w:val="Body Text Char"/>
    <w:basedOn w:val="DefaultParagraphFont"/>
    <w:link w:val="BodyText"/>
    <w:semiHidden/>
    <w:rsid w:val="00737F7A"/>
    <w:rPr>
      <w:rFonts w:ascii="Times New Roman" w:eastAsia="Times New Roman" w:hAnsi="Times New Roman" w:cs="Times New Roman"/>
    </w:rPr>
  </w:style>
  <w:style w:type="paragraph" w:styleId="BodyText2">
    <w:name w:val="Body Text 2"/>
    <w:basedOn w:val="Normal"/>
    <w:link w:val="BodyText2Char"/>
    <w:semiHidden/>
    <w:rsid w:val="00737F7A"/>
    <w:pPr>
      <w:spacing w:before="120"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37F7A"/>
    <w:rPr>
      <w:rFonts w:ascii="Times New Roman" w:eastAsia="Times New Roman" w:hAnsi="Times New Roman" w:cs="Times New Roman"/>
    </w:rPr>
  </w:style>
  <w:style w:type="paragraph" w:styleId="BodyText3">
    <w:name w:val="Body Text 3"/>
    <w:basedOn w:val="Normal"/>
    <w:link w:val="BodyText3Char"/>
    <w:semiHidden/>
    <w:rsid w:val="00737F7A"/>
    <w:pPr>
      <w:spacing w:before="120"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737F7A"/>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737F7A"/>
    <w:pPr>
      <w:ind w:firstLine="210"/>
    </w:pPr>
  </w:style>
  <w:style w:type="character" w:customStyle="1" w:styleId="BodyTextFirstIndentChar">
    <w:name w:val="Body Text First Indent Char"/>
    <w:basedOn w:val="BodyTextChar"/>
    <w:link w:val="BodyTextFirstIndent"/>
    <w:semiHidden/>
    <w:rsid w:val="00737F7A"/>
    <w:rPr>
      <w:rFonts w:ascii="Times New Roman" w:eastAsia="Times New Roman" w:hAnsi="Times New Roman" w:cs="Times New Roman"/>
    </w:rPr>
  </w:style>
  <w:style w:type="paragraph" w:styleId="BodyTextIndent">
    <w:name w:val="Body Text Indent"/>
    <w:basedOn w:val="Normal"/>
    <w:link w:val="BodyTextIndentChar"/>
    <w:semiHidden/>
    <w:rsid w:val="00737F7A"/>
    <w:pPr>
      <w:spacing w:before="120"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737F7A"/>
    <w:rPr>
      <w:rFonts w:ascii="Times New Roman" w:eastAsia="Times New Roman" w:hAnsi="Times New Roman" w:cs="Times New Roman"/>
    </w:rPr>
  </w:style>
  <w:style w:type="paragraph" w:styleId="BodyTextFirstIndent2">
    <w:name w:val="Body Text First Indent 2"/>
    <w:basedOn w:val="BodyTextIndent"/>
    <w:link w:val="BodyTextFirstIndent2Char"/>
    <w:semiHidden/>
    <w:rsid w:val="00737F7A"/>
    <w:pPr>
      <w:ind w:firstLine="210"/>
    </w:pPr>
  </w:style>
  <w:style w:type="character" w:customStyle="1" w:styleId="BodyTextFirstIndent2Char">
    <w:name w:val="Body Text First Indent 2 Char"/>
    <w:basedOn w:val="BodyTextIndentChar"/>
    <w:link w:val="BodyTextFirstIndent2"/>
    <w:semiHidden/>
    <w:rsid w:val="00737F7A"/>
    <w:rPr>
      <w:rFonts w:ascii="Times New Roman" w:eastAsia="Times New Roman" w:hAnsi="Times New Roman" w:cs="Times New Roman"/>
    </w:rPr>
  </w:style>
  <w:style w:type="paragraph" w:styleId="BodyTextIndent2">
    <w:name w:val="Body Text Indent 2"/>
    <w:basedOn w:val="Normal"/>
    <w:link w:val="BodyTextIndent2Char"/>
    <w:semiHidden/>
    <w:rsid w:val="00737F7A"/>
    <w:pPr>
      <w:spacing w:before="120"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semiHidden/>
    <w:rsid w:val="00737F7A"/>
    <w:rPr>
      <w:rFonts w:ascii="Times New Roman" w:eastAsia="Times New Roman" w:hAnsi="Times New Roman" w:cs="Times New Roman"/>
    </w:rPr>
  </w:style>
  <w:style w:type="paragraph" w:styleId="BodyTextIndent3">
    <w:name w:val="Body Text Indent 3"/>
    <w:basedOn w:val="Normal"/>
    <w:link w:val="BodyTextIndent3Char"/>
    <w:semiHidden/>
    <w:rsid w:val="00737F7A"/>
    <w:pPr>
      <w:spacing w:before="12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737F7A"/>
    <w:rPr>
      <w:rFonts w:ascii="Times New Roman" w:eastAsia="Times New Roman" w:hAnsi="Times New Roman" w:cs="Times New Roman"/>
      <w:sz w:val="16"/>
      <w:szCs w:val="16"/>
    </w:rPr>
  </w:style>
  <w:style w:type="paragraph" w:styleId="Closing">
    <w:name w:val="Closing"/>
    <w:basedOn w:val="Normal"/>
    <w:link w:val="ClosingChar"/>
    <w:semiHidden/>
    <w:rsid w:val="00737F7A"/>
    <w:pPr>
      <w:spacing w:before="120" w:after="120"/>
      <w:ind w:left="4252"/>
    </w:pPr>
    <w:rPr>
      <w:rFonts w:ascii="Times New Roman" w:eastAsia="Times New Roman" w:hAnsi="Times New Roman" w:cs="Times New Roman"/>
    </w:rPr>
  </w:style>
  <w:style w:type="character" w:customStyle="1" w:styleId="ClosingChar">
    <w:name w:val="Closing Char"/>
    <w:basedOn w:val="DefaultParagraphFont"/>
    <w:link w:val="Closing"/>
    <w:semiHidden/>
    <w:rsid w:val="00737F7A"/>
    <w:rPr>
      <w:rFonts w:ascii="Times New Roman" w:eastAsia="Times New Roman" w:hAnsi="Times New Roman" w:cs="Times New Roman"/>
    </w:rPr>
  </w:style>
  <w:style w:type="paragraph" w:styleId="Date">
    <w:name w:val="Date"/>
    <w:basedOn w:val="Normal"/>
    <w:next w:val="Normal"/>
    <w:link w:val="DateChar"/>
    <w:semiHidden/>
    <w:rsid w:val="00737F7A"/>
    <w:pPr>
      <w:spacing w:before="120" w:after="120"/>
    </w:pPr>
    <w:rPr>
      <w:rFonts w:ascii="Times New Roman" w:eastAsia="Times New Roman" w:hAnsi="Times New Roman" w:cs="Times New Roman"/>
    </w:rPr>
  </w:style>
  <w:style w:type="character" w:customStyle="1" w:styleId="DateChar">
    <w:name w:val="Date Char"/>
    <w:basedOn w:val="DefaultParagraphFont"/>
    <w:link w:val="Date"/>
    <w:semiHidden/>
    <w:rsid w:val="00737F7A"/>
    <w:rPr>
      <w:rFonts w:ascii="Times New Roman" w:eastAsia="Times New Roman" w:hAnsi="Times New Roman" w:cs="Times New Roman"/>
    </w:rPr>
  </w:style>
  <w:style w:type="paragraph" w:styleId="E-mailSignature">
    <w:name w:val="E-mail Signature"/>
    <w:basedOn w:val="Normal"/>
    <w:link w:val="E-mailSignatureChar"/>
    <w:semiHidden/>
    <w:rsid w:val="00737F7A"/>
    <w:pPr>
      <w:spacing w:before="120" w:after="120"/>
    </w:pPr>
    <w:rPr>
      <w:rFonts w:ascii="Times New Roman" w:eastAsia="Times New Roman" w:hAnsi="Times New Roman" w:cs="Times New Roman"/>
    </w:rPr>
  </w:style>
  <w:style w:type="character" w:customStyle="1" w:styleId="E-mailSignatureChar">
    <w:name w:val="E-mail Signature Char"/>
    <w:basedOn w:val="DefaultParagraphFont"/>
    <w:link w:val="E-mailSignature"/>
    <w:semiHidden/>
    <w:rsid w:val="00737F7A"/>
    <w:rPr>
      <w:rFonts w:ascii="Times New Roman" w:eastAsia="Times New Roman" w:hAnsi="Times New Roman" w:cs="Times New Roman"/>
    </w:rPr>
  </w:style>
  <w:style w:type="character" w:styleId="Emphasis">
    <w:name w:val="Emphasis"/>
    <w:qFormat/>
    <w:rsid w:val="00737F7A"/>
    <w:rPr>
      <w:i/>
      <w:iCs/>
    </w:rPr>
  </w:style>
  <w:style w:type="paragraph" w:styleId="EnvelopeAddress">
    <w:name w:val="envelope address"/>
    <w:basedOn w:val="Normal"/>
    <w:semiHidden/>
    <w:rsid w:val="00737F7A"/>
    <w:pPr>
      <w:framePr w:w="7920" w:h="1980" w:hRule="exact" w:hSpace="180" w:wrap="auto" w:hAnchor="page" w:xAlign="center" w:yAlign="bottom"/>
      <w:spacing w:before="120" w:after="120"/>
      <w:ind w:left="2880"/>
    </w:pPr>
    <w:rPr>
      <w:rFonts w:ascii="Times New Roman" w:eastAsia="Times New Roman" w:hAnsi="Times New Roman" w:cs="Times New Roman"/>
    </w:rPr>
  </w:style>
  <w:style w:type="paragraph" w:styleId="EnvelopeReturn">
    <w:name w:val="envelope return"/>
    <w:basedOn w:val="Normal"/>
    <w:semiHidden/>
    <w:rsid w:val="00737F7A"/>
    <w:pPr>
      <w:spacing w:before="120" w:after="120"/>
    </w:pPr>
    <w:rPr>
      <w:rFonts w:ascii="Times New Roman" w:eastAsia="Times New Roman" w:hAnsi="Times New Roman" w:cs="Times New Roman"/>
      <w:sz w:val="20"/>
      <w:szCs w:val="20"/>
    </w:rPr>
  </w:style>
  <w:style w:type="character" w:styleId="HTMLAcronym">
    <w:name w:val="HTML Acronym"/>
    <w:basedOn w:val="DefaultParagraphFont"/>
    <w:semiHidden/>
    <w:rsid w:val="00737F7A"/>
  </w:style>
  <w:style w:type="paragraph" w:styleId="HTMLAddress">
    <w:name w:val="HTML Address"/>
    <w:basedOn w:val="Normal"/>
    <w:link w:val="HTMLAddressChar"/>
    <w:semiHidden/>
    <w:rsid w:val="00737F7A"/>
    <w:pPr>
      <w:spacing w:before="120" w:after="120"/>
    </w:pPr>
    <w:rPr>
      <w:rFonts w:ascii="Times New Roman" w:eastAsia="Times New Roman" w:hAnsi="Times New Roman" w:cs="Times New Roman"/>
      <w:i/>
      <w:iCs/>
    </w:rPr>
  </w:style>
  <w:style w:type="character" w:customStyle="1" w:styleId="HTMLAddressChar">
    <w:name w:val="HTML Address Char"/>
    <w:basedOn w:val="DefaultParagraphFont"/>
    <w:link w:val="HTMLAddress"/>
    <w:semiHidden/>
    <w:rsid w:val="00737F7A"/>
    <w:rPr>
      <w:rFonts w:ascii="Times New Roman" w:eastAsia="Times New Roman" w:hAnsi="Times New Roman" w:cs="Times New Roman"/>
      <w:i/>
      <w:iCs/>
    </w:rPr>
  </w:style>
  <w:style w:type="character" w:styleId="HTMLCite">
    <w:name w:val="HTML Cite"/>
    <w:semiHidden/>
    <w:rsid w:val="00737F7A"/>
    <w:rPr>
      <w:i/>
      <w:iCs/>
    </w:rPr>
  </w:style>
  <w:style w:type="character" w:styleId="HTMLCode">
    <w:name w:val="HTML Code"/>
    <w:semiHidden/>
    <w:rsid w:val="00737F7A"/>
    <w:rPr>
      <w:rFonts w:ascii="Courier New" w:hAnsi="Courier New" w:cs="Courier New"/>
      <w:sz w:val="20"/>
      <w:szCs w:val="20"/>
    </w:rPr>
  </w:style>
  <w:style w:type="character" w:styleId="HTMLDefinition">
    <w:name w:val="HTML Definition"/>
    <w:semiHidden/>
    <w:rsid w:val="00737F7A"/>
    <w:rPr>
      <w:i/>
      <w:iCs/>
    </w:rPr>
  </w:style>
  <w:style w:type="character" w:styleId="HTMLKeyboard">
    <w:name w:val="HTML Keyboard"/>
    <w:semiHidden/>
    <w:rsid w:val="00737F7A"/>
    <w:rPr>
      <w:rFonts w:ascii="Courier New" w:hAnsi="Courier New" w:cs="Courier New"/>
      <w:sz w:val="20"/>
      <w:szCs w:val="20"/>
    </w:rPr>
  </w:style>
  <w:style w:type="paragraph" w:styleId="HTMLPreformatted">
    <w:name w:val="HTML Preformatted"/>
    <w:basedOn w:val="Normal"/>
    <w:link w:val="HTMLPreformattedChar"/>
    <w:semiHidden/>
    <w:rsid w:val="00737F7A"/>
    <w:pPr>
      <w:spacing w:before="120" w:after="1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37F7A"/>
    <w:rPr>
      <w:rFonts w:ascii="Courier New" w:eastAsia="Times New Roman" w:hAnsi="Courier New" w:cs="Courier New"/>
      <w:sz w:val="20"/>
      <w:szCs w:val="20"/>
    </w:rPr>
  </w:style>
  <w:style w:type="character" w:styleId="HTMLSample">
    <w:name w:val="HTML Sample"/>
    <w:semiHidden/>
    <w:rsid w:val="00737F7A"/>
    <w:rPr>
      <w:rFonts w:ascii="Courier New" w:hAnsi="Courier New" w:cs="Courier New"/>
    </w:rPr>
  </w:style>
  <w:style w:type="character" w:styleId="HTMLTypewriter">
    <w:name w:val="HTML Typewriter"/>
    <w:semiHidden/>
    <w:rsid w:val="00737F7A"/>
    <w:rPr>
      <w:rFonts w:ascii="Courier New" w:hAnsi="Courier New" w:cs="Courier New"/>
      <w:sz w:val="20"/>
      <w:szCs w:val="20"/>
    </w:rPr>
  </w:style>
  <w:style w:type="character" w:styleId="HTMLVariable">
    <w:name w:val="HTML Variable"/>
    <w:semiHidden/>
    <w:rsid w:val="00737F7A"/>
    <w:rPr>
      <w:i/>
      <w:iCs/>
    </w:rPr>
  </w:style>
  <w:style w:type="character" w:styleId="LineNumber">
    <w:name w:val="line number"/>
    <w:basedOn w:val="DefaultParagraphFont"/>
    <w:semiHidden/>
    <w:rsid w:val="00737F7A"/>
  </w:style>
  <w:style w:type="paragraph" w:styleId="List">
    <w:name w:val="List"/>
    <w:basedOn w:val="Normal"/>
    <w:semiHidden/>
    <w:rsid w:val="00737F7A"/>
    <w:pPr>
      <w:spacing w:before="120" w:after="120"/>
      <w:ind w:left="283" w:hanging="283"/>
    </w:pPr>
    <w:rPr>
      <w:rFonts w:ascii="Times New Roman" w:eastAsia="Times New Roman" w:hAnsi="Times New Roman" w:cs="Times New Roman"/>
    </w:rPr>
  </w:style>
  <w:style w:type="paragraph" w:styleId="List20">
    <w:name w:val="List 2"/>
    <w:basedOn w:val="Normal"/>
    <w:semiHidden/>
    <w:rsid w:val="00737F7A"/>
    <w:pPr>
      <w:spacing w:before="120" w:after="120"/>
      <w:ind w:left="566" w:hanging="283"/>
    </w:pPr>
    <w:rPr>
      <w:rFonts w:ascii="Times New Roman" w:eastAsia="Times New Roman" w:hAnsi="Times New Roman" w:cs="Times New Roman"/>
    </w:rPr>
  </w:style>
  <w:style w:type="paragraph" w:styleId="List30">
    <w:name w:val="List 3"/>
    <w:basedOn w:val="Normal"/>
    <w:semiHidden/>
    <w:rsid w:val="00737F7A"/>
    <w:pPr>
      <w:spacing w:before="120" w:after="120"/>
      <w:ind w:left="849" w:hanging="283"/>
    </w:pPr>
    <w:rPr>
      <w:rFonts w:ascii="Times New Roman" w:eastAsia="Times New Roman" w:hAnsi="Times New Roman" w:cs="Times New Roman"/>
    </w:rPr>
  </w:style>
  <w:style w:type="paragraph" w:styleId="List40">
    <w:name w:val="List 4"/>
    <w:basedOn w:val="Normal"/>
    <w:semiHidden/>
    <w:rsid w:val="00737F7A"/>
    <w:pPr>
      <w:spacing w:before="120" w:after="120"/>
      <w:ind w:left="1132" w:hanging="283"/>
    </w:pPr>
    <w:rPr>
      <w:rFonts w:ascii="Times New Roman" w:eastAsia="Times New Roman" w:hAnsi="Times New Roman" w:cs="Times New Roman"/>
    </w:rPr>
  </w:style>
  <w:style w:type="paragraph" w:styleId="List5">
    <w:name w:val="List 5"/>
    <w:basedOn w:val="Normal"/>
    <w:semiHidden/>
    <w:rsid w:val="00737F7A"/>
    <w:pPr>
      <w:spacing w:before="120" w:after="120"/>
      <w:ind w:left="1415" w:hanging="283"/>
    </w:pPr>
    <w:rPr>
      <w:rFonts w:ascii="Times New Roman" w:eastAsia="Times New Roman" w:hAnsi="Times New Roman" w:cs="Times New Roman"/>
    </w:rPr>
  </w:style>
  <w:style w:type="paragraph" w:styleId="ListBullet">
    <w:name w:val="List Bullet"/>
    <w:basedOn w:val="Normal"/>
    <w:semiHidden/>
    <w:rsid w:val="00737F7A"/>
    <w:pPr>
      <w:tabs>
        <w:tab w:val="num" w:pos="360"/>
      </w:tabs>
      <w:spacing w:before="120" w:after="120"/>
      <w:ind w:left="360" w:hanging="360"/>
    </w:pPr>
    <w:rPr>
      <w:rFonts w:ascii="Times New Roman" w:eastAsia="Times New Roman" w:hAnsi="Times New Roman" w:cs="Times New Roman"/>
    </w:rPr>
  </w:style>
  <w:style w:type="paragraph" w:styleId="ListBullet2">
    <w:name w:val="List Bullet 2"/>
    <w:basedOn w:val="Normal"/>
    <w:semiHidden/>
    <w:rsid w:val="00737F7A"/>
    <w:pPr>
      <w:tabs>
        <w:tab w:val="num" w:pos="643"/>
      </w:tabs>
      <w:spacing w:before="120" w:after="120"/>
      <w:ind w:left="643" w:hanging="360"/>
    </w:pPr>
    <w:rPr>
      <w:rFonts w:ascii="Times New Roman" w:eastAsia="Times New Roman" w:hAnsi="Times New Roman" w:cs="Times New Roman"/>
    </w:rPr>
  </w:style>
  <w:style w:type="paragraph" w:styleId="ListBullet3">
    <w:name w:val="List Bullet 3"/>
    <w:basedOn w:val="Normal"/>
    <w:semiHidden/>
    <w:rsid w:val="00737F7A"/>
    <w:pPr>
      <w:tabs>
        <w:tab w:val="num" w:pos="926"/>
      </w:tabs>
      <w:spacing w:before="120" w:after="120"/>
      <w:ind w:left="926" w:hanging="360"/>
    </w:pPr>
    <w:rPr>
      <w:rFonts w:ascii="Times New Roman" w:eastAsia="Times New Roman" w:hAnsi="Times New Roman" w:cs="Times New Roman"/>
    </w:rPr>
  </w:style>
  <w:style w:type="paragraph" w:styleId="ListBullet4">
    <w:name w:val="List Bullet 4"/>
    <w:basedOn w:val="Normal"/>
    <w:semiHidden/>
    <w:rsid w:val="00737F7A"/>
    <w:pPr>
      <w:tabs>
        <w:tab w:val="num" w:pos="1209"/>
      </w:tabs>
      <w:spacing w:before="120" w:after="120"/>
      <w:ind w:left="1209" w:hanging="360"/>
    </w:pPr>
    <w:rPr>
      <w:rFonts w:ascii="Times New Roman" w:eastAsia="Times New Roman" w:hAnsi="Times New Roman" w:cs="Times New Roman"/>
    </w:rPr>
  </w:style>
  <w:style w:type="paragraph" w:styleId="ListBullet5">
    <w:name w:val="List Bullet 5"/>
    <w:basedOn w:val="Normal"/>
    <w:semiHidden/>
    <w:rsid w:val="00737F7A"/>
    <w:pPr>
      <w:tabs>
        <w:tab w:val="num" w:pos="1492"/>
      </w:tabs>
      <w:spacing w:before="120" w:after="120"/>
      <w:ind w:left="1492" w:hanging="360"/>
    </w:pPr>
    <w:rPr>
      <w:rFonts w:ascii="Times New Roman" w:eastAsia="Times New Roman" w:hAnsi="Times New Roman" w:cs="Times New Roman"/>
    </w:rPr>
  </w:style>
  <w:style w:type="paragraph" w:styleId="ListContinue">
    <w:name w:val="List Continue"/>
    <w:basedOn w:val="Normal"/>
    <w:semiHidden/>
    <w:rsid w:val="00737F7A"/>
    <w:pPr>
      <w:spacing w:before="120" w:after="120"/>
      <w:ind w:left="283"/>
    </w:pPr>
    <w:rPr>
      <w:rFonts w:ascii="Times New Roman" w:eastAsia="Times New Roman" w:hAnsi="Times New Roman" w:cs="Times New Roman"/>
    </w:rPr>
  </w:style>
  <w:style w:type="paragraph" w:styleId="ListContinue2">
    <w:name w:val="List Continue 2"/>
    <w:basedOn w:val="Normal"/>
    <w:semiHidden/>
    <w:rsid w:val="00737F7A"/>
    <w:pPr>
      <w:spacing w:before="120" w:after="120"/>
      <w:ind w:left="566"/>
    </w:pPr>
    <w:rPr>
      <w:rFonts w:ascii="Times New Roman" w:eastAsia="Times New Roman" w:hAnsi="Times New Roman" w:cs="Times New Roman"/>
    </w:rPr>
  </w:style>
  <w:style w:type="paragraph" w:styleId="ListContinue3">
    <w:name w:val="List Continue 3"/>
    <w:basedOn w:val="Normal"/>
    <w:semiHidden/>
    <w:rsid w:val="00737F7A"/>
    <w:pPr>
      <w:spacing w:before="120" w:after="120"/>
      <w:ind w:left="849"/>
    </w:pPr>
    <w:rPr>
      <w:rFonts w:ascii="Times New Roman" w:eastAsia="Times New Roman" w:hAnsi="Times New Roman" w:cs="Times New Roman"/>
    </w:rPr>
  </w:style>
  <w:style w:type="paragraph" w:styleId="ListContinue4">
    <w:name w:val="List Continue 4"/>
    <w:basedOn w:val="Normal"/>
    <w:semiHidden/>
    <w:rsid w:val="00737F7A"/>
    <w:pPr>
      <w:spacing w:before="120" w:after="120"/>
      <w:ind w:left="1132"/>
    </w:pPr>
    <w:rPr>
      <w:rFonts w:ascii="Times New Roman" w:eastAsia="Times New Roman" w:hAnsi="Times New Roman" w:cs="Times New Roman"/>
    </w:rPr>
  </w:style>
  <w:style w:type="paragraph" w:styleId="ListContinue5">
    <w:name w:val="List Continue 5"/>
    <w:basedOn w:val="Normal"/>
    <w:semiHidden/>
    <w:rsid w:val="00737F7A"/>
    <w:pPr>
      <w:spacing w:before="120" w:after="120"/>
      <w:ind w:left="1415"/>
    </w:pPr>
    <w:rPr>
      <w:rFonts w:ascii="Times New Roman" w:eastAsia="Times New Roman" w:hAnsi="Times New Roman" w:cs="Times New Roman"/>
    </w:rPr>
  </w:style>
  <w:style w:type="paragraph" w:styleId="ListNumber">
    <w:name w:val="List Number"/>
    <w:basedOn w:val="Normal"/>
    <w:semiHidden/>
    <w:rsid w:val="00737F7A"/>
    <w:pPr>
      <w:tabs>
        <w:tab w:val="num" w:pos="360"/>
      </w:tabs>
      <w:spacing w:before="120" w:after="120"/>
      <w:ind w:left="360" w:hanging="360"/>
    </w:pPr>
    <w:rPr>
      <w:rFonts w:ascii="Times New Roman" w:eastAsia="Times New Roman" w:hAnsi="Times New Roman" w:cs="Times New Roman"/>
    </w:rPr>
  </w:style>
  <w:style w:type="paragraph" w:styleId="ListNumber2">
    <w:name w:val="List Number 2"/>
    <w:basedOn w:val="Normal"/>
    <w:semiHidden/>
    <w:rsid w:val="00737F7A"/>
    <w:pPr>
      <w:tabs>
        <w:tab w:val="num" w:pos="643"/>
      </w:tabs>
      <w:spacing w:before="120" w:after="120"/>
      <w:ind w:left="643" w:hanging="360"/>
    </w:pPr>
    <w:rPr>
      <w:rFonts w:ascii="Times New Roman" w:eastAsia="Times New Roman" w:hAnsi="Times New Roman" w:cs="Times New Roman"/>
    </w:rPr>
  </w:style>
  <w:style w:type="paragraph" w:styleId="ListNumber3">
    <w:name w:val="List Number 3"/>
    <w:basedOn w:val="Normal"/>
    <w:semiHidden/>
    <w:rsid w:val="00737F7A"/>
    <w:pPr>
      <w:tabs>
        <w:tab w:val="num" w:pos="926"/>
      </w:tabs>
      <w:spacing w:before="120" w:after="120"/>
      <w:ind w:left="926" w:hanging="360"/>
    </w:pPr>
    <w:rPr>
      <w:rFonts w:ascii="Times New Roman" w:eastAsia="Times New Roman" w:hAnsi="Times New Roman" w:cs="Times New Roman"/>
    </w:rPr>
  </w:style>
  <w:style w:type="paragraph" w:styleId="ListNumber4">
    <w:name w:val="List Number 4"/>
    <w:basedOn w:val="Normal"/>
    <w:semiHidden/>
    <w:rsid w:val="00737F7A"/>
    <w:pPr>
      <w:tabs>
        <w:tab w:val="num" w:pos="1209"/>
      </w:tabs>
      <w:spacing w:before="120" w:after="120"/>
      <w:ind w:left="1209" w:hanging="360"/>
    </w:pPr>
    <w:rPr>
      <w:rFonts w:ascii="Times New Roman" w:eastAsia="Times New Roman" w:hAnsi="Times New Roman" w:cs="Times New Roman"/>
    </w:rPr>
  </w:style>
  <w:style w:type="paragraph" w:styleId="ListNumber5">
    <w:name w:val="List Number 5"/>
    <w:basedOn w:val="Normal"/>
    <w:semiHidden/>
    <w:rsid w:val="00737F7A"/>
    <w:pPr>
      <w:tabs>
        <w:tab w:val="num" w:pos="1492"/>
      </w:tabs>
      <w:spacing w:before="120" w:after="120"/>
      <w:ind w:left="1492" w:hanging="360"/>
    </w:pPr>
    <w:rPr>
      <w:rFonts w:ascii="Times New Roman" w:eastAsia="Times New Roman" w:hAnsi="Times New Roman" w:cs="Times New Roman"/>
    </w:rPr>
  </w:style>
  <w:style w:type="paragraph" w:styleId="MessageHeader">
    <w:name w:val="Message Header"/>
    <w:basedOn w:val="Normal"/>
    <w:link w:val="MessageHeaderChar"/>
    <w:semiHidden/>
    <w:rsid w:val="00737F7A"/>
    <w:pPr>
      <w:pBdr>
        <w:top w:val="single" w:sz="6" w:space="1" w:color="auto"/>
        <w:left w:val="single" w:sz="6" w:space="1" w:color="auto"/>
        <w:bottom w:val="single" w:sz="6" w:space="1" w:color="auto"/>
        <w:right w:val="single" w:sz="6" w:space="1" w:color="auto"/>
      </w:pBdr>
      <w:shd w:val="pct20" w:color="auto" w:fill="auto"/>
      <w:spacing w:before="120" w:after="120"/>
      <w:ind w:left="1134" w:hanging="1134"/>
    </w:pPr>
    <w:rPr>
      <w:rFonts w:ascii="Times New Roman" w:eastAsia="Times New Roman" w:hAnsi="Times New Roman" w:cs="Times New Roman"/>
    </w:rPr>
  </w:style>
  <w:style w:type="character" w:customStyle="1" w:styleId="MessageHeaderChar">
    <w:name w:val="Message Header Char"/>
    <w:basedOn w:val="DefaultParagraphFont"/>
    <w:link w:val="MessageHeader"/>
    <w:semiHidden/>
    <w:rsid w:val="00737F7A"/>
    <w:rPr>
      <w:rFonts w:ascii="Times New Roman" w:eastAsia="Times New Roman" w:hAnsi="Times New Roman" w:cs="Times New Roman"/>
      <w:shd w:val="pct20" w:color="auto" w:fill="auto"/>
    </w:rPr>
  </w:style>
  <w:style w:type="paragraph" w:styleId="NormalWeb">
    <w:name w:val="Normal (Web)"/>
    <w:basedOn w:val="Normal"/>
    <w:semiHidden/>
    <w:rsid w:val="00737F7A"/>
    <w:pPr>
      <w:spacing w:before="120" w:after="120"/>
    </w:pPr>
    <w:rPr>
      <w:rFonts w:ascii="Times New Roman" w:eastAsia="Times New Roman" w:hAnsi="Times New Roman" w:cs="Times New Roman"/>
    </w:rPr>
  </w:style>
  <w:style w:type="paragraph" w:styleId="NormalIndent">
    <w:name w:val="Normal Indent"/>
    <w:basedOn w:val="Normal"/>
    <w:semiHidden/>
    <w:rsid w:val="00737F7A"/>
    <w:pPr>
      <w:spacing w:before="120" w:after="120"/>
      <w:ind w:left="720"/>
    </w:pPr>
    <w:rPr>
      <w:rFonts w:ascii="Times New Roman" w:eastAsia="Times New Roman" w:hAnsi="Times New Roman" w:cs="Times New Roman"/>
    </w:rPr>
  </w:style>
  <w:style w:type="paragraph" w:styleId="NoteHeading">
    <w:name w:val="Note Heading"/>
    <w:basedOn w:val="Normal"/>
    <w:next w:val="Normal"/>
    <w:link w:val="NoteHeadingChar"/>
    <w:semiHidden/>
    <w:rsid w:val="00737F7A"/>
    <w:pPr>
      <w:spacing w:before="120" w:after="120"/>
    </w:pPr>
    <w:rPr>
      <w:rFonts w:ascii="Times New Roman" w:eastAsia="Times New Roman" w:hAnsi="Times New Roman" w:cs="Times New Roman"/>
    </w:rPr>
  </w:style>
  <w:style w:type="character" w:customStyle="1" w:styleId="NoteHeadingChar">
    <w:name w:val="Note Heading Char"/>
    <w:basedOn w:val="DefaultParagraphFont"/>
    <w:link w:val="NoteHeading"/>
    <w:semiHidden/>
    <w:rsid w:val="00737F7A"/>
    <w:rPr>
      <w:rFonts w:ascii="Times New Roman" w:eastAsia="Times New Roman" w:hAnsi="Times New Roman" w:cs="Times New Roman"/>
    </w:rPr>
  </w:style>
  <w:style w:type="character" w:styleId="PageNumber">
    <w:name w:val="page number"/>
    <w:basedOn w:val="DefaultParagraphFont"/>
    <w:semiHidden/>
    <w:rsid w:val="00737F7A"/>
  </w:style>
  <w:style w:type="paragraph" w:styleId="PlainText">
    <w:name w:val="Plain Text"/>
    <w:basedOn w:val="Normal"/>
    <w:link w:val="PlainTextChar"/>
    <w:semiHidden/>
    <w:rsid w:val="00737F7A"/>
    <w:pPr>
      <w:spacing w:before="120" w:after="120"/>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37F7A"/>
    <w:rPr>
      <w:rFonts w:ascii="Courier New" w:eastAsia="Times New Roman" w:hAnsi="Courier New" w:cs="Courier New"/>
      <w:sz w:val="20"/>
      <w:szCs w:val="20"/>
    </w:rPr>
  </w:style>
  <w:style w:type="paragraph" w:styleId="Salutation">
    <w:name w:val="Salutation"/>
    <w:basedOn w:val="Normal"/>
    <w:next w:val="Normal"/>
    <w:link w:val="SalutationChar"/>
    <w:semiHidden/>
    <w:rsid w:val="00737F7A"/>
    <w:pPr>
      <w:spacing w:before="120" w:after="120"/>
    </w:pPr>
    <w:rPr>
      <w:rFonts w:ascii="Times New Roman" w:eastAsia="Times New Roman" w:hAnsi="Times New Roman" w:cs="Times New Roman"/>
    </w:rPr>
  </w:style>
  <w:style w:type="character" w:customStyle="1" w:styleId="SalutationChar">
    <w:name w:val="Salutation Char"/>
    <w:basedOn w:val="DefaultParagraphFont"/>
    <w:link w:val="Salutation"/>
    <w:semiHidden/>
    <w:rsid w:val="00737F7A"/>
    <w:rPr>
      <w:rFonts w:ascii="Times New Roman" w:eastAsia="Times New Roman" w:hAnsi="Times New Roman" w:cs="Times New Roman"/>
    </w:rPr>
  </w:style>
  <w:style w:type="paragraph" w:styleId="Signature">
    <w:name w:val="Signature"/>
    <w:basedOn w:val="Normal"/>
    <w:link w:val="SignatureChar"/>
    <w:semiHidden/>
    <w:rsid w:val="00737F7A"/>
    <w:pPr>
      <w:spacing w:before="120" w:after="120"/>
      <w:ind w:left="4252"/>
    </w:pPr>
    <w:rPr>
      <w:rFonts w:ascii="Times New Roman" w:eastAsia="Times New Roman" w:hAnsi="Times New Roman" w:cs="Times New Roman"/>
    </w:rPr>
  </w:style>
  <w:style w:type="character" w:customStyle="1" w:styleId="SignatureChar">
    <w:name w:val="Signature Char"/>
    <w:basedOn w:val="DefaultParagraphFont"/>
    <w:link w:val="Signature"/>
    <w:semiHidden/>
    <w:rsid w:val="00737F7A"/>
    <w:rPr>
      <w:rFonts w:ascii="Times New Roman" w:eastAsia="Times New Roman" w:hAnsi="Times New Roman" w:cs="Times New Roman"/>
    </w:rPr>
  </w:style>
  <w:style w:type="character" w:styleId="Strong">
    <w:name w:val="Strong"/>
    <w:qFormat/>
    <w:rsid w:val="00737F7A"/>
    <w:rPr>
      <w:b/>
      <w:bCs/>
    </w:rPr>
  </w:style>
  <w:style w:type="paragraph" w:styleId="Subtitle">
    <w:name w:val="Subtitle"/>
    <w:basedOn w:val="Normal"/>
    <w:link w:val="SubtitleChar"/>
    <w:qFormat/>
    <w:rsid w:val="00737F7A"/>
    <w:pPr>
      <w:spacing w:before="120" w:after="60"/>
      <w:jc w:val="center"/>
      <w:outlineLvl w:val="1"/>
    </w:pPr>
    <w:rPr>
      <w:rFonts w:ascii="Times New Roman" w:eastAsia="Times New Roman" w:hAnsi="Times New Roman" w:cs="Times New Roman"/>
    </w:rPr>
  </w:style>
  <w:style w:type="character" w:customStyle="1" w:styleId="SubtitleChar">
    <w:name w:val="Subtitle Char"/>
    <w:basedOn w:val="DefaultParagraphFont"/>
    <w:link w:val="Subtitle"/>
    <w:rsid w:val="00737F7A"/>
    <w:rPr>
      <w:rFonts w:ascii="Times New Roman" w:eastAsia="Times New Roman" w:hAnsi="Times New Roman" w:cs="Times New Roman"/>
    </w:rPr>
  </w:style>
  <w:style w:type="table" w:styleId="Table3Deffects1">
    <w:name w:val="Table 3D effects 1"/>
    <w:basedOn w:val="TableNormal"/>
    <w:semiHidden/>
    <w:rsid w:val="00737F7A"/>
    <w:pPr>
      <w:spacing w:before="120" w:after="120"/>
    </w:pPr>
    <w:rPr>
      <w:rFonts w:ascii="Times New Roman" w:eastAsia="Times New Roman" w:hAnsi="Times New Roman" w:cs="Times New Roman"/>
      <w:sz w:val="20"/>
      <w:szCs w:val="20"/>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37F7A"/>
    <w:pPr>
      <w:spacing w:before="120" w:after="120"/>
    </w:pPr>
    <w:rPr>
      <w:rFonts w:ascii="Times New Roman" w:eastAsia="Times New Roman" w:hAnsi="Times New Roman" w:cs="Times New Roman"/>
      <w:color w:val="000080"/>
      <w:sz w:val="20"/>
      <w:szCs w:val="20"/>
      <w:lang w:val="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37F7A"/>
    <w:pPr>
      <w:spacing w:before="120" w:after="120"/>
    </w:pPr>
    <w:rPr>
      <w:rFonts w:ascii="Times New Roman" w:eastAsia="Times New Roman" w:hAnsi="Times New Roman" w:cs="Times New Roman"/>
      <w:color w:val="FFFFFF"/>
      <w:sz w:val="20"/>
      <w:szCs w:val="20"/>
      <w:lang w:val="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37F7A"/>
    <w:pPr>
      <w:spacing w:before="120" w:after="120"/>
    </w:pPr>
    <w:rPr>
      <w:rFonts w:ascii="Times New Roman" w:eastAsia="Times New Roman" w:hAnsi="Times New Roman" w:cs="Times New Roman"/>
      <w:sz w:val="20"/>
      <w:szCs w:val="20"/>
      <w:lang w:val="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37F7A"/>
    <w:pPr>
      <w:spacing w:before="120" w:after="120"/>
    </w:pPr>
    <w:rPr>
      <w:rFonts w:ascii="Times New Roman" w:eastAsia="Times New Roman" w:hAnsi="Times New Roman" w:cs="Times New Roman"/>
      <w:b/>
      <w:bCs/>
      <w:sz w:val="20"/>
      <w:szCs w:val="20"/>
      <w:lang w:val="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37F7A"/>
    <w:pPr>
      <w:spacing w:before="120" w:after="120"/>
    </w:pPr>
    <w:rPr>
      <w:rFonts w:ascii="Times New Roman" w:eastAsia="Times New Roman" w:hAnsi="Times New Roman" w:cs="Times New Roman"/>
      <w:b/>
      <w:bCs/>
      <w:sz w:val="20"/>
      <w:szCs w:val="20"/>
      <w:lang w:val="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37F7A"/>
    <w:pPr>
      <w:spacing w:before="120" w:after="120"/>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37F7A"/>
    <w:pPr>
      <w:spacing w:before="120" w:after="120"/>
    </w:pPr>
    <w:rPr>
      <w:rFonts w:ascii="Times New Roman" w:eastAsia="Times New Roman" w:hAnsi="Times New Roman" w:cs="Times New Roman"/>
      <w:sz w:val="20"/>
      <w:szCs w:val="20"/>
      <w:lang w:val="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37F7A"/>
    <w:pPr>
      <w:spacing w:before="120" w:after="120"/>
    </w:pPr>
    <w:rPr>
      <w:rFonts w:ascii="Times New Roman" w:eastAsia="Times New Roman" w:hAnsi="Times New Roman" w:cs="Times New Roman"/>
      <w:sz w:val="20"/>
      <w:szCs w:val="20"/>
      <w:lang w:val="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37F7A"/>
    <w:pPr>
      <w:spacing w:before="120" w:after="120"/>
    </w:pPr>
    <w:rPr>
      <w:rFonts w:ascii="Times New Roman" w:eastAsia="Times New Roman" w:hAnsi="Times New Roman" w:cs="Times New Roman"/>
      <w:sz w:val="20"/>
      <w:szCs w:val="20"/>
      <w:lang w:val="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37F7A"/>
    <w:pPr>
      <w:spacing w:before="120" w:after="120"/>
    </w:pPr>
    <w:rPr>
      <w:rFonts w:ascii="Times New Roman" w:eastAsia="Times New Roman" w:hAnsi="Times New Roman" w:cs="Times New Roman"/>
      <w:sz w:val="20"/>
      <w:szCs w:val="20"/>
      <w:lang w:val="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37F7A"/>
    <w:pPr>
      <w:spacing w:before="120" w:after="120"/>
    </w:pPr>
    <w:rPr>
      <w:rFonts w:ascii="Times New Roman" w:eastAsia="Times New Roman" w:hAnsi="Times New Roman" w:cs="Times New Roman"/>
      <w:sz w:val="20"/>
      <w:szCs w:val="20"/>
      <w:lang w:val="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37F7A"/>
    <w:pPr>
      <w:spacing w:before="120" w:after="120"/>
    </w:pPr>
    <w:rPr>
      <w:rFonts w:ascii="Times New Roman" w:eastAsia="Times New Roman" w:hAnsi="Times New Roman" w:cs="Times New Roman"/>
      <w:b/>
      <w:bCs/>
      <w:sz w:val="20"/>
      <w:szCs w:val="20"/>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37F7A"/>
    <w:pPr>
      <w:spacing w:before="120" w:after="120"/>
    </w:pPr>
    <w:rPr>
      <w:rFonts w:ascii="Times New Roman" w:eastAsia="Times New Roman" w:hAnsi="Times New Roman" w:cs="Times New Roman"/>
      <w:sz w:val="20"/>
      <w:szCs w:val="20"/>
      <w:lang w:val="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37F7A"/>
    <w:pPr>
      <w:spacing w:before="120" w:after="120"/>
    </w:pPr>
    <w:rPr>
      <w:rFonts w:ascii="Times New Roman" w:eastAsia="Times New Roman" w:hAnsi="Times New Roman" w:cs="Times New Roman"/>
      <w:sz w:val="20"/>
      <w:szCs w:val="20"/>
      <w:lang w:val="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37F7A"/>
    <w:pPr>
      <w:spacing w:before="120" w:after="120"/>
    </w:pPr>
    <w:rPr>
      <w:rFonts w:ascii="Times New Roman" w:eastAsia="Times New Roman" w:hAnsi="Times New Roman" w:cs="Times New Roman"/>
      <w:sz w:val="20"/>
      <w:szCs w:val="20"/>
      <w:lang w:val="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37F7A"/>
    <w:pPr>
      <w:spacing w:before="120" w:after="120"/>
    </w:pPr>
    <w:rPr>
      <w:rFonts w:ascii="Times New Roman" w:eastAsia="Times New Roman" w:hAnsi="Times New Roman" w:cs="Times New Roman"/>
      <w:sz w:val="20"/>
      <w:szCs w:val="20"/>
      <w:lang w:val="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37F7A"/>
    <w:pPr>
      <w:spacing w:before="120" w:after="120"/>
    </w:pPr>
    <w:rPr>
      <w:rFonts w:ascii="Times New Roman" w:eastAsia="Times New Roman" w:hAnsi="Times New Roman" w:cs="Times New Roman"/>
      <w:sz w:val="20"/>
      <w:szCs w:val="20"/>
      <w:lang w:val="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37F7A"/>
    <w:pPr>
      <w:spacing w:before="120" w:after="120"/>
    </w:pPr>
    <w:rPr>
      <w:rFonts w:ascii="Times New Roman" w:eastAsia="Times New Roman" w:hAnsi="Times New Roman" w:cs="Times New Roman"/>
      <w:sz w:val="20"/>
      <w:szCs w:val="20"/>
      <w:lang w:val="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rsid w:val="00737F7A"/>
    <w:pPr>
      <w:jc w:val="center"/>
    </w:pPr>
    <w:rPr>
      <w:szCs w:val="20"/>
      <w:lang w:val="en-US"/>
    </w:rPr>
  </w:style>
  <w:style w:type="paragraph" w:customStyle="1" w:styleId="Bibliography1">
    <w:name w:val="Bibliography1"/>
    <w:basedOn w:val="Normal"/>
    <w:next w:val="Normal"/>
    <w:uiPriority w:val="37"/>
    <w:semiHidden/>
    <w:unhideWhenUsed/>
    <w:rsid w:val="00737F7A"/>
    <w:pPr>
      <w:spacing w:before="120" w:after="120"/>
    </w:pPr>
    <w:rPr>
      <w:rFonts w:ascii="Times New Roman" w:eastAsia="Times New Roman" w:hAnsi="Times New Roman" w:cs="Times New Roman"/>
    </w:rPr>
  </w:style>
  <w:style w:type="character" w:customStyle="1" w:styleId="BookTitle1">
    <w:name w:val="Book Title1"/>
    <w:uiPriority w:val="33"/>
    <w:qFormat/>
    <w:rsid w:val="00737F7A"/>
    <w:rPr>
      <w:rFonts w:ascii="Times New Roman" w:hAnsi="Times New Roman" w:cs="Times New Roman"/>
      <w:b/>
      <w:bCs/>
      <w:smallCaps/>
      <w:spacing w:val="5"/>
    </w:rPr>
  </w:style>
  <w:style w:type="table" w:customStyle="1" w:styleId="ColorfulGrid1">
    <w:name w:val="Colorful Grid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737F7A"/>
    <w:rPr>
      <w:rFonts w:ascii="Times New Roman" w:hAnsi="Times New Roman" w:cs="Times New Roman"/>
      <w:sz w:val="16"/>
      <w:szCs w:val="16"/>
    </w:rPr>
  </w:style>
  <w:style w:type="paragraph" w:styleId="CommentText">
    <w:name w:val="annotation text"/>
    <w:basedOn w:val="Normal"/>
    <w:link w:val="CommentTextChar"/>
    <w:rsid w:val="00737F7A"/>
    <w:pPr>
      <w:spacing w:before="120" w:after="1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7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37F7A"/>
    <w:rPr>
      <w:b/>
      <w:bCs/>
      <w:lang w:val="x-none" w:eastAsia="x-none"/>
    </w:rPr>
  </w:style>
  <w:style w:type="character" w:customStyle="1" w:styleId="CommentSubjectChar">
    <w:name w:val="Comment Subject Char"/>
    <w:basedOn w:val="CommentTextChar"/>
    <w:link w:val="CommentSubject"/>
    <w:rsid w:val="00737F7A"/>
    <w:rPr>
      <w:rFonts w:ascii="Times New Roman" w:eastAsia="Times New Roman" w:hAnsi="Times New Roman" w:cs="Times New Roman"/>
      <w:b/>
      <w:bCs/>
      <w:sz w:val="20"/>
      <w:szCs w:val="20"/>
      <w:lang w:val="x-none" w:eastAsia="x-none"/>
    </w:rPr>
  </w:style>
  <w:style w:type="table" w:customStyle="1" w:styleId="DarkList1">
    <w:name w:val="Dark List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sid w:val="00737F7A"/>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737F7A"/>
    <w:rPr>
      <w:rFonts w:ascii="Tahoma" w:eastAsia="Times New Roman" w:hAnsi="Tahoma" w:cs="Times New Roman"/>
      <w:sz w:val="16"/>
      <w:szCs w:val="16"/>
      <w:lang w:val="x-none" w:eastAsia="x-none"/>
    </w:rPr>
  </w:style>
  <w:style w:type="character" w:styleId="EndnoteReference">
    <w:name w:val="endnote reference"/>
    <w:rsid w:val="00737F7A"/>
    <w:rPr>
      <w:vertAlign w:val="superscript"/>
    </w:rPr>
  </w:style>
  <w:style w:type="paragraph" w:styleId="EndnoteText">
    <w:name w:val="endnote text"/>
    <w:basedOn w:val="Normal"/>
    <w:link w:val="EndnoteTextChar"/>
    <w:rsid w:val="00737F7A"/>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37F7A"/>
    <w:rPr>
      <w:rFonts w:ascii="Times New Roman" w:eastAsia="Times New Roman" w:hAnsi="Times New Roman" w:cs="Times New Roman"/>
      <w:sz w:val="20"/>
      <w:szCs w:val="20"/>
    </w:rPr>
  </w:style>
  <w:style w:type="character" w:styleId="FootnoteReference">
    <w:name w:val="footnote reference"/>
    <w:rsid w:val="00737F7A"/>
    <w:rPr>
      <w:vertAlign w:val="superscript"/>
    </w:rPr>
  </w:style>
  <w:style w:type="paragraph" w:styleId="FootnoteText">
    <w:name w:val="footnote text"/>
    <w:basedOn w:val="Normal"/>
    <w:link w:val="FootnoteTextChar"/>
    <w:rsid w:val="00737F7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37F7A"/>
    <w:rPr>
      <w:rFonts w:ascii="Times New Roman" w:eastAsia="Times New Roman" w:hAnsi="Times New Roman" w:cs="Times New Roman"/>
      <w:sz w:val="20"/>
      <w:szCs w:val="20"/>
    </w:rPr>
  </w:style>
  <w:style w:type="paragraph" w:styleId="Index1">
    <w:name w:val="index 1"/>
    <w:basedOn w:val="Normal"/>
    <w:next w:val="Normal"/>
    <w:autoRedefine/>
    <w:rsid w:val="00737F7A"/>
    <w:pPr>
      <w:ind w:left="240" w:hanging="240"/>
    </w:pPr>
    <w:rPr>
      <w:rFonts w:ascii="Times New Roman" w:eastAsia="Times New Roman" w:hAnsi="Times New Roman" w:cs="Times New Roman"/>
    </w:rPr>
  </w:style>
  <w:style w:type="paragraph" w:styleId="Index2">
    <w:name w:val="index 2"/>
    <w:basedOn w:val="Normal"/>
    <w:next w:val="Normal"/>
    <w:autoRedefine/>
    <w:rsid w:val="00737F7A"/>
    <w:pPr>
      <w:ind w:left="480" w:hanging="240"/>
    </w:pPr>
    <w:rPr>
      <w:rFonts w:ascii="Times New Roman" w:eastAsia="Times New Roman" w:hAnsi="Times New Roman" w:cs="Times New Roman"/>
    </w:rPr>
  </w:style>
  <w:style w:type="paragraph" w:styleId="Index3">
    <w:name w:val="index 3"/>
    <w:basedOn w:val="Normal"/>
    <w:next w:val="Normal"/>
    <w:autoRedefine/>
    <w:rsid w:val="00737F7A"/>
    <w:pPr>
      <w:ind w:left="720" w:hanging="240"/>
    </w:pPr>
    <w:rPr>
      <w:rFonts w:ascii="Times New Roman" w:eastAsia="Times New Roman" w:hAnsi="Times New Roman" w:cs="Times New Roman"/>
    </w:rPr>
  </w:style>
  <w:style w:type="paragraph" w:styleId="Index4">
    <w:name w:val="index 4"/>
    <w:basedOn w:val="Normal"/>
    <w:next w:val="Normal"/>
    <w:autoRedefine/>
    <w:rsid w:val="00737F7A"/>
    <w:pPr>
      <w:ind w:left="960" w:hanging="240"/>
    </w:pPr>
    <w:rPr>
      <w:rFonts w:ascii="Times New Roman" w:eastAsia="Times New Roman" w:hAnsi="Times New Roman" w:cs="Times New Roman"/>
    </w:rPr>
  </w:style>
  <w:style w:type="paragraph" w:styleId="Index5">
    <w:name w:val="index 5"/>
    <w:basedOn w:val="Normal"/>
    <w:next w:val="Normal"/>
    <w:autoRedefine/>
    <w:rsid w:val="00737F7A"/>
    <w:pPr>
      <w:ind w:left="1200" w:hanging="240"/>
    </w:pPr>
    <w:rPr>
      <w:rFonts w:ascii="Times New Roman" w:eastAsia="Times New Roman" w:hAnsi="Times New Roman" w:cs="Times New Roman"/>
    </w:rPr>
  </w:style>
  <w:style w:type="paragraph" w:styleId="Index6">
    <w:name w:val="index 6"/>
    <w:basedOn w:val="Normal"/>
    <w:next w:val="Normal"/>
    <w:autoRedefine/>
    <w:rsid w:val="00737F7A"/>
    <w:pPr>
      <w:ind w:left="1440" w:hanging="240"/>
    </w:pPr>
    <w:rPr>
      <w:rFonts w:ascii="Times New Roman" w:eastAsia="Times New Roman" w:hAnsi="Times New Roman" w:cs="Times New Roman"/>
    </w:rPr>
  </w:style>
  <w:style w:type="paragraph" w:styleId="Index7">
    <w:name w:val="index 7"/>
    <w:basedOn w:val="Normal"/>
    <w:next w:val="Normal"/>
    <w:autoRedefine/>
    <w:rsid w:val="00737F7A"/>
    <w:pPr>
      <w:ind w:left="1680" w:hanging="240"/>
    </w:pPr>
    <w:rPr>
      <w:rFonts w:ascii="Times New Roman" w:eastAsia="Times New Roman" w:hAnsi="Times New Roman" w:cs="Times New Roman"/>
    </w:rPr>
  </w:style>
  <w:style w:type="paragraph" w:styleId="Index8">
    <w:name w:val="index 8"/>
    <w:basedOn w:val="Normal"/>
    <w:next w:val="Normal"/>
    <w:autoRedefine/>
    <w:rsid w:val="00737F7A"/>
    <w:pPr>
      <w:ind w:left="1920" w:hanging="240"/>
    </w:pPr>
    <w:rPr>
      <w:rFonts w:ascii="Times New Roman" w:eastAsia="Times New Roman" w:hAnsi="Times New Roman" w:cs="Times New Roman"/>
    </w:rPr>
  </w:style>
  <w:style w:type="paragraph" w:styleId="Index9">
    <w:name w:val="index 9"/>
    <w:basedOn w:val="Normal"/>
    <w:next w:val="Normal"/>
    <w:autoRedefine/>
    <w:rsid w:val="00737F7A"/>
    <w:pPr>
      <w:ind w:left="2160" w:hanging="240"/>
    </w:pPr>
    <w:rPr>
      <w:rFonts w:ascii="Times New Roman" w:eastAsia="Times New Roman" w:hAnsi="Times New Roman" w:cs="Times New Roman"/>
    </w:rPr>
  </w:style>
  <w:style w:type="paragraph" w:styleId="IndexHeading">
    <w:name w:val="index heading"/>
    <w:basedOn w:val="Normal"/>
    <w:next w:val="Index1"/>
    <w:rsid w:val="00737F7A"/>
    <w:pPr>
      <w:spacing w:before="120" w:after="120"/>
    </w:pPr>
    <w:rPr>
      <w:rFonts w:ascii="Cambria" w:eastAsia="Times New Roman" w:hAnsi="Cambria" w:cs="Times New Roman"/>
      <w:b/>
      <w:bCs/>
    </w:rPr>
  </w:style>
  <w:style w:type="character" w:customStyle="1" w:styleId="IntenseEmphasis1">
    <w:name w:val="Intense Emphasis1"/>
    <w:uiPriority w:val="21"/>
    <w:qFormat/>
    <w:rsid w:val="00737F7A"/>
    <w:rPr>
      <w:b/>
      <w:bCs/>
      <w:i/>
      <w:iCs/>
      <w:color w:val="4F81BD"/>
    </w:rPr>
  </w:style>
  <w:style w:type="paragraph" w:customStyle="1" w:styleId="IntenseQuote1">
    <w:name w:val="Intense Quote1"/>
    <w:basedOn w:val="Normal"/>
    <w:next w:val="Normal"/>
    <w:link w:val="IntenseQuoteChar"/>
    <w:uiPriority w:val="30"/>
    <w:qFormat/>
    <w:rsid w:val="00737F7A"/>
    <w:pPr>
      <w:pBdr>
        <w:bottom w:val="single" w:sz="4" w:space="4" w:color="4F81BD"/>
      </w:pBdr>
      <w:spacing w:before="200" w:after="280"/>
      <w:ind w:left="936" w:right="936"/>
    </w:pPr>
    <w:rPr>
      <w:rFonts w:ascii="Times New Roman" w:eastAsia="Times New Roman" w:hAnsi="Times New Roman" w:cs="Times New Roman"/>
      <w:b/>
      <w:bCs/>
      <w:i/>
      <w:iCs/>
      <w:color w:val="4F81BD"/>
      <w:lang w:val="x-none" w:eastAsia="x-none"/>
    </w:rPr>
  </w:style>
  <w:style w:type="character" w:customStyle="1" w:styleId="IntenseQuoteChar">
    <w:name w:val="Intense Quote Char"/>
    <w:link w:val="IntenseQuote1"/>
    <w:uiPriority w:val="30"/>
    <w:rsid w:val="00737F7A"/>
    <w:rPr>
      <w:rFonts w:ascii="Times New Roman" w:eastAsia="Times New Roman" w:hAnsi="Times New Roman" w:cs="Times New Roman"/>
      <w:b/>
      <w:bCs/>
      <w:i/>
      <w:iCs/>
      <w:color w:val="4F81BD"/>
      <w:lang w:val="x-none" w:eastAsia="x-none"/>
    </w:rPr>
  </w:style>
  <w:style w:type="character" w:customStyle="1" w:styleId="IntenseReference1">
    <w:name w:val="Intense Reference1"/>
    <w:uiPriority w:val="32"/>
    <w:qFormat/>
    <w:rsid w:val="00737F7A"/>
    <w:rPr>
      <w:b/>
      <w:bCs/>
      <w:smallCaps/>
      <w:color w:val="C0504D"/>
      <w:spacing w:val="5"/>
      <w:u w:val="single"/>
    </w:rPr>
  </w:style>
  <w:style w:type="table" w:customStyle="1" w:styleId="LightGrid1">
    <w:name w:val="Light Grid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Math" w:eastAsia="Times New Roman" w:hAnsi="Cambria Math"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Math" w:eastAsia="Times New Roman" w:hAnsi="Cambria Mat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37F7A"/>
    <w:rPr>
      <w:rFonts w:ascii="Times New Roman" w:eastAsia="Times New Roman" w:hAnsi="Times New Roman" w:cs="Times New Roman"/>
      <w:color w:val="365F91"/>
      <w:sz w:val="20"/>
      <w:szCs w:val="20"/>
      <w:lang w:val="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sid w:val="00737F7A"/>
    <w:rPr>
      <w:rFonts w:ascii="Times New Roman" w:eastAsia="Times New Roman" w:hAnsi="Times New Roman" w:cs="Times New Roman"/>
      <w:color w:val="943634"/>
      <w:sz w:val="20"/>
      <w:szCs w:val="20"/>
      <w:lang w:val="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sid w:val="00737F7A"/>
    <w:rPr>
      <w:rFonts w:ascii="Times New Roman" w:eastAsia="Times New Roman" w:hAnsi="Times New Roman" w:cs="Times New Roman"/>
      <w:color w:val="76923C"/>
      <w:sz w:val="20"/>
      <w:szCs w:val="20"/>
      <w:lang w:val="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sid w:val="00737F7A"/>
    <w:rPr>
      <w:rFonts w:ascii="Times New Roman" w:eastAsia="Times New Roman" w:hAnsi="Times New Roman" w:cs="Times New Roman"/>
      <w:color w:val="5F497A"/>
      <w:sz w:val="20"/>
      <w:szCs w:val="20"/>
      <w:lang w:val="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sid w:val="00737F7A"/>
    <w:rPr>
      <w:rFonts w:ascii="Times New Roman" w:eastAsia="Times New Roman" w:hAnsi="Times New Roman" w:cs="Times New Roman"/>
      <w:color w:val="31849B"/>
      <w:sz w:val="20"/>
      <w:szCs w:val="20"/>
      <w:lang w:val="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rsid w:val="00737F7A"/>
    <w:rPr>
      <w:rFonts w:ascii="Times New Roman" w:eastAsia="Times New Roman" w:hAnsi="Times New Roman" w:cs="Times New Roman"/>
      <w:color w:val="E36C0A"/>
      <w:sz w:val="20"/>
      <w:szCs w:val="20"/>
      <w:lang w:val="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Paragraph1">
    <w:name w:val="List Paragraph1"/>
    <w:basedOn w:val="Normal"/>
    <w:uiPriority w:val="34"/>
    <w:qFormat/>
    <w:rsid w:val="00737F7A"/>
    <w:pPr>
      <w:spacing w:before="120" w:after="120"/>
      <w:ind w:left="720"/>
      <w:contextualSpacing/>
    </w:pPr>
    <w:rPr>
      <w:rFonts w:ascii="Times New Roman" w:eastAsia="Times New Roman" w:hAnsi="Times New Roman" w:cs="Times New Roman"/>
    </w:rPr>
  </w:style>
  <w:style w:type="paragraph" w:styleId="MacroText">
    <w:name w:val="macro"/>
    <w:link w:val="MacroTextChar"/>
    <w:rsid w:val="00737F7A"/>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imes New Roman" w:hAnsi="Consolas" w:cs="Times New Roman"/>
      <w:sz w:val="20"/>
      <w:szCs w:val="20"/>
      <w:lang w:val="en-GB" w:eastAsia="en-GB"/>
    </w:rPr>
  </w:style>
  <w:style w:type="character" w:customStyle="1" w:styleId="MacroTextChar">
    <w:name w:val="Macro Text Char"/>
    <w:basedOn w:val="DefaultParagraphFont"/>
    <w:link w:val="MacroText"/>
    <w:rsid w:val="00737F7A"/>
    <w:rPr>
      <w:rFonts w:ascii="Consolas" w:eastAsia="Times New Roman" w:hAnsi="Consolas" w:cs="Times New Roman"/>
      <w:sz w:val="20"/>
      <w:szCs w:val="20"/>
      <w:lang w:val="en-GB" w:eastAsia="en-GB"/>
    </w:rPr>
  </w:style>
  <w:style w:type="table" w:customStyle="1" w:styleId="MediumGrid11">
    <w:name w:val="Medium Grid 1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000000"/>
        <w:bottom w:val="single" w:sz="8" w:space="0" w:color="000000"/>
      </w:tblBorders>
    </w:tblPr>
    <w:tblStylePr w:type="firstRow">
      <w:rPr>
        <w:rFonts w:ascii="Cambria Math" w:eastAsia="Times New Roman" w:hAnsi="Cambria Math"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4F81BD"/>
        <w:bottom w:val="single" w:sz="8" w:space="0" w:color="4F81BD"/>
      </w:tblBorders>
    </w:tblPr>
    <w:tblStylePr w:type="firstRow">
      <w:rPr>
        <w:rFonts w:ascii="Cambria Math" w:eastAsia="Times New Roman" w:hAnsi="Cambria Math"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C0504D"/>
        <w:bottom w:val="single" w:sz="8" w:space="0" w:color="C0504D"/>
      </w:tblBorders>
    </w:tblPr>
    <w:tblStylePr w:type="firstRow">
      <w:rPr>
        <w:rFonts w:ascii="Cambria Math" w:eastAsia="Times New Roman" w:hAnsi="Cambria Math"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9BBB59"/>
        <w:bottom w:val="single" w:sz="8" w:space="0" w:color="9BBB59"/>
      </w:tblBorders>
    </w:tblPr>
    <w:tblStylePr w:type="firstRow">
      <w:rPr>
        <w:rFonts w:ascii="Cambria Math" w:eastAsia="Times New Roman" w:hAnsi="Cambria Math"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8064A2"/>
        <w:bottom w:val="single" w:sz="8" w:space="0" w:color="8064A2"/>
      </w:tblBorders>
    </w:tblPr>
    <w:tblStylePr w:type="firstRow">
      <w:rPr>
        <w:rFonts w:ascii="Cambria Math" w:eastAsia="Times New Roman" w:hAnsi="Cambria Math"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4BACC6"/>
        <w:bottom w:val="single" w:sz="8" w:space="0" w:color="4BACC6"/>
      </w:tblBorders>
    </w:tblPr>
    <w:tblStylePr w:type="firstRow">
      <w:rPr>
        <w:rFonts w:ascii="Cambria Math" w:eastAsia="Times New Roman" w:hAnsi="Cambria Math"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F79646"/>
        <w:bottom w:val="single" w:sz="8" w:space="0" w:color="F79646"/>
      </w:tblBorders>
    </w:tblPr>
    <w:tblStylePr w:type="firstRow">
      <w:rPr>
        <w:rFonts w:ascii="Cambria Math" w:eastAsia="Times New Roman" w:hAnsi="Cambria Mat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uiPriority w:val="1"/>
    <w:qFormat/>
    <w:rsid w:val="00737F7A"/>
    <w:rPr>
      <w:rFonts w:ascii="Times New Roman" w:eastAsia="Times New Roman" w:hAnsi="Times New Roman" w:cs="Times New Roman"/>
    </w:rPr>
  </w:style>
  <w:style w:type="character" w:customStyle="1" w:styleId="PlaceholderText1">
    <w:name w:val="Placeholder Text1"/>
    <w:uiPriority w:val="99"/>
    <w:semiHidden/>
    <w:rsid w:val="00737F7A"/>
    <w:rPr>
      <w:color w:val="808080"/>
    </w:rPr>
  </w:style>
  <w:style w:type="paragraph" w:customStyle="1" w:styleId="Quote1">
    <w:name w:val="Quote1"/>
    <w:basedOn w:val="Normal"/>
    <w:next w:val="Normal"/>
    <w:link w:val="QuoteChar"/>
    <w:uiPriority w:val="29"/>
    <w:qFormat/>
    <w:rsid w:val="00737F7A"/>
    <w:pPr>
      <w:spacing w:before="120" w:after="120"/>
    </w:pPr>
    <w:rPr>
      <w:rFonts w:ascii="Times New Roman" w:eastAsia="Times New Roman" w:hAnsi="Times New Roman" w:cs="Times New Roman"/>
      <w:i/>
      <w:iCs/>
      <w:color w:val="000000"/>
      <w:lang w:val="x-none" w:eastAsia="x-none"/>
    </w:rPr>
  </w:style>
  <w:style w:type="character" w:customStyle="1" w:styleId="QuoteChar">
    <w:name w:val="Quote Char"/>
    <w:link w:val="Quote1"/>
    <w:uiPriority w:val="29"/>
    <w:rsid w:val="00737F7A"/>
    <w:rPr>
      <w:rFonts w:ascii="Times New Roman" w:eastAsia="Times New Roman" w:hAnsi="Times New Roman" w:cs="Times New Roman"/>
      <w:i/>
      <w:iCs/>
      <w:color w:val="000000"/>
      <w:lang w:val="x-none" w:eastAsia="x-none"/>
    </w:rPr>
  </w:style>
  <w:style w:type="character" w:customStyle="1" w:styleId="SubtleEmphasis1">
    <w:name w:val="Subtle Emphasis1"/>
    <w:uiPriority w:val="19"/>
    <w:qFormat/>
    <w:rsid w:val="00737F7A"/>
    <w:rPr>
      <w:i/>
      <w:iCs/>
      <w:color w:val="808080"/>
    </w:rPr>
  </w:style>
  <w:style w:type="character" w:customStyle="1" w:styleId="SubtleReference1">
    <w:name w:val="Subtle Reference1"/>
    <w:uiPriority w:val="31"/>
    <w:qFormat/>
    <w:rsid w:val="00737F7A"/>
    <w:rPr>
      <w:smallCaps/>
      <w:color w:val="C0504D"/>
      <w:u w:val="single"/>
    </w:rPr>
  </w:style>
  <w:style w:type="paragraph" w:styleId="TableofAuthorities">
    <w:name w:val="table of authorities"/>
    <w:basedOn w:val="Normal"/>
    <w:next w:val="Normal"/>
    <w:rsid w:val="00737F7A"/>
    <w:pPr>
      <w:spacing w:before="120"/>
      <w:ind w:left="240" w:hanging="240"/>
    </w:pPr>
    <w:rPr>
      <w:rFonts w:ascii="Times New Roman" w:eastAsia="Times New Roman" w:hAnsi="Times New Roman" w:cs="Times New Roman"/>
    </w:rPr>
  </w:style>
  <w:style w:type="paragraph" w:styleId="TOAHeading">
    <w:name w:val="toa heading"/>
    <w:basedOn w:val="Normal"/>
    <w:next w:val="Normal"/>
    <w:rsid w:val="00737F7A"/>
    <w:pPr>
      <w:spacing w:before="120" w:after="120"/>
    </w:pPr>
    <w:rPr>
      <w:rFonts w:ascii="Cambria" w:eastAsia="Times New Roman" w:hAnsi="Cambria" w:cs="Times New Roman"/>
      <w:b/>
      <w:bCs/>
    </w:rPr>
  </w:style>
  <w:style w:type="paragraph" w:customStyle="1" w:styleId="TOCHeading1">
    <w:name w:val="TOC Heading1"/>
    <w:basedOn w:val="Heading1"/>
    <w:next w:val="Normal"/>
    <w:uiPriority w:val="39"/>
    <w:qFormat/>
    <w:rsid w:val="00737F7A"/>
    <w:pPr>
      <w:numPr>
        <w:numId w:val="0"/>
      </w:numPr>
      <w:outlineLvl w:val="9"/>
    </w:pPr>
    <w:rPr>
      <w:rFonts w:ascii="Cambria" w:eastAsia="Times New Roman" w:hAnsi="Cambria" w:cs="Times New Roman"/>
      <w:color w:val="365F91"/>
      <w:sz w:val="28"/>
      <w:szCs w:val="28"/>
    </w:rPr>
  </w:style>
  <w:style w:type="paragraph" w:customStyle="1" w:styleId="Normal12pt">
    <w:name w:val="Normal + 12 pt"/>
    <w:aliases w:val="Bold,Before:  6 pt,After:  6 pt"/>
    <w:basedOn w:val="Normal"/>
    <w:rsid w:val="00737F7A"/>
    <w:pPr>
      <w:numPr>
        <w:numId w:val="8"/>
      </w:numPr>
      <w:spacing w:before="120" w:after="120"/>
      <w:outlineLvl w:val="0"/>
    </w:pPr>
    <w:rPr>
      <w:rFonts w:ascii="Times New Roman" w:eastAsia="Times New Roman" w:hAnsi="Times New Roman" w:cs="Times New Roman"/>
      <w:b/>
    </w:rPr>
  </w:style>
  <w:style w:type="paragraph" w:customStyle="1" w:styleId="Default">
    <w:name w:val="Default"/>
    <w:rsid w:val="00737F7A"/>
    <w:pPr>
      <w:autoSpaceDE w:val="0"/>
      <w:autoSpaceDN w:val="0"/>
      <w:adjustRightInd w:val="0"/>
    </w:pPr>
    <w:rPr>
      <w:rFonts w:ascii="Times New Roman" w:eastAsia="Times New Roman" w:hAnsi="Times New Roman" w:cs="Times New Roman"/>
      <w:color w:val="000000"/>
      <w:lang w:val="en-GB" w:eastAsia="en-GB"/>
    </w:rPr>
  </w:style>
  <w:style w:type="paragraph" w:styleId="Revision">
    <w:name w:val="Revision"/>
    <w:hidden/>
    <w:uiPriority w:val="99"/>
    <w:semiHidden/>
    <w:rsid w:val="00737F7A"/>
    <w:rPr>
      <w:rFonts w:ascii="Times New Roman" w:eastAsia="Times New Roman" w:hAnsi="Times New Roman" w:cs="Times New Roman"/>
    </w:rPr>
  </w:style>
  <w:style w:type="paragraph" w:customStyle="1" w:styleId="Liststycke">
    <w:name w:val="Liststycke"/>
    <w:basedOn w:val="Normal"/>
    <w:qFormat/>
    <w:rsid w:val="00737F7A"/>
    <w:pPr>
      <w:spacing w:before="120" w:after="120"/>
      <w:ind w:left="720"/>
      <w:contextualSpacing/>
    </w:pPr>
    <w:rPr>
      <w:rFonts w:ascii="Times New Roman" w:eastAsia="Calibri" w:hAnsi="Times New Roman" w:cs="Times New Roman"/>
    </w:rPr>
  </w:style>
  <w:style w:type="paragraph" w:customStyle="1" w:styleId="Revision1">
    <w:name w:val="Revision1"/>
    <w:hidden/>
    <w:uiPriority w:val="99"/>
    <w:semiHidden/>
    <w:rsid w:val="00737F7A"/>
    <w:rPr>
      <w:rFonts w:ascii="Times New Roman" w:eastAsia="Times New Roman" w:hAnsi="Times New Roman" w:cs="Times New Roman"/>
    </w:rPr>
  </w:style>
  <w:style w:type="paragraph" w:customStyle="1" w:styleId="BodytextAgency">
    <w:name w:val="Body text (Agency)"/>
    <w:basedOn w:val="Normal"/>
    <w:link w:val="BodytextAgencyChar"/>
    <w:rsid w:val="00737F7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737F7A"/>
    <w:rPr>
      <w:rFonts w:ascii="Verdana" w:eastAsia="Verdana" w:hAnsi="Verdana" w:cs="Verdana"/>
      <w:sz w:val="18"/>
      <w:szCs w:val="18"/>
      <w:lang w:val="en-GB" w:eastAsia="en-GB"/>
    </w:rPr>
  </w:style>
  <w:style w:type="paragraph" w:styleId="ListParagraph">
    <w:name w:val="List Paragraph"/>
    <w:basedOn w:val="Normal"/>
    <w:uiPriority w:val="34"/>
    <w:qFormat/>
    <w:rsid w:val="00737F7A"/>
    <w:pPr>
      <w:ind w:left="720"/>
    </w:pPr>
    <w:rPr>
      <w:rFonts w:ascii="Calibri" w:eastAsia="Calibri" w:hAnsi="Calibri" w:cs="Calibri"/>
      <w:sz w:val="22"/>
      <w:szCs w:val="22"/>
    </w:rPr>
  </w:style>
  <w:style w:type="paragraph" w:customStyle="1" w:styleId="NormalAgency">
    <w:name w:val="Normal (Agency)"/>
    <w:link w:val="NormalAgencyChar"/>
    <w:rsid w:val="00737F7A"/>
    <w:rPr>
      <w:rFonts w:ascii="Verdana" w:eastAsia="Verdana" w:hAnsi="Verdana" w:cs="Verdana"/>
      <w:sz w:val="18"/>
      <w:szCs w:val="18"/>
      <w:lang w:val="en-GB" w:eastAsia="en-GB"/>
    </w:rPr>
  </w:style>
  <w:style w:type="paragraph" w:customStyle="1" w:styleId="TabletextrowsAgency">
    <w:name w:val="Table text rows (Agency)"/>
    <w:basedOn w:val="Normal"/>
    <w:rsid w:val="00737F7A"/>
    <w:pPr>
      <w:spacing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737F7A"/>
    <w:rPr>
      <w:rFonts w:ascii="Verdana" w:eastAsia="Verdana" w:hAnsi="Verdana" w:cs="Verdana"/>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29CC"/>
    <w:pPr>
      <w:keepNext/>
      <w:keepLines/>
      <w:numPr>
        <w:numId w:val="6"/>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8E0092"/>
    <w:pPr>
      <w:keepNext/>
      <w:numPr>
        <w:ilvl w:val="1"/>
        <w:numId w:val="6"/>
      </w:numPr>
      <w:spacing w:before="240" w:after="120"/>
      <w:outlineLvl w:val="1"/>
    </w:pPr>
    <w:rPr>
      <w:rFonts w:ascii="Times New Roman" w:eastAsia="Times New Roman" w:hAnsi="Times New Roman" w:cs="Times New Roman"/>
      <w:b/>
      <w:bCs/>
      <w:iCs/>
      <w:szCs w:val="28"/>
    </w:rPr>
  </w:style>
  <w:style w:type="paragraph" w:styleId="Heading3">
    <w:name w:val="heading 3"/>
    <w:basedOn w:val="Normal"/>
    <w:next w:val="Normal"/>
    <w:link w:val="Heading3Char"/>
    <w:qFormat/>
    <w:rsid w:val="008E0092"/>
    <w:pPr>
      <w:keepNext/>
      <w:numPr>
        <w:ilvl w:val="2"/>
        <w:numId w:val="6"/>
      </w:numPr>
      <w:spacing w:before="240" w:after="120"/>
      <w:outlineLvl w:val="2"/>
    </w:pPr>
    <w:rPr>
      <w:rFonts w:ascii="Times New Roman" w:eastAsia="Times New Roman" w:hAnsi="Times New Roman" w:cs="Times New Roman"/>
      <w:b/>
      <w:bCs/>
      <w:szCs w:val="26"/>
      <w:lang w:val="x-none" w:eastAsia="x-none"/>
    </w:rPr>
  </w:style>
  <w:style w:type="paragraph" w:styleId="Heading4">
    <w:name w:val="heading 4"/>
    <w:basedOn w:val="Normal"/>
    <w:next w:val="Normal"/>
    <w:link w:val="Heading4Char"/>
    <w:qFormat/>
    <w:rsid w:val="008E0092"/>
    <w:pPr>
      <w:keepNext/>
      <w:numPr>
        <w:ilvl w:val="3"/>
        <w:numId w:val="6"/>
      </w:numPr>
      <w:spacing w:before="240" w:after="120"/>
      <w:outlineLvl w:val="3"/>
    </w:pPr>
    <w:rPr>
      <w:rFonts w:ascii="Times New Roman" w:eastAsia="Times New Roman" w:hAnsi="Times New Roman" w:cs="Times New Roman"/>
      <w:b/>
      <w:bCs/>
      <w:i/>
      <w:szCs w:val="28"/>
    </w:rPr>
  </w:style>
  <w:style w:type="paragraph" w:styleId="Heading5">
    <w:name w:val="heading 5"/>
    <w:basedOn w:val="Normal"/>
    <w:next w:val="Normal"/>
    <w:link w:val="Heading5Char"/>
    <w:qFormat/>
    <w:rsid w:val="008E0092"/>
    <w:pPr>
      <w:keepNext/>
      <w:numPr>
        <w:ilvl w:val="4"/>
        <w:numId w:val="6"/>
      </w:numPr>
      <w:spacing w:before="240" w:after="120"/>
      <w:outlineLvl w:val="4"/>
    </w:pPr>
    <w:rPr>
      <w:rFonts w:ascii="Times New Roman" w:eastAsia="Times New Roman" w:hAnsi="Times New Roman" w:cs="Times New Roman"/>
      <w:bCs/>
      <w:i/>
      <w:iCs/>
      <w:szCs w:val="26"/>
    </w:rPr>
  </w:style>
  <w:style w:type="paragraph" w:styleId="Heading6">
    <w:name w:val="heading 6"/>
    <w:basedOn w:val="Normal"/>
    <w:next w:val="Normal"/>
    <w:link w:val="Heading6Char"/>
    <w:qFormat/>
    <w:rsid w:val="00737F7A"/>
    <w:pPr>
      <w:keepNext/>
      <w:numPr>
        <w:ilvl w:val="5"/>
        <w:numId w:val="6"/>
      </w:numPr>
      <w:spacing w:before="240" w:after="120"/>
      <w:outlineLvl w:val="5"/>
    </w:pPr>
    <w:rPr>
      <w:rFonts w:ascii="Times New Roman" w:eastAsia="Times New Roman" w:hAnsi="Times New Roman" w:cs="Times New Roman"/>
      <w:bCs/>
      <w:szCs w:val="22"/>
    </w:rPr>
  </w:style>
  <w:style w:type="paragraph" w:styleId="Heading7">
    <w:name w:val="heading 7"/>
    <w:basedOn w:val="Normal"/>
    <w:next w:val="Normal"/>
    <w:link w:val="Heading7Char"/>
    <w:qFormat/>
    <w:rsid w:val="00737F7A"/>
    <w:pPr>
      <w:numPr>
        <w:ilvl w:val="6"/>
        <w:numId w:val="6"/>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qFormat/>
    <w:rsid w:val="00737F7A"/>
    <w:pPr>
      <w:numPr>
        <w:ilvl w:val="7"/>
        <w:numId w:val="6"/>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737F7A"/>
    <w:pPr>
      <w:numPr>
        <w:ilvl w:val="8"/>
        <w:numId w:val="6"/>
      </w:numPr>
      <w:spacing w:before="240" w:after="60"/>
      <w:outlineLvl w:val="8"/>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9C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329CC"/>
    <w:pPr>
      <w:spacing w:line="276" w:lineRule="auto"/>
      <w:outlineLvl w:val="9"/>
    </w:pPr>
    <w:rPr>
      <w:color w:val="365F91" w:themeColor="accent1" w:themeShade="BF"/>
      <w:sz w:val="28"/>
      <w:szCs w:val="28"/>
    </w:rPr>
  </w:style>
  <w:style w:type="paragraph" w:styleId="BalloonText">
    <w:name w:val="Balloon Text"/>
    <w:basedOn w:val="Normal"/>
    <w:link w:val="BalloonTextChar"/>
    <w:unhideWhenUsed/>
    <w:rsid w:val="005329CC"/>
    <w:rPr>
      <w:rFonts w:ascii="Lucida Grande" w:hAnsi="Lucida Grande" w:cs="Lucida Grande"/>
      <w:sz w:val="18"/>
      <w:szCs w:val="18"/>
    </w:rPr>
  </w:style>
  <w:style w:type="character" w:customStyle="1" w:styleId="BalloonTextChar">
    <w:name w:val="Balloon Text Char"/>
    <w:basedOn w:val="DefaultParagraphFont"/>
    <w:link w:val="BalloonText"/>
    <w:rsid w:val="005329CC"/>
    <w:rPr>
      <w:rFonts w:ascii="Lucida Grande" w:hAnsi="Lucida Grande" w:cs="Lucida Grande"/>
      <w:sz w:val="18"/>
      <w:szCs w:val="18"/>
    </w:rPr>
  </w:style>
  <w:style w:type="paragraph" w:styleId="TOC1">
    <w:name w:val="toc 1"/>
    <w:basedOn w:val="Normal"/>
    <w:next w:val="Normal"/>
    <w:autoRedefine/>
    <w:semiHidden/>
    <w:unhideWhenUsed/>
    <w:rsid w:val="005329CC"/>
    <w:pPr>
      <w:spacing w:before="120"/>
    </w:pPr>
    <w:rPr>
      <w:b/>
    </w:rPr>
  </w:style>
  <w:style w:type="paragraph" w:styleId="TOC2">
    <w:name w:val="toc 2"/>
    <w:basedOn w:val="Normal"/>
    <w:next w:val="Normal"/>
    <w:autoRedefine/>
    <w:semiHidden/>
    <w:unhideWhenUsed/>
    <w:rsid w:val="005329CC"/>
    <w:pPr>
      <w:ind w:left="240"/>
    </w:pPr>
    <w:rPr>
      <w:b/>
      <w:sz w:val="22"/>
      <w:szCs w:val="22"/>
    </w:rPr>
  </w:style>
  <w:style w:type="paragraph" w:styleId="TOC3">
    <w:name w:val="toc 3"/>
    <w:basedOn w:val="Normal"/>
    <w:next w:val="Normal"/>
    <w:autoRedefine/>
    <w:semiHidden/>
    <w:unhideWhenUsed/>
    <w:rsid w:val="005329CC"/>
    <w:pPr>
      <w:ind w:left="480"/>
    </w:pPr>
    <w:rPr>
      <w:sz w:val="22"/>
      <w:szCs w:val="22"/>
    </w:rPr>
  </w:style>
  <w:style w:type="paragraph" w:styleId="TOC4">
    <w:name w:val="toc 4"/>
    <w:basedOn w:val="Normal"/>
    <w:next w:val="Normal"/>
    <w:autoRedefine/>
    <w:semiHidden/>
    <w:unhideWhenUsed/>
    <w:rsid w:val="005329CC"/>
    <w:pPr>
      <w:ind w:left="720"/>
    </w:pPr>
    <w:rPr>
      <w:sz w:val="20"/>
      <w:szCs w:val="20"/>
    </w:rPr>
  </w:style>
  <w:style w:type="paragraph" w:styleId="TOC5">
    <w:name w:val="toc 5"/>
    <w:basedOn w:val="Normal"/>
    <w:next w:val="Normal"/>
    <w:autoRedefine/>
    <w:semiHidden/>
    <w:unhideWhenUsed/>
    <w:rsid w:val="005329CC"/>
    <w:pPr>
      <w:ind w:left="960"/>
    </w:pPr>
    <w:rPr>
      <w:sz w:val="20"/>
      <w:szCs w:val="20"/>
    </w:rPr>
  </w:style>
  <w:style w:type="paragraph" w:styleId="TOC6">
    <w:name w:val="toc 6"/>
    <w:basedOn w:val="Normal"/>
    <w:next w:val="Normal"/>
    <w:autoRedefine/>
    <w:semiHidden/>
    <w:unhideWhenUsed/>
    <w:rsid w:val="005329CC"/>
    <w:pPr>
      <w:ind w:left="1200"/>
    </w:pPr>
    <w:rPr>
      <w:sz w:val="20"/>
      <w:szCs w:val="20"/>
    </w:rPr>
  </w:style>
  <w:style w:type="paragraph" w:styleId="TOC7">
    <w:name w:val="toc 7"/>
    <w:basedOn w:val="Normal"/>
    <w:next w:val="Normal"/>
    <w:autoRedefine/>
    <w:semiHidden/>
    <w:unhideWhenUsed/>
    <w:rsid w:val="005329CC"/>
    <w:pPr>
      <w:ind w:left="1440"/>
    </w:pPr>
    <w:rPr>
      <w:sz w:val="20"/>
      <w:szCs w:val="20"/>
    </w:rPr>
  </w:style>
  <w:style w:type="paragraph" w:styleId="TOC8">
    <w:name w:val="toc 8"/>
    <w:basedOn w:val="Normal"/>
    <w:next w:val="Normal"/>
    <w:autoRedefine/>
    <w:semiHidden/>
    <w:unhideWhenUsed/>
    <w:rsid w:val="005329CC"/>
    <w:pPr>
      <w:ind w:left="1680"/>
    </w:pPr>
    <w:rPr>
      <w:sz w:val="20"/>
      <w:szCs w:val="20"/>
    </w:rPr>
  </w:style>
  <w:style w:type="paragraph" w:styleId="TOC9">
    <w:name w:val="toc 9"/>
    <w:basedOn w:val="Normal"/>
    <w:next w:val="Normal"/>
    <w:autoRedefine/>
    <w:semiHidden/>
    <w:unhideWhenUsed/>
    <w:rsid w:val="005329CC"/>
    <w:pPr>
      <w:ind w:left="1920"/>
    </w:pPr>
    <w:rPr>
      <w:sz w:val="20"/>
      <w:szCs w:val="20"/>
    </w:rPr>
  </w:style>
  <w:style w:type="paragraph" w:styleId="Header">
    <w:name w:val="header"/>
    <w:basedOn w:val="Normal"/>
    <w:link w:val="HeaderChar"/>
    <w:unhideWhenUsed/>
    <w:rsid w:val="00D84532"/>
    <w:pPr>
      <w:tabs>
        <w:tab w:val="center" w:pos="4320"/>
        <w:tab w:val="right" w:pos="8640"/>
      </w:tabs>
    </w:pPr>
  </w:style>
  <w:style w:type="character" w:customStyle="1" w:styleId="HeaderChar">
    <w:name w:val="Header Char"/>
    <w:basedOn w:val="DefaultParagraphFont"/>
    <w:link w:val="Header"/>
    <w:uiPriority w:val="99"/>
    <w:rsid w:val="00D84532"/>
  </w:style>
  <w:style w:type="paragraph" w:styleId="Footer">
    <w:name w:val="footer"/>
    <w:basedOn w:val="Normal"/>
    <w:link w:val="FooterChar"/>
    <w:uiPriority w:val="99"/>
    <w:unhideWhenUsed/>
    <w:rsid w:val="00D84532"/>
    <w:pPr>
      <w:tabs>
        <w:tab w:val="center" w:pos="4320"/>
        <w:tab w:val="right" w:pos="8640"/>
      </w:tabs>
    </w:pPr>
  </w:style>
  <w:style w:type="character" w:customStyle="1" w:styleId="FooterChar">
    <w:name w:val="Footer Char"/>
    <w:basedOn w:val="DefaultParagraphFont"/>
    <w:link w:val="Footer"/>
    <w:uiPriority w:val="99"/>
    <w:rsid w:val="00D84532"/>
  </w:style>
  <w:style w:type="character" w:customStyle="1" w:styleId="Heading2Char">
    <w:name w:val="Heading 2 Char"/>
    <w:basedOn w:val="DefaultParagraphFont"/>
    <w:link w:val="Heading2"/>
    <w:rsid w:val="008E0092"/>
    <w:rPr>
      <w:rFonts w:ascii="Times New Roman" w:eastAsia="Times New Roman" w:hAnsi="Times New Roman" w:cs="Times New Roman"/>
      <w:b/>
      <w:bCs/>
      <w:iCs/>
      <w:szCs w:val="28"/>
    </w:rPr>
  </w:style>
  <w:style w:type="character" w:customStyle="1" w:styleId="Heading3Char">
    <w:name w:val="Heading 3 Char"/>
    <w:basedOn w:val="DefaultParagraphFont"/>
    <w:link w:val="Heading3"/>
    <w:rsid w:val="008E0092"/>
    <w:rPr>
      <w:rFonts w:ascii="Times New Roman" w:eastAsia="Times New Roman" w:hAnsi="Times New Roman" w:cs="Times New Roman"/>
      <w:b/>
      <w:bCs/>
      <w:szCs w:val="26"/>
      <w:lang w:val="x-none" w:eastAsia="x-none"/>
    </w:rPr>
  </w:style>
  <w:style w:type="character" w:customStyle="1" w:styleId="Heading4Char">
    <w:name w:val="Heading 4 Char"/>
    <w:basedOn w:val="DefaultParagraphFont"/>
    <w:link w:val="Heading4"/>
    <w:rsid w:val="008E0092"/>
    <w:rPr>
      <w:rFonts w:ascii="Times New Roman" w:eastAsia="Times New Roman" w:hAnsi="Times New Roman" w:cs="Times New Roman"/>
      <w:b/>
      <w:bCs/>
      <w:i/>
      <w:szCs w:val="28"/>
    </w:rPr>
  </w:style>
  <w:style w:type="character" w:customStyle="1" w:styleId="Heading5Char">
    <w:name w:val="Heading 5 Char"/>
    <w:basedOn w:val="DefaultParagraphFont"/>
    <w:link w:val="Heading5"/>
    <w:rsid w:val="008E0092"/>
    <w:rPr>
      <w:rFonts w:ascii="Times New Roman" w:eastAsia="Times New Roman" w:hAnsi="Times New Roman" w:cs="Times New Roman"/>
      <w:bCs/>
      <w:i/>
      <w:iCs/>
      <w:szCs w:val="26"/>
    </w:rPr>
  </w:style>
  <w:style w:type="paragraph" w:customStyle="1" w:styleId="Table">
    <w:name w:val="Table"/>
    <w:basedOn w:val="Normal"/>
    <w:next w:val="Normal"/>
    <w:semiHidden/>
    <w:rsid w:val="008E0092"/>
    <w:pPr>
      <w:tabs>
        <w:tab w:val="left" w:pos="1008"/>
      </w:tabs>
      <w:spacing w:after="120"/>
      <w:jc w:val="center"/>
    </w:pPr>
    <w:rPr>
      <w:rFonts w:ascii="Times New Roman" w:eastAsia="Times New Roman" w:hAnsi="Times New Roman" w:cs="Times New Roman"/>
      <w:b/>
    </w:rPr>
  </w:style>
  <w:style w:type="paragraph" w:customStyle="1" w:styleId="TableText10">
    <w:name w:val="TableText10"/>
    <w:basedOn w:val="Normal"/>
    <w:rsid w:val="008E0092"/>
    <w:rPr>
      <w:rFonts w:ascii="Times New Roman" w:eastAsia="Times New Roman" w:hAnsi="Times New Roman" w:cs="Times New Roman"/>
      <w:sz w:val="20"/>
    </w:rPr>
  </w:style>
  <w:style w:type="paragraph" w:customStyle="1" w:styleId="TableSource10">
    <w:name w:val="TableSource10"/>
    <w:basedOn w:val="TableText10"/>
    <w:next w:val="Normal"/>
    <w:rsid w:val="008E0092"/>
    <w:pPr>
      <w:spacing w:before="120" w:after="120"/>
    </w:pPr>
  </w:style>
  <w:style w:type="paragraph" w:customStyle="1" w:styleId="List1">
    <w:name w:val="List1"/>
    <w:basedOn w:val="Normal"/>
    <w:rsid w:val="008E0092"/>
    <w:pPr>
      <w:tabs>
        <w:tab w:val="num" w:pos="1008"/>
      </w:tabs>
      <w:spacing w:before="120" w:after="120"/>
      <w:ind w:left="1008" w:hanging="504"/>
    </w:pPr>
    <w:rPr>
      <w:rFonts w:ascii="Times New Roman" w:eastAsia="Times New Roman" w:hAnsi="Times New Roman" w:cs="Times New Roman"/>
    </w:rPr>
  </w:style>
  <w:style w:type="paragraph" w:customStyle="1" w:styleId="List2">
    <w:name w:val="List2"/>
    <w:basedOn w:val="Normal"/>
    <w:rsid w:val="008E0092"/>
    <w:pPr>
      <w:tabs>
        <w:tab w:val="num" w:pos="1512"/>
      </w:tabs>
      <w:spacing w:before="120" w:after="120"/>
      <w:ind w:left="1512" w:hanging="504"/>
    </w:pPr>
    <w:rPr>
      <w:rFonts w:ascii="Times New Roman" w:eastAsia="Times New Roman" w:hAnsi="Times New Roman" w:cs="Times New Roman"/>
    </w:rPr>
  </w:style>
  <w:style w:type="paragraph" w:customStyle="1" w:styleId="List4">
    <w:name w:val="List4"/>
    <w:basedOn w:val="Normal"/>
    <w:rsid w:val="008E0092"/>
    <w:pPr>
      <w:tabs>
        <w:tab w:val="num" w:pos="2520"/>
      </w:tabs>
      <w:spacing w:before="120" w:after="120"/>
      <w:ind w:left="2520" w:hanging="504"/>
    </w:pPr>
    <w:rPr>
      <w:rFonts w:ascii="Times New Roman" w:eastAsia="Times New Roman" w:hAnsi="Times New Roman" w:cs="Times New Roman"/>
    </w:rPr>
  </w:style>
  <w:style w:type="paragraph" w:customStyle="1" w:styleId="List3">
    <w:name w:val="List3"/>
    <w:basedOn w:val="Normal"/>
    <w:rsid w:val="008E0092"/>
    <w:pPr>
      <w:tabs>
        <w:tab w:val="num" w:pos="2016"/>
      </w:tabs>
      <w:spacing w:before="120" w:after="120"/>
      <w:ind w:left="2016" w:hanging="504"/>
    </w:pPr>
    <w:rPr>
      <w:rFonts w:ascii="Times New Roman" w:eastAsia="Times New Roman" w:hAnsi="Times New Roman" w:cs="Times New Roman"/>
    </w:rPr>
  </w:style>
  <w:style w:type="paragraph" w:customStyle="1" w:styleId="TableHeader10">
    <w:name w:val="TableHeader10"/>
    <w:basedOn w:val="TableText10"/>
    <w:rsid w:val="008E0092"/>
    <w:pPr>
      <w:jc w:val="center"/>
    </w:pPr>
    <w:rPr>
      <w:b/>
    </w:rPr>
  </w:style>
  <w:style w:type="character" w:customStyle="1" w:styleId="Heading6Char">
    <w:name w:val="Heading 6 Char"/>
    <w:basedOn w:val="DefaultParagraphFont"/>
    <w:link w:val="Heading6"/>
    <w:rsid w:val="00737F7A"/>
    <w:rPr>
      <w:rFonts w:ascii="Times New Roman" w:eastAsia="Times New Roman" w:hAnsi="Times New Roman" w:cs="Times New Roman"/>
      <w:bCs/>
      <w:szCs w:val="22"/>
    </w:rPr>
  </w:style>
  <w:style w:type="character" w:customStyle="1" w:styleId="Heading7Char">
    <w:name w:val="Heading 7 Char"/>
    <w:basedOn w:val="DefaultParagraphFont"/>
    <w:link w:val="Heading7"/>
    <w:rsid w:val="00737F7A"/>
    <w:rPr>
      <w:rFonts w:ascii="Times New Roman" w:eastAsia="Times New Roman" w:hAnsi="Times New Roman" w:cs="Times New Roman"/>
    </w:rPr>
  </w:style>
  <w:style w:type="character" w:customStyle="1" w:styleId="Heading8Char">
    <w:name w:val="Heading 8 Char"/>
    <w:basedOn w:val="DefaultParagraphFont"/>
    <w:link w:val="Heading8"/>
    <w:rsid w:val="00737F7A"/>
    <w:rPr>
      <w:rFonts w:ascii="Times New Roman" w:eastAsia="Times New Roman" w:hAnsi="Times New Roman" w:cs="Times New Roman"/>
      <w:i/>
      <w:iCs/>
    </w:rPr>
  </w:style>
  <w:style w:type="character" w:customStyle="1" w:styleId="Heading9Char">
    <w:name w:val="Heading 9 Char"/>
    <w:basedOn w:val="DefaultParagraphFont"/>
    <w:link w:val="Heading9"/>
    <w:rsid w:val="00737F7A"/>
    <w:rPr>
      <w:rFonts w:ascii="Times New Roman" w:eastAsia="Times New Roman" w:hAnsi="Times New Roman" w:cs="Times New Roman"/>
      <w:sz w:val="22"/>
      <w:szCs w:val="22"/>
    </w:rPr>
  </w:style>
  <w:style w:type="paragraph" w:customStyle="1" w:styleId="Appendix">
    <w:name w:val="Appendix"/>
    <w:basedOn w:val="Normal"/>
    <w:next w:val="Normal"/>
    <w:qFormat/>
    <w:rsid w:val="00737F7A"/>
    <w:pPr>
      <w:keepNext/>
      <w:pageBreakBefore/>
      <w:numPr>
        <w:numId w:val="7"/>
      </w:numPr>
      <w:tabs>
        <w:tab w:val="left" w:pos="1584"/>
      </w:tabs>
      <w:spacing w:before="240" w:after="120"/>
      <w:ind w:left="1584" w:hanging="1584"/>
    </w:pPr>
    <w:rPr>
      <w:rFonts w:ascii="Times New Roman" w:eastAsia="Times New Roman" w:hAnsi="Times New Roman" w:cs="Times New Roman"/>
      <w:b/>
    </w:rPr>
  </w:style>
  <w:style w:type="paragraph" w:customStyle="1" w:styleId="Guidance">
    <w:name w:val="Guidance"/>
    <w:basedOn w:val="Normal"/>
    <w:next w:val="Normal"/>
    <w:rsid w:val="00737F7A"/>
    <w:pPr>
      <w:spacing w:before="120" w:after="120"/>
    </w:pPr>
    <w:rPr>
      <w:rFonts w:ascii="Times New Roman" w:eastAsia="Times New Roman" w:hAnsi="Times New Roman" w:cs="Times New Roman"/>
      <w:color w:val="008000"/>
    </w:rPr>
  </w:style>
  <w:style w:type="paragraph" w:customStyle="1" w:styleId="TitlePDetails">
    <w:name w:val="TitlePDetails"/>
    <w:basedOn w:val="Normal"/>
    <w:semiHidden/>
    <w:rsid w:val="00737F7A"/>
    <w:pPr>
      <w:spacing w:after="240" w:line="360" w:lineRule="auto"/>
      <w:ind w:left="2160" w:hanging="2160"/>
    </w:pPr>
    <w:rPr>
      <w:rFonts w:ascii="Times New Roman" w:eastAsia="Times New Roman" w:hAnsi="Times New Roman" w:cs="Times New Roman"/>
    </w:rPr>
  </w:style>
  <w:style w:type="table" w:styleId="TableGrid">
    <w:name w:val="Table Grid"/>
    <w:basedOn w:val="TableNormal"/>
    <w:uiPriority w:val="59"/>
    <w:rsid w:val="00737F7A"/>
    <w:pPr>
      <w:spacing w:after="120"/>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Numb">
    <w:name w:val="Heading 1NoNumb"/>
    <w:basedOn w:val="Heading1"/>
    <w:next w:val="Normal"/>
    <w:rsid w:val="00737F7A"/>
  </w:style>
  <w:style w:type="paragraph" w:customStyle="1" w:styleId="Heading2NoNumb">
    <w:name w:val="Heading 2NoNumb"/>
    <w:basedOn w:val="Heading2"/>
    <w:next w:val="Normal"/>
    <w:rsid w:val="00737F7A"/>
  </w:style>
  <w:style w:type="paragraph" w:customStyle="1" w:styleId="Heading3NoNumb">
    <w:name w:val="Heading 3NoNumb"/>
    <w:basedOn w:val="Heading3"/>
    <w:next w:val="Normal"/>
    <w:rsid w:val="00737F7A"/>
  </w:style>
  <w:style w:type="paragraph" w:customStyle="1" w:styleId="Heading4NoNumb">
    <w:name w:val="Heading 4NoNumb"/>
    <w:basedOn w:val="Heading4"/>
    <w:next w:val="Normal"/>
    <w:rsid w:val="00737F7A"/>
  </w:style>
  <w:style w:type="paragraph" w:customStyle="1" w:styleId="Heading5NoNumb">
    <w:name w:val="Heading 5NoNumb"/>
    <w:basedOn w:val="Heading5"/>
    <w:next w:val="Normal"/>
    <w:rsid w:val="00737F7A"/>
  </w:style>
  <w:style w:type="paragraph" w:customStyle="1" w:styleId="HeaderLand">
    <w:name w:val="HeaderLand"/>
    <w:basedOn w:val="Header"/>
    <w:rsid w:val="00737F7A"/>
  </w:style>
  <w:style w:type="paragraph" w:customStyle="1" w:styleId="FooterLand">
    <w:name w:val="FooterLand"/>
    <w:basedOn w:val="Footer"/>
    <w:rsid w:val="00737F7A"/>
  </w:style>
  <w:style w:type="paragraph" w:customStyle="1" w:styleId="NormalSingleNoSpace">
    <w:name w:val="NormalSingleNoSpace"/>
    <w:basedOn w:val="Normal"/>
    <w:semiHidden/>
    <w:rsid w:val="00737F7A"/>
    <w:rPr>
      <w:rFonts w:ascii="Times New Roman" w:eastAsia="Times New Roman" w:hAnsi="Times New Roman" w:cs="Times New Roman"/>
      <w:lang w:val="en-GB"/>
    </w:rPr>
  </w:style>
  <w:style w:type="paragraph" w:customStyle="1" w:styleId="Figure">
    <w:name w:val="Figure"/>
    <w:basedOn w:val="Normal"/>
    <w:next w:val="Normal"/>
    <w:rsid w:val="00737F7A"/>
    <w:pPr>
      <w:tabs>
        <w:tab w:val="left" w:pos="1152"/>
      </w:tabs>
      <w:spacing w:after="120"/>
      <w:jc w:val="center"/>
    </w:pPr>
    <w:rPr>
      <w:rFonts w:ascii="Times New Roman" w:eastAsia="Times New Roman" w:hAnsi="Times New Roman" w:cs="Times New Roman"/>
      <w:b/>
    </w:rPr>
  </w:style>
  <w:style w:type="paragraph" w:customStyle="1" w:styleId="TableText9">
    <w:name w:val="TableText9"/>
    <w:basedOn w:val="TableText10"/>
    <w:rsid w:val="00737F7A"/>
    <w:rPr>
      <w:sz w:val="18"/>
    </w:rPr>
  </w:style>
  <w:style w:type="paragraph" w:customStyle="1" w:styleId="TableHeader9">
    <w:name w:val="TableHeader9"/>
    <w:basedOn w:val="TableText9"/>
    <w:rsid w:val="00737F7A"/>
  </w:style>
  <w:style w:type="character" w:styleId="Hyperlink">
    <w:name w:val="Hyperlink"/>
    <w:rsid w:val="00737F7A"/>
    <w:rPr>
      <w:dstrike w:val="0"/>
      <w:color w:val="0000FF"/>
      <w:u w:val="none"/>
      <w:vertAlign w:val="baseline"/>
    </w:rPr>
  </w:style>
  <w:style w:type="paragraph" w:customStyle="1" w:styleId="TableNotes9">
    <w:name w:val="TableNotes9"/>
    <w:basedOn w:val="TableText10"/>
    <w:next w:val="Normal"/>
    <w:rsid w:val="00737F7A"/>
    <w:pPr>
      <w:spacing w:before="120" w:after="120"/>
      <w:ind w:left="576" w:hanging="576"/>
    </w:pPr>
    <w:rPr>
      <w:sz w:val="18"/>
    </w:rPr>
  </w:style>
  <w:style w:type="paragraph" w:customStyle="1" w:styleId="TableText8">
    <w:name w:val="TableText8"/>
    <w:basedOn w:val="Normal"/>
    <w:rsid w:val="00737F7A"/>
    <w:rPr>
      <w:rFonts w:ascii="Times New Roman" w:eastAsia="Times New Roman" w:hAnsi="Times New Roman" w:cs="Times New Roman"/>
      <w:sz w:val="16"/>
    </w:rPr>
  </w:style>
  <w:style w:type="paragraph" w:customStyle="1" w:styleId="TableHeader8">
    <w:name w:val="TableHeader8"/>
    <w:basedOn w:val="TableText8"/>
    <w:rsid w:val="00737F7A"/>
  </w:style>
  <w:style w:type="paragraph" w:customStyle="1" w:styleId="TableSource9">
    <w:name w:val="TableSource9"/>
    <w:basedOn w:val="TableText9"/>
    <w:next w:val="Normal"/>
    <w:rsid w:val="00737F7A"/>
  </w:style>
  <w:style w:type="paragraph" w:customStyle="1" w:styleId="TableSource8">
    <w:name w:val="TableSource8"/>
    <w:basedOn w:val="TableText8"/>
    <w:next w:val="Normal"/>
    <w:rsid w:val="00737F7A"/>
  </w:style>
  <w:style w:type="paragraph" w:customStyle="1" w:styleId="TableCont">
    <w:name w:val="TableCont"/>
    <w:basedOn w:val="Table"/>
    <w:next w:val="Normal"/>
    <w:rsid w:val="00737F7A"/>
    <w:rPr>
      <w:noProof/>
    </w:rPr>
  </w:style>
  <w:style w:type="character" w:styleId="FollowedHyperlink">
    <w:name w:val="FollowedHyperlink"/>
    <w:semiHidden/>
    <w:rsid w:val="00737F7A"/>
    <w:rPr>
      <w:color w:val="800080"/>
      <w:u w:val="single"/>
    </w:rPr>
  </w:style>
  <w:style w:type="paragraph" w:customStyle="1" w:styleId="DocTitle">
    <w:name w:val="DocTitle"/>
    <w:basedOn w:val="Normal"/>
    <w:semiHidden/>
    <w:rsid w:val="00737F7A"/>
    <w:pPr>
      <w:spacing w:before="240" w:after="240"/>
      <w:jc w:val="center"/>
    </w:pPr>
    <w:rPr>
      <w:rFonts w:ascii="Times New Roman" w:eastAsia="Times New Roman" w:hAnsi="Times New Roman" w:cs="Times New Roman"/>
      <w:b/>
      <w:sz w:val="28"/>
    </w:rPr>
  </w:style>
  <w:style w:type="paragraph" w:customStyle="1" w:styleId="Instructions">
    <w:name w:val="Instructions"/>
    <w:basedOn w:val="Normal"/>
    <w:next w:val="Normal"/>
    <w:rsid w:val="00737F7A"/>
    <w:pPr>
      <w:spacing w:before="120" w:after="120"/>
    </w:pPr>
    <w:rPr>
      <w:rFonts w:ascii="Times New Roman" w:eastAsia="Times New Roman" w:hAnsi="Times New Roman" w:cs="Times New Roman"/>
      <w:color w:val="FF0000"/>
    </w:rPr>
  </w:style>
  <w:style w:type="paragraph" w:customStyle="1" w:styleId="DocTitleText">
    <w:name w:val="DocTitleText"/>
    <w:basedOn w:val="DocTitle"/>
    <w:semiHidden/>
    <w:rsid w:val="00737F7A"/>
  </w:style>
  <w:style w:type="paragraph" w:customStyle="1" w:styleId="NormalNoSpace">
    <w:name w:val="NormalNoSpace"/>
    <w:basedOn w:val="Normal"/>
    <w:rsid w:val="00737F7A"/>
    <w:rPr>
      <w:rFonts w:ascii="Times New Roman" w:eastAsia="Times New Roman" w:hAnsi="Times New Roman" w:cs="Times New Roman"/>
      <w:lang w:val="en-GB"/>
    </w:rPr>
  </w:style>
  <w:style w:type="paragraph" w:styleId="Title">
    <w:name w:val="Title"/>
    <w:basedOn w:val="Heading1NoNumb"/>
    <w:next w:val="Normal"/>
    <w:link w:val="TitleChar"/>
    <w:qFormat/>
    <w:rsid w:val="00737F7A"/>
    <w:pPr>
      <w:keepLines w:val="0"/>
      <w:numPr>
        <w:numId w:val="0"/>
      </w:numPr>
      <w:tabs>
        <w:tab w:val="left" w:pos="504"/>
      </w:tabs>
      <w:spacing w:before="240" w:after="120"/>
      <w:jc w:val="center"/>
      <w:outlineLvl w:val="9"/>
    </w:pPr>
    <w:rPr>
      <w:rFonts w:ascii="Times New Roman" w:eastAsia="Times New Roman" w:hAnsi="Times New Roman" w:cs="Times New Roman"/>
      <w:bCs w:val="0"/>
      <w:caps/>
      <w:color w:val="auto"/>
      <w:sz w:val="24"/>
    </w:rPr>
  </w:style>
  <w:style w:type="character" w:customStyle="1" w:styleId="TitleChar">
    <w:name w:val="Title Char"/>
    <w:basedOn w:val="DefaultParagraphFont"/>
    <w:link w:val="Title"/>
    <w:rsid w:val="00737F7A"/>
    <w:rPr>
      <w:rFonts w:ascii="Times New Roman" w:eastAsia="Times New Roman" w:hAnsi="Times New Roman" w:cs="Times New Roman"/>
      <w:b/>
      <w:caps/>
      <w:szCs w:val="32"/>
    </w:rPr>
  </w:style>
  <w:style w:type="paragraph" w:customStyle="1" w:styleId="TableNotes8">
    <w:name w:val="TableNotes8"/>
    <w:basedOn w:val="TableText9"/>
    <w:next w:val="Normal"/>
    <w:rsid w:val="00737F7A"/>
  </w:style>
  <w:style w:type="paragraph" w:customStyle="1" w:styleId="FigureSource">
    <w:name w:val="FigureSource"/>
    <w:basedOn w:val="Normal"/>
    <w:next w:val="Normal"/>
    <w:rsid w:val="00737F7A"/>
    <w:rPr>
      <w:rFonts w:ascii="Times New Roman" w:eastAsia="Times New Roman" w:hAnsi="Times New Roman" w:cs="Times New Roman"/>
      <w:sz w:val="20"/>
    </w:rPr>
  </w:style>
  <w:style w:type="paragraph" w:customStyle="1" w:styleId="Bullet">
    <w:name w:val="Bullet"/>
    <w:basedOn w:val="Normal"/>
    <w:semiHidden/>
    <w:rsid w:val="00737F7A"/>
    <w:pPr>
      <w:spacing w:before="120" w:after="120"/>
    </w:pPr>
    <w:rPr>
      <w:rFonts w:ascii="Times New Roman" w:eastAsia="Times New Roman" w:hAnsi="Times New Roman" w:cs="Times New Roman"/>
    </w:rPr>
  </w:style>
  <w:style w:type="paragraph" w:styleId="Caption">
    <w:name w:val="caption"/>
    <w:basedOn w:val="Normal"/>
    <w:next w:val="Normal"/>
    <w:qFormat/>
    <w:rsid w:val="00737F7A"/>
    <w:pPr>
      <w:spacing w:before="120" w:after="120"/>
    </w:pPr>
    <w:rPr>
      <w:rFonts w:ascii="Times New Roman" w:eastAsia="Times New Roman" w:hAnsi="Times New Roman" w:cs="Times New Roman"/>
      <w:b/>
      <w:bCs/>
      <w:sz w:val="20"/>
      <w:szCs w:val="20"/>
    </w:rPr>
  </w:style>
  <w:style w:type="paragraph" w:styleId="TableofFigures">
    <w:name w:val="table of figures"/>
    <w:basedOn w:val="Normal"/>
    <w:next w:val="Normal"/>
    <w:semiHidden/>
    <w:rsid w:val="00737F7A"/>
    <w:pPr>
      <w:tabs>
        <w:tab w:val="left" w:pos="1008"/>
        <w:tab w:val="right" w:leader="dot" w:pos="9000"/>
      </w:tabs>
      <w:ind w:left="1008" w:hanging="1008"/>
    </w:pPr>
    <w:rPr>
      <w:rFonts w:ascii="Times New Roman" w:eastAsia="Times New Roman" w:hAnsi="Times New Roman" w:cs="Times New Roman"/>
      <w:b/>
      <w:color w:val="000000"/>
    </w:rPr>
  </w:style>
  <w:style w:type="numbering" w:styleId="111111">
    <w:name w:val="Outline List 2"/>
    <w:basedOn w:val="NoList"/>
    <w:semiHidden/>
    <w:rsid w:val="00737F7A"/>
    <w:pPr>
      <w:numPr>
        <w:numId w:val="4"/>
      </w:numPr>
    </w:pPr>
  </w:style>
  <w:style w:type="numbering" w:styleId="1ai">
    <w:name w:val="Outline List 1"/>
    <w:basedOn w:val="NoList"/>
    <w:semiHidden/>
    <w:rsid w:val="00737F7A"/>
    <w:pPr>
      <w:numPr>
        <w:numId w:val="5"/>
      </w:numPr>
    </w:pPr>
  </w:style>
  <w:style w:type="numbering" w:styleId="ArticleSection">
    <w:name w:val="Outline List 3"/>
    <w:basedOn w:val="NoList"/>
    <w:semiHidden/>
    <w:rsid w:val="00737F7A"/>
    <w:pPr>
      <w:numPr>
        <w:numId w:val="6"/>
      </w:numPr>
    </w:pPr>
  </w:style>
  <w:style w:type="paragraph" w:styleId="BlockText">
    <w:name w:val="Block Text"/>
    <w:basedOn w:val="Normal"/>
    <w:semiHidden/>
    <w:rsid w:val="00737F7A"/>
    <w:pPr>
      <w:spacing w:before="120" w:after="120"/>
      <w:ind w:left="1440" w:right="1440"/>
    </w:pPr>
    <w:rPr>
      <w:rFonts w:ascii="Times New Roman" w:eastAsia="Times New Roman" w:hAnsi="Times New Roman" w:cs="Times New Roman"/>
    </w:rPr>
  </w:style>
  <w:style w:type="paragraph" w:styleId="BodyText">
    <w:name w:val="Body Text"/>
    <w:basedOn w:val="Normal"/>
    <w:link w:val="BodyTextChar"/>
    <w:semiHidden/>
    <w:rsid w:val="00737F7A"/>
    <w:pPr>
      <w:spacing w:before="120" w:after="120"/>
    </w:pPr>
    <w:rPr>
      <w:rFonts w:ascii="Times New Roman" w:eastAsia="Times New Roman" w:hAnsi="Times New Roman" w:cs="Times New Roman"/>
    </w:rPr>
  </w:style>
  <w:style w:type="character" w:customStyle="1" w:styleId="BodyTextChar">
    <w:name w:val="Body Text Char"/>
    <w:basedOn w:val="DefaultParagraphFont"/>
    <w:link w:val="BodyText"/>
    <w:semiHidden/>
    <w:rsid w:val="00737F7A"/>
    <w:rPr>
      <w:rFonts w:ascii="Times New Roman" w:eastAsia="Times New Roman" w:hAnsi="Times New Roman" w:cs="Times New Roman"/>
    </w:rPr>
  </w:style>
  <w:style w:type="paragraph" w:styleId="BodyText2">
    <w:name w:val="Body Text 2"/>
    <w:basedOn w:val="Normal"/>
    <w:link w:val="BodyText2Char"/>
    <w:semiHidden/>
    <w:rsid w:val="00737F7A"/>
    <w:pPr>
      <w:spacing w:before="120"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37F7A"/>
    <w:rPr>
      <w:rFonts w:ascii="Times New Roman" w:eastAsia="Times New Roman" w:hAnsi="Times New Roman" w:cs="Times New Roman"/>
    </w:rPr>
  </w:style>
  <w:style w:type="paragraph" w:styleId="BodyText3">
    <w:name w:val="Body Text 3"/>
    <w:basedOn w:val="Normal"/>
    <w:link w:val="BodyText3Char"/>
    <w:semiHidden/>
    <w:rsid w:val="00737F7A"/>
    <w:pPr>
      <w:spacing w:before="120"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737F7A"/>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737F7A"/>
    <w:pPr>
      <w:ind w:firstLine="210"/>
    </w:pPr>
  </w:style>
  <w:style w:type="character" w:customStyle="1" w:styleId="BodyTextFirstIndentChar">
    <w:name w:val="Body Text First Indent Char"/>
    <w:basedOn w:val="BodyTextChar"/>
    <w:link w:val="BodyTextFirstIndent"/>
    <w:semiHidden/>
    <w:rsid w:val="00737F7A"/>
    <w:rPr>
      <w:rFonts w:ascii="Times New Roman" w:eastAsia="Times New Roman" w:hAnsi="Times New Roman" w:cs="Times New Roman"/>
    </w:rPr>
  </w:style>
  <w:style w:type="paragraph" w:styleId="BodyTextIndent">
    <w:name w:val="Body Text Indent"/>
    <w:basedOn w:val="Normal"/>
    <w:link w:val="BodyTextIndentChar"/>
    <w:semiHidden/>
    <w:rsid w:val="00737F7A"/>
    <w:pPr>
      <w:spacing w:before="120"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737F7A"/>
    <w:rPr>
      <w:rFonts w:ascii="Times New Roman" w:eastAsia="Times New Roman" w:hAnsi="Times New Roman" w:cs="Times New Roman"/>
    </w:rPr>
  </w:style>
  <w:style w:type="paragraph" w:styleId="BodyTextFirstIndent2">
    <w:name w:val="Body Text First Indent 2"/>
    <w:basedOn w:val="BodyTextIndent"/>
    <w:link w:val="BodyTextFirstIndent2Char"/>
    <w:semiHidden/>
    <w:rsid w:val="00737F7A"/>
    <w:pPr>
      <w:ind w:firstLine="210"/>
    </w:pPr>
  </w:style>
  <w:style w:type="character" w:customStyle="1" w:styleId="BodyTextFirstIndent2Char">
    <w:name w:val="Body Text First Indent 2 Char"/>
    <w:basedOn w:val="BodyTextIndentChar"/>
    <w:link w:val="BodyTextFirstIndent2"/>
    <w:semiHidden/>
    <w:rsid w:val="00737F7A"/>
    <w:rPr>
      <w:rFonts w:ascii="Times New Roman" w:eastAsia="Times New Roman" w:hAnsi="Times New Roman" w:cs="Times New Roman"/>
    </w:rPr>
  </w:style>
  <w:style w:type="paragraph" w:styleId="BodyTextIndent2">
    <w:name w:val="Body Text Indent 2"/>
    <w:basedOn w:val="Normal"/>
    <w:link w:val="BodyTextIndent2Char"/>
    <w:semiHidden/>
    <w:rsid w:val="00737F7A"/>
    <w:pPr>
      <w:spacing w:before="120"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semiHidden/>
    <w:rsid w:val="00737F7A"/>
    <w:rPr>
      <w:rFonts w:ascii="Times New Roman" w:eastAsia="Times New Roman" w:hAnsi="Times New Roman" w:cs="Times New Roman"/>
    </w:rPr>
  </w:style>
  <w:style w:type="paragraph" w:styleId="BodyTextIndent3">
    <w:name w:val="Body Text Indent 3"/>
    <w:basedOn w:val="Normal"/>
    <w:link w:val="BodyTextIndent3Char"/>
    <w:semiHidden/>
    <w:rsid w:val="00737F7A"/>
    <w:pPr>
      <w:spacing w:before="12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737F7A"/>
    <w:rPr>
      <w:rFonts w:ascii="Times New Roman" w:eastAsia="Times New Roman" w:hAnsi="Times New Roman" w:cs="Times New Roman"/>
      <w:sz w:val="16"/>
      <w:szCs w:val="16"/>
    </w:rPr>
  </w:style>
  <w:style w:type="paragraph" w:styleId="Closing">
    <w:name w:val="Closing"/>
    <w:basedOn w:val="Normal"/>
    <w:link w:val="ClosingChar"/>
    <w:semiHidden/>
    <w:rsid w:val="00737F7A"/>
    <w:pPr>
      <w:spacing w:before="120" w:after="120"/>
      <w:ind w:left="4252"/>
    </w:pPr>
    <w:rPr>
      <w:rFonts w:ascii="Times New Roman" w:eastAsia="Times New Roman" w:hAnsi="Times New Roman" w:cs="Times New Roman"/>
    </w:rPr>
  </w:style>
  <w:style w:type="character" w:customStyle="1" w:styleId="ClosingChar">
    <w:name w:val="Closing Char"/>
    <w:basedOn w:val="DefaultParagraphFont"/>
    <w:link w:val="Closing"/>
    <w:semiHidden/>
    <w:rsid w:val="00737F7A"/>
    <w:rPr>
      <w:rFonts w:ascii="Times New Roman" w:eastAsia="Times New Roman" w:hAnsi="Times New Roman" w:cs="Times New Roman"/>
    </w:rPr>
  </w:style>
  <w:style w:type="paragraph" w:styleId="Date">
    <w:name w:val="Date"/>
    <w:basedOn w:val="Normal"/>
    <w:next w:val="Normal"/>
    <w:link w:val="DateChar"/>
    <w:semiHidden/>
    <w:rsid w:val="00737F7A"/>
    <w:pPr>
      <w:spacing w:before="120" w:after="120"/>
    </w:pPr>
    <w:rPr>
      <w:rFonts w:ascii="Times New Roman" w:eastAsia="Times New Roman" w:hAnsi="Times New Roman" w:cs="Times New Roman"/>
    </w:rPr>
  </w:style>
  <w:style w:type="character" w:customStyle="1" w:styleId="DateChar">
    <w:name w:val="Date Char"/>
    <w:basedOn w:val="DefaultParagraphFont"/>
    <w:link w:val="Date"/>
    <w:semiHidden/>
    <w:rsid w:val="00737F7A"/>
    <w:rPr>
      <w:rFonts w:ascii="Times New Roman" w:eastAsia="Times New Roman" w:hAnsi="Times New Roman" w:cs="Times New Roman"/>
    </w:rPr>
  </w:style>
  <w:style w:type="paragraph" w:styleId="E-mailSignature">
    <w:name w:val="E-mail Signature"/>
    <w:basedOn w:val="Normal"/>
    <w:link w:val="E-mailSignatureChar"/>
    <w:semiHidden/>
    <w:rsid w:val="00737F7A"/>
    <w:pPr>
      <w:spacing w:before="120" w:after="120"/>
    </w:pPr>
    <w:rPr>
      <w:rFonts w:ascii="Times New Roman" w:eastAsia="Times New Roman" w:hAnsi="Times New Roman" w:cs="Times New Roman"/>
    </w:rPr>
  </w:style>
  <w:style w:type="character" w:customStyle="1" w:styleId="E-mailSignatureChar">
    <w:name w:val="E-mail Signature Char"/>
    <w:basedOn w:val="DefaultParagraphFont"/>
    <w:link w:val="E-mailSignature"/>
    <w:semiHidden/>
    <w:rsid w:val="00737F7A"/>
    <w:rPr>
      <w:rFonts w:ascii="Times New Roman" w:eastAsia="Times New Roman" w:hAnsi="Times New Roman" w:cs="Times New Roman"/>
    </w:rPr>
  </w:style>
  <w:style w:type="character" w:styleId="Emphasis">
    <w:name w:val="Emphasis"/>
    <w:qFormat/>
    <w:rsid w:val="00737F7A"/>
    <w:rPr>
      <w:i/>
      <w:iCs/>
    </w:rPr>
  </w:style>
  <w:style w:type="paragraph" w:styleId="EnvelopeAddress">
    <w:name w:val="envelope address"/>
    <w:basedOn w:val="Normal"/>
    <w:semiHidden/>
    <w:rsid w:val="00737F7A"/>
    <w:pPr>
      <w:framePr w:w="7920" w:h="1980" w:hRule="exact" w:hSpace="180" w:wrap="auto" w:hAnchor="page" w:xAlign="center" w:yAlign="bottom"/>
      <w:spacing w:before="120" w:after="120"/>
      <w:ind w:left="2880"/>
    </w:pPr>
    <w:rPr>
      <w:rFonts w:ascii="Times New Roman" w:eastAsia="Times New Roman" w:hAnsi="Times New Roman" w:cs="Times New Roman"/>
    </w:rPr>
  </w:style>
  <w:style w:type="paragraph" w:styleId="EnvelopeReturn">
    <w:name w:val="envelope return"/>
    <w:basedOn w:val="Normal"/>
    <w:semiHidden/>
    <w:rsid w:val="00737F7A"/>
    <w:pPr>
      <w:spacing w:before="120" w:after="120"/>
    </w:pPr>
    <w:rPr>
      <w:rFonts w:ascii="Times New Roman" w:eastAsia="Times New Roman" w:hAnsi="Times New Roman" w:cs="Times New Roman"/>
      <w:sz w:val="20"/>
      <w:szCs w:val="20"/>
    </w:rPr>
  </w:style>
  <w:style w:type="character" w:styleId="HTMLAcronym">
    <w:name w:val="HTML Acronym"/>
    <w:basedOn w:val="DefaultParagraphFont"/>
    <w:semiHidden/>
    <w:rsid w:val="00737F7A"/>
  </w:style>
  <w:style w:type="paragraph" w:styleId="HTMLAddress">
    <w:name w:val="HTML Address"/>
    <w:basedOn w:val="Normal"/>
    <w:link w:val="HTMLAddressChar"/>
    <w:semiHidden/>
    <w:rsid w:val="00737F7A"/>
    <w:pPr>
      <w:spacing w:before="120" w:after="120"/>
    </w:pPr>
    <w:rPr>
      <w:rFonts w:ascii="Times New Roman" w:eastAsia="Times New Roman" w:hAnsi="Times New Roman" w:cs="Times New Roman"/>
      <w:i/>
      <w:iCs/>
    </w:rPr>
  </w:style>
  <w:style w:type="character" w:customStyle="1" w:styleId="HTMLAddressChar">
    <w:name w:val="HTML Address Char"/>
    <w:basedOn w:val="DefaultParagraphFont"/>
    <w:link w:val="HTMLAddress"/>
    <w:semiHidden/>
    <w:rsid w:val="00737F7A"/>
    <w:rPr>
      <w:rFonts w:ascii="Times New Roman" w:eastAsia="Times New Roman" w:hAnsi="Times New Roman" w:cs="Times New Roman"/>
      <w:i/>
      <w:iCs/>
    </w:rPr>
  </w:style>
  <w:style w:type="character" w:styleId="HTMLCite">
    <w:name w:val="HTML Cite"/>
    <w:semiHidden/>
    <w:rsid w:val="00737F7A"/>
    <w:rPr>
      <w:i/>
      <w:iCs/>
    </w:rPr>
  </w:style>
  <w:style w:type="character" w:styleId="HTMLCode">
    <w:name w:val="HTML Code"/>
    <w:semiHidden/>
    <w:rsid w:val="00737F7A"/>
    <w:rPr>
      <w:rFonts w:ascii="Courier New" w:hAnsi="Courier New" w:cs="Courier New"/>
      <w:sz w:val="20"/>
      <w:szCs w:val="20"/>
    </w:rPr>
  </w:style>
  <w:style w:type="character" w:styleId="HTMLDefinition">
    <w:name w:val="HTML Definition"/>
    <w:semiHidden/>
    <w:rsid w:val="00737F7A"/>
    <w:rPr>
      <w:i/>
      <w:iCs/>
    </w:rPr>
  </w:style>
  <w:style w:type="character" w:styleId="HTMLKeyboard">
    <w:name w:val="HTML Keyboard"/>
    <w:semiHidden/>
    <w:rsid w:val="00737F7A"/>
    <w:rPr>
      <w:rFonts w:ascii="Courier New" w:hAnsi="Courier New" w:cs="Courier New"/>
      <w:sz w:val="20"/>
      <w:szCs w:val="20"/>
    </w:rPr>
  </w:style>
  <w:style w:type="paragraph" w:styleId="HTMLPreformatted">
    <w:name w:val="HTML Preformatted"/>
    <w:basedOn w:val="Normal"/>
    <w:link w:val="HTMLPreformattedChar"/>
    <w:semiHidden/>
    <w:rsid w:val="00737F7A"/>
    <w:pPr>
      <w:spacing w:before="120" w:after="1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37F7A"/>
    <w:rPr>
      <w:rFonts w:ascii="Courier New" w:eastAsia="Times New Roman" w:hAnsi="Courier New" w:cs="Courier New"/>
      <w:sz w:val="20"/>
      <w:szCs w:val="20"/>
    </w:rPr>
  </w:style>
  <w:style w:type="character" w:styleId="HTMLSample">
    <w:name w:val="HTML Sample"/>
    <w:semiHidden/>
    <w:rsid w:val="00737F7A"/>
    <w:rPr>
      <w:rFonts w:ascii="Courier New" w:hAnsi="Courier New" w:cs="Courier New"/>
    </w:rPr>
  </w:style>
  <w:style w:type="character" w:styleId="HTMLTypewriter">
    <w:name w:val="HTML Typewriter"/>
    <w:semiHidden/>
    <w:rsid w:val="00737F7A"/>
    <w:rPr>
      <w:rFonts w:ascii="Courier New" w:hAnsi="Courier New" w:cs="Courier New"/>
      <w:sz w:val="20"/>
      <w:szCs w:val="20"/>
    </w:rPr>
  </w:style>
  <w:style w:type="character" w:styleId="HTMLVariable">
    <w:name w:val="HTML Variable"/>
    <w:semiHidden/>
    <w:rsid w:val="00737F7A"/>
    <w:rPr>
      <w:i/>
      <w:iCs/>
    </w:rPr>
  </w:style>
  <w:style w:type="character" w:styleId="LineNumber">
    <w:name w:val="line number"/>
    <w:basedOn w:val="DefaultParagraphFont"/>
    <w:semiHidden/>
    <w:rsid w:val="00737F7A"/>
  </w:style>
  <w:style w:type="paragraph" w:styleId="List">
    <w:name w:val="List"/>
    <w:basedOn w:val="Normal"/>
    <w:semiHidden/>
    <w:rsid w:val="00737F7A"/>
    <w:pPr>
      <w:spacing w:before="120" w:after="120"/>
      <w:ind w:left="283" w:hanging="283"/>
    </w:pPr>
    <w:rPr>
      <w:rFonts w:ascii="Times New Roman" w:eastAsia="Times New Roman" w:hAnsi="Times New Roman" w:cs="Times New Roman"/>
    </w:rPr>
  </w:style>
  <w:style w:type="paragraph" w:styleId="List20">
    <w:name w:val="List 2"/>
    <w:basedOn w:val="Normal"/>
    <w:semiHidden/>
    <w:rsid w:val="00737F7A"/>
    <w:pPr>
      <w:spacing w:before="120" w:after="120"/>
      <w:ind w:left="566" w:hanging="283"/>
    </w:pPr>
    <w:rPr>
      <w:rFonts w:ascii="Times New Roman" w:eastAsia="Times New Roman" w:hAnsi="Times New Roman" w:cs="Times New Roman"/>
    </w:rPr>
  </w:style>
  <w:style w:type="paragraph" w:styleId="List30">
    <w:name w:val="List 3"/>
    <w:basedOn w:val="Normal"/>
    <w:semiHidden/>
    <w:rsid w:val="00737F7A"/>
    <w:pPr>
      <w:spacing w:before="120" w:after="120"/>
      <w:ind w:left="849" w:hanging="283"/>
    </w:pPr>
    <w:rPr>
      <w:rFonts w:ascii="Times New Roman" w:eastAsia="Times New Roman" w:hAnsi="Times New Roman" w:cs="Times New Roman"/>
    </w:rPr>
  </w:style>
  <w:style w:type="paragraph" w:styleId="List40">
    <w:name w:val="List 4"/>
    <w:basedOn w:val="Normal"/>
    <w:semiHidden/>
    <w:rsid w:val="00737F7A"/>
    <w:pPr>
      <w:spacing w:before="120" w:after="120"/>
      <w:ind w:left="1132" w:hanging="283"/>
    </w:pPr>
    <w:rPr>
      <w:rFonts w:ascii="Times New Roman" w:eastAsia="Times New Roman" w:hAnsi="Times New Roman" w:cs="Times New Roman"/>
    </w:rPr>
  </w:style>
  <w:style w:type="paragraph" w:styleId="List5">
    <w:name w:val="List 5"/>
    <w:basedOn w:val="Normal"/>
    <w:semiHidden/>
    <w:rsid w:val="00737F7A"/>
    <w:pPr>
      <w:spacing w:before="120" w:after="120"/>
      <w:ind w:left="1415" w:hanging="283"/>
    </w:pPr>
    <w:rPr>
      <w:rFonts w:ascii="Times New Roman" w:eastAsia="Times New Roman" w:hAnsi="Times New Roman" w:cs="Times New Roman"/>
    </w:rPr>
  </w:style>
  <w:style w:type="paragraph" w:styleId="ListBullet">
    <w:name w:val="List Bullet"/>
    <w:basedOn w:val="Normal"/>
    <w:semiHidden/>
    <w:rsid w:val="00737F7A"/>
    <w:pPr>
      <w:tabs>
        <w:tab w:val="num" w:pos="360"/>
      </w:tabs>
      <w:spacing w:before="120" w:after="120"/>
      <w:ind w:left="360" w:hanging="360"/>
    </w:pPr>
    <w:rPr>
      <w:rFonts w:ascii="Times New Roman" w:eastAsia="Times New Roman" w:hAnsi="Times New Roman" w:cs="Times New Roman"/>
    </w:rPr>
  </w:style>
  <w:style w:type="paragraph" w:styleId="ListBullet2">
    <w:name w:val="List Bullet 2"/>
    <w:basedOn w:val="Normal"/>
    <w:semiHidden/>
    <w:rsid w:val="00737F7A"/>
    <w:pPr>
      <w:tabs>
        <w:tab w:val="num" w:pos="643"/>
      </w:tabs>
      <w:spacing w:before="120" w:after="120"/>
      <w:ind w:left="643" w:hanging="360"/>
    </w:pPr>
    <w:rPr>
      <w:rFonts w:ascii="Times New Roman" w:eastAsia="Times New Roman" w:hAnsi="Times New Roman" w:cs="Times New Roman"/>
    </w:rPr>
  </w:style>
  <w:style w:type="paragraph" w:styleId="ListBullet3">
    <w:name w:val="List Bullet 3"/>
    <w:basedOn w:val="Normal"/>
    <w:semiHidden/>
    <w:rsid w:val="00737F7A"/>
    <w:pPr>
      <w:tabs>
        <w:tab w:val="num" w:pos="926"/>
      </w:tabs>
      <w:spacing w:before="120" w:after="120"/>
      <w:ind w:left="926" w:hanging="360"/>
    </w:pPr>
    <w:rPr>
      <w:rFonts w:ascii="Times New Roman" w:eastAsia="Times New Roman" w:hAnsi="Times New Roman" w:cs="Times New Roman"/>
    </w:rPr>
  </w:style>
  <w:style w:type="paragraph" w:styleId="ListBullet4">
    <w:name w:val="List Bullet 4"/>
    <w:basedOn w:val="Normal"/>
    <w:semiHidden/>
    <w:rsid w:val="00737F7A"/>
    <w:pPr>
      <w:tabs>
        <w:tab w:val="num" w:pos="1209"/>
      </w:tabs>
      <w:spacing w:before="120" w:after="120"/>
      <w:ind w:left="1209" w:hanging="360"/>
    </w:pPr>
    <w:rPr>
      <w:rFonts w:ascii="Times New Roman" w:eastAsia="Times New Roman" w:hAnsi="Times New Roman" w:cs="Times New Roman"/>
    </w:rPr>
  </w:style>
  <w:style w:type="paragraph" w:styleId="ListBullet5">
    <w:name w:val="List Bullet 5"/>
    <w:basedOn w:val="Normal"/>
    <w:semiHidden/>
    <w:rsid w:val="00737F7A"/>
    <w:pPr>
      <w:tabs>
        <w:tab w:val="num" w:pos="1492"/>
      </w:tabs>
      <w:spacing w:before="120" w:after="120"/>
      <w:ind w:left="1492" w:hanging="360"/>
    </w:pPr>
    <w:rPr>
      <w:rFonts w:ascii="Times New Roman" w:eastAsia="Times New Roman" w:hAnsi="Times New Roman" w:cs="Times New Roman"/>
    </w:rPr>
  </w:style>
  <w:style w:type="paragraph" w:styleId="ListContinue">
    <w:name w:val="List Continue"/>
    <w:basedOn w:val="Normal"/>
    <w:semiHidden/>
    <w:rsid w:val="00737F7A"/>
    <w:pPr>
      <w:spacing w:before="120" w:after="120"/>
      <w:ind w:left="283"/>
    </w:pPr>
    <w:rPr>
      <w:rFonts w:ascii="Times New Roman" w:eastAsia="Times New Roman" w:hAnsi="Times New Roman" w:cs="Times New Roman"/>
    </w:rPr>
  </w:style>
  <w:style w:type="paragraph" w:styleId="ListContinue2">
    <w:name w:val="List Continue 2"/>
    <w:basedOn w:val="Normal"/>
    <w:semiHidden/>
    <w:rsid w:val="00737F7A"/>
    <w:pPr>
      <w:spacing w:before="120" w:after="120"/>
      <w:ind w:left="566"/>
    </w:pPr>
    <w:rPr>
      <w:rFonts w:ascii="Times New Roman" w:eastAsia="Times New Roman" w:hAnsi="Times New Roman" w:cs="Times New Roman"/>
    </w:rPr>
  </w:style>
  <w:style w:type="paragraph" w:styleId="ListContinue3">
    <w:name w:val="List Continue 3"/>
    <w:basedOn w:val="Normal"/>
    <w:semiHidden/>
    <w:rsid w:val="00737F7A"/>
    <w:pPr>
      <w:spacing w:before="120" w:after="120"/>
      <w:ind w:left="849"/>
    </w:pPr>
    <w:rPr>
      <w:rFonts w:ascii="Times New Roman" w:eastAsia="Times New Roman" w:hAnsi="Times New Roman" w:cs="Times New Roman"/>
    </w:rPr>
  </w:style>
  <w:style w:type="paragraph" w:styleId="ListContinue4">
    <w:name w:val="List Continue 4"/>
    <w:basedOn w:val="Normal"/>
    <w:semiHidden/>
    <w:rsid w:val="00737F7A"/>
    <w:pPr>
      <w:spacing w:before="120" w:after="120"/>
      <w:ind w:left="1132"/>
    </w:pPr>
    <w:rPr>
      <w:rFonts w:ascii="Times New Roman" w:eastAsia="Times New Roman" w:hAnsi="Times New Roman" w:cs="Times New Roman"/>
    </w:rPr>
  </w:style>
  <w:style w:type="paragraph" w:styleId="ListContinue5">
    <w:name w:val="List Continue 5"/>
    <w:basedOn w:val="Normal"/>
    <w:semiHidden/>
    <w:rsid w:val="00737F7A"/>
    <w:pPr>
      <w:spacing w:before="120" w:after="120"/>
      <w:ind w:left="1415"/>
    </w:pPr>
    <w:rPr>
      <w:rFonts w:ascii="Times New Roman" w:eastAsia="Times New Roman" w:hAnsi="Times New Roman" w:cs="Times New Roman"/>
    </w:rPr>
  </w:style>
  <w:style w:type="paragraph" w:styleId="ListNumber">
    <w:name w:val="List Number"/>
    <w:basedOn w:val="Normal"/>
    <w:semiHidden/>
    <w:rsid w:val="00737F7A"/>
    <w:pPr>
      <w:tabs>
        <w:tab w:val="num" w:pos="360"/>
      </w:tabs>
      <w:spacing w:before="120" w:after="120"/>
      <w:ind w:left="360" w:hanging="360"/>
    </w:pPr>
    <w:rPr>
      <w:rFonts w:ascii="Times New Roman" w:eastAsia="Times New Roman" w:hAnsi="Times New Roman" w:cs="Times New Roman"/>
    </w:rPr>
  </w:style>
  <w:style w:type="paragraph" w:styleId="ListNumber2">
    <w:name w:val="List Number 2"/>
    <w:basedOn w:val="Normal"/>
    <w:semiHidden/>
    <w:rsid w:val="00737F7A"/>
    <w:pPr>
      <w:tabs>
        <w:tab w:val="num" w:pos="643"/>
      </w:tabs>
      <w:spacing w:before="120" w:after="120"/>
      <w:ind w:left="643" w:hanging="360"/>
    </w:pPr>
    <w:rPr>
      <w:rFonts w:ascii="Times New Roman" w:eastAsia="Times New Roman" w:hAnsi="Times New Roman" w:cs="Times New Roman"/>
    </w:rPr>
  </w:style>
  <w:style w:type="paragraph" w:styleId="ListNumber3">
    <w:name w:val="List Number 3"/>
    <w:basedOn w:val="Normal"/>
    <w:semiHidden/>
    <w:rsid w:val="00737F7A"/>
    <w:pPr>
      <w:tabs>
        <w:tab w:val="num" w:pos="926"/>
      </w:tabs>
      <w:spacing w:before="120" w:after="120"/>
      <w:ind w:left="926" w:hanging="360"/>
    </w:pPr>
    <w:rPr>
      <w:rFonts w:ascii="Times New Roman" w:eastAsia="Times New Roman" w:hAnsi="Times New Roman" w:cs="Times New Roman"/>
    </w:rPr>
  </w:style>
  <w:style w:type="paragraph" w:styleId="ListNumber4">
    <w:name w:val="List Number 4"/>
    <w:basedOn w:val="Normal"/>
    <w:semiHidden/>
    <w:rsid w:val="00737F7A"/>
    <w:pPr>
      <w:tabs>
        <w:tab w:val="num" w:pos="1209"/>
      </w:tabs>
      <w:spacing w:before="120" w:after="120"/>
      <w:ind w:left="1209" w:hanging="360"/>
    </w:pPr>
    <w:rPr>
      <w:rFonts w:ascii="Times New Roman" w:eastAsia="Times New Roman" w:hAnsi="Times New Roman" w:cs="Times New Roman"/>
    </w:rPr>
  </w:style>
  <w:style w:type="paragraph" w:styleId="ListNumber5">
    <w:name w:val="List Number 5"/>
    <w:basedOn w:val="Normal"/>
    <w:semiHidden/>
    <w:rsid w:val="00737F7A"/>
    <w:pPr>
      <w:tabs>
        <w:tab w:val="num" w:pos="1492"/>
      </w:tabs>
      <w:spacing w:before="120" w:after="120"/>
      <w:ind w:left="1492" w:hanging="360"/>
    </w:pPr>
    <w:rPr>
      <w:rFonts w:ascii="Times New Roman" w:eastAsia="Times New Roman" w:hAnsi="Times New Roman" w:cs="Times New Roman"/>
    </w:rPr>
  </w:style>
  <w:style w:type="paragraph" w:styleId="MessageHeader">
    <w:name w:val="Message Header"/>
    <w:basedOn w:val="Normal"/>
    <w:link w:val="MessageHeaderChar"/>
    <w:semiHidden/>
    <w:rsid w:val="00737F7A"/>
    <w:pPr>
      <w:pBdr>
        <w:top w:val="single" w:sz="6" w:space="1" w:color="auto"/>
        <w:left w:val="single" w:sz="6" w:space="1" w:color="auto"/>
        <w:bottom w:val="single" w:sz="6" w:space="1" w:color="auto"/>
        <w:right w:val="single" w:sz="6" w:space="1" w:color="auto"/>
      </w:pBdr>
      <w:shd w:val="pct20" w:color="auto" w:fill="auto"/>
      <w:spacing w:before="120" w:after="120"/>
      <w:ind w:left="1134" w:hanging="1134"/>
    </w:pPr>
    <w:rPr>
      <w:rFonts w:ascii="Times New Roman" w:eastAsia="Times New Roman" w:hAnsi="Times New Roman" w:cs="Times New Roman"/>
    </w:rPr>
  </w:style>
  <w:style w:type="character" w:customStyle="1" w:styleId="MessageHeaderChar">
    <w:name w:val="Message Header Char"/>
    <w:basedOn w:val="DefaultParagraphFont"/>
    <w:link w:val="MessageHeader"/>
    <w:semiHidden/>
    <w:rsid w:val="00737F7A"/>
    <w:rPr>
      <w:rFonts w:ascii="Times New Roman" w:eastAsia="Times New Roman" w:hAnsi="Times New Roman" w:cs="Times New Roman"/>
      <w:shd w:val="pct20" w:color="auto" w:fill="auto"/>
    </w:rPr>
  </w:style>
  <w:style w:type="paragraph" w:styleId="NormalWeb">
    <w:name w:val="Normal (Web)"/>
    <w:basedOn w:val="Normal"/>
    <w:semiHidden/>
    <w:rsid w:val="00737F7A"/>
    <w:pPr>
      <w:spacing w:before="120" w:after="120"/>
    </w:pPr>
    <w:rPr>
      <w:rFonts w:ascii="Times New Roman" w:eastAsia="Times New Roman" w:hAnsi="Times New Roman" w:cs="Times New Roman"/>
    </w:rPr>
  </w:style>
  <w:style w:type="paragraph" w:styleId="NormalIndent">
    <w:name w:val="Normal Indent"/>
    <w:basedOn w:val="Normal"/>
    <w:semiHidden/>
    <w:rsid w:val="00737F7A"/>
    <w:pPr>
      <w:spacing w:before="120" w:after="120"/>
      <w:ind w:left="720"/>
    </w:pPr>
    <w:rPr>
      <w:rFonts w:ascii="Times New Roman" w:eastAsia="Times New Roman" w:hAnsi="Times New Roman" w:cs="Times New Roman"/>
    </w:rPr>
  </w:style>
  <w:style w:type="paragraph" w:styleId="NoteHeading">
    <w:name w:val="Note Heading"/>
    <w:basedOn w:val="Normal"/>
    <w:next w:val="Normal"/>
    <w:link w:val="NoteHeadingChar"/>
    <w:semiHidden/>
    <w:rsid w:val="00737F7A"/>
    <w:pPr>
      <w:spacing w:before="120" w:after="120"/>
    </w:pPr>
    <w:rPr>
      <w:rFonts w:ascii="Times New Roman" w:eastAsia="Times New Roman" w:hAnsi="Times New Roman" w:cs="Times New Roman"/>
    </w:rPr>
  </w:style>
  <w:style w:type="character" w:customStyle="1" w:styleId="NoteHeadingChar">
    <w:name w:val="Note Heading Char"/>
    <w:basedOn w:val="DefaultParagraphFont"/>
    <w:link w:val="NoteHeading"/>
    <w:semiHidden/>
    <w:rsid w:val="00737F7A"/>
    <w:rPr>
      <w:rFonts w:ascii="Times New Roman" w:eastAsia="Times New Roman" w:hAnsi="Times New Roman" w:cs="Times New Roman"/>
    </w:rPr>
  </w:style>
  <w:style w:type="character" w:styleId="PageNumber">
    <w:name w:val="page number"/>
    <w:basedOn w:val="DefaultParagraphFont"/>
    <w:semiHidden/>
    <w:rsid w:val="00737F7A"/>
  </w:style>
  <w:style w:type="paragraph" w:styleId="PlainText">
    <w:name w:val="Plain Text"/>
    <w:basedOn w:val="Normal"/>
    <w:link w:val="PlainTextChar"/>
    <w:semiHidden/>
    <w:rsid w:val="00737F7A"/>
    <w:pPr>
      <w:spacing w:before="120" w:after="120"/>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37F7A"/>
    <w:rPr>
      <w:rFonts w:ascii="Courier New" w:eastAsia="Times New Roman" w:hAnsi="Courier New" w:cs="Courier New"/>
      <w:sz w:val="20"/>
      <w:szCs w:val="20"/>
    </w:rPr>
  </w:style>
  <w:style w:type="paragraph" w:styleId="Salutation">
    <w:name w:val="Salutation"/>
    <w:basedOn w:val="Normal"/>
    <w:next w:val="Normal"/>
    <w:link w:val="SalutationChar"/>
    <w:semiHidden/>
    <w:rsid w:val="00737F7A"/>
    <w:pPr>
      <w:spacing w:before="120" w:after="120"/>
    </w:pPr>
    <w:rPr>
      <w:rFonts w:ascii="Times New Roman" w:eastAsia="Times New Roman" w:hAnsi="Times New Roman" w:cs="Times New Roman"/>
    </w:rPr>
  </w:style>
  <w:style w:type="character" w:customStyle="1" w:styleId="SalutationChar">
    <w:name w:val="Salutation Char"/>
    <w:basedOn w:val="DefaultParagraphFont"/>
    <w:link w:val="Salutation"/>
    <w:semiHidden/>
    <w:rsid w:val="00737F7A"/>
    <w:rPr>
      <w:rFonts w:ascii="Times New Roman" w:eastAsia="Times New Roman" w:hAnsi="Times New Roman" w:cs="Times New Roman"/>
    </w:rPr>
  </w:style>
  <w:style w:type="paragraph" w:styleId="Signature">
    <w:name w:val="Signature"/>
    <w:basedOn w:val="Normal"/>
    <w:link w:val="SignatureChar"/>
    <w:semiHidden/>
    <w:rsid w:val="00737F7A"/>
    <w:pPr>
      <w:spacing w:before="120" w:after="120"/>
      <w:ind w:left="4252"/>
    </w:pPr>
    <w:rPr>
      <w:rFonts w:ascii="Times New Roman" w:eastAsia="Times New Roman" w:hAnsi="Times New Roman" w:cs="Times New Roman"/>
    </w:rPr>
  </w:style>
  <w:style w:type="character" w:customStyle="1" w:styleId="SignatureChar">
    <w:name w:val="Signature Char"/>
    <w:basedOn w:val="DefaultParagraphFont"/>
    <w:link w:val="Signature"/>
    <w:semiHidden/>
    <w:rsid w:val="00737F7A"/>
    <w:rPr>
      <w:rFonts w:ascii="Times New Roman" w:eastAsia="Times New Roman" w:hAnsi="Times New Roman" w:cs="Times New Roman"/>
    </w:rPr>
  </w:style>
  <w:style w:type="character" w:styleId="Strong">
    <w:name w:val="Strong"/>
    <w:qFormat/>
    <w:rsid w:val="00737F7A"/>
    <w:rPr>
      <w:b/>
      <w:bCs/>
    </w:rPr>
  </w:style>
  <w:style w:type="paragraph" w:styleId="Subtitle">
    <w:name w:val="Subtitle"/>
    <w:basedOn w:val="Normal"/>
    <w:link w:val="SubtitleChar"/>
    <w:qFormat/>
    <w:rsid w:val="00737F7A"/>
    <w:pPr>
      <w:spacing w:before="120" w:after="60"/>
      <w:jc w:val="center"/>
      <w:outlineLvl w:val="1"/>
    </w:pPr>
    <w:rPr>
      <w:rFonts w:ascii="Times New Roman" w:eastAsia="Times New Roman" w:hAnsi="Times New Roman" w:cs="Times New Roman"/>
    </w:rPr>
  </w:style>
  <w:style w:type="character" w:customStyle="1" w:styleId="SubtitleChar">
    <w:name w:val="Subtitle Char"/>
    <w:basedOn w:val="DefaultParagraphFont"/>
    <w:link w:val="Subtitle"/>
    <w:rsid w:val="00737F7A"/>
    <w:rPr>
      <w:rFonts w:ascii="Times New Roman" w:eastAsia="Times New Roman" w:hAnsi="Times New Roman" w:cs="Times New Roman"/>
    </w:rPr>
  </w:style>
  <w:style w:type="table" w:styleId="Table3Deffects1">
    <w:name w:val="Table 3D effects 1"/>
    <w:basedOn w:val="TableNormal"/>
    <w:semiHidden/>
    <w:rsid w:val="00737F7A"/>
    <w:pPr>
      <w:spacing w:before="120" w:after="120"/>
    </w:pPr>
    <w:rPr>
      <w:rFonts w:ascii="Times New Roman" w:eastAsia="Times New Roman" w:hAnsi="Times New Roman" w:cs="Times New Roman"/>
      <w:sz w:val="20"/>
      <w:szCs w:val="20"/>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37F7A"/>
    <w:pPr>
      <w:spacing w:before="120" w:after="120"/>
    </w:pPr>
    <w:rPr>
      <w:rFonts w:ascii="Times New Roman" w:eastAsia="Times New Roman" w:hAnsi="Times New Roman" w:cs="Times New Roman"/>
      <w:color w:val="000080"/>
      <w:sz w:val="20"/>
      <w:szCs w:val="20"/>
      <w:lang w:val="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37F7A"/>
    <w:pPr>
      <w:spacing w:before="120" w:after="120"/>
    </w:pPr>
    <w:rPr>
      <w:rFonts w:ascii="Times New Roman" w:eastAsia="Times New Roman" w:hAnsi="Times New Roman" w:cs="Times New Roman"/>
      <w:color w:val="FFFFFF"/>
      <w:sz w:val="20"/>
      <w:szCs w:val="20"/>
      <w:lang w:val="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37F7A"/>
    <w:pPr>
      <w:spacing w:before="120" w:after="120"/>
    </w:pPr>
    <w:rPr>
      <w:rFonts w:ascii="Times New Roman" w:eastAsia="Times New Roman" w:hAnsi="Times New Roman" w:cs="Times New Roman"/>
      <w:sz w:val="20"/>
      <w:szCs w:val="20"/>
      <w:lang w:val="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37F7A"/>
    <w:pPr>
      <w:spacing w:before="120" w:after="120"/>
    </w:pPr>
    <w:rPr>
      <w:rFonts w:ascii="Times New Roman" w:eastAsia="Times New Roman" w:hAnsi="Times New Roman" w:cs="Times New Roman"/>
      <w:b/>
      <w:bCs/>
      <w:sz w:val="20"/>
      <w:szCs w:val="20"/>
      <w:lang w:val="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37F7A"/>
    <w:pPr>
      <w:spacing w:before="120" w:after="120"/>
    </w:pPr>
    <w:rPr>
      <w:rFonts w:ascii="Times New Roman" w:eastAsia="Times New Roman" w:hAnsi="Times New Roman" w:cs="Times New Roman"/>
      <w:b/>
      <w:bCs/>
      <w:sz w:val="20"/>
      <w:szCs w:val="20"/>
      <w:lang w:val="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37F7A"/>
    <w:pPr>
      <w:spacing w:before="120" w:after="120"/>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37F7A"/>
    <w:pPr>
      <w:spacing w:before="120" w:after="120"/>
    </w:pPr>
    <w:rPr>
      <w:rFonts w:ascii="Times New Roman" w:eastAsia="Times New Roman" w:hAnsi="Times New Roman" w:cs="Times New Roman"/>
      <w:sz w:val="20"/>
      <w:szCs w:val="20"/>
      <w:lang w:val="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37F7A"/>
    <w:pPr>
      <w:spacing w:before="120" w:after="120"/>
    </w:pPr>
    <w:rPr>
      <w:rFonts w:ascii="Times New Roman" w:eastAsia="Times New Roman" w:hAnsi="Times New Roman" w:cs="Times New Roman"/>
      <w:sz w:val="20"/>
      <w:szCs w:val="20"/>
      <w:lang w:val="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37F7A"/>
    <w:pPr>
      <w:spacing w:before="120" w:after="120"/>
    </w:pPr>
    <w:rPr>
      <w:rFonts w:ascii="Times New Roman" w:eastAsia="Times New Roman" w:hAnsi="Times New Roman" w:cs="Times New Roman"/>
      <w:sz w:val="20"/>
      <w:szCs w:val="20"/>
      <w:lang w:val="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37F7A"/>
    <w:pPr>
      <w:spacing w:before="120" w:after="120"/>
    </w:pPr>
    <w:rPr>
      <w:rFonts w:ascii="Times New Roman" w:eastAsia="Times New Roman" w:hAnsi="Times New Roman" w:cs="Times New Roman"/>
      <w:sz w:val="20"/>
      <w:szCs w:val="20"/>
      <w:lang w:val="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37F7A"/>
    <w:pPr>
      <w:spacing w:before="120" w:after="120"/>
    </w:pPr>
    <w:rPr>
      <w:rFonts w:ascii="Times New Roman" w:eastAsia="Times New Roman" w:hAnsi="Times New Roman" w:cs="Times New Roman"/>
      <w:sz w:val="20"/>
      <w:szCs w:val="20"/>
      <w:lang w:val="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37F7A"/>
    <w:pPr>
      <w:spacing w:before="120" w:after="120"/>
    </w:pPr>
    <w:rPr>
      <w:rFonts w:ascii="Times New Roman" w:eastAsia="Times New Roman" w:hAnsi="Times New Roman" w:cs="Times New Roman"/>
      <w:b/>
      <w:bCs/>
      <w:sz w:val="20"/>
      <w:szCs w:val="20"/>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37F7A"/>
    <w:pPr>
      <w:spacing w:before="120" w:after="120"/>
    </w:pPr>
    <w:rPr>
      <w:rFonts w:ascii="Times New Roman" w:eastAsia="Times New Roman" w:hAnsi="Times New Roman" w:cs="Times New Roman"/>
      <w:sz w:val="20"/>
      <w:szCs w:val="20"/>
      <w:lang w:val="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37F7A"/>
    <w:pPr>
      <w:spacing w:before="120" w:after="120"/>
    </w:pPr>
    <w:rPr>
      <w:rFonts w:ascii="Times New Roman" w:eastAsia="Times New Roman" w:hAnsi="Times New Roman" w:cs="Times New Roman"/>
      <w:sz w:val="20"/>
      <w:szCs w:val="20"/>
      <w:lang w:val="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37F7A"/>
    <w:pPr>
      <w:spacing w:before="120" w:after="120"/>
    </w:pPr>
    <w:rPr>
      <w:rFonts w:ascii="Times New Roman" w:eastAsia="Times New Roman" w:hAnsi="Times New Roman" w:cs="Times New Roman"/>
      <w:sz w:val="20"/>
      <w:szCs w:val="20"/>
      <w:lang w:val="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37F7A"/>
    <w:pPr>
      <w:spacing w:before="120" w:after="120"/>
    </w:pPr>
    <w:rPr>
      <w:rFonts w:ascii="Times New Roman" w:eastAsia="Times New Roman" w:hAnsi="Times New Roman" w:cs="Times New Roman"/>
      <w:sz w:val="20"/>
      <w:szCs w:val="20"/>
      <w:lang w:val="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37F7A"/>
    <w:pPr>
      <w:spacing w:before="120" w:after="120"/>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37F7A"/>
    <w:pPr>
      <w:spacing w:before="120" w:after="120"/>
    </w:pPr>
    <w:rPr>
      <w:rFonts w:ascii="Times New Roman" w:eastAsia="Times New Roman" w:hAnsi="Times New Roman" w:cs="Times New Roman"/>
      <w:sz w:val="20"/>
      <w:szCs w:val="20"/>
      <w:lang w:val="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37F7A"/>
    <w:pPr>
      <w:spacing w:before="120" w:after="120"/>
    </w:pPr>
    <w:rPr>
      <w:rFonts w:ascii="Times New Roman" w:eastAsia="Times New Roman" w:hAnsi="Times New Roman" w:cs="Times New Roman"/>
      <w:sz w:val="20"/>
      <w:szCs w:val="20"/>
      <w:lang w:val="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37F7A"/>
    <w:pPr>
      <w:spacing w:before="120" w:after="120"/>
    </w:pPr>
    <w:rPr>
      <w:rFonts w:ascii="Times New Roman" w:eastAsia="Times New Roman" w:hAnsi="Times New Roman" w:cs="Times New Roman"/>
      <w:sz w:val="20"/>
      <w:szCs w:val="20"/>
      <w:lang w:val="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rsid w:val="00737F7A"/>
    <w:pPr>
      <w:jc w:val="center"/>
    </w:pPr>
    <w:rPr>
      <w:szCs w:val="20"/>
      <w:lang w:val="en-US"/>
    </w:rPr>
  </w:style>
  <w:style w:type="paragraph" w:customStyle="1" w:styleId="Bibliography1">
    <w:name w:val="Bibliography1"/>
    <w:basedOn w:val="Normal"/>
    <w:next w:val="Normal"/>
    <w:uiPriority w:val="37"/>
    <w:semiHidden/>
    <w:unhideWhenUsed/>
    <w:rsid w:val="00737F7A"/>
    <w:pPr>
      <w:spacing w:before="120" w:after="120"/>
    </w:pPr>
    <w:rPr>
      <w:rFonts w:ascii="Times New Roman" w:eastAsia="Times New Roman" w:hAnsi="Times New Roman" w:cs="Times New Roman"/>
    </w:rPr>
  </w:style>
  <w:style w:type="character" w:customStyle="1" w:styleId="BookTitle1">
    <w:name w:val="Book Title1"/>
    <w:uiPriority w:val="33"/>
    <w:qFormat/>
    <w:rsid w:val="00737F7A"/>
    <w:rPr>
      <w:rFonts w:ascii="Times New Roman" w:hAnsi="Times New Roman" w:cs="Times New Roman"/>
      <w:b/>
      <w:bCs/>
      <w:smallCaps/>
      <w:spacing w:val="5"/>
    </w:rPr>
  </w:style>
  <w:style w:type="table" w:customStyle="1" w:styleId="ColorfulGrid1">
    <w:name w:val="Colorful Grid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rsid w:val="00737F7A"/>
    <w:rPr>
      <w:rFonts w:ascii="Times New Roman" w:eastAsia="Times New Roman" w:hAnsi="Times New Roman" w:cs="Times New Roman"/>
      <w:color w:val="000000"/>
      <w:sz w:val="20"/>
      <w:szCs w:val="20"/>
      <w:lang w:val="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rsid w:val="00737F7A"/>
    <w:rPr>
      <w:rFonts w:ascii="Times New Roman" w:eastAsia="Times New Roman" w:hAnsi="Times New Roman" w:cs="Times New Roman"/>
      <w:color w:val="000000"/>
      <w:sz w:val="20"/>
      <w:szCs w:val="20"/>
      <w:lang w:val="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uiPriority w:val="71"/>
    <w:rsid w:val="00737F7A"/>
    <w:rPr>
      <w:rFonts w:ascii="Times New Roman" w:eastAsia="Times New Roman" w:hAnsi="Times New Roman" w:cs="Times New Roman"/>
      <w:color w:val="000000"/>
      <w:sz w:val="20"/>
      <w:szCs w:val="20"/>
      <w:lang w:val="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737F7A"/>
    <w:rPr>
      <w:rFonts w:ascii="Times New Roman" w:hAnsi="Times New Roman" w:cs="Times New Roman"/>
      <w:sz w:val="16"/>
      <w:szCs w:val="16"/>
    </w:rPr>
  </w:style>
  <w:style w:type="paragraph" w:styleId="CommentText">
    <w:name w:val="annotation text"/>
    <w:basedOn w:val="Normal"/>
    <w:link w:val="CommentTextChar"/>
    <w:rsid w:val="00737F7A"/>
    <w:pPr>
      <w:spacing w:before="120" w:after="1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7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37F7A"/>
    <w:rPr>
      <w:b/>
      <w:bCs/>
      <w:lang w:val="x-none" w:eastAsia="x-none"/>
    </w:rPr>
  </w:style>
  <w:style w:type="character" w:customStyle="1" w:styleId="CommentSubjectChar">
    <w:name w:val="Comment Subject Char"/>
    <w:basedOn w:val="CommentTextChar"/>
    <w:link w:val="CommentSubject"/>
    <w:rsid w:val="00737F7A"/>
    <w:rPr>
      <w:rFonts w:ascii="Times New Roman" w:eastAsia="Times New Roman" w:hAnsi="Times New Roman" w:cs="Times New Roman"/>
      <w:b/>
      <w:bCs/>
      <w:sz w:val="20"/>
      <w:szCs w:val="20"/>
      <w:lang w:val="x-none" w:eastAsia="x-none"/>
    </w:rPr>
  </w:style>
  <w:style w:type="table" w:customStyle="1" w:styleId="DarkList1">
    <w:name w:val="Dark List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rsid w:val="00737F7A"/>
    <w:rPr>
      <w:rFonts w:ascii="Times New Roman" w:eastAsia="Times New Roman" w:hAnsi="Times New Roman" w:cs="Times New Roman"/>
      <w:color w:val="FFFFFF"/>
      <w:sz w:val="20"/>
      <w:szCs w:val="20"/>
      <w:lang w:val="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sid w:val="00737F7A"/>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737F7A"/>
    <w:rPr>
      <w:rFonts w:ascii="Tahoma" w:eastAsia="Times New Roman" w:hAnsi="Tahoma" w:cs="Times New Roman"/>
      <w:sz w:val="16"/>
      <w:szCs w:val="16"/>
      <w:lang w:val="x-none" w:eastAsia="x-none"/>
    </w:rPr>
  </w:style>
  <w:style w:type="character" w:styleId="EndnoteReference">
    <w:name w:val="endnote reference"/>
    <w:rsid w:val="00737F7A"/>
    <w:rPr>
      <w:vertAlign w:val="superscript"/>
    </w:rPr>
  </w:style>
  <w:style w:type="paragraph" w:styleId="EndnoteText">
    <w:name w:val="endnote text"/>
    <w:basedOn w:val="Normal"/>
    <w:link w:val="EndnoteTextChar"/>
    <w:rsid w:val="00737F7A"/>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37F7A"/>
    <w:rPr>
      <w:rFonts w:ascii="Times New Roman" w:eastAsia="Times New Roman" w:hAnsi="Times New Roman" w:cs="Times New Roman"/>
      <w:sz w:val="20"/>
      <w:szCs w:val="20"/>
    </w:rPr>
  </w:style>
  <w:style w:type="character" w:styleId="FootnoteReference">
    <w:name w:val="footnote reference"/>
    <w:rsid w:val="00737F7A"/>
    <w:rPr>
      <w:vertAlign w:val="superscript"/>
    </w:rPr>
  </w:style>
  <w:style w:type="paragraph" w:styleId="FootnoteText">
    <w:name w:val="footnote text"/>
    <w:basedOn w:val="Normal"/>
    <w:link w:val="FootnoteTextChar"/>
    <w:rsid w:val="00737F7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37F7A"/>
    <w:rPr>
      <w:rFonts w:ascii="Times New Roman" w:eastAsia="Times New Roman" w:hAnsi="Times New Roman" w:cs="Times New Roman"/>
      <w:sz w:val="20"/>
      <w:szCs w:val="20"/>
    </w:rPr>
  </w:style>
  <w:style w:type="paragraph" w:styleId="Index1">
    <w:name w:val="index 1"/>
    <w:basedOn w:val="Normal"/>
    <w:next w:val="Normal"/>
    <w:autoRedefine/>
    <w:rsid w:val="00737F7A"/>
    <w:pPr>
      <w:ind w:left="240" w:hanging="240"/>
    </w:pPr>
    <w:rPr>
      <w:rFonts w:ascii="Times New Roman" w:eastAsia="Times New Roman" w:hAnsi="Times New Roman" w:cs="Times New Roman"/>
    </w:rPr>
  </w:style>
  <w:style w:type="paragraph" w:styleId="Index2">
    <w:name w:val="index 2"/>
    <w:basedOn w:val="Normal"/>
    <w:next w:val="Normal"/>
    <w:autoRedefine/>
    <w:rsid w:val="00737F7A"/>
    <w:pPr>
      <w:ind w:left="480" w:hanging="240"/>
    </w:pPr>
    <w:rPr>
      <w:rFonts w:ascii="Times New Roman" w:eastAsia="Times New Roman" w:hAnsi="Times New Roman" w:cs="Times New Roman"/>
    </w:rPr>
  </w:style>
  <w:style w:type="paragraph" w:styleId="Index3">
    <w:name w:val="index 3"/>
    <w:basedOn w:val="Normal"/>
    <w:next w:val="Normal"/>
    <w:autoRedefine/>
    <w:rsid w:val="00737F7A"/>
    <w:pPr>
      <w:ind w:left="720" w:hanging="240"/>
    </w:pPr>
    <w:rPr>
      <w:rFonts w:ascii="Times New Roman" w:eastAsia="Times New Roman" w:hAnsi="Times New Roman" w:cs="Times New Roman"/>
    </w:rPr>
  </w:style>
  <w:style w:type="paragraph" w:styleId="Index4">
    <w:name w:val="index 4"/>
    <w:basedOn w:val="Normal"/>
    <w:next w:val="Normal"/>
    <w:autoRedefine/>
    <w:rsid w:val="00737F7A"/>
    <w:pPr>
      <w:ind w:left="960" w:hanging="240"/>
    </w:pPr>
    <w:rPr>
      <w:rFonts w:ascii="Times New Roman" w:eastAsia="Times New Roman" w:hAnsi="Times New Roman" w:cs="Times New Roman"/>
    </w:rPr>
  </w:style>
  <w:style w:type="paragraph" w:styleId="Index5">
    <w:name w:val="index 5"/>
    <w:basedOn w:val="Normal"/>
    <w:next w:val="Normal"/>
    <w:autoRedefine/>
    <w:rsid w:val="00737F7A"/>
    <w:pPr>
      <w:ind w:left="1200" w:hanging="240"/>
    </w:pPr>
    <w:rPr>
      <w:rFonts w:ascii="Times New Roman" w:eastAsia="Times New Roman" w:hAnsi="Times New Roman" w:cs="Times New Roman"/>
    </w:rPr>
  </w:style>
  <w:style w:type="paragraph" w:styleId="Index6">
    <w:name w:val="index 6"/>
    <w:basedOn w:val="Normal"/>
    <w:next w:val="Normal"/>
    <w:autoRedefine/>
    <w:rsid w:val="00737F7A"/>
    <w:pPr>
      <w:ind w:left="1440" w:hanging="240"/>
    </w:pPr>
    <w:rPr>
      <w:rFonts w:ascii="Times New Roman" w:eastAsia="Times New Roman" w:hAnsi="Times New Roman" w:cs="Times New Roman"/>
    </w:rPr>
  </w:style>
  <w:style w:type="paragraph" w:styleId="Index7">
    <w:name w:val="index 7"/>
    <w:basedOn w:val="Normal"/>
    <w:next w:val="Normal"/>
    <w:autoRedefine/>
    <w:rsid w:val="00737F7A"/>
    <w:pPr>
      <w:ind w:left="1680" w:hanging="240"/>
    </w:pPr>
    <w:rPr>
      <w:rFonts w:ascii="Times New Roman" w:eastAsia="Times New Roman" w:hAnsi="Times New Roman" w:cs="Times New Roman"/>
    </w:rPr>
  </w:style>
  <w:style w:type="paragraph" w:styleId="Index8">
    <w:name w:val="index 8"/>
    <w:basedOn w:val="Normal"/>
    <w:next w:val="Normal"/>
    <w:autoRedefine/>
    <w:rsid w:val="00737F7A"/>
    <w:pPr>
      <w:ind w:left="1920" w:hanging="240"/>
    </w:pPr>
    <w:rPr>
      <w:rFonts w:ascii="Times New Roman" w:eastAsia="Times New Roman" w:hAnsi="Times New Roman" w:cs="Times New Roman"/>
    </w:rPr>
  </w:style>
  <w:style w:type="paragraph" w:styleId="Index9">
    <w:name w:val="index 9"/>
    <w:basedOn w:val="Normal"/>
    <w:next w:val="Normal"/>
    <w:autoRedefine/>
    <w:rsid w:val="00737F7A"/>
    <w:pPr>
      <w:ind w:left="2160" w:hanging="240"/>
    </w:pPr>
    <w:rPr>
      <w:rFonts w:ascii="Times New Roman" w:eastAsia="Times New Roman" w:hAnsi="Times New Roman" w:cs="Times New Roman"/>
    </w:rPr>
  </w:style>
  <w:style w:type="paragraph" w:styleId="IndexHeading">
    <w:name w:val="index heading"/>
    <w:basedOn w:val="Normal"/>
    <w:next w:val="Index1"/>
    <w:rsid w:val="00737F7A"/>
    <w:pPr>
      <w:spacing w:before="120" w:after="120"/>
    </w:pPr>
    <w:rPr>
      <w:rFonts w:ascii="Cambria" w:eastAsia="Times New Roman" w:hAnsi="Cambria" w:cs="Times New Roman"/>
      <w:b/>
      <w:bCs/>
    </w:rPr>
  </w:style>
  <w:style w:type="character" w:customStyle="1" w:styleId="IntenseEmphasis1">
    <w:name w:val="Intense Emphasis1"/>
    <w:uiPriority w:val="21"/>
    <w:qFormat/>
    <w:rsid w:val="00737F7A"/>
    <w:rPr>
      <w:b/>
      <w:bCs/>
      <w:i/>
      <w:iCs/>
      <w:color w:val="4F81BD"/>
    </w:rPr>
  </w:style>
  <w:style w:type="paragraph" w:customStyle="1" w:styleId="IntenseQuote1">
    <w:name w:val="Intense Quote1"/>
    <w:basedOn w:val="Normal"/>
    <w:next w:val="Normal"/>
    <w:link w:val="IntenseQuoteChar"/>
    <w:uiPriority w:val="30"/>
    <w:qFormat/>
    <w:rsid w:val="00737F7A"/>
    <w:pPr>
      <w:pBdr>
        <w:bottom w:val="single" w:sz="4" w:space="4" w:color="4F81BD"/>
      </w:pBdr>
      <w:spacing w:before="200" w:after="280"/>
      <w:ind w:left="936" w:right="936"/>
    </w:pPr>
    <w:rPr>
      <w:rFonts w:ascii="Times New Roman" w:eastAsia="Times New Roman" w:hAnsi="Times New Roman" w:cs="Times New Roman"/>
      <w:b/>
      <w:bCs/>
      <w:i/>
      <w:iCs/>
      <w:color w:val="4F81BD"/>
      <w:lang w:val="x-none" w:eastAsia="x-none"/>
    </w:rPr>
  </w:style>
  <w:style w:type="character" w:customStyle="1" w:styleId="IntenseQuoteChar">
    <w:name w:val="Intense Quote Char"/>
    <w:link w:val="IntenseQuote1"/>
    <w:uiPriority w:val="30"/>
    <w:rsid w:val="00737F7A"/>
    <w:rPr>
      <w:rFonts w:ascii="Times New Roman" w:eastAsia="Times New Roman" w:hAnsi="Times New Roman" w:cs="Times New Roman"/>
      <w:b/>
      <w:bCs/>
      <w:i/>
      <w:iCs/>
      <w:color w:val="4F81BD"/>
      <w:lang w:val="x-none" w:eastAsia="x-none"/>
    </w:rPr>
  </w:style>
  <w:style w:type="character" w:customStyle="1" w:styleId="IntenseReference1">
    <w:name w:val="Intense Reference1"/>
    <w:uiPriority w:val="32"/>
    <w:qFormat/>
    <w:rsid w:val="00737F7A"/>
    <w:rPr>
      <w:b/>
      <w:bCs/>
      <w:smallCaps/>
      <w:color w:val="C0504D"/>
      <w:spacing w:val="5"/>
      <w:u w:val="single"/>
    </w:rPr>
  </w:style>
  <w:style w:type="table" w:customStyle="1" w:styleId="LightGrid1">
    <w:name w:val="Light Grid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Math" w:eastAsia="Times New Roman" w:hAnsi="Cambria Math"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Math" w:eastAsia="Times New Roman" w:hAnsi="Cambria Mat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rsid w:val="00737F7A"/>
    <w:rPr>
      <w:rFonts w:ascii="Times New Roman" w:eastAsia="Times New Roman" w:hAnsi="Times New Roman" w:cs="Times New Roman"/>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rsid w:val="00737F7A"/>
    <w:rPr>
      <w:rFonts w:ascii="Times New Roman" w:eastAsia="Times New Roman" w:hAnsi="Times New Roman" w:cs="Times New Roman"/>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37F7A"/>
    <w:rPr>
      <w:rFonts w:ascii="Times New Roman" w:eastAsia="Times New Roman" w:hAnsi="Times New Roman" w:cs="Times New Roman"/>
      <w:color w:val="365F91"/>
      <w:sz w:val="20"/>
      <w:szCs w:val="20"/>
      <w:lang w:val="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sid w:val="00737F7A"/>
    <w:rPr>
      <w:rFonts w:ascii="Times New Roman" w:eastAsia="Times New Roman" w:hAnsi="Times New Roman" w:cs="Times New Roman"/>
      <w:color w:val="943634"/>
      <w:sz w:val="20"/>
      <w:szCs w:val="20"/>
      <w:lang w:val="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sid w:val="00737F7A"/>
    <w:rPr>
      <w:rFonts w:ascii="Times New Roman" w:eastAsia="Times New Roman" w:hAnsi="Times New Roman" w:cs="Times New Roman"/>
      <w:color w:val="76923C"/>
      <w:sz w:val="20"/>
      <w:szCs w:val="20"/>
      <w:lang w:val="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sid w:val="00737F7A"/>
    <w:rPr>
      <w:rFonts w:ascii="Times New Roman" w:eastAsia="Times New Roman" w:hAnsi="Times New Roman" w:cs="Times New Roman"/>
      <w:color w:val="5F497A"/>
      <w:sz w:val="20"/>
      <w:szCs w:val="20"/>
      <w:lang w:val="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sid w:val="00737F7A"/>
    <w:rPr>
      <w:rFonts w:ascii="Times New Roman" w:eastAsia="Times New Roman" w:hAnsi="Times New Roman" w:cs="Times New Roman"/>
      <w:color w:val="31849B"/>
      <w:sz w:val="20"/>
      <w:szCs w:val="20"/>
      <w:lang w:val="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rsid w:val="00737F7A"/>
    <w:rPr>
      <w:rFonts w:ascii="Times New Roman" w:eastAsia="Times New Roman" w:hAnsi="Times New Roman" w:cs="Times New Roman"/>
      <w:color w:val="E36C0A"/>
      <w:sz w:val="20"/>
      <w:szCs w:val="20"/>
      <w:lang w:val="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Paragraph1">
    <w:name w:val="List Paragraph1"/>
    <w:basedOn w:val="Normal"/>
    <w:uiPriority w:val="34"/>
    <w:qFormat/>
    <w:rsid w:val="00737F7A"/>
    <w:pPr>
      <w:spacing w:before="120" w:after="120"/>
      <w:ind w:left="720"/>
      <w:contextualSpacing/>
    </w:pPr>
    <w:rPr>
      <w:rFonts w:ascii="Times New Roman" w:eastAsia="Times New Roman" w:hAnsi="Times New Roman" w:cs="Times New Roman"/>
    </w:rPr>
  </w:style>
  <w:style w:type="paragraph" w:styleId="MacroText">
    <w:name w:val="macro"/>
    <w:link w:val="MacroTextChar"/>
    <w:rsid w:val="00737F7A"/>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imes New Roman" w:hAnsi="Consolas" w:cs="Times New Roman"/>
      <w:sz w:val="20"/>
      <w:szCs w:val="20"/>
      <w:lang w:val="en-GB" w:eastAsia="en-GB"/>
    </w:rPr>
  </w:style>
  <w:style w:type="character" w:customStyle="1" w:styleId="MacroTextChar">
    <w:name w:val="Macro Text Char"/>
    <w:basedOn w:val="DefaultParagraphFont"/>
    <w:link w:val="MacroText"/>
    <w:rsid w:val="00737F7A"/>
    <w:rPr>
      <w:rFonts w:ascii="Consolas" w:eastAsia="Times New Roman" w:hAnsi="Consolas" w:cs="Times New Roman"/>
      <w:sz w:val="20"/>
      <w:szCs w:val="20"/>
      <w:lang w:val="en-GB" w:eastAsia="en-GB"/>
    </w:rPr>
  </w:style>
  <w:style w:type="table" w:customStyle="1" w:styleId="MediumGrid11">
    <w:name w:val="Medium Grid 1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uiPriority w:val="67"/>
    <w:rsid w:val="00737F7A"/>
    <w:rPr>
      <w:rFonts w:ascii="Times New Roman" w:eastAsia="Times New Roman" w:hAnsi="Times New Roman" w:cs="Times New Roman"/>
      <w:sz w:val="20"/>
      <w:szCs w:val="20"/>
      <w:lang w:val="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uiPriority w:val="68"/>
    <w:rsid w:val="00737F7A"/>
    <w:rPr>
      <w:rFonts w:ascii="Cambria" w:eastAsia="Times New Roman" w:hAnsi="Cambria" w:cs="Times New Roman"/>
      <w:color w:val="000000"/>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uiPriority w:val="69"/>
    <w:rsid w:val="00737F7A"/>
    <w:rPr>
      <w:rFonts w:ascii="Times New Roman" w:eastAsia="Times New Roman" w:hAnsi="Times New Roman" w:cs="Times New Roman"/>
      <w:sz w:val="20"/>
      <w:szCs w:val="20"/>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000000"/>
        <w:bottom w:val="single" w:sz="8" w:space="0" w:color="000000"/>
      </w:tblBorders>
    </w:tblPr>
    <w:tblStylePr w:type="firstRow">
      <w:rPr>
        <w:rFonts w:ascii="Cambria Math" w:eastAsia="Times New Roman" w:hAnsi="Cambria Math"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4F81BD"/>
        <w:bottom w:val="single" w:sz="8" w:space="0" w:color="4F81BD"/>
      </w:tblBorders>
    </w:tblPr>
    <w:tblStylePr w:type="firstRow">
      <w:rPr>
        <w:rFonts w:ascii="Cambria Math" w:eastAsia="Times New Roman" w:hAnsi="Cambria Math"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C0504D"/>
        <w:bottom w:val="single" w:sz="8" w:space="0" w:color="C0504D"/>
      </w:tblBorders>
    </w:tblPr>
    <w:tblStylePr w:type="firstRow">
      <w:rPr>
        <w:rFonts w:ascii="Cambria Math" w:eastAsia="Times New Roman" w:hAnsi="Cambria Math"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9BBB59"/>
        <w:bottom w:val="single" w:sz="8" w:space="0" w:color="9BBB59"/>
      </w:tblBorders>
    </w:tblPr>
    <w:tblStylePr w:type="firstRow">
      <w:rPr>
        <w:rFonts w:ascii="Cambria Math" w:eastAsia="Times New Roman" w:hAnsi="Cambria Math"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8064A2"/>
        <w:bottom w:val="single" w:sz="8" w:space="0" w:color="8064A2"/>
      </w:tblBorders>
    </w:tblPr>
    <w:tblStylePr w:type="firstRow">
      <w:rPr>
        <w:rFonts w:ascii="Cambria Math" w:eastAsia="Times New Roman" w:hAnsi="Cambria Math"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4BACC6"/>
        <w:bottom w:val="single" w:sz="8" w:space="0" w:color="4BACC6"/>
      </w:tblBorders>
    </w:tblPr>
    <w:tblStylePr w:type="firstRow">
      <w:rPr>
        <w:rFonts w:ascii="Cambria Math" w:eastAsia="Times New Roman" w:hAnsi="Cambria Math"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uiPriority w:val="65"/>
    <w:rsid w:val="00737F7A"/>
    <w:rPr>
      <w:rFonts w:ascii="Times New Roman" w:eastAsia="Times New Roman" w:hAnsi="Times New Roman" w:cs="Times New Roman"/>
      <w:color w:val="000000"/>
      <w:sz w:val="20"/>
      <w:szCs w:val="20"/>
      <w:lang w:val="en-AU"/>
    </w:rPr>
    <w:tblPr>
      <w:tblStyleRowBandSize w:val="1"/>
      <w:tblStyleColBandSize w:val="1"/>
      <w:tblBorders>
        <w:top w:val="single" w:sz="8" w:space="0" w:color="F79646"/>
        <w:bottom w:val="single" w:sz="8" w:space="0" w:color="F79646"/>
      </w:tblBorders>
    </w:tblPr>
    <w:tblStylePr w:type="firstRow">
      <w:rPr>
        <w:rFonts w:ascii="Cambria Math" w:eastAsia="Times New Roman" w:hAnsi="Cambria Mat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uiPriority w:val="66"/>
    <w:rsid w:val="00737F7A"/>
    <w:rPr>
      <w:rFonts w:ascii="Cambria" w:eastAsia="Times New Roman" w:hAnsi="Cambria" w:cs="Times New Roman"/>
      <w:color w:val="000000"/>
      <w:sz w:val="20"/>
      <w:szCs w:val="20"/>
      <w:lang w:val="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rsid w:val="00737F7A"/>
    <w:rPr>
      <w:rFonts w:ascii="Times New Roman" w:eastAsia="Times New Roman" w:hAnsi="Times New Roman" w:cs="Times New Roman"/>
      <w:sz w:val="20"/>
      <w:szCs w:val="20"/>
      <w:lang w:val="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rsid w:val="00737F7A"/>
    <w:rPr>
      <w:rFonts w:ascii="Times New Roman" w:eastAsia="Times New Roman" w:hAnsi="Times New Roman" w:cs="Times New Roman"/>
      <w:sz w:val="20"/>
      <w:szCs w:val="20"/>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uiPriority w:val="1"/>
    <w:qFormat/>
    <w:rsid w:val="00737F7A"/>
    <w:rPr>
      <w:rFonts w:ascii="Times New Roman" w:eastAsia="Times New Roman" w:hAnsi="Times New Roman" w:cs="Times New Roman"/>
    </w:rPr>
  </w:style>
  <w:style w:type="character" w:customStyle="1" w:styleId="PlaceholderText1">
    <w:name w:val="Placeholder Text1"/>
    <w:uiPriority w:val="99"/>
    <w:semiHidden/>
    <w:rsid w:val="00737F7A"/>
    <w:rPr>
      <w:color w:val="808080"/>
    </w:rPr>
  </w:style>
  <w:style w:type="paragraph" w:customStyle="1" w:styleId="Quote1">
    <w:name w:val="Quote1"/>
    <w:basedOn w:val="Normal"/>
    <w:next w:val="Normal"/>
    <w:link w:val="QuoteChar"/>
    <w:uiPriority w:val="29"/>
    <w:qFormat/>
    <w:rsid w:val="00737F7A"/>
    <w:pPr>
      <w:spacing w:before="120" w:after="120"/>
    </w:pPr>
    <w:rPr>
      <w:rFonts w:ascii="Times New Roman" w:eastAsia="Times New Roman" w:hAnsi="Times New Roman" w:cs="Times New Roman"/>
      <w:i/>
      <w:iCs/>
      <w:color w:val="000000"/>
      <w:lang w:val="x-none" w:eastAsia="x-none"/>
    </w:rPr>
  </w:style>
  <w:style w:type="character" w:customStyle="1" w:styleId="QuoteChar">
    <w:name w:val="Quote Char"/>
    <w:link w:val="Quote1"/>
    <w:uiPriority w:val="29"/>
    <w:rsid w:val="00737F7A"/>
    <w:rPr>
      <w:rFonts w:ascii="Times New Roman" w:eastAsia="Times New Roman" w:hAnsi="Times New Roman" w:cs="Times New Roman"/>
      <w:i/>
      <w:iCs/>
      <w:color w:val="000000"/>
      <w:lang w:val="x-none" w:eastAsia="x-none"/>
    </w:rPr>
  </w:style>
  <w:style w:type="character" w:customStyle="1" w:styleId="SubtleEmphasis1">
    <w:name w:val="Subtle Emphasis1"/>
    <w:uiPriority w:val="19"/>
    <w:qFormat/>
    <w:rsid w:val="00737F7A"/>
    <w:rPr>
      <w:i/>
      <w:iCs/>
      <w:color w:val="808080"/>
    </w:rPr>
  </w:style>
  <w:style w:type="character" w:customStyle="1" w:styleId="SubtleReference1">
    <w:name w:val="Subtle Reference1"/>
    <w:uiPriority w:val="31"/>
    <w:qFormat/>
    <w:rsid w:val="00737F7A"/>
    <w:rPr>
      <w:smallCaps/>
      <w:color w:val="C0504D"/>
      <w:u w:val="single"/>
    </w:rPr>
  </w:style>
  <w:style w:type="paragraph" w:styleId="TableofAuthorities">
    <w:name w:val="table of authorities"/>
    <w:basedOn w:val="Normal"/>
    <w:next w:val="Normal"/>
    <w:rsid w:val="00737F7A"/>
    <w:pPr>
      <w:spacing w:before="120"/>
      <w:ind w:left="240" w:hanging="240"/>
    </w:pPr>
    <w:rPr>
      <w:rFonts w:ascii="Times New Roman" w:eastAsia="Times New Roman" w:hAnsi="Times New Roman" w:cs="Times New Roman"/>
    </w:rPr>
  </w:style>
  <w:style w:type="paragraph" w:styleId="TOAHeading">
    <w:name w:val="toa heading"/>
    <w:basedOn w:val="Normal"/>
    <w:next w:val="Normal"/>
    <w:rsid w:val="00737F7A"/>
    <w:pPr>
      <w:spacing w:before="120" w:after="120"/>
    </w:pPr>
    <w:rPr>
      <w:rFonts w:ascii="Cambria" w:eastAsia="Times New Roman" w:hAnsi="Cambria" w:cs="Times New Roman"/>
      <w:b/>
      <w:bCs/>
    </w:rPr>
  </w:style>
  <w:style w:type="paragraph" w:customStyle="1" w:styleId="TOCHeading1">
    <w:name w:val="TOC Heading1"/>
    <w:basedOn w:val="Heading1"/>
    <w:next w:val="Normal"/>
    <w:uiPriority w:val="39"/>
    <w:qFormat/>
    <w:rsid w:val="00737F7A"/>
    <w:pPr>
      <w:numPr>
        <w:numId w:val="0"/>
      </w:numPr>
      <w:outlineLvl w:val="9"/>
    </w:pPr>
    <w:rPr>
      <w:rFonts w:ascii="Cambria" w:eastAsia="Times New Roman" w:hAnsi="Cambria" w:cs="Times New Roman"/>
      <w:color w:val="365F91"/>
      <w:sz w:val="28"/>
      <w:szCs w:val="28"/>
    </w:rPr>
  </w:style>
  <w:style w:type="paragraph" w:customStyle="1" w:styleId="Normal12pt">
    <w:name w:val="Normal + 12 pt"/>
    <w:aliases w:val="Bold,Before:  6 pt,After:  6 pt"/>
    <w:basedOn w:val="Normal"/>
    <w:rsid w:val="00737F7A"/>
    <w:pPr>
      <w:numPr>
        <w:numId w:val="8"/>
      </w:numPr>
      <w:spacing w:before="120" w:after="120"/>
      <w:outlineLvl w:val="0"/>
    </w:pPr>
    <w:rPr>
      <w:rFonts w:ascii="Times New Roman" w:eastAsia="Times New Roman" w:hAnsi="Times New Roman" w:cs="Times New Roman"/>
      <w:b/>
    </w:rPr>
  </w:style>
  <w:style w:type="paragraph" w:customStyle="1" w:styleId="Default">
    <w:name w:val="Default"/>
    <w:rsid w:val="00737F7A"/>
    <w:pPr>
      <w:autoSpaceDE w:val="0"/>
      <w:autoSpaceDN w:val="0"/>
      <w:adjustRightInd w:val="0"/>
    </w:pPr>
    <w:rPr>
      <w:rFonts w:ascii="Times New Roman" w:eastAsia="Times New Roman" w:hAnsi="Times New Roman" w:cs="Times New Roman"/>
      <w:color w:val="000000"/>
      <w:lang w:val="en-GB" w:eastAsia="en-GB"/>
    </w:rPr>
  </w:style>
  <w:style w:type="paragraph" w:styleId="Revision">
    <w:name w:val="Revision"/>
    <w:hidden/>
    <w:uiPriority w:val="99"/>
    <w:semiHidden/>
    <w:rsid w:val="00737F7A"/>
    <w:rPr>
      <w:rFonts w:ascii="Times New Roman" w:eastAsia="Times New Roman" w:hAnsi="Times New Roman" w:cs="Times New Roman"/>
    </w:rPr>
  </w:style>
  <w:style w:type="paragraph" w:customStyle="1" w:styleId="Liststycke">
    <w:name w:val="Liststycke"/>
    <w:basedOn w:val="Normal"/>
    <w:qFormat/>
    <w:rsid w:val="00737F7A"/>
    <w:pPr>
      <w:spacing w:before="120" w:after="120"/>
      <w:ind w:left="720"/>
      <w:contextualSpacing/>
    </w:pPr>
    <w:rPr>
      <w:rFonts w:ascii="Times New Roman" w:eastAsia="Calibri" w:hAnsi="Times New Roman" w:cs="Times New Roman"/>
    </w:rPr>
  </w:style>
  <w:style w:type="paragraph" w:customStyle="1" w:styleId="Revision1">
    <w:name w:val="Revision1"/>
    <w:hidden/>
    <w:uiPriority w:val="99"/>
    <w:semiHidden/>
    <w:rsid w:val="00737F7A"/>
    <w:rPr>
      <w:rFonts w:ascii="Times New Roman" w:eastAsia="Times New Roman" w:hAnsi="Times New Roman" w:cs="Times New Roman"/>
    </w:rPr>
  </w:style>
  <w:style w:type="paragraph" w:customStyle="1" w:styleId="BodytextAgency">
    <w:name w:val="Body text (Agency)"/>
    <w:basedOn w:val="Normal"/>
    <w:link w:val="BodytextAgencyChar"/>
    <w:rsid w:val="00737F7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737F7A"/>
    <w:rPr>
      <w:rFonts w:ascii="Verdana" w:eastAsia="Verdana" w:hAnsi="Verdana" w:cs="Verdana"/>
      <w:sz w:val="18"/>
      <w:szCs w:val="18"/>
      <w:lang w:val="en-GB" w:eastAsia="en-GB"/>
    </w:rPr>
  </w:style>
  <w:style w:type="paragraph" w:styleId="ListParagraph">
    <w:name w:val="List Paragraph"/>
    <w:basedOn w:val="Normal"/>
    <w:uiPriority w:val="34"/>
    <w:qFormat/>
    <w:rsid w:val="00737F7A"/>
    <w:pPr>
      <w:ind w:left="720"/>
    </w:pPr>
    <w:rPr>
      <w:rFonts w:ascii="Calibri" w:eastAsia="Calibri" w:hAnsi="Calibri" w:cs="Calibri"/>
      <w:sz w:val="22"/>
      <w:szCs w:val="22"/>
    </w:rPr>
  </w:style>
  <w:style w:type="paragraph" w:customStyle="1" w:styleId="NormalAgency">
    <w:name w:val="Normal (Agency)"/>
    <w:link w:val="NormalAgencyChar"/>
    <w:rsid w:val="00737F7A"/>
    <w:rPr>
      <w:rFonts w:ascii="Verdana" w:eastAsia="Verdana" w:hAnsi="Verdana" w:cs="Verdana"/>
      <w:sz w:val="18"/>
      <w:szCs w:val="18"/>
      <w:lang w:val="en-GB" w:eastAsia="en-GB"/>
    </w:rPr>
  </w:style>
  <w:style w:type="paragraph" w:customStyle="1" w:styleId="TabletextrowsAgency">
    <w:name w:val="Table text rows (Agency)"/>
    <w:basedOn w:val="Normal"/>
    <w:rsid w:val="00737F7A"/>
    <w:pPr>
      <w:spacing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737F7A"/>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1BC3-9570-40E6-AA05-EF6989F2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7522</Words>
  <Characters>42879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AusPAR Attachment 1. Product Information for</vt:lpstr>
    </vt:vector>
  </TitlesOfParts>
  <Company>Ariad Pharmaceuticals Australia Pty Ltd</Company>
  <LinksUpToDate>false</LinksUpToDate>
  <CharactersWithSpaces>50301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Ponatinib (as hydrochloride) (Iclusig)</dc:title>
  <dc:subject>prescription medicine regulation</dc:subject>
  <dc:creator>Ariad Pharmaceuticals Australia Pty Ltd</dc:creator>
  <cp:keywords>product, information, prescription, medicine, regulation, ponatinib, iclusig, ariad, pharmaceuticals, australia</cp:keywords>
  <cp:lastModifiedBy>Sheppard, Fran</cp:lastModifiedBy>
  <cp:revision>5</cp:revision>
  <cp:lastPrinted>2014-11-16T22:46:00Z</cp:lastPrinted>
  <dcterms:created xsi:type="dcterms:W3CDTF">2015-03-31T02:16:00Z</dcterms:created>
  <dcterms:modified xsi:type="dcterms:W3CDTF">2015-05-28T06:04:00Z</dcterms:modified>
</cp:coreProperties>
</file>