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4DDCF233" w14:textId="77777777" w:rsidTr="00BF1190">
        <w:trPr>
          <w:trHeight w:val="1863"/>
        </w:trPr>
        <w:tc>
          <w:tcPr>
            <w:tcW w:w="3652" w:type="dxa"/>
            <w:tcBorders>
              <w:top w:val="nil"/>
              <w:left w:val="nil"/>
              <w:bottom w:val="nil"/>
              <w:right w:val="nil"/>
            </w:tcBorders>
          </w:tcPr>
          <w:p w14:paraId="206B4258" w14:textId="6EA7294E" w:rsidR="008E7846" w:rsidRPr="00096AA7" w:rsidRDefault="0066462F" w:rsidP="004C58C4">
            <w:pPr>
              <w:rPr>
                <w:rFonts w:ascii="Arial" w:hAnsi="Arial" w:cs="Arial"/>
                <w:b/>
                <w:color w:val="002C47"/>
                <w:sz w:val="36"/>
                <w:szCs w:val="36"/>
              </w:rPr>
            </w:pPr>
            <w:r>
              <w:rPr>
                <w:rFonts w:ascii="Arial" w:hAnsi="Arial" w:cs="Arial"/>
                <w:b/>
                <w:color w:val="002C47"/>
                <w:sz w:val="36"/>
                <w:szCs w:val="36"/>
              </w:rPr>
              <w:t xml:space="preserve">December </w:t>
            </w:r>
            <w:r w:rsidR="004C58C4">
              <w:rPr>
                <w:rFonts w:ascii="Arial" w:hAnsi="Arial" w:cs="Arial"/>
                <w:b/>
                <w:color w:val="002C47"/>
                <w:sz w:val="36"/>
                <w:szCs w:val="36"/>
              </w:rPr>
              <w:t>2019</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DB36548" w14:textId="77777777" w:rsidTr="0032583B">
        <w:trPr>
          <w:trHeight w:val="868"/>
        </w:trPr>
        <w:tc>
          <w:tcPr>
            <w:tcW w:w="9079" w:type="dxa"/>
          </w:tcPr>
          <w:p w14:paraId="304477C4" w14:textId="77777777" w:rsidR="0032583B" w:rsidRPr="004C58C4" w:rsidRDefault="0032583B" w:rsidP="004C58C4">
            <w:pPr>
              <w:pStyle w:val="Title"/>
              <w:rPr>
                <w:color w:val="FFFFFF" w:themeColor="background1"/>
                <w:sz w:val="48"/>
                <w:szCs w:val="48"/>
              </w:rPr>
            </w:pPr>
            <w:r w:rsidRPr="004C58C4">
              <w:rPr>
                <w:color w:val="FFFFFF" w:themeColor="background1"/>
                <w:sz w:val="48"/>
                <w:szCs w:val="48"/>
              </w:rPr>
              <w:t xml:space="preserve">Australian Public Assessment Report for </w:t>
            </w:r>
            <w:r w:rsidR="004C58C4" w:rsidRPr="004C58C4">
              <w:rPr>
                <w:color w:val="FFFFFF" w:themeColor="background1"/>
                <w:sz w:val="48"/>
                <w:szCs w:val="48"/>
              </w:rPr>
              <w:t>Polatuzumab vedotin</w:t>
            </w:r>
          </w:p>
        </w:tc>
      </w:tr>
      <w:tr w:rsidR="0032583B" w:rsidRPr="00B64760" w14:paraId="436C4C0D" w14:textId="77777777" w:rsidTr="0032583B">
        <w:tc>
          <w:tcPr>
            <w:tcW w:w="9079" w:type="dxa"/>
          </w:tcPr>
          <w:p w14:paraId="76415524" w14:textId="77777777" w:rsidR="0032583B" w:rsidRPr="008E7846" w:rsidRDefault="0032583B" w:rsidP="004C58C4">
            <w:pPr>
              <w:pStyle w:val="Subtitle"/>
              <w:rPr>
                <w:color w:val="FFFFFF" w:themeColor="background1"/>
              </w:rPr>
            </w:pPr>
            <w:r w:rsidRPr="008E7846">
              <w:rPr>
                <w:color w:val="FFFFFF" w:themeColor="background1"/>
              </w:rPr>
              <w:t xml:space="preserve">Proprietary Product Name: </w:t>
            </w:r>
            <w:r w:rsidR="004C58C4">
              <w:rPr>
                <w:color w:val="FFFFFF" w:themeColor="background1"/>
              </w:rPr>
              <w:t>Polivy</w:t>
            </w:r>
          </w:p>
        </w:tc>
      </w:tr>
      <w:tr w:rsidR="0032583B" w:rsidRPr="00B64760" w14:paraId="38A0BCFD" w14:textId="77777777" w:rsidTr="0032583B">
        <w:trPr>
          <w:trHeight w:val="486"/>
        </w:trPr>
        <w:tc>
          <w:tcPr>
            <w:tcW w:w="9079" w:type="dxa"/>
          </w:tcPr>
          <w:p w14:paraId="2CAE5FDF" w14:textId="77777777" w:rsidR="0032583B" w:rsidRPr="004C58C4" w:rsidRDefault="0032583B" w:rsidP="004C58C4">
            <w:pPr>
              <w:pStyle w:val="Subtitle"/>
              <w:rPr>
                <w:color w:val="FFFFFF" w:themeColor="background1"/>
                <w:szCs w:val="40"/>
              </w:rPr>
            </w:pPr>
            <w:r w:rsidRPr="004C58C4">
              <w:rPr>
                <w:color w:val="FFFFFF" w:themeColor="background1"/>
                <w:szCs w:val="40"/>
              </w:rPr>
              <w:t xml:space="preserve">Sponsor: </w:t>
            </w:r>
            <w:r w:rsidR="004C58C4" w:rsidRPr="004C58C4">
              <w:rPr>
                <w:color w:val="FFFFFF" w:themeColor="background1"/>
                <w:szCs w:val="40"/>
              </w:rPr>
              <w:t>Roche Products Pty Ltd</w:t>
            </w:r>
          </w:p>
        </w:tc>
      </w:tr>
    </w:tbl>
    <w:p w14:paraId="097EFAA0" w14:textId="77777777" w:rsidR="008E7846" w:rsidRPr="0085156D" w:rsidRDefault="008E7846" w:rsidP="0085156D">
      <w:r w:rsidRPr="0085156D">
        <w:br w:type="page"/>
      </w:r>
      <w:bookmarkStart w:id="0" w:name="_GoBack"/>
      <w:bookmarkEnd w:id="0"/>
    </w:p>
    <w:p w14:paraId="67616EE4" w14:textId="77777777" w:rsidR="008E7846" w:rsidRPr="001F6CBA" w:rsidRDefault="008E7846" w:rsidP="008E7846">
      <w:pPr>
        <w:pStyle w:val="NonTOCHeading2"/>
      </w:pPr>
      <w:r w:rsidRPr="001F6CBA">
        <w:lastRenderedPageBreak/>
        <w:t>About the Therapeutic Goods Administration (TGA)</w:t>
      </w:r>
    </w:p>
    <w:p w14:paraId="1FE80576"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326312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0B392C65"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2B68D624"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FEBE670"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47F43BD7" w14:textId="77777777" w:rsidR="008E7846" w:rsidRDefault="008E7846" w:rsidP="00875A6B">
      <w:pPr>
        <w:pStyle w:val="NonTOCHeading2"/>
      </w:pPr>
      <w:r>
        <w:t>About AusPARs</w:t>
      </w:r>
    </w:p>
    <w:p w14:paraId="7FA88955"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7FA98719" w14:textId="77777777" w:rsidR="008E7846" w:rsidRDefault="008E7846" w:rsidP="008E7846">
      <w:pPr>
        <w:pStyle w:val="ListBullet"/>
        <w:numPr>
          <w:ilvl w:val="0"/>
          <w:numId w:val="3"/>
        </w:numPr>
        <w:ind w:left="357" w:hanging="357"/>
      </w:pPr>
      <w:r>
        <w:t>AusPARs are prepared and published by the TGA.</w:t>
      </w:r>
    </w:p>
    <w:p w14:paraId="25B0C8CA"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0A13A6DB"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2EF4DF40"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03255CDE" w14:textId="77777777" w:rsidR="00924482" w:rsidRPr="00DF1D7F" w:rsidRDefault="00924482" w:rsidP="00F54B65">
      <w:pPr>
        <w:pStyle w:val="LegalSubheading"/>
        <w:spacing w:before="3120"/>
      </w:pPr>
      <w:r w:rsidRPr="00DF1D7F">
        <w:t>Copyright</w:t>
      </w:r>
    </w:p>
    <w:p w14:paraId="4B68501E" w14:textId="77777777" w:rsidR="00924482" w:rsidRDefault="00924482" w:rsidP="00924482">
      <w:pPr>
        <w:pStyle w:val="LegalCopy"/>
      </w:pPr>
      <w:r w:rsidRPr="00191B3B">
        <w:rPr>
          <w:rFonts w:cs="Arial"/>
          <w:lang w:val="en-GB"/>
        </w:rPr>
        <w:t>© Comm</w:t>
      </w:r>
      <w:r>
        <w:rPr>
          <w:rFonts w:cs="Arial"/>
          <w:lang w:val="en-GB"/>
        </w:rPr>
        <w:t>onwealth of Australia 201</w:t>
      </w:r>
      <w:r w:rsidR="00C52E24">
        <w:rPr>
          <w:rFonts w:cs="Arial"/>
          <w:lang w:val="en-GB"/>
        </w:rPr>
        <w:t>9</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7BD673D3"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D267031" w14:textId="77777777" w:rsidR="0089635C" w:rsidRPr="0089635C" w:rsidRDefault="0089635C" w:rsidP="0010788A">
          <w:pPr>
            <w:pStyle w:val="Contents"/>
          </w:pPr>
          <w:r w:rsidRPr="0010788A">
            <w:t>Contents</w:t>
          </w:r>
        </w:p>
        <w:p w14:paraId="652642C6" w14:textId="7E900451" w:rsidR="00FE64D0"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28858545" w:history="1">
            <w:r w:rsidR="00FE64D0" w:rsidRPr="00F47833">
              <w:rPr>
                <w:rStyle w:val="Hyperlink"/>
                <w:noProof/>
              </w:rPr>
              <w:t>Common abbreviations</w:t>
            </w:r>
            <w:r w:rsidR="00FE64D0">
              <w:rPr>
                <w:noProof/>
                <w:webHidden/>
              </w:rPr>
              <w:tab/>
            </w:r>
            <w:r w:rsidR="00FE64D0">
              <w:rPr>
                <w:noProof/>
                <w:webHidden/>
              </w:rPr>
              <w:fldChar w:fldCharType="begin"/>
            </w:r>
            <w:r w:rsidR="00FE64D0">
              <w:rPr>
                <w:noProof/>
                <w:webHidden/>
              </w:rPr>
              <w:instrText xml:space="preserve"> PAGEREF _Toc28858545 \h </w:instrText>
            </w:r>
            <w:r w:rsidR="00FE64D0">
              <w:rPr>
                <w:noProof/>
                <w:webHidden/>
              </w:rPr>
            </w:r>
            <w:r w:rsidR="00FE64D0">
              <w:rPr>
                <w:noProof/>
                <w:webHidden/>
              </w:rPr>
              <w:fldChar w:fldCharType="separate"/>
            </w:r>
            <w:r w:rsidR="00FE64D0">
              <w:rPr>
                <w:noProof/>
                <w:webHidden/>
              </w:rPr>
              <w:t>4</w:t>
            </w:r>
            <w:r w:rsidR="00FE64D0">
              <w:rPr>
                <w:noProof/>
                <w:webHidden/>
              </w:rPr>
              <w:fldChar w:fldCharType="end"/>
            </w:r>
          </w:hyperlink>
        </w:p>
        <w:p w14:paraId="07DC9161" w14:textId="32219DFA" w:rsidR="00FE64D0" w:rsidRDefault="0026248F">
          <w:pPr>
            <w:pStyle w:val="TOC2"/>
            <w:rPr>
              <w:rFonts w:asciiTheme="minorHAnsi" w:eastAsiaTheme="minorEastAsia" w:hAnsiTheme="minorHAnsi" w:cstheme="minorBidi"/>
              <w:b w:val="0"/>
              <w:noProof/>
              <w:sz w:val="22"/>
              <w:lang w:eastAsia="en-AU"/>
            </w:rPr>
          </w:pPr>
          <w:hyperlink w:anchor="_Toc28858546" w:history="1">
            <w:r w:rsidR="00FE64D0" w:rsidRPr="00F47833">
              <w:rPr>
                <w:rStyle w:val="Hyperlink"/>
                <w:noProof/>
              </w:rPr>
              <w:t>I. Introduction to product submission</w:t>
            </w:r>
            <w:r w:rsidR="00FE64D0">
              <w:rPr>
                <w:noProof/>
                <w:webHidden/>
              </w:rPr>
              <w:tab/>
            </w:r>
            <w:r w:rsidR="00FE64D0">
              <w:rPr>
                <w:noProof/>
                <w:webHidden/>
              </w:rPr>
              <w:fldChar w:fldCharType="begin"/>
            </w:r>
            <w:r w:rsidR="00FE64D0">
              <w:rPr>
                <w:noProof/>
                <w:webHidden/>
              </w:rPr>
              <w:instrText xml:space="preserve"> PAGEREF _Toc28858546 \h </w:instrText>
            </w:r>
            <w:r w:rsidR="00FE64D0">
              <w:rPr>
                <w:noProof/>
                <w:webHidden/>
              </w:rPr>
            </w:r>
            <w:r w:rsidR="00FE64D0">
              <w:rPr>
                <w:noProof/>
                <w:webHidden/>
              </w:rPr>
              <w:fldChar w:fldCharType="separate"/>
            </w:r>
            <w:r w:rsidR="00FE64D0">
              <w:rPr>
                <w:noProof/>
                <w:webHidden/>
              </w:rPr>
              <w:t>6</w:t>
            </w:r>
            <w:r w:rsidR="00FE64D0">
              <w:rPr>
                <w:noProof/>
                <w:webHidden/>
              </w:rPr>
              <w:fldChar w:fldCharType="end"/>
            </w:r>
          </w:hyperlink>
        </w:p>
        <w:p w14:paraId="33C1FBD9" w14:textId="541A0A07" w:rsidR="00FE64D0" w:rsidRDefault="0026248F">
          <w:pPr>
            <w:pStyle w:val="TOC3"/>
            <w:rPr>
              <w:rFonts w:asciiTheme="minorHAnsi" w:eastAsiaTheme="minorEastAsia" w:hAnsiTheme="minorHAnsi" w:cstheme="minorBidi"/>
              <w:noProof/>
              <w:lang w:eastAsia="en-AU"/>
            </w:rPr>
          </w:pPr>
          <w:hyperlink w:anchor="_Toc28858547" w:history="1">
            <w:r w:rsidR="00FE64D0" w:rsidRPr="00F47833">
              <w:rPr>
                <w:rStyle w:val="Hyperlink"/>
                <w:noProof/>
                <w:lang w:eastAsia="en-AU"/>
              </w:rPr>
              <w:t>Submission details</w:t>
            </w:r>
            <w:r w:rsidR="00FE64D0">
              <w:rPr>
                <w:noProof/>
                <w:webHidden/>
              </w:rPr>
              <w:tab/>
            </w:r>
            <w:r w:rsidR="00FE64D0">
              <w:rPr>
                <w:noProof/>
                <w:webHidden/>
              </w:rPr>
              <w:fldChar w:fldCharType="begin"/>
            </w:r>
            <w:r w:rsidR="00FE64D0">
              <w:rPr>
                <w:noProof/>
                <w:webHidden/>
              </w:rPr>
              <w:instrText xml:space="preserve"> PAGEREF _Toc28858547 \h </w:instrText>
            </w:r>
            <w:r w:rsidR="00FE64D0">
              <w:rPr>
                <w:noProof/>
                <w:webHidden/>
              </w:rPr>
            </w:r>
            <w:r w:rsidR="00FE64D0">
              <w:rPr>
                <w:noProof/>
                <w:webHidden/>
              </w:rPr>
              <w:fldChar w:fldCharType="separate"/>
            </w:r>
            <w:r w:rsidR="00FE64D0">
              <w:rPr>
                <w:noProof/>
                <w:webHidden/>
              </w:rPr>
              <w:t>6</w:t>
            </w:r>
            <w:r w:rsidR="00FE64D0">
              <w:rPr>
                <w:noProof/>
                <w:webHidden/>
              </w:rPr>
              <w:fldChar w:fldCharType="end"/>
            </w:r>
          </w:hyperlink>
        </w:p>
        <w:p w14:paraId="33E783DB" w14:textId="6564B6BC" w:rsidR="00FE64D0" w:rsidRDefault="0026248F">
          <w:pPr>
            <w:pStyle w:val="TOC3"/>
            <w:rPr>
              <w:rFonts w:asciiTheme="minorHAnsi" w:eastAsiaTheme="minorEastAsia" w:hAnsiTheme="minorHAnsi" w:cstheme="minorBidi"/>
              <w:noProof/>
              <w:lang w:eastAsia="en-AU"/>
            </w:rPr>
          </w:pPr>
          <w:hyperlink w:anchor="_Toc28858548" w:history="1">
            <w:r w:rsidR="00FE64D0" w:rsidRPr="00F47833">
              <w:rPr>
                <w:rStyle w:val="Hyperlink"/>
                <w:noProof/>
              </w:rPr>
              <w:t>Product background</w:t>
            </w:r>
            <w:r w:rsidR="00FE64D0">
              <w:rPr>
                <w:noProof/>
                <w:webHidden/>
              </w:rPr>
              <w:tab/>
            </w:r>
            <w:r w:rsidR="00FE64D0">
              <w:rPr>
                <w:noProof/>
                <w:webHidden/>
              </w:rPr>
              <w:fldChar w:fldCharType="begin"/>
            </w:r>
            <w:r w:rsidR="00FE64D0">
              <w:rPr>
                <w:noProof/>
                <w:webHidden/>
              </w:rPr>
              <w:instrText xml:space="preserve"> PAGEREF _Toc28858548 \h </w:instrText>
            </w:r>
            <w:r w:rsidR="00FE64D0">
              <w:rPr>
                <w:noProof/>
                <w:webHidden/>
              </w:rPr>
            </w:r>
            <w:r w:rsidR="00FE64D0">
              <w:rPr>
                <w:noProof/>
                <w:webHidden/>
              </w:rPr>
              <w:fldChar w:fldCharType="separate"/>
            </w:r>
            <w:r w:rsidR="00FE64D0">
              <w:rPr>
                <w:noProof/>
                <w:webHidden/>
              </w:rPr>
              <w:t>6</w:t>
            </w:r>
            <w:r w:rsidR="00FE64D0">
              <w:rPr>
                <w:noProof/>
                <w:webHidden/>
              </w:rPr>
              <w:fldChar w:fldCharType="end"/>
            </w:r>
          </w:hyperlink>
        </w:p>
        <w:p w14:paraId="53BA4219" w14:textId="16F646CD" w:rsidR="00FE64D0" w:rsidRDefault="0026248F">
          <w:pPr>
            <w:pStyle w:val="TOC3"/>
            <w:rPr>
              <w:rFonts w:asciiTheme="minorHAnsi" w:eastAsiaTheme="minorEastAsia" w:hAnsiTheme="minorHAnsi" w:cstheme="minorBidi"/>
              <w:noProof/>
              <w:lang w:eastAsia="en-AU"/>
            </w:rPr>
          </w:pPr>
          <w:hyperlink w:anchor="_Toc28858549" w:history="1">
            <w:r w:rsidR="00FE64D0" w:rsidRPr="00F47833">
              <w:rPr>
                <w:rStyle w:val="Hyperlink"/>
                <w:noProof/>
              </w:rPr>
              <w:t>Regulatory status</w:t>
            </w:r>
            <w:r w:rsidR="00FE64D0">
              <w:rPr>
                <w:noProof/>
                <w:webHidden/>
              </w:rPr>
              <w:tab/>
            </w:r>
            <w:r w:rsidR="00FE64D0">
              <w:rPr>
                <w:noProof/>
                <w:webHidden/>
              </w:rPr>
              <w:fldChar w:fldCharType="begin"/>
            </w:r>
            <w:r w:rsidR="00FE64D0">
              <w:rPr>
                <w:noProof/>
                <w:webHidden/>
              </w:rPr>
              <w:instrText xml:space="preserve"> PAGEREF _Toc28858549 \h </w:instrText>
            </w:r>
            <w:r w:rsidR="00FE64D0">
              <w:rPr>
                <w:noProof/>
                <w:webHidden/>
              </w:rPr>
            </w:r>
            <w:r w:rsidR="00FE64D0">
              <w:rPr>
                <w:noProof/>
                <w:webHidden/>
              </w:rPr>
              <w:fldChar w:fldCharType="separate"/>
            </w:r>
            <w:r w:rsidR="00FE64D0">
              <w:rPr>
                <w:noProof/>
                <w:webHidden/>
              </w:rPr>
              <w:t>7</w:t>
            </w:r>
            <w:r w:rsidR="00FE64D0">
              <w:rPr>
                <w:noProof/>
                <w:webHidden/>
              </w:rPr>
              <w:fldChar w:fldCharType="end"/>
            </w:r>
          </w:hyperlink>
        </w:p>
        <w:p w14:paraId="2B86953F" w14:textId="31387687" w:rsidR="00FE64D0" w:rsidRDefault="0026248F">
          <w:pPr>
            <w:pStyle w:val="TOC3"/>
            <w:rPr>
              <w:rFonts w:asciiTheme="minorHAnsi" w:eastAsiaTheme="minorEastAsia" w:hAnsiTheme="minorHAnsi" w:cstheme="minorBidi"/>
              <w:noProof/>
              <w:lang w:eastAsia="en-AU"/>
            </w:rPr>
          </w:pPr>
          <w:hyperlink w:anchor="_Toc28858550" w:history="1">
            <w:r w:rsidR="00FE64D0" w:rsidRPr="00F47833">
              <w:rPr>
                <w:rStyle w:val="Hyperlink"/>
                <w:noProof/>
              </w:rPr>
              <w:t>Product Information</w:t>
            </w:r>
            <w:r w:rsidR="00FE64D0">
              <w:rPr>
                <w:noProof/>
                <w:webHidden/>
              </w:rPr>
              <w:tab/>
            </w:r>
            <w:r w:rsidR="00FE64D0">
              <w:rPr>
                <w:noProof/>
                <w:webHidden/>
              </w:rPr>
              <w:fldChar w:fldCharType="begin"/>
            </w:r>
            <w:r w:rsidR="00FE64D0">
              <w:rPr>
                <w:noProof/>
                <w:webHidden/>
              </w:rPr>
              <w:instrText xml:space="preserve"> PAGEREF _Toc28858550 \h </w:instrText>
            </w:r>
            <w:r w:rsidR="00FE64D0">
              <w:rPr>
                <w:noProof/>
                <w:webHidden/>
              </w:rPr>
            </w:r>
            <w:r w:rsidR="00FE64D0">
              <w:rPr>
                <w:noProof/>
                <w:webHidden/>
              </w:rPr>
              <w:fldChar w:fldCharType="separate"/>
            </w:r>
            <w:r w:rsidR="00FE64D0">
              <w:rPr>
                <w:noProof/>
                <w:webHidden/>
              </w:rPr>
              <w:t>8</w:t>
            </w:r>
            <w:r w:rsidR="00FE64D0">
              <w:rPr>
                <w:noProof/>
                <w:webHidden/>
              </w:rPr>
              <w:fldChar w:fldCharType="end"/>
            </w:r>
          </w:hyperlink>
        </w:p>
        <w:p w14:paraId="65185565" w14:textId="7B080118" w:rsidR="00FE64D0" w:rsidRDefault="0026248F">
          <w:pPr>
            <w:pStyle w:val="TOC2"/>
            <w:rPr>
              <w:rFonts w:asciiTheme="minorHAnsi" w:eastAsiaTheme="minorEastAsia" w:hAnsiTheme="minorHAnsi" w:cstheme="minorBidi"/>
              <w:b w:val="0"/>
              <w:noProof/>
              <w:sz w:val="22"/>
              <w:lang w:eastAsia="en-AU"/>
            </w:rPr>
          </w:pPr>
          <w:hyperlink w:anchor="_Toc28858551" w:history="1">
            <w:r w:rsidR="00FE64D0" w:rsidRPr="00F47833">
              <w:rPr>
                <w:rStyle w:val="Hyperlink"/>
                <w:noProof/>
              </w:rPr>
              <w:t>II. Registration time line</w:t>
            </w:r>
            <w:r w:rsidR="00FE64D0">
              <w:rPr>
                <w:noProof/>
                <w:webHidden/>
              </w:rPr>
              <w:tab/>
            </w:r>
            <w:r w:rsidR="00FE64D0">
              <w:rPr>
                <w:noProof/>
                <w:webHidden/>
              </w:rPr>
              <w:fldChar w:fldCharType="begin"/>
            </w:r>
            <w:r w:rsidR="00FE64D0">
              <w:rPr>
                <w:noProof/>
                <w:webHidden/>
              </w:rPr>
              <w:instrText xml:space="preserve"> PAGEREF _Toc28858551 \h </w:instrText>
            </w:r>
            <w:r w:rsidR="00FE64D0">
              <w:rPr>
                <w:noProof/>
                <w:webHidden/>
              </w:rPr>
            </w:r>
            <w:r w:rsidR="00FE64D0">
              <w:rPr>
                <w:noProof/>
                <w:webHidden/>
              </w:rPr>
              <w:fldChar w:fldCharType="separate"/>
            </w:r>
            <w:r w:rsidR="00FE64D0">
              <w:rPr>
                <w:noProof/>
                <w:webHidden/>
              </w:rPr>
              <w:t>8</w:t>
            </w:r>
            <w:r w:rsidR="00FE64D0">
              <w:rPr>
                <w:noProof/>
                <w:webHidden/>
              </w:rPr>
              <w:fldChar w:fldCharType="end"/>
            </w:r>
          </w:hyperlink>
        </w:p>
        <w:p w14:paraId="7190F6C7" w14:textId="510B71B2" w:rsidR="00FE64D0" w:rsidRDefault="0026248F">
          <w:pPr>
            <w:pStyle w:val="TOC2"/>
            <w:rPr>
              <w:rFonts w:asciiTheme="minorHAnsi" w:eastAsiaTheme="minorEastAsia" w:hAnsiTheme="minorHAnsi" w:cstheme="minorBidi"/>
              <w:b w:val="0"/>
              <w:noProof/>
              <w:sz w:val="22"/>
              <w:lang w:eastAsia="en-AU"/>
            </w:rPr>
          </w:pPr>
          <w:hyperlink w:anchor="_Toc28858552" w:history="1">
            <w:r w:rsidR="00FE64D0" w:rsidRPr="00F47833">
              <w:rPr>
                <w:rStyle w:val="Hyperlink"/>
                <w:noProof/>
              </w:rPr>
              <w:t>III. Submission overview and risk/benefit assessment</w:t>
            </w:r>
            <w:r w:rsidR="00FE64D0">
              <w:rPr>
                <w:noProof/>
                <w:webHidden/>
              </w:rPr>
              <w:tab/>
            </w:r>
            <w:r w:rsidR="00FE64D0">
              <w:rPr>
                <w:noProof/>
                <w:webHidden/>
              </w:rPr>
              <w:fldChar w:fldCharType="begin"/>
            </w:r>
            <w:r w:rsidR="00FE64D0">
              <w:rPr>
                <w:noProof/>
                <w:webHidden/>
              </w:rPr>
              <w:instrText xml:space="preserve"> PAGEREF _Toc28858552 \h </w:instrText>
            </w:r>
            <w:r w:rsidR="00FE64D0">
              <w:rPr>
                <w:noProof/>
                <w:webHidden/>
              </w:rPr>
            </w:r>
            <w:r w:rsidR="00FE64D0">
              <w:rPr>
                <w:noProof/>
                <w:webHidden/>
              </w:rPr>
              <w:fldChar w:fldCharType="separate"/>
            </w:r>
            <w:r w:rsidR="00FE64D0">
              <w:rPr>
                <w:noProof/>
                <w:webHidden/>
              </w:rPr>
              <w:t>8</w:t>
            </w:r>
            <w:r w:rsidR="00FE64D0">
              <w:rPr>
                <w:noProof/>
                <w:webHidden/>
              </w:rPr>
              <w:fldChar w:fldCharType="end"/>
            </w:r>
          </w:hyperlink>
        </w:p>
        <w:p w14:paraId="6158307E" w14:textId="07B7587D" w:rsidR="00FE64D0" w:rsidRDefault="0026248F">
          <w:pPr>
            <w:pStyle w:val="TOC3"/>
            <w:rPr>
              <w:rFonts w:asciiTheme="minorHAnsi" w:eastAsiaTheme="minorEastAsia" w:hAnsiTheme="minorHAnsi" w:cstheme="minorBidi"/>
              <w:noProof/>
              <w:lang w:eastAsia="en-AU"/>
            </w:rPr>
          </w:pPr>
          <w:hyperlink w:anchor="_Toc28858553" w:history="1">
            <w:r w:rsidR="00FE64D0" w:rsidRPr="00F47833">
              <w:rPr>
                <w:rStyle w:val="Hyperlink"/>
                <w:noProof/>
              </w:rPr>
              <w:t>Quality</w:t>
            </w:r>
            <w:r w:rsidR="00FE64D0">
              <w:rPr>
                <w:noProof/>
                <w:webHidden/>
              </w:rPr>
              <w:tab/>
            </w:r>
            <w:r w:rsidR="00FE64D0">
              <w:rPr>
                <w:noProof/>
                <w:webHidden/>
              </w:rPr>
              <w:fldChar w:fldCharType="begin"/>
            </w:r>
            <w:r w:rsidR="00FE64D0">
              <w:rPr>
                <w:noProof/>
                <w:webHidden/>
              </w:rPr>
              <w:instrText xml:space="preserve"> PAGEREF _Toc28858553 \h </w:instrText>
            </w:r>
            <w:r w:rsidR="00FE64D0">
              <w:rPr>
                <w:noProof/>
                <w:webHidden/>
              </w:rPr>
            </w:r>
            <w:r w:rsidR="00FE64D0">
              <w:rPr>
                <w:noProof/>
                <w:webHidden/>
              </w:rPr>
              <w:fldChar w:fldCharType="separate"/>
            </w:r>
            <w:r w:rsidR="00FE64D0">
              <w:rPr>
                <w:noProof/>
                <w:webHidden/>
              </w:rPr>
              <w:t>8</w:t>
            </w:r>
            <w:r w:rsidR="00FE64D0">
              <w:rPr>
                <w:noProof/>
                <w:webHidden/>
              </w:rPr>
              <w:fldChar w:fldCharType="end"/>
            </w:r>
          </w:hyperlink>
        </w:p>
        <w:p w14:paraId="0F4949E3" w14:textId="1D86DF9A" w:rsidR="00FE64D0" w:rsidRDefault="0026248F">
          <w:pPr>
            <w:pStyle w:val="TOC3"/>
            <w:rPr>
              <w:rFonts w:asciiTheme="minorHAnsi" w:eastAsiaTheme="minorEastAsia" w:hAnsiTheme="minorHAnsi" w:cstheme="minorBidi"/>
              <w:noProof/>
              <w:lang w:eastAsia="en-AU"/>
            </w:rPr>
          </w:pPr>
          <w:hyperlink w:anchor="_Toc28858554" w:history="1">
            <w:r w:rsidR="00FE64D0" w:rsidRPr="00F47833">
              <w:rPr>
                <w:rStyle w:val="Hyperlink"/>
                <w:noProof/>
              </w:rPr>
              <w:t>Nonclinical</w:t>
            </w:r>
            <w:r w:rsidR="00FE64D0">
              <w:rPr>
                <w:noProof/>
                <w:webHidden/>
              </w:rPr>
              <w:tab/>
            </w:r>
            <w:r w:rsidR="00FE64D0">
              <w:rPr>
                <w:noProof/>
                <w:webHidden/>
              </w:rPr>
              <w:fldChar w:fldCharType="begin"/>
            </w:r>
            <w:r w:rsidR="00FE64D0">
              <w:rPr>
                <w:noProof/>
                <w:webHidden/>
              </w:rPr>
              <w:instrText xml:space="preserve"> PAGEREF _Toc28858554 \h </w:instrText>
            </w:r>
            <w:r w:rsidR="00FE64D0">
              <w:rPr>
                <w:noProof/>
                <w:webHidden/>
              </w:rPr>
            </w:r>
            <w:r w:rsidR="00FE64D0">
              <w:rPr>
                <w:noProof/>
                <w:webHidden/>
              </w:rPr>
              <w:fldChar w:fldCharType="separate"/>
            </w:r>
            <w:r w:rsidR="00FE64D0">
              <w:rPr>
                <w:noProof/>
                <w:webHidden/>
              </w:rPr>
              <w:t>9</w:t>
            </w:r>
            <w:r w:rsidR="00FE64D0">
              <w:rPr>
                <w:noProof/>
                <w:webHidden/>
              </w:rPr>
              <w:fldChar w:fldCharType="end"/>
            </w:r>
          </w:hyperlink>
        </w:p>
        <w:p w14:paraId="09A44377" w14:textId="0F9DABE1" w:rsidR="00FE64D0" w:rsidRDefault="0026248F">
          <w:pPr>
            <w:pStyle w:val="TOC3"/>
            <w:rPr>
              <w:rFonts w:asciiTheme="minorHAnsi" w:eastAsiaTheme="minorEastAsia" w:hAnsiTheme="minorHAnsi" w:cstheme="minorBidi"/>
              <w:noProof/>
              <w:lang w:eastAsia="en-AU"/>
            </w:rPr>
          </w:pPr>
          <w:hyperlink w:anchor="_Toc28858555" w:history="1">
            <w:r w:rsidR="00FE64D0" w:rsidRPr="00F47833">
              <w:rPr>
                <w:rStyle w:val="Hyperlink"/>
                <w:noProof/>
              </w:rPr>
              <w:t>Clinical</w:t>
            </w:r>
            <w:r w:rsidR="00FE64D0">
              <w:rPr>
                <w:noProof/>
                <w:webHidden/>
              </w:rPr>
              <w:tab/>
            </w:r>
            <w:r w:rsidR="00FE64D0">
              <w:rPr>
                <w:noProof/>
                <w:webHidden/>
              </w:rPr>
              <w:fldChar w:fldCharType="begin"/>
            </w:r>
            <w:r w:rsidR="00FE64D0">
              <w:rPr>
                <w:noProof/>
                <w:webHidden/>
              </w:rPr>
              <w:instrText xml:space="preserve"> PAGEREF _Toc28858555 \h </w:instrText>
            </w:r>
            <w:r w:rsidR="00FE64D0">
              <w:rPr>
                <w:noProof/>
                <w:webHidden/>
              </w:rPr>
            </w:r>
            <w:r w:rsidR="00FE64D0">
              <w:rPr>
                <w:noProof/>
                <w:webHidden/>
              </w:rPr>
              <w:fldChar w:fldCharType="separate"/>
            </w:r>
            <w:r w:rsidR="00FE64D0">
              <w:rPr>
                <w:noProof/>
                <w:webHidden/>
              </w:rPr>
              <w:t>10</w:t>
            </w:r>
            <w:r w:rsidR="00FE64D0">
              <w:rPr>
                <w:noProof/>
                <w:webHidden/>
              </w:rPr>
              <w:fldChar w:fldCharType="end"/>
            </w:r>
          </w:hyperlink>
        </w:p>
        <w:p w14:paraId="7DBCCFF8" w14:textId="53109060" w:rsidR="00FE64D0" w:rsidRDefault="0026248F">
          <w:pPr>
            <w:pStyle w:val="TOC3"/>
            <w:rPr>
              <w:rFonts w:asciiTheme="minorHAnsi" w:eastAsiaTheme="minorEastAsia" w:hAnsiTheme="minorHAnsi" w:cstheme="minorBidi"/>
              <w:noProof/>
              <w:lang w:eastAsia="en-AU"/>
            </w:rPr>
          </w:pPr>
          <w:hyperlink w:anchor="_Toc28858556" w:history="1">
            <w:r w:rsidR="00FE64D0" w:rsidRPr="00F47833">
              <w:rPr>
                <w:rStyle w:val="Hyperlink"/>
                <w:noProof/>
                <w:lang w:eastAsia="en-AU"/>
              </w:rPr>
              <w:t>Risk management plan</w:t>
            </w:r>
            <w:r w:rsidR="00FE64D0">
              <w:rPr>
                <w:noProof/>
                <w:webHidden/>
              </w:rPr>
              <w:tab/>
            </w:r>
            <w:r w:rsidR="00FE64D0">
              <w:rPr>
                <w:noProof/>
                <w:webHidden/>
              </w:rPr>
              <w:fldChar w:fldCharType="begin"/>
            </w:r>
            <w:r w:rsidR="00FE64D0">
              <w:rPr>
                <w:noProof/>
                <w:webHidden/>
              </w:rPr>
              <w:instrText xml:space="preserve"> PAGEREF _Toc28858556 \h </w:instrText>
            </w:r>
            <w:r w:rsidR="00FE64D0">
              <w:rPr>
                <w:noProof/>
                <w:webHidden/>
              </w:rPr>
            </w:r>
            <w:r w:rsidR="00FE64D0">
              <w:rPr>
                <w:noProof/>
                <w:webHidden/>
              </w:rPr>
              <w:fldChar w:fldCharType="separate"/>
            </w:r>
            <w:r w:rsidR="00FE64D0">
              <w:rPr>
                <w:noProof/>
                <w:webHidden/>
              </w:rPr>
              <w:t>13</w:t>
            </w:r>
            <w:r w:rsidR="00FE64D0">
              <w:rPr>
                <w:noProof/>
                <w:webHidden/>
              </w:rPr>
              <w:fldChar w:fldCharType="end"/>
            </w:r>
          </w:hyperlink>
        </w:p>
        <w:p w14:paraId="4F834F95" w14:textId="1121DE8D" w:rsidR="00FE64D0" w:rsidRDefault="0026248F">
          <w:pPr>
            <w:pStyle w:val="TOC3"/>
            <w:rPr>
              <w:rFonts w:asciiTheme="minorHAnsi" w:eastAsiaTheme="minorEastAsia" w:hAnsiTheme="minorHAnsi" w:cstheme="minorBidi"/>
              <w:noProof/>
              <w:lang w:eastAsia="en-AU"/>
            </w:rPr>
          </w:pPr>
          <w:hyperlink w:anchor="_Toc28858557" w:history="1">
            <w:r w:rsidR="00FE64D0" w:rsidRPr="00F47833">
              <w:rPr>
                <w:rStyle w:val="Hyperlink"/>
                <w:noProof/>
              </w:rPr>
              <w:t>Risk-benefit analysis</w:t>
            </w:r>
            <w:r w:rsidR="00FE64D0">
              <w:rPr>
                <w:noProof/>
                <w:webHidden/>
              </w:rPr>
              <w:tab/>
            </w:r>
            <w:r w:rsidR="00FE64D0">
              <w:rPr>
                <w:noProof/>
                <w:webHidden/>
              </w:rPr>
              <w:fldChar w:fldCharType="begin"/>
            </w:r>
            <w:r w:rsidR="00FE64D0">
              <w:rPr>
                <w:noProof/>
                <w:webHidden/>
              </w:rPr>
              <w:instrText xml:space="preserve"> PAGEREF _Toc28858557 \h </w:instrText>
            </w:r>
            <w:r w:rsidR="00FE64D0">
              <w:rPr>
                <w:noProof/>
                <w:webHidden/>
              </w:rPr>
            </w:r>
            <w:r w:rsidR="00FE64D0">
              <w:rPr>
                <w:noProof/>
                <w:webHidden/>
              </w:rPr>
              <w:fldChar w:fldCharType="separate"/>
            </w:r>
            <w:r w:rsidR="00FE64D0">
              <w:rPr>
                <w:noProof/>
                <w:webHidden/>
              </w:rPr>
              <w:t>15</w:t>
            </w:r>
            <w:r w:rsidR="00FE64D0">
              <w:rPr>
                <w:noProof/>
                <w:webHidden/>
              </w:rPr>
              <w:fldChar w:fldCharType="end"/>
            </w:r>
          </w:hyperlink>
        </w:p>
        <w:p w14:paraId="7B90F5F2" w14:textId="3BAB16A3" w:rsidR="00FE64D0" w:rsidRDefault="0026248F">
          <w:pPr>
            <w:pStyle w:val="TOC3"/>
            <w:rPr>
              <w:rFonts w:asciiTheme="minorHAnsi" w:eastAsiaTheme="minorEastAsia" w:hAnsiTheme="minorHAnsi" w:cstheme="minorBidi"/>
              <w:noProof/>
              <w:lang w:eastAsia="en-AU"/>
            </w:rPr>
          </w:pPr>
          <w:hyperlink w:anchor="_Toc28858558" w:history="1">
            <w:r w:rsidR="00FE64D0" w:rsidRPr="00F47833">
              <w:rPr>
                <w:rStyle w:val="Hyperlink"/>
                <w:noProof/>
              </w:rPr>
              <w:t>Outcome</w:t>
            </w:r>
            <w:r w:rsidR="00FE64D0">
              <w:rPr>
                <w:noProof/>
                <w:webHidden/>
              </w:rPr>
              <w:tab/>
            </w:r>
            <w:r w:rsidR="00FE64D0">
              <w:rPr>
                <w:noProof/>
                <w:webHidden/>
              </w:rPr>
              <w:fldChar w:fldCharType="begin"/>
            </w:r>
            <w:r w:rsidR="00FE64D0">
              <w:rPr>
                <w:noProof/>
                <w:webHidden/>
              </w:rPr>
              <w:instrText xml:space="preserve"> PAGEREF _Toc28858558 \h </w:instrText>
            </w:r>
            <w:r w:rsidR="00FE64D0">
              <w:rPr>
                <w:noProof/>
                <w:webHidden/>
              </w:rPr>
            </w:r>
            <w:r w:rsidR="00FE64D0">
              <w:rPr>
                <w:noProof/>
                <w:webHidden/>
              </w:rPr>
              <w:fldChar w:fldCharType="separate"/>
            </w:r>
            <w:r w:rsidR="00FE64D0">
              <w:rPr>
                <w:noProof/>
                <w:webHidden/>
              </w:rPr>
              <w:t>18</w:t>
            </w:r>
            <w:r w:rsidR="00FE64D0">
              <w:rPr>
                <w:noProof/>
                <w:webHidden/>
              </w:rPr>
              <w:fldChar w:fldCharType="end"/>
            </w:r>
          </w:hyperlink>
        </w:p>
        <w:p w14:paraId="0338378F" w14:textId="45152D3A" w:rsidR="00FE64D0" w:rsidRDefault="0026248F">
          <w:pPr>
            <w:pStyle w:val="TOC2"/>
            <w:rPr>
              <w:rFonts w:asciiTheme="minorHAnsi" w:eastAsiaTheme="minorEastAsia" w:hAnsiTheme="minorHAnsi" w:cstheme="minorBidi"/>
              <w:b w:val="0"/>
              <w:noProof/>
              <w:sz w:val="22"/>
              <w:lang w:eastAsia="en-AU"/>
            </w:rPr>
          </w:pPr>
          <w:hyperlink w:anchor="_Toc28858559" w:history="1">
            <w:r w:rsidR="00FE64D0" w:rsidRPr="00F47833">
              <w:rPr>
                <w:rStyle w:val="Hyperlink"/>
                <w:noProof/>
              </w:rPr>
              <w:t>Attachment 1. Product Information</w:t>
            </w:r>
            <w:r w:rsidR="00FE64D0">
              <w:rPr>
                <w:noProof/>
                <w:webHidden/>
              </w:rPr>
              <w:tab/>
            </w:r>
            <w:r w:rsidR="00FE64D0">
              <w:rPr>
                <w:noProof/>
                <w:webHidden/>
              </w:rPr>
              <w:fldChar w:fldCharType="begin"/>
            </w:r>
            <w:r w:rsidR="00FE64D0">
              <w:rPr>
                <w:noProof/>
                <w:webHidden/>
              </w:rPr>
              <w:instrText xml:space="preserve"> PAGEREF _Toc28858559 \h </w:instrText>
            </w:r>
            <w:r w:rsidR="00FE64D0">
              <w:rPr>
                <w:noProof/>
                <w:webHidden/>
              </w:rPr>
            </w:r>
            <w:r w:rsidR="00FE64D0">
              <w:rPr>
                <w:noProof/>
                <w:webHidden/>
              </w:rPr>
              <w:fldChar w:fldCharType="separate"/>
            </w:r>
            <w:r w:rsidR="00FE64D0">
              <w:rPr>
                <w:noProof/>
                <w:webHidden/>
              </w:rPr>
              <w:t>19</w:t>
            </w:r>
            <w:r w:rsidR="00FE64D0">
              <w:rPr>
                <w:noProof/>
                <w:webHidden/>
              </w:rPr>
              <w:fldChar w:fldCharType="end"/>
            </w:r>
          </w:hyperlink>
        </w:p>
        <w:p w14:paraId="739A9B0D" w14:textId="515280DB" w:rsidR="003A7F6C" w:rsidRPr="00B811C6" w:rsidRDefault="00DB6124" w:rsidP="00B811C6">
          <w:pPr>
            <w:pStyle w:val="TOC2"/>
          </w:pPr>
          <w:r>
            <w:fldChar w:fldCharType="end"/>
          </w:r>
        </w:p>
      </w:sdtContent>
    </w:sdt>
    <w:bookmarkStart w:id="3" w:name="_Toc314842482" w:displacedByCustomXml="prev"/>
    <w:p w14:paraId="0D3B259B" w14:textId="77777777" w:rsidR="00FD119B" w:rsidRDefault="00FD119B">
      <w:pPr>
        <w:spacing w:before="0" w:after="200" w:line="0" w:lineRule="auto"/>
      </w:pPr>
      <w:r>
        <w:br w:type="page"/>
      </w:r>
    </w:p>
    <w:p w14:paraId="311E63BB"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28858545"/>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798"/>
        <w:gridCol w:w="6686"/>
      </w:tblGrid>
      <w:tr w:rsidR="004C58C4" w:rsidRPr="004837D9" w14:paraId="6B29CAFB" w14:textId="77777777" w:rsidTr="00AA35E0">
        <w:trPr>
          <w:cnfStyle w:val="100000000000" w:firstRow="1" w:lastRow="0" w:firstColumn="0" w:lastColumn="0" w:oddVBand="0" w:evenVBand="0" w:oddHBand="0" w:evenHBand="0" w:firstRowFirstColumn="0" w:firstRowLastColumn="0" w:lastRowFirstColumn="0" w:lastRowLastColumn="0"/>
        </w:trPr>
        <w:tc>
          <w:tcPr>
            <w:tcW w:w="1798" w:type="dxa"/>
          </w:tcPr>
          <w:p w14:paraId="75E4CE27" w14:textId="77777777" w:rsidR="004C58C4" w:rsidRPr="004837D9" w:rsidRDefault="004C58C4" w:rsidP="004C58C4">
            <w:pPr>
              <w:rPr>
                <w:sz w:val="20"/>
                <w:szCs w:val="20"/>
              </w:rPr>
            </w:pPr>
            <w:r w:rsidRPr="004837D9">
              <w:rPr>
                <w:sz w:val="20"/>
                <w:szCs w:val="20"/>
              </w:rPr>
              <w:t>Abbreviation</w:t>
            </w:r>
          </w:p>
        </w:tc>
        <w:tc>
          <w:tcPr>
            <w:tcW w:w="6686" w:type="dxa"/>
          </w:tcPr>
          <w:p w14:paraId="65C5AA79" w14:textId="77777777" w:rsidR="004C58C4" w:rsidRPr="004837D9" w:rsidRDefault="004C58C4" w:rsidP="004C58C4">
            <w:pPr>
              <w:rPr>
                <w:sz w:val="20"/>
                <w:szCs w:val="20"/>
              </w:rPr>
            </w:pPr>
            <w:r w:rsidRPr="004837D9">
              <w:rPr>
                <w:sz w:val="20"/>
                <w:szCs w:val="20"/>
              </w:rPr>
              <w:t>Meaning</w:t>
            </w:r>
          </w:p>
        </w:tc>
      </w:tr>
      <w:tr w:rsidR="0066462F" w:rsidRPr="002B579F" w14:paraId="542B80BD" w14:textId="77777777" w:rsidTr="0066462F">
        <w:tc>
          <w:tcPr>
            <w:tcW w:w="1798" w:type="dxa"/>
          </w:tcPr>
          <w:p w14:paraId="6A21C842" w14:textId="23F6A921" w:rsidR="0066462F" w:rsidRDefault="0066462F" w:rsidP="004C58C4">
            <w:pPr>
              <w:rPr>
                <w:sz w:val="20"/>
                <w:szCs w:val="20"/>
              </w:rPr>
            </w:pPr>
            <w:r>
              <w:rPr>
                <w:sz w:val="20"/>
                <w:szCs w:val="20"/>
              </w:rPr>
              <w:t>ACM</w:t>
            </w:r>
          </w:p>
        </w:tc>
        <w:tc>
          <w:tcPr>
            <w:tcW w:w="6686" w:type="dxa"/>
          </w:tcPr>
          <w:p w14:paraId="2D0C83DD" w14:textId="48C321FE" w:rsidR="0066462F" w:rsidRDefault="0066462F" w:rsidP="004C58C4">
            <w:pPr>
              <w:rPr>
                <w:sz w:val="20"/>
                <w:szCs w:val="20"/>
              </w:rPr>
            </w:pPr>
            <w:r>
              <w:rPr>
                <w:sz w:val="20"/>
                <w:szCs w:val="20"/>
              </w:rPr>
              <w:t>Advisory Committee on Medicines</w:t>
            </w:r>
          </w:p>
        </w:tc>
      </w:tr>
      <w:tr w:rsidR="004C58C4" w:rsidRPr="002B579F" w14:paraId="4DE63403" w14:textId="77777777" w:rsidTr="00AA35E0">
        <w:tc>
          <w:tcPr>
            <w:tcW w:w="1798" w:type="dxa"/>
          </w:tcPr>
          <w:p w14:paraId="3D5CF605" w14:textId="77777777" w:rsidR="004C58C4" w:rsidRDefault="004C58C4" w:rsidP="004C58C4">
            <w:pPr>
              <w:rPr>
                <w:sz w:val="20"/>
                <w:szCs w:val="20"/>
              </w:rPr>
            </w:pPr>
            <w:r>
              <w:rPr>
                <w:sz w:val="20"/>
                <w:szCs w:val="20"/>
              </w:rPr>
              <w:t>ADA</w:t>
            </w:r>
          </w:p>
        </w:tc>
        <w:tc>
          <w:tcPr>
            <w:tcW w:w="6686" w:type="dxa"/>
          </w:tcPr>
          <w:p w14:paraId="3256FAF4" w14:textId="77777777" w:rsidR="004C58C4" w:rsidRDefault="004C58C4" w:rsidP="004C58C4">
            <w:pPr>
              <w:rPr>
                <w:sz w:val="20"/>
                <w:szCs w:val="20"/>
              </w:rPr>
            </w:pPr>
            <w:r>
              <w:rPr>
                <w:sz w:val="20"/>
                <w:szCs w:val="20"/>
              </w:rPr>
              <w:t>Anti-drug antibody</w:t>
            </w:r>
          </w:p>
        </w:tc>
      </w:tr>
      <w:tr w:rsidR="004C58C4" w:rsidRPr="004837D9" w14:paraId="639E1B17" w14:textId="77777777" w:rsidTr="00AA35E0">
        <w:tc>
          <w:tcPr>
            <w:tcW w:w="1798" w:type="dxa"/>
          </w:tcPr>
          <w:p w14:paraId="13663AF9" w14:textId="77777777" w:rsidR="004C58C4" w:rsidRDefault="004C58C4" w:rsidP="004C58C4">
            <w:pPr>
              <w:rPr>
                <w:sz w:val="20"/>
                <w:szCs w:val="20"/>
              </w:rPr>
            </w:pPr>
            <w:r>
              <w:rPr>
                <w:sz w:val="20"/>
                <w:szCs w:val="20"/>
              </w:rPr>
              <w:t>ADC</w:t>
            </w:r>
          </w:p>
        </w:tc>
        <w:tc>
          <w:tcPr>
            <w:tcW w:w="6686" w:type="dxa"/>
          </w:tcPr>
          <w:p w14:paraId="53F11ACD" w14:textId="77777777" w:rsidR="004C58C4" w:rsidRDefault="004C58C4" w:rsidP="004C58C4">
            <w:pPr>
              <w:tabs>
                <w:tab w:val="left" w:pos="1825"/>
              </w:tabs>
              <w:rPr>
                <w:sz w:val="20"/>
                <w:szCs w:val="20"/>
              </w:rPr>
            </w:pPr>
            <w:r>
              <w:rPr>
                <w:sz w:val="20"/>
                <w:szCs w:val="20"/>
              </w:rPr>
              <w:t>Antibody-drug conjugate</w:t>
            </w:r>
          </w:p>
        </w:tc>
      </w:tr>
      <w:tr w:rsidR="004C58C4" w:rsidRPr="004837D9" w14:paraId="74310ECD" w14:textId="77777777" w:rsidTr="00AA35E0">
        <w:tc>
          <w:tcPr>
            <w:tcW w:w="1798" w:type="dxa"/>
          </w:tcPr>
          <w:p w14:paraId="43821B6B" w14:textId="77777777" w:rsidR="004C58C4" w:rsidRPr="004837D9" w:rsidRDefault="004C58C4" w:rsidP="004C58C4">
            <w:pPr>
              <w:rPr>
                <w:sz w:val="20"/>
                <w:szCs w:val="20"/>
              </w:rPr>
            </w:pPr>
            <w:r w:rsidRPr="004837D9">
              <w:rPr>
                <w:sz w:val="20"/>
                <w:szCs w:val="20"/>
              </w:rPr>
              <w:t>AE</w:t>
            </w:r>
          </w:p>
        </w:tc>
        <w:tc>
          <w:tcPr>
            <w:tcW w:w="6686" w:type="dxa"/>
          </w:tcPr>
          <w:p w14:paraId="7162BE72" w14:textId="628DE232" w:rsidR="004C58C4" w:rsidRPr="004837D9" w:rsidRDefault="004C58C4" w:rsidP="0073061D">
            <w:pPr>
              <w:tabs>
                <w:tab w:val="left" w:pos="1825"/>
              </w:tabs>
              <w:rPr>
                <w:sz w:val="20"/>
                <w:szCs w:val="20"/>
              </w:rPr>
            </w:pPr>
            <w:r w:rsidRPr="004837D9">
              <w:rPr>
                <w:sz w:val="20"/>
                <w:szCs w:val="20"/>
              </w:rPr>
              <w:t xml:space="preserve">Adverse </w:t>
            </w:r>
            <w:r w:rsidR="0066462F">
              <w:rPr>
                <w:sz w:val="20"/>
                <w:szCs w:val="20"/>
              </w:rPr>
              <w:t>e</w:t>
            </w:r>
            <w:r w:rsidRPr="004837D9">
              <w:rPr>
                <w:sz w:val="20"/>
                <w:szCs w:val="20"/>
              </w:rPr>
              <w:t>vent</w:t>
            </w:r>
          </w:p>
        </w:tc>
      </w:tr>
      <w:tr w:rsidR="0066462F" w:rsidRPr="004837D9" w14:paraId="18A3E603" w14:textId="77777777" w:rsidTr="0066462F">
        <w:tc>
          <w:tcPr>
            <w:tcW w:w="1798" w:type="dxa"/>
          </w:tcPr>
          <w:p w14:paraId="61D8C798" w14:textId="62BBB7A3" w:rsidR="0066462F" w:rsidRPr="004837D9" w:rsidRDefault="0066462F" w:rsidP="004C58C4">
            <w:pPr>
              <w:rPr>
                <w:sz w:val="20"/>
                <w:szCs w:val="20"/>
              </w:rPr>
            </w:pPr>
            <w:r>
              <w:rPr>
                <w:sz w:val="20"/>
                <w:szCs w:val="20"/>
              </w:rPr>
              <w:t>ARTG</w:t>
            </w:r>
          </w:p>
        </w:tc>
        <w:tc>
          <w:tcPr>
            <w:tcW w:w="6686" w:type="dxa"/>
          </w:tcPr>
          <w:p w14:paraId="546DF02E" w14:textId="5680CB0B" w:rsidR="0066462F" w:rsidRPr="004837D9" w:rsidRDefault="0066462F" w:rsidP="0073061D">
            <w:pPr>
              <w:tabs>
                <w:tab w:val="left" w:pos="1825"/>
              </w:tabs>
              <w:rPr>
                <w:sz w:val="20"/>
                <w:szCs w:val="20"/>
              </w:rPr>
            </w:pPr>
            <w:r>
              <w:rPr>
                <w:sz w:val="20"/>
                <w:szCs w:val="20"/>
              </w:rPr>
              <w:t>Australian Register of Therapeutic Goods</w:t>
            </w:r>
          </w:p>
        </w:tc>
      </w:tr>
      <w:tr w:rsidR="004C58C4" w:rsidRPr="004837D9" w14:paraId="6FF982E2" w14:textId="77777777" w:rsidTr="00AA35E0">
        <w:tc>
          <w:tcPr>
            <w:tcW w:w="1798" w:type="dxa"/>
          </w:tcPr>
          <w:p w14:paraId="1911C430" w14:textId="77777777" w:rsidR="004C58C4" w:rsidRPr="004837D9" w:rsidRDefault="004C58C4" w:rsidP="004C58C4">
            <w:pPr>
              <w:rPr>
                <w:sz w:val="20"/>
                <w:szCs w:val="20"/>
              </w:rPr>
            </w:pPr>
            <w:r>
              <w:rPr>
                <w:sz w:val="20"/>
                <w:szCs w:val="20"/>
              </w:rPr>
              <w:t>ASCT</w:t>
            </w:r>
          </w:p>
        </w:tc>
        <w:tc>
          <w:tcPr>
            <w:tcW w:w="6686" w:type="dxa"/>
          </w:tcPr>
          <w:p w14:paraId="59A026B3" w14:textId="77777777" w:rsidR="004C58C4" w:rsidRPr="004837D9" w:rsidRDefault="004C58C4" w:rsidP="004C58C4">
            <w:pPr>
              <w:rPr>
                <w:sz w:val="20"/>
                <w:szCs w:val="20"/>
              </w:rPr>
            </w:pPr>
            <w:r>
              <w:rPr>
                <w:sz w:val="20"/>
                <w:szCs w:val="20"/>
              </w:rPr>
              <w:t>Autologous stem cell transplantation</w:t>
            </w:r>
          </w:p>
        </w:tc>
      </w:tr>
      <w:tr w:rsidR="004C58C4" w:rsidRPr="004837D9" w14:paraId="7BEC7780" w14:textId="77777777" w:rsidTr="00AA35E0">
        <w:tc>
          <w:tcPr>
            <w:tcW w:w="1798" w:type="dxa"/>
          </w:tcPr>
          <w:p w14:paraId="521EFA7B" w14:textId="77777777" w:rsidR="004C58C4" w:rsidRPr="004837D9" w:rsidRDefault="004C58C4" w:rsidP="004C58C4">
            <w:pPr>
              <w:rPr>
                <w:sz w:val="20"/>
                <w:szCs w:val="20"/>
              </w:rPr>
            </w:pPr>
            <w:r w:rsidRPr="004837D9">
              <w:rPr>
                <w:sz w:val="20"/>
                <w:szCs w:val="20"/>
              </w:rPr>
              <w:t>AST</w:t>
            </w:r>
          </w:p>
        </w:tc>
        <w:tc>
          <w:tcPr>
            <w:tcW w:w="6686" w:type="dxa"/>
          </w:tcPr>
          <w:p w14:paraId="097C2D8F" w14:textId="77777777" w:rsidR="004C58C4" w:rsidRPr="004837D9" w:rsidRDefault="004C58C4" w:rsidP="00A50A8A">
            <w:pPr>
              <w:rPr>
                <w:sz w:val="20"/>
                <w:szCs w:val="20"/>
              </w:rPr>
            </w:pPr>
            <w:r w:rsidRPr="004837D9">
              <w:rPr>
                <w:sz w:val="20"/>
                <w:szCs w:val="20"/>
              </w:rPr>
              <w:t xml:space="preserve">Aspartate </w:t>
            </w:r>
            <w:r w:rsidR="00A50A8A">
              <w:rPr>
                <w:sz w:val="20"/>
                <w:szCs w:val="20"/>
              </w:rPr>
              <w:t>aminotransferase</w:t>
            </w:r>
          </w:p>
        </w:tc>
      </w:tr>
      <w:tr w:rsidR="004C58C4" w:rsidRPr="004837D9" w14:paraId="04AA6FB2" w14:textId="77777777" w:rsidTr="00AA35E0">
        <w:tc>
          <w:tcPr>
            <w:tcW w:w="1798" w:type="dxa"/>
          </w:tcPr>
          <w:p w14:paraId="39B15E50" w14:textId="77777777" w:rsidR="004C58C4" w:rsidRPr="004837D9" w:rsidRDefault="004C58C4" w:rsidP="004C58C4">
            <w:pPr>
              <w:rPr>
                <w:sz w:val="20"/>
                <w:szCs w:val="20"/>
              </w:rPr>
            </w:pPr>
            <w:r w:rsidRPr="004837D9">
              <w:rPr>
                <w:sz w:val="20"/>
                <w:szCs w:val="20"/>
              </w:rPr>
              <w:t>AUC</w:t>
            </w:r>
          </w:p>
        </w:tc>
        <w:tc>
          <w:tcPr>
            <w:tcW w:w="6686" w:type="dxa"/>
          </w:tcPr>
          <w:p w14:paraId="647C03CB" w14:textId="77777777" w:rsidR="004C58C4" w:rsidRPr="004837D9" w:rsidRDefault="004C58C4" w:rsidP="004C58C4">
            <w:pPr>
              <w:rPr>
                <w:sz w:val="20"/>
                <w:szCs w:val="20"/>
              </w:rPr>
            </w:pPr>
            <w:r w:rsidRPr="004837D9">
              <w:rPr>
                <w:sz w:val="20"/>
                <w:szCs w:val="20"/>
              </w:rPr>
              <w:t>Area under the curve</w:t>
            </w:r>
          </w:p>
        </w:tc>
      </w:tr>
      <w:tr w:rsidR="004C58C4" w:rsidRPr="004837D9" w14:paraId="267C1E3D" w14:textId="77777777" w:rsidTr="00AA35E0">
        <w:tc>
          <w:tcPr>
            <w:tcW w:w="1798" w:type="dxa"/>
          </w:tcPr>
          <w:p w14:paraId="198BB730" w14:textId="77777777" w:rsidR="004C58C4" w:rsidRPr="004837D9" w:rsidRDefault="004C58C4" w:rsidP="004C58C4">
            <w:pPr>
              <w:rPr>
                <w:sz w:val="20"/>
                <w:szCs w:val="20"/>
              </w:rPr>
            </w:pPr>
            <w:r>
              <w:rPr>
                <w:sz w:val="20"/>
                <w:szCs w:val="20"/>
              </w:rPr>
              <w:t>BG</w:t>
            </w:r>
          </w:p>
        </w:tc>
        <w:tc>
          <w:tcPr>
            <w:tcW w:w="6686" w:type="dxa"/>
          </w:tcPr>
          <w:p w14:paraId="1FFF76C5" w14:textId="77777777" w:rsidR="004C58C4" w:rsidRPr="004837D9" w:rsidRDefault="004C58C4" w:rsidP="004C58C4">
            <w:pPr>
              <w:rPr>
                <w:sz w:val="20"/>
                <w:szCs w:val="20"/>
              </w:rPr>
            </w:pPr>
            <w:r>
              <w:rPr>
                <w:sz w:val="20"/>
                <w:szCs w:val="20"/>
              </w:rPr>
              <w:t>B</w:t>
            </w:r>
            <w:r w:rsidRPr="002B579F">
              <w:rPr>
                <w:sz w:val="20"/>
                <w:szCs w:val="20"/>
              </w:rPr>
              <w:t>endamustine and obinutuzumab</w:t>
            </w:r>
          </w:p>
        </w:tc>
      </w:tr>
      <w:tr w:rsidR="004C58C4" w:rsidRPr="004837D9" w14:paraId="47495A48" w14:textId="77777777" w:rsidTr="00AA35E0">
        <w:tc>
          <w:tcPr>
            <w:tcW w:w="1798" w:type="dxa"/>
          </w:tcPr>
          <w:p w14:paraId="02A0C642" w14:textId="77777777" w:rsidR="004C58C4" w:rsidRDefault="004C58C4" w:rsidP="004C58C4">
            <w:pPr>
              <w:rPr>
                <w:sz w:val="20"/>
                <w:szCs w:val="20"/>
              </w:rPr>
            </w:pPr>
            <w:r>
              <w:rPr>
                <w:sz w:val="20"/>
                <w:szCs w:val="20"/>
              </w:rPr>
              <w:t>BR</w:t>
            </w:r>
          </w:p>
        </w:tc>
        <w:tc>
          <w:tcPr>
            <w:tcW w:w="6686" w:type="dxa"/>
          </w:tcPr>
          <w:p w14:paraId="6CE27903" w14:textId="77777777" w:rsidR="004C58C4" w:rsidRDefault="004C58C4" w:rsidP="004C58C4">
            <w:pPr>
              <w:rPr>
                <w:sz w:val="20"/>
                <w:szCs w:val="20"/>
              </w:rPr>
            </w:pPr>
            <w:r>
              <w:rPr>
                <w:sz w:val="20"/>
                <w:szCs w:val="20"/>
              </w:rPr>
              <w:t>Bendamustine plus rituximab</w:t>
            </w:r>
          </w:p>
        </w:tc>
      </w:tr>
      <w:tr w:rsidR="004C58C4" w:rsidRPr="004837D9" w14:paraId="51E0AD79" w14:textId="77777777" w:rsidTr="00AA35E0">
        <w:tc>
          <w:tcPr>
            <w:tcW w:w="1798" w:type="dxa"/>
          </w:tcPr>
          <w:p w14:paraId="6419662E" w14:textId="77777777" w:rsidR="004C58C4" w:rsidRPr="004837D9" w:rsidRDefault="004C58C4" w:rsidP="004C58C4">
            <w:pPr>
              <w:rPr>
                <w:sz w:val="20"/>
                <w:szCs w:val="20"/>
              </w:rPr>
            </w:pPr>
            <w:r w:rsidRPr="004837D9">
              <w:rPr>
                <w:sz w:val="20"/>
                <w:szCs w:val="20"/>
              </w:rPr>
              <w:t>CI</w:t>
            </w:r>
          </w:p>
        </w:tc>
        <w:tc>
          <w:tcPr>
            <w:tcW w:w="6686" w:type="dxa"/>
          </w:tcPr>
          <w:p w14:paraId="3D71CD60" w14:textId="77777777" w:rsidR="004C58C4" w:rsidRPr="004837D9" w:rsidRDefault="004C58C4" w:rsidP="004C58C4">
            <w:pPr>
              <w:rPr>
                <w:sz w:val="20"/>
                <w:szCs w:val="20"/>
              </w:rPr>
            </w:pPr>
            <w:r w:rsidRPr="004837D9">
              <w:rPr>
                <w:sz w:val="20"/>
                <w:szCs w:val="20"/>
              </w:rPr>
              <w:t>Confidence interval</w:t>
            </w:r>
          </w:p>
        </w:tc>
      </w:tr>
      <w:tr w:rsidR="004C58C4" w:rsidRPr="004837D9" w14:paraId="6C9249DE" w14:textId="77777777" w:rsidTr="00AA35E0">
        <w:tc>
          <w:tcPr>
            <w:tcW w:w="1798" w:type="dxa"/>
          </w:tcPr>
          <w:p w14:paraId="336BCD61" w14:textId="77777777" w:rsidR="004C58C4" w:rsidRPr="004837D9" w:rsidRDefault="004C58C4" w:rsidP="004C58C4">
            <w:pPr>
              <w:rPr>
                <w:sz w:val="20"/>
                <w:szCs w:val="20"/>
              </w:rPr>
            </w:pPr>
            <w:r>
              <w:rPr>
                <w:sz w:val="20"/>
                <w:szCs w:val="20"/>
              </w:rPr>
              <w:t>CLL</w:t>
            </w:r>
          </w:p>
        </w:tc>
        <w:tc>
          <w:tcPr>
            <w:tcW w:w="6686" w:type="dxa"/>
          </w:tcPr>
          <w:p w14:paraId="49B2D496" w14:textId="77777777" w:rsidR="004C58C4" w:rsidRPr="004837D9" w:rsidRDefault="004C58C4" w:rsidP="004C58C4">
            <w:pPr>
              <w:rPr>
                <w:sz w:val="20"/>
                <w:szCs w:val="20"/>
              </w:rPr>
            </w:pPr>
            <w:r>
              <w:rPr>
                <w:sz w:val="20"/>
                <w:szCs w:val="20"/>
              </w:rPr>
              <w:t>Chronic lymphocytic leukaemia</w:t>
            </w:r>
          </w:p>
        </w:tc>
      </w:tr>
      <w:tr w:rsidR="004C58C4" w:rsidRPr="004837D9" w14:paraId="1794C600" w14:textId="77777777" w:rsidTr="00AA35E0">
        <w:tc>
          <w:tcPr>
            <w:tcW w:w="1798" w:type="dxa"/>
          </w:tcPr>
          <w:p w14:paraId="4328BF83" w14:textId="77777777" w:rsidR="004C58C4" w:rsidRPr="004837D9" w:rsidRDefault="004C58C4" w:rsidP="004C58C4">
            <w:pPr>
              <w:rPr>
                <w:sz w:val="20"/>
                <w:szCs w:val="20"/>
              </w:rPr>
            </w:pPr>
            <w:r w:rsidRPr="004837D9">
              <w:rPr>
                <w:sz w:val="20"/>
                <w:szCs w:val="20"/>
              </w:rPr>
              <w:t>CMI</w:t>
            </w:r>
          </w:p>
        </w:tc>
        <w:tc>
          <w:tcPr>
            <w:tcW w:w="6686" w:type="dxa"/>
          </w:tcPr>
          <w:p w14:paraId="0D47D3CB" w14:textId="77777777" w:rsidR="004C58C4" w:rsidRPr="004837D9" w:rsidRDefault="004C58C4" w:rsidP="004C58C4">
            <w:pPr>
              <w:rPr>
                <w:sz w:val="20"/>
                <w:szCs w:val="20"/>
              </w:rPr>
            </w:pPr>
            <w:r w:rsidRPr="004837D9">
              <w:rPr>
                <w:sz w:val="20"/>
                <w:szCs w:val="20"/>
              </w:rPr>
              <w:t>Consumer Medicines Information</w:t>
            </w:r>
          </w:p>
        </w:tc>
      </w:tr>
      <w:tr w:rsidR="004C58C4" w:rsidRPr="004837D9" w14:paraId="0A07B21C" w14:textId="77777777" w:rsidTr="00AA35E0">
        <w:tc>
          <w:tcPr>
            <w:tcW w:w="1798" w:type="dxa"/>
          </w:tcPr>
          <w:p w14:paraId="417CAAC4" w14:textId="77777777" w:rsidR="004C58C4" w:rsidRPr="004837D9" w:rsidRDefault="004C58C4" w:rsidP="004C58C4">
            <w:pPr>
              <w:rPr>
                <w:sz w:val="20"/>
                <w:szCs w:val="20"/>
              </w:rPr>
            </w:pPr>
            <w:r w:rsidRPr="004837D9">
              <w:rPr>
                <w:sz w:val="20"/>
                <w:szCs w:val="20"/>
              </w:rPr>
              <w:t>CR</w:t>
            </w:r>
          </w:p>
        </w:tc>
        <w:tc>
          <w:tcPr>
            <w:tcW w:w="6686" w:type="dxa"/>
          </w:tcPr>
          <w:p w14:paraId="66B006F4" w14:textId="782B931E" w:rsidR="004C58C4" w:rsidRPr="004837D9" w:rsidRDefault="004C58C4" w:rsidP="004C58C4">
            <w:pPr>
              <w:rPr>
                <w:sz w:val="20"/>
                <w:szCs w:val="20"/>
              </w:rPr>
            </w:pPr>
            <w:r w:rsidRPr="004837D9">
              <w:rPr>
                <w:sz w:val="20"/>
                <w:szCs w:val="20"/>
              </w:rPr>
              <w:t xml:space="preserve">Complete </w:t>
            </w:r>
            <w:r w:rsidR="0066462F">
              <w:rPr>
                <w:sz w:val="20"/>
                <w:szCs w:val="20"/>
              </w:rPr>
              <w:t>r</w:t>
            </w:r>
            <w:r w:rsidRPr="004837D9">
              <w:rPr>
                <w:sz w:val="20"/>
                <w:szCs w:val="20"/>
              </w:rPr>
              <w:t>esponse</w:t>
            </w:r>
          </w:p>
        </w:tc>
      </w:tr>
      <w:tr w:rsidR="00E952E0" w:rsidRPr="004837D9" w14:paraId="79CF8BCF" w14:textId="77777777" w:rsidTr="0066462F">
        <w:tc>
          <w:tcPr>
            <w:tcW w:w="1798" w:type="dxa"/>
          </w:tcPr>
          <w:p w14:paraId="6CDDC0D0" w14:textId="2A337A23" w:rsidR="00E952E0" w:rsidRPr="004837D9" w:rsidRDefault="00E952E0" w:rsidP="004C58C4">
            <w:pPr>
              <w:rPr>
                <w:sz w:val="20"/>
                <w:szCs w:val="20"/>
              </w:rPr>
            </w:pPr>
            <w:r>
              <w:rPr>
                <w:sz w:val="20"/>
                <w:szCs w:val="20"/>
              </w:rPr>
              <w:t>CYP</w:t>
            </w:r>
          </w:p>
        </w:tc>
        <w:tc>
          <w:tcPr>
            <w:tcW w:w="6686" w:type="dxa"/>
          </w:tcPr>
          <w:p w14:paraId="123AEE2A" w14:textId="4931E1B9" w:rsidR="00E952E0" w:rsidRPr="004837D9" w:rsidRDefault="00E952E0" w:rsidP="004C58C4">
            <w:pPr>
              <w:rPr>
                <w:sz w:val="20"/>
                <w:szCs w:val="20"/>
              </w:rPr>
            </w:pPr>
            <w:r>
              <w:rPr>
                <w:sz w:val="20"/>
                <w:szCs w:val="20"/>
              </w:rPr>
              <w:t>Cytochrome P40 (enzyme)</w:t>
            </w:r>
          </w:p>
        </w:tc>
      </w:tr>
      <w:tr w:rsidR="004C58C4" w:rsidRPr="004837D9" w14:paraId="50C77359" w14:textId="77777777" w:rsidTr="00AA35E0">
        <w:tc>
          <w:tcPr>
            <w:tcW w:w="1798" w:type="dxa"/>
          </w:tcPr>
          <w:p w14:paraId="64488C20" w14:textId="77777777" w:rsidR="004C58C4" w:rsidRPr="00F32AA9" w:rsidRDefault="004C58C4" w:rsidP="004C58C4">
            <w:pPr>
              <w:rPr>
                <w:sz w:val="20"/>
                <w:szCs w:val="20"/>
              </w:rPr>
            </w:pPr>
            <w:r w:rsidRPr="00F32AA9">
              <w:rPr>
                <w:sz w:val="20"/>
                <w:szCs w:val="20"/>
              </w:rPr>
              <w:t>DLBCL</w:t>
            </w:r>
          </w:p>
        </w:tc>
        <w:tc>
          <w:tcPr>
            <w:tcW w:w="6686" w:type="dxa"/>
          </w:tcPr>
          <w:p w14:paraId="4E348B0E" w14:textId="77777777" w:rsidR="004C58C4" w:rsidRPr="00F32AA9" w:rsidRDefault="004C58C4" w:rsidP="004C58C4">
            <w:pPr>
              <w:rPr>
                <w:sz w:val="20"/>
                <w:szCs w:val="20"/>
                <w:lang w:val="en-US"/>
              </w:rPr>
            </w:pPr>
            <w:r w:rsidRPr="00F32AA9">
              <w:rPr>
                <w:sz w:val="20"/>
                <w:szCs w:val="20"/>
                <w:lang w:val="en-US"/>
              </w:rPr>
              <w:t>Diffuse large B-cell lymphoma</w:t>
            </w:r>
          </w:p>
        </w:tc>
      </w:tr>
      <w:tr w:rsidR="004C58C4" w:rsidRPr="004837D9" w14:paraId="7C149114" w14:textId="77777777" w:rsidTr="00AA35E0">
        <w:tc>
          <w:tcPr>
            <w:tcW w:w="1798" w:type="dxa"/>
          </w:tcPr>
          <w:p w14:paraId="0EA10051" w14:textId="77777777" w:rsidR="004C58C4" w:rsidRPr="00F32AA9" w:rsidRDefault="004C58C4" w:rsidP="004C58C4">
            <w:pPr>
              <w:rPr>
                <w:sz w:val="20"/>
                <w:szCs w:val="20"/>
              </w:rPr>
            </w:pPr>
            <w:r w:rsidRPr="00F32AA9">
              <w:rPr>
                <w:sz w:val="20"/>
                <w:szCs w:val="20"/>
              </w:rPr>
              <w:t>EMA</w:t>
            </w:r>
          </w:p>
        </w:tc>
        <w:tc>
          <w:tcPr>
            <w:tcW w:w="6686" w:type="dxa"/>
          </w:tcPr>
          <w:p w14:paraId="5195D4E1" w14:textId="696631BA" w:rsidR="004C58C4" w:rsidRPr="00F32AA9" w:rsidRDefault="004C58C4" w:rsidP="004C58C4">
            <w:pPr>
              <w:rPr>
                <w:sz w:val="20"/>
                <w:szCs w:val="20"/>
              </w:rPr>
            </w:pPr>
            <w:r w:rsidRPr="00F32AA9">
              <w:rPr>
                <w:sz w:val="20"/>
                <w:szCs w:val="20"/>
              </w:rPr>
              <w:t>European Medicines Agency</w:t>
            </w:r>
            <w:r w:rsidR="0066462F">
              <w:rPr>
                <w:sz w:val="20"/>
                <w:szCs w:val="20"/>
              </w:rPr>
              <w:t xml:space="preserve"> (EU)</w:t>
            </w:r>
          </w:p>
        </w:tc>
      </w:tr>
      <w:tr w:rsidR="0066462F" w:rsidRPr="004837D9" w14:paraId="6FB939B5" w14:textId="77777777" w:rsidTr="0066462F">
        <w:tc>
          <w:tcPr>
            <w:tcW w:w="1798" w:type="dxa"/>
          </w:tcPr>
          <w:p w14:paraId="448A191E" w14:textId="2FE7D436" w:rsidR="0066462F" w:rsidRPr="00F32AA9" w:rsidRDefault="0066462F" w:rsidP="004C58C4">
            <w:pPr>
              <w:rPr>
                <w:sz w:val="20"/>
                <w:szCs w:val="20"/>
              </w:rPr>
            </w:pPr>
            <w:r>
              <w:rPr>
                <w:sz w:val="20"/>
                <w:szCs w:val="20"/>
              </w:rPr>
              <w:t>EU</w:t>
            </w:r>
          </w:p>
        </w:tc>
        <w:tc>
          <w:tcPr>
            <w:tcW w:w="6686" w:type="dxa"/>
          </w:tcPr>
          <w:p w14:paraId="00F26FD7" w14:textId="6BC4D96E" w:rsidR="0066462F" w:rsidRPr="00F32AA9" w:rsidRDefault="0066462F" w:rsidP="004C58C4">
            <w:pPr>
              <w:rPr>
                <w:sz w:val="20"/>
                <w:szCs w:val="20"/>
              </w:rPr>
            </w:pPr>
            <w:r>
              <w:rPr>
                <w:sz w:val="20"/>
                <w:szCs w:val="20"/>
              </w:rPr>
              <w:t>European Union</w:t>
            </w:r>
          </w:p>
        </w:tc>
      </w:tr>
      <w:tr w:rsidR="004C58C4" w:rsidRPr="004837D9" w14:paraId="4A8EBB11" w14:textId="77777777" w:rsidTr="00AA35E0">
        <w:tc>
          <w:tcPr>
            <w:tcW w:w="1798" w:type="dxa"/>
          </w:tcPr>
          <w:p w14:paraId="3C0EA833" w14:textId="77777777" w:rsidR="004C58C4" w:rsidRPr="00F32AA9" w:rsidRDefault="004C58C4" w:rsidP="004C58C4">
            <w:pPr>
              <w:rPr>
                <w:sz w:val="20"/>
                <w:szCs w:val="20"/>
              </w:rPr>
            </w:pPr>
            <w:r w:rsidRPr="00F32AA9">
              <w:rPr>
                <w:sz w:val="20"/>
                <w:szCs w:val="20"/>
              </w:rPr>
              <w:t>FDA</w:t>
            </w:r>
          </w:p>
        </w:tc>
        <w:tc>
          <w:tcPr>
            <w:tcW w:w="6686" w:type="dxa"/>
          </w:tcPr>
          <w:p w14:paraId="195770CA" w14:textId="79D64B8A" w:rsidR="004C58C4" w:rsidRPr="00F32AA9" w:rsidRDefault="004C58C4" w:rsidP="004C58C4">
            <w:pPr>
              <w:rPr>
                <w:sz w:val="20"/>
                <w:szCs w:val="20"/>
              </w:rPr>
            </w:pPr>
            <w:r w:rsidRPr="00F32AA9">
              <w:rPr>
                <w:sz w:val="20"/>
                <w:szCs w:val="20"/>
              </w:rPr>
              <w:t>Food and Drug Administration</w:t>
            </w:r>
            <w:r w:rsidR="0066462F">
              <w:rPr>
                <w:sz w:val="20"/>
                <w:szCs w:val="20"/>
              </w:rPr>
              <w:t xml:space="preserve"> (USA)</w:t>
            </w:r>
          </w:p>
        </w:tc>
      </w:tr>
      <w:tr w:rsidR="004C58C4" w:rsidRPr="004837D9" w14:paraId="5DA6892B" w14:textId="77777777" w:rsidTr="00AA35E0">
        <w:tc>
          <w:tcPr>
            <w:tcW w:w="1798" w:type="dxa"/>
          </w:tcPr>
          <w:p w14:paraId="60AB522A" w14:textId="77777777" w:rsidR="004C58C4" w:rsidRPr="00F32AA9" w:rsidRDefault="004C58C4" w:rsidP="004C58C4">
            <w:pPr>
              <w:rPr>
                <w:sz w:val="20"/>
                <w:szCs w:val="20"/>
              </w:rPr>
            </w:pPr>
            <w:r w:rsidRPr="00F32AA9">
              <w:rPr>
                <w:sz w:val="20"/>
                <w:szCs w:val="20"/>
              </w:rPr>
              <w:t>GCP</w:t>
            </w:r>
          </w:p>
        </w:tc>
        <w:tc>
          <w:tcPr>
            <w:tcW w:w="6686" w:type="dxa"/>
          </w:tcPr>
          <w:p w14:paraId="277C110B" w14:textId="77777777" w:rsidR="004C58C4" w:rsidRPr="00F32AA9" w:rsidRDefault="004C58C4" w:rsidP="004C58C4">
            <w:pPr>
              <w:rPr>
                <w:sz w:val="20"/>
                <w:szCs w:val="20"/>
              </w:rPr>
            </w:pPr>
            <w:r w:rsidRPr="00F32AA9">
              <w:rPr>
                <w:sz w:val="20"/>
                <w:szCs w:val="20"/>
              </w:rPr>
              <w:t>Good Clinical Practice</w:t>
            </w:r>
          </w:p>
        </w:tc>
      </w:tr>
      <w:tr w:rsidR="00A13173" w:rsidRPr="004837D9" w14:paraId="1BF114A0" w14:textId="77777777" w:rsidTr="0066462F">
        <w:tc>
          <w:tcPr>
            <w:tcW w:w="1798" w:type="dxa"/>
          </w:tcPr>
          <w:p w14:paraId="3A694F8F" w14:textId="0AB0F234" w:rsidR="00A13173" w:rsidRPr="00F32AA9" w:rsidRDefault="00A13173" w:rsidP="004C58C4">
            <w:pPr>
              <w:rPr>
                <w:sz w:val="20"/>
                <w:szCs w:val="20"/>
              </w:rPr>
            </w:pPr>
            <w:r>
              <w:rPr>
                <w:sz w:val="20"/>
                <w:szCs w:val="20"/>
              </w:rPr>
              <w:t>HR</w:t>
            </w:r>
          </w:p>
        </w:tc>
        <w:tc>
          <w:tcPr>
            <w:tcW w:w="6686" w:type="dxa"/>
          </w:tcPr>
          <w:p w14:paraId="751E06A0" w14:textId="41487195" w:rsidR="00A13173" w:rsidRPr="00F32AA9" w:rsidRDefault="00A13173" w:rsidP="004C58C4">
            <w:pPr>
              <w:rPr>
                <w:sz w:val="20"/>
                <w:szCs w:val="20"/>
              </w:rPr>
            </w:pPr>
            <w:r>
              <w:rPr>
                <w:sz w:val="20"/>
                <w:szCs w:val="20"/>
              </w:rPr>
              <w:t>Hazard ratio</w:t>
            </w:r>
          </w:p>
        </w:tc>
      </w:tr>
      <w:tr w:rsidR="004C58C4" w:rsidRPr="004837D9" w14:paraId="3BF2AB43" w14:textId="77777777" w:rsidTr="00AA35E0">
        <w:tc>
          <w:tcPr>
            <w:tcW w:w="1798" w:type="dxa"/>
          </w:tcPr>
          <w:p w14:paraId="58E91CF9" w14:textId="77777777" w:rsidR="004C58C4" w:rsidRPr="00F32AA9" w:rsidRDefault="004C58C4" w:rsidP="004C58C4">
            <w:pPr>
              <w:rPr>
                <w:sz w:val="20"/>
                <w:szCs w:val="20"/>
              </w:rPr>
            </w:pPr>
            <w:r w:rsidRPr="00F32AA9">
              <w:rPr>
                <w:sz w:val="20"/>
                <w:szCs w:val="20"/>
              </w:rPr>
              <w:t>HSCT</w:t>
            </w:r>
          </w:p>
        </w:tc>
        <w:tc>
          <w:tcPr>
            <w:tcW w:w="6686" w:type="dxa"/>
          </w:tcPr>
          <w:p w14:paraId="02095AF2" w14:textId="77777777" w:rsidR="004C58C4" w:rsidRPr="00F32AA9" w:rsidRDefault="004C58C4" w:rsidP="004C58C4">
            <w:pPr>
              <w:rPr>
                <w:sz w:val="20"/>
                <w:szCs w:val="20"/>
                <w:lang w:eastAsia="ja-JP"/>
              </w:rPr>
            </w:pPr>
            <w:r w:rsidRPr="00F32AA9">
              <w:rPr>
                <w:sz w:val="20"/>
                <w:szCs w:val="20"/>
                <w:lang w:eastAsia="ja-JP"/>
              </w:rPr>
              <w:t>Haemopoietic stem cell transplantation</w:t>
            </w:r>
          </w:p>
        </w:tc>
      </w:tr>
      <w:tr w:rsidR="00E952E0" w:rsidRPr="004837D9" w14:paraId="79402F8C" w14:textId="77777777" w:rsidTr="0066462F">
        <w:tc>
          <w:tcPr>
            <w:tcW w:w="1798" w:type="dxa"/>
          </w:tcPr>
          <w:p w14:paraId="34A28947" w14:textId="2E6CFB8E" w:rsidR="00E952E0" w:rsidRPr="00F32AA9" w:rsidRDefault="00E952E0" w:rsidP="004C58C4">
            <w:pPr>
              <w:rPr>
                <w:sz w:val="20"/>
                <w:szCs w:val="20"/>
              </w:rPr>
            </w:pPr>
            <w:r>
              <w:rPr>
                <w:sz w:val="20"/>
                <w:szCs w:val="20"/>
              </w:rPr>
              <w:t>IgG1</w:t>
            </w:r>
          </w:p>
        </w:tc>
        <w:tc>
          <w:tcPr>
            <w:tcW w:w="6686" w:type="dxa"/>
          </w:tcPr>
          <w:p w14:paraId="5A79445B" w14:textId="34D63C72" w:rsidR="00E952E0" w:rsidRPr="00F32AA9" w:rsidRDefault="00E952E0" w:rsidP="004C58C4">
            <w:pPr>
              <w:rPr>
                <w:sz w:val="20"/>
                <w:szCs w:val="20"/>
                <w:lang w:eastAsia="ja-JP"/>
              </w:rPr>
            </w:pPr>
            <w:r>
              <w:rPr>
                <w:sz w:val="20"/>
                <w:szCs w:val="20"/>
                <w:lang w:eastAsia="ja-JP"/>
              </w:rPr>
              <w:t>Immunoglobulin G1</w:t>
            </w:r>
          </w:p>
        </w:tc>
      </w:tr>
      <w:tr w:rsidR="004C58C4" w:rsidRPr="004837D9" w14:paraId="3992F7EC" w14:textId="77777777" w:rsidTr="00AA35E0">
        <w:tc>
          <w:tcPr>
            <w:tcW w:w="1798" w:type="dxa"/>
          </w:tcPr>
          <w:p w14:paraId="67A10FC4" w14:textId="77777777" w:rsidR="004C58C4" w:rsidRPr="00F32AA9" w:rsidRDefault="004C58C4" w:rsidP="004C58C4">
            <w:pPr>
              <w:rPr>
                <w:sz w:val="20"/>
                <w:szCs w:val="20"/>
              </w:rPr>
            </w:pPr>
            <w:r w:rsidRPr="00F32AA9">
              <w:rPr>
                <w:sz w:val="20"/>
                <w:szCs w:val="20"/>
              </w:rPr>
              <w:t>IV</w:t>
            </w:r>
          </w:p>
        </w:tc>
        <w:tc>
          <w:tcPr>
            <w:tcW w:w="6686" w:type="dxa"/>
          </w:tcPr>
          <w:p w14:paraId="28E6CEA9" w14:textId="77777777" w:rsidR="004C58C4" w:rsidRPr="00F32AA9" w:rsidRDefault="004C58C4" w:rsidP="004C58C4">
            <w:pPr>
              <w:rPr>
                <w:sz w:val="20"/>
                <w:szCs w:val="20"/>
              </w:rPr>
            </w:pPr>
            <w:r w:rsidRPr="00F32AA9">
              <w:rPr>
                <w:sz w:val="20"/>
                <w:szCs w:val="20"/>
              </w:rPr>
              <w:t>Intravenous</w:t>
            </w:r>
          </w:p>
        </w:tc>
      </w:tr>
      <w:tr w:rsidR="004C58C4" w:rsidRPr="004837D9" w14:paraId="5903DD27" w14:textId="77777777" w:rsidTr="00AA35E0">
        <w:tc>
          <w:tcPr>
            <w:tcW w:w="1798" w:type="dxa"/>
          </w:tcPr>
          <w:p w14:paraId="563DD9FF" w14:textId="77777777" w:rsidR="004C58C4" w:rsidRPr="00F32AA9" w:rsidRDefault="004C58C4" w:rsidP="004C58C4">
            <w:pPr>
              <w:rPr>
                <w:sz w:val="20"/>
                <w:szCs w:val="20"/>
              </w:rPr>
            </w:pPr>
            <w:r w:rsidRPr="00F32AA9">
              <w:rPr>
                <w:sz w:val="20"/>
                <w:szCs w:val="20"/>
              </w:rPr>
              <w:t>MDS</w:t>
            </w:r>
          </w:p>
        </w:tc>
        <w:tc>
          <w:tcPr>
            <w:tcW w:w="6686" w:type="dxa"/>
          </w:tcPr>
          <w:p w14:paraId="1DE0ED7F" w14:textId="77777777" w:rsidR="004C58C4" w:rsidRPr="00F32AA9" w:rsidRDefault="004C58C4" w:rsidP="004C58C4">
            <w:pPr>
              <w:rPr>
                <w:sz w:val="20"/>
                <w:szCs w:val="20"/>
              </w:rPr>
            </w:pPr>
            <w:r w:rsidRPr="00F32AA9">
              <w:rPr>
                <w:sz w:val="20"/>
                <w:szCs w:val="20"/>
              </w:rPr>
              <w:t>Myelodysplastic syndrome</w:t>
            </w:r>
          </w:p>
        </w:tc>
      </w:tr>
      <w:tr w:rsidR="004C58C4" w:rsidRPr="004837D9" w14:paraId="22BDC1C9" w14:textId="77777777" w:rsidTr="00AA35E0">
        <w:tc>
          <w:tcPr>
            <w:tcW w:w="1798" w:type="dxa"/>
          </w:tcPr>
          <w:p w14:paraId="04480DF8" w14:textId="77777777" w:rsidR="004C58C4" w:rsidRPr="00F32AA9" w:rsidRDefault="004C58C4" w:rsidP="004C58C4">
            <w:pPr>
              <w:rPr>
                <w:sz w:val="20"/>
                <w:szCs w:val="20"/>
              </w:rPr>
            </w:pPr>
            <w:r w:rsidRPr="00F32AA9">
              <w:rPr>
                <w:sz w:val="20"/>
                <w:szCs w:val="20"/>
              </w:rPr>
              <w:t>MMAE</w:t>
            </w:r>
          </w:p>
        </w:tc>
        <w:tc>
          <w:tcPr>
            <w:tcW w:w="6686" w:type="dxa"/>
          </w:tcPr>
          <w:p w14:paraId="5B4C8CAD" w14:textId="77777777" w:rsidR="004C58C4" w:rsidRPr="00F32AA9" w:rsidRDefault="004C58C4" w:rsidP="004C58C4">
            <w:pPr>
              <w:rPr>
                <w:sz w:val="20"/>
                <w:szCs w:val="20"/>
              </w:rPr>
            </w:pPr>
            <w:r w:rsidRPr="00F32AA9">
              <w:rPr>
                <w:sz w:val="20"/>
                <w:szCs w:val="20"/>
              </w:rPr>
              <w:t>Monomethyl auristatin E</w:t>
            </w:r>
          </w:p>
        </w:tc>
      </w:tr>
      <w:tr w:rsidR="004C58C4" w:rsidRPr="004837D9" w14:paraId="5AC0ED2F" w14:textId="77777777" w:rsidTr="00AA35E0">
        <w:tc>
          <w:tcPr>
            <w:tcW w:w="1798" w:type="dxa"/>
          </w:tcPr>
          <w:p w14:paraId="64BFF5F0" w14:textId="77777777" w:rsidR="004C58C4" w:rsidRPr="00F32AA9" w:rsidRDefault="004C58C4" w:rsidP="004C58C4">
            <w:pPr>
              <w:rPr>
                <w:sz w:val="20"/>
                <w:szCs w:val="20"/>
              </w:rPr>
            </w:pPr>
            <w:r w:rsidRPr="00F32AA9">
              <w:rPr>
                <w:sz w:val="20"/>
                <w:szCs w:val="20"/>
              </w:rPr>
              <w:lastRenderedPageBreak/>
              <w:t>MRI</w:t>
            </w:r>
          </w:p>
        </w:tc>
        <w:tc>
          <w:tcPr>
            <w:tcW w:w="6686" w:type="dxa"/>
          </w:tcPr>
          <w:p w14:paraId="334AE1B0" w14:textId="3C6DA055" w:rsidR="004C58C4" w:rsidRPr="00F32AA9" w:rsidRDefault="004C58C4" w:rsidP="0066462F">
            <w:pPr>
              <w:rPr>
                <w:sz w:val="20"/>
                <w:szCs w:val="20"/>
              </w:rPr>
            </w:pPr>
            <w:r w:rsidRPr="00F32AA9">
              <w:rPr>
                <w:sz w:val="20"/>
                <w:szCs w:val="20"/>
              </w:rPr>
              <w:t xml:space="preserve">Magnetic </w:t>
            </w:r>
            <w:r w:rsidR="0066462F">
              <w:rPr>
                <w:sz w:val="20"/>
                <w:szCs w:val="20"/>
              </w:rPr>
              <w:t>r</w:t>
            </w:r>
            <w:r w:rsidR="0066462F" w:rsidRPr="00F32AA9">
              <w:rPr>
                <w:sz w:val="20"/>
                <w:szCs w:val="20"/>
              </w:rPr>
              <w:t xml:space="preserve">esonance </w:t>
            </w:r>
            <w:r w:rsidR="0066462F">
              <w:rPr>
                <w:sz w:val="20"/>
                <w:szCs w:val="20"/>
              </w:rPr>
              <w:t>i</w:t>
            </w:r>
            <w:r w:rsidRPr="00F32AA9">
              <w:rPr>
                <w:sz w:val="20"/>
                <w:szCs w:val="20"/>
              </w:rPr>
              <w:t>maging</w:t>
            </w:r>
          </w:p>
        </w:tc>
      </w:tr>
      <w:tr w:rsidR="004C58C4" w:rsidRPr="004837D9" w14:paraId="709A6B88" w14:textId="77777777" w:rsidTr="00AA35E0">
        <w:tc>
          <w:tcPr>
            <w:tcW w:w="1798" w:type="dxa"/>
          </w:tcPr>
          <w:p w14:paraId="36581285" w14:textId="77777777" w:rsidR="004C58C4" w:rsidRPr="00F32AA9" w:rsidRDefault="004C58C4" w:rsidP="004C58C4">
            <w:pPr>
              <w:rPr>
                <w:sz w:val="20"/>
                <w:szCs w:val="20"/>
              </w:rPr>
            </w:pPr>
            <w:r w:rsidRPr="00F32AA9">
              <w:rPr>
                <w:sz w:val="20"/>
                <w:szCs w:val="20"/>
              </w:rPr>
              <w:t>OS</w:t>
            </w:r>
          </w:p>
        </w:tc>
        <w:tc>
          <w:tcPr>
            <w:tcW w:w="6686" w:type="dxa"/>
          </w:tcPr>
          <w:p w14:paraId="6BCB481D" w14:textId="54ACB73E" w:rsidR="004C58C4" w:rsidRPr="00F32AA9" w:rsidRDefault="004C58C4" w:rsidP="004C58C4">
            <w:pPr>
              <w:rPr>
                <w:sz w:val="20"/>
                <w:szCs w:val="20"/>
              </w:rPr>
            </w:pPr>
            <w:r w:rsidRPr="00F32AA9">
              <w:rPr>
                <w:sz w:val="20"/>
                <w:szCs w:val="20"/>
              </w:rPr>
              <w:t xml:space="preserve">Overall </w:t>
            </w:r>
            <w:r w:rsidR="0066462F">
              <w:rPr>
                <w:sz w:val="20"/>
                <w:szCs w:val="20"/>
              </w:rPr>
              <w:t>s</w:t>
            </w:r>
            <w:r w:rsidRPr="00F32AA9">
              <w:rPr>
                <w:sz w:val="20"/>
                <w:szCs w:val="20"/>
              </w:rPr>
              <w:t>urvival</w:t>
            </w:r>
          </w:p>
        </w:tc>
      </w:tr>
      <w:tr w:rsidR="004C58C4" w:rsidRPr="004837D9" w14:paraId="10329DDC" w14:textId="77777777" w:rsidTr="00AA35E0">
        <w:tc>
          <w:tcPr>
            <w:tcW w:w="1798" w:type="dxa"/>
          </w:tcPr>
          <w:p w14:paraId="6F1C28EE" w14:textId="77777777" w:rsidR="004C58C4" w:rsidRPr="00F32AA9" w:rsidRDefault="004C58C4" w:rsidP="004C58C4">
            <w:pPr>
              <w:rPr>
                <w:sz w:val="20"/>
                <w:szCs w:val="20"/>
              </w:rPr>
            </w:pPr>
            <w:r w:rsidRPr="00F32AA9">
              <w:rPr>
                <w:sz w:val="20"/>
                <w:szCs w:val="20"/>
              </w:rPr>
              <w:t>PFS</w:t>
            </w:r>
          </w:p>
        </w:tc>
        <w:tc>
          <w:tcPr>
            <w:tcW w:w="6686" w:type="dxa"/>
          </w:tcPr>
          <w:p w14:paraId="265B1B4A" w14:textId="77777777" w:rsidR="004C58C4" w:rsidRPr="00F32AA9" w:rsidRDefault="004C58C4" w:rsidP="004C58C4">
            <w:pPr>
              <w:rPr>
                <w:sz w:val="20"/>
                <w:szCs w:val="20"/>
              </w:rPr>
            </w:pPr>
            <w:r w:rsidRPr="00F32AA9">
              <w:rPr>
                <w:sz w:val="20"/>
                <w:szCs w:val="20"/>
              </w:rPr>
              <w:t>Progression free survival</w:t>
            </w:r>
          </w:p>
        </w:tc>
      </w:tr>
      <w:tr w:rsidR="004C58C4" w:rsidRPr="004837D9" w14:paraId="2BB0E691" w14:textId="77777777" w:rsidTr="00AA35E0">
        <w:tc>
          <w:tcPr>
            <w:tcW w:w="1798" w:type="dxa"/>
          </w:tcPr>
          <w:p w14:paraId="00DEA857" w14:textId="77777777" w:rsidR="004C58C4" w:rsidRPr="00F32AA9" w:rsidRDefault="004C58C4" w:rsidP="004C58C4">
            <w:pPr>
              <w:rPr>
                <w:sz w:val="20"/>
                <w:szCs w:val="20"/>
              </w:rPr>
            </w:pPr>
            <w:r w:rsidRPr="00F32AA9">
              <w:rPr>
                <w:sz w:val="20"/>
                <w:szCs w:val="20"/>
              </w:rPr>
              <w:t>PI</w:t>
            </w:r>
          </w:p>
        </w:tc>
        <w:tc>
          <w:tcPr>
            <w:tcW w:w="6686" w:type="dxa"/>
          </w:tcPr>
          <w:p w14:paraId="78ECB38B" w14:textId="77777777" w:rsidR="004C58C4" w:rsidRPr="00F32AA9" w:rsidRDefault="004C58C4" w:rsidP="004C58C4">
            <w:pPr>
              <w:rPr>
                <w:sz w:val="20"/>
                <w:szCs w:val="20"/>
              </w:rPr>
            </w:pPr>
            <w:r w:rsidRPr="00F32AA9">
              <w:rPr>
                <w:sz w:val="20"/>
                <w:szCs w:val="20"/>
              </w:rPr>
              <w:t xml:space="preserve">Product Information </w:t>
            </w:r>
          </w:p>
        </w:tc>
      </w:tr>
      <w:tr w:rsidR="004C58C4" w:rsidRPr="004837D9" w14:paraId="09637EAA" w14:textId="77777777" w:rsidTr="00AA35E0">
        <w:tc>
          <w:tcPr>
            <w:tcW w:w="1798" w:type="dxa"/>
          </w:tcPr>
          <w:p w14:paraId="3C8A0C7D" w14:textId="77777777" w:rsidR="004C58C4" w:rsidRPr="00F32AA9" w:rsidRDefault="004C58C4" w:rsidP="004C58C4">
            <w:pPr>
              <w:rPr>
                <w:sz w:val="20"/>
                <w:szCs w:val="20"/>
              </w:rPr>
            </w:pPr>
            <w:r w:rsidRPr="00F32AA9">
              <w:rPr>
                <w:sz w:val="20"/>
                <w:szCs w:val="20"/>
              </w:rPr>
              <w:t>PK</w:t>
            </w:r>
          </w:p>
        </w:tc>
        <w:tc>
          <w:tcPr>
            <w:tcW w:w="6686" w:type="dxa"/>
          </w:tcPr>
          <w:p w14:paraId="170DD9A6" w14:textId="0FA4E2C0" w:rsidR="004C58C4" w:rsidRPr="00F32AA9" w:rsidRDefault="004C58C4" w:rsidP="004C58C4">
            <w:pPr>
              <w:rPr>
                <w:sz w:val="20"/>
                <w:szCs w:val="20"/>
              </w:rPr>
            </w:pPr>
            <w:r w:rsidRPr="00F32AA9">
              <w:rPr>
                <w:sz w:val="20"/>
                <w:szCs w:val="20"/>
              </w:rPr>
              <w:t>Pharmacokinetic</w:t>
            </w:r>
            <w:r w:rsidR="0066462F">
              <w:rPr>
                <w:sz w:val="20"/>
                <w:szCs w:val="20"/>
              </w:rPr>
              <w:t>(</w:t>
            </w:r>
            <w:r w:rsidRPr="00F32AA9">
              <w:rPr>
                <w:sz w:val="20"/>
                <w:szCs w:val="20"/>
              </w:rPr>
              <w:t>s</w:t>
            </w:r>
            <w:r w:rsidR="0066462F">
              <w:rPr>
                <w:sz w:val="20"/>
                <w:szCs w:val="20"/>
              </w:rPr>
              <w:t>)</w:t>
            </w:r>
          </w:p>
        </w:tc>
      </w:tr>
      <w:tr w:rsidR="004C58C4" w:rsidRPr="004837D9" w14:paraId="2EDE02B7" w14:textId="77777777" w:rsidTr="00AA35E0">
        <w:tc>
          <w:tcPr>
            <w:tcW w:w="1798" w:type="dxa"/>
          </w:tcPr>
          <w:p w14:paraId="48FEEC91" w14:textId="77777777" w:rsidR="004C58C4" w:rsidRPr="00F32AA9" w:rsidRDefault="004C58C4" w:rsidP="004C58C4">
            <w:pPr>
              <w:rPr>
                <w:sz w:val="20"/>
                <w:szCs w:val="20"/>
              </w:rPr>
            </w:pPr>
            <w:r w:rsidRPr="00F32AA9">
              <w:rPr>
                <w:sz w:val="20"/>
                <w:szCs w:val="20"/>
              </w:rPr>
              <w:t>PR</w:t>
            </w:r>
          </w:p>
        </w:tc>
        <w:tc>
          <w:tcPr>
            <w:tcW w:w="6686" w:type="dxa"/>
          </w:tcPr>
          <w:p w14:paraId="76C641FA" w14:textId="00FEA19D" w:rsidR="004C58C4" w:rsidRPr="00F32AA9" w:rsidRDefault="004C58C4" w:rsidP="004C58C4">
            <w:pPr>
              <w:rPr>
                <w:sz w:val="20"/>
                <w:szCs w:val="20"/>
              </w:rPr>
            </w:pPr>
            <w:r w:rsidRPr="00F32AA9">
              <w:rPr>
                <w:sz w:val="20"/>
                <w:szCs w:val="20"/>
              </w:rPr>
              <w:t xml:space="preserve">Partial </w:t>
            </w:r>
            <w:r w:rsidR="0066462F">
              <w:rPr>
                <w:sz w:val="20"/>
                <w:szCs w:val="20"/>
              </w:rPr>
              <w:t>r</w:t>
            </w:r>
            <w:r w:rsidRPr="00F32AA9">
              <w:rPr>
                <w:sz w:val="20"/>
                <w:szCs w:val="20"/>
              </w:rPr>
              <w:t>esponse</w:t>
            </w:r>
          </w:p>
        </w:tc>
      </w:tr>
      <w:tr w:rsidR="004C58C4" w:rsidRPr="004837D9" w14:paraId="0F3DF0E2" w14:textId="77777777" w:rsidTr="00AA35E0">
        <w:tc>
          <w:tcPr>
            <w:tcW w:w="1798" w:type="dxa"/>
          </w:tcPr>
          <w:p w14:paraId="161AF9BB" w14:textId="77777777" w:rsidR="004C58C4" w:rsidRPr="00F32AA9" w:rsidRDefault="004C58C4" w:rsidP="004C58C4">
            <w:pPr>
              <w:rPr>
                <w:sz w:val="20"/>
                <w:szCs w:val="20"/>
              </w:rPr>
            </w:pPr>
            <w:r w:rsidRPr="00F32AA9">
              <w:rPr>
                <w:sz w:val="20"/>
                <w:szCs w:val="20"/>
              </w:rPr>
              <w:t>R-CHOP</w:t>
            </w:r>
          </w:p>
        </w:tc>
        <w:tc>
          <w:tcPr>
            <w:tcW w:w="6686" w:type="dxa"/>
          </w:tcPr>
          <w:p w14:paraId="23EB26D8" w14:textId="77777777" w:rsidR="004C58C4" w:rsidRPr="00F32AA9" w:rsidRDefault="004C58C4" w:rsidP="004C58C4">
            <w:pPr>
              <w:rPr>
                <w:sz w:val="20"/>
                <w:szCs w:val="20"/>
              </w:rPr>
            </w:pPr>
            <w:r w:rsidRPr="00F32AA9">
              <w:rPr>
                <w:sz w:val="20"/>
                <w:szCs w:val="20"/>
              </w:rPr>
              <w:t>Rituximab, cyclophosphamide, doxorubicin, vincristine and prednisolone</w:t>
            </w:r>
          </w:p>
        </w:tc>
      </w:tr>
      <w:tr w:rsidR="0066462F" w:rsidRPr="004837D9" w14:paraId="0D2A56F9" w14:textId="77777777" w:rsidTr="0066462F">
        <w:tc>
          <w:tcPr>
            <w:tcW w:w="1798" w:type="dxa"/>
          </w:tcPr>
          <w:p w14:paraId="67116E25" w14:textId="2C573E90" w:rsidR="0066462F" w:rsidRPr="00F32AA9" w:rsidRDefault="0066462F" w:rsidP="004C58C4">
            <w:pPr>
              <w:rPr>
                <w:sz w:val="20"/>
                <w:szCs w:val="20"/>
              </w:rPr>
            </w:pPr>
            <w:r>
              <w:rPr>
                <w:sz w:val="20"/>
                <w:szCs w:val="20"/>
              </w:rPr>
              <w:t>RMP</w:t>
            </w:r>
          </w:p>
        </w:tc>
        <w:tc>
          <w:tcPr>
            <w:tcW w:w="6686" w:type="dxa"/>
          </w:tcPr>
          <w:p w14:paraId="22BB7954" w14:textId="2A07E551" w:rsidR="0066462F" w:rsidRPr="00F32AA9" w:rsidRDefault="0066462F" w:rsidP="004C58C4">
            <w:pPr>
              <w:rPr>
                <w:sz w:val="20"/>
                <w:szCs w:val="20"/>
              </w:rPr>
            </w:pPr>
            <w:r>
              <w:rPr>
                <w:sz w:val="20"/>
                <w:szCs w:val="20"/>
              </w:rPr>
              <w:t>Risk management plan</w:t>
            </w:r>
          </w:p>
        </w:tc>
      </w:tr>
      <w:tr w:rsidR="00E952E0" w:rsidRPr="004837D9" w14:paraId="6A335076" w14:textId="77777777" w:rsidTr="0066462F">
        <w:tc>
          <w:tcPr>
            <w:tcW w:w="1798" w:type="dxa"/>
          </w:tcPr>
          <w:p w14:paraId="296F8B00" w14:textId="4DA2B627" w:rsidR="00E952E0" w:rsidRDefault="00E952E0" w:rsidP="004C58C4">
            <w:pPr>
              <w:rPr>
                <w:sz w:val="20"/>
                <w:szCs w:val="20"/>
              </w:rPr>
            </w:pPr>
            <w:r>
              <w:rPr>
                <w:sz w:val="20"/>
                <w:szCs w:val="20"/>
              </w:rPr>
              <w:t>SCT</w:t>
            </w:r>
          </w:p>
        </w:tc>
        <w:tc>
          <w:tcPr>
            <w:tcW w:w="6686" w:type="dxa"/>
          </w:tcPr>
          <w:p w14:paraId="37343DCA" w14:textId="7632D699" w:rsidR="00E952E0" w:rsidRDefault="00E952E0" w:rsidP="004C58C4">
            <w:pPr>
              <w:rPr>
                <w:sz w:val="20"/>
                <w:szCs w:val="20"/>
              </w:rPr>
            </w:pPr>
            <w:r>
              <w:rPr>
                <w:sz w:val="20"/>
                <w:szCs w:val="20"/>
              </w:rPr>
              <w:t>Stem cell transplant</w:t>
            </w:r>
          </w:p>
        </w:tc>
      </w:tr>
      <w:tr w:rsidR="004C58C4" w:rsidRPr="004837D9" w14:paraId="4F2C7927" w14:textId="77777777" w:rsidTr="00AA35E0">
        <w:tc>
          <w:tcPr>
            <w:tcW w:w="1798" w:type="dxa"/>
          </w:tcPr>
          <w:p w14:paraId="564EBB5B" w14:textId="77777777" w:rsidR="004C58C4" w:rsidRPr="00F32AA9" w:rsidRDefault="004C58C4" w:rsidP="004C58C4">
            <w:pPr>
              <w:rPr>
                <w:sz w:val="20"/>
                <w:szCs w:val="20"/>
              </w:rPr>
            </w:pPr>
            <w:r w:rsidRPr="00F32AA9">
              <w:rPr>
                <w:sz w:val="20"/>
                <w:szCs w:val="20"/>
              </w:rPr>
              <w:t>TGA</w:t>
            </w:r>
          </w:p>
        </w:tc>
        <w:tc>
          <w:tcPr>
            <w:tcW w:w="6686" w:type="dxa"/>
          </w:tcPr>
          <w:p w14:paraId="2576872C" w14:textId="77777777" w:rsidR="004C58C4" w:rsidRPr="00F32AA9" w:rsidRDefault="004C58C4" w:rsidP="004C58C4">
            <w:pPr>
              <w:rPr>
                <w:sz w:val="20"/>
                <w:szCs w:val="20"/>
              </w:rPr>
            </w:pPr>
            <w:r w:rsidRPr="00F32AA9">
              <w:rPr>
                <w:sz w:val="20"/>
                <w:szCs w:val="20"/>
              </w:rPr>
              <w:t>Therapeutic Goods Administration</w:t>
            </w:r>
          </w:p>
        </w:tc>
      </w:tr>
      <w:tr w:rsidR="0066462F" w:rsidRPr="004837D9" w14:paraId="133BF12F" w14:textId="77777777" w:rsidTr="0066462F">
        <w:tc>
          <w:tcPr>
            <w:tcW w:w="1798" w:type="dxa"/>
          </w:tcPr>
          <w:p w14:paraId="2FFA988D" w14:textId="7DA04F4B" w:rsidR="0066462F" w:rsidRPr="00F32AA9" w:rsidRDefault="0066462F" w:rsidP="004C58C4">
            <w:pPr>
              <w:rPr>
                <w:sz w:val="20"/>
                <w:szCs w:val="20"/>
              </w:rPr>
            </w:pPr>
            <w:r>
              <w:rPr>
                <w:sz w:val="20"/>
                <w:szCs w:val="20"/>
              </w:rPr>
              <w:t>USA</w:t>
            </w:r>
          </w:p>
        </w:tc>
        <w:tc>
          <w:tcPr>
            <w:tcW w:w="6686" w:type="dxa"/>
          </w:tcPr>
          <w:p w14:paraId="3BBB15B1" w14:textId="0A0EEB6F" w:rsidR="0066462F" w:rsidRPr="00F32AA9" w:rsidRDefault="0066462F" w:rsidP="004C58C4">
            <w:pPr>
              <w:rPr>
                <w:sz w:val="20"/>
                <w:szCs w:val="20"/>
              </w:rPr>
            </w:pPr>
            <w:r>
              <w:rPr>
                <w:sz w:val="20"/>
                <w:szCs w:val="20"/>
              </w:rPr>
              <w:t>United States of America</w:t>
            </w:r>
          </w:p>
        </w:tc>
      </w:tr>
    </w:tbl>
    <w:p w14:paraId="7830A2A8" w14:textId="77777777" w:rsidR="00FD119B" w:rsidRPr="00FD119B" w:rsidRDefault="00FD119B" w:rsidP="00FD119B">
      <w:pPr>
        <w:spacing w:before="0" w:after="200" w:line="0" w:lineRule="auto"/>
        <w:rPr>
          <w:b/>
          <w:i/>
          <w:sz w:val="24"/>
          <w:szCs w:val="24"/>
        </w:rPr>
      </w:pPr>
      <w:r w:rsidRPr="00FD119B">
        <w:rPr>
          <w:b/>
          <w:i/>
          <w:sz w:val="24"/>
          <w:szCs w:val="24"/>
        </w:rPr>
        <w:br w:type="page"/>
      </w:r>
    </w:p>
    <w:p w14:paraId="7CDD10E5" w14:textId="77777777" w:rsidR="008E7846" w:rsidRDefault="00F53C07" w:rsidP="008E7846">
      <w:pPr>
        <w:pStyle w:val="Heading2"/>
      </w:pPr>
      <w:bookmarkStart w:id="9" w:name="_Toc28858546"/>
      <w:r>
        <w:lastRenderedPageBreak/>
        <w:t>I.</w:t>
      </w:r>
      <w:r w:rsidR="008E7846">
        <w:t xml:space="preserve"> Introduction to product submission</w:t>
      </w:r>
      <w:bookmarkEnd w:id="9"/>
      <w:bookmarkEnd w:id="3"/>
      <w:bookmarkEnd w:id="1"/>
    </w:p>
    <w:p w14:paraId="47DE29C9" w14:textId="77777777" w:rsidR="008E7846" w:rsidRDefault="008E7846" w:rsidP="008E7846">
      <w:pPr>
        <w:pStyle w:val="Heading3"/>
        <w:rPr>
          <w:lang w:eastAsia="en-AU"/>
        </w:rPr>
      </w:pPr>
      <w:bookmarkStart w:id="10" w:name="_Toc247691502"/>
      <w:bookmarkStart w:id="11" w:name="_Toc314842483"/>
      <w:bookmarkStart w:id="12" w:name="_Toc28858547"/>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69834B2C" w14:textId="77777777" w:rsidTr="003735BC">
        <w:tc>
          <w:tcPr>
            <w:tcW w:w="2907" w:type="dxa"/>
          </w:tcPr>
          <w:p w14:paraId="30F5E2F4"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641089CC" w14:textId="77777777" w:rsidR="008E7846" w:rsidRPr="003D1E62" w:rsidRDefault="008E7846" w:rsidP="004C58C4">
            <w:r w:rsidRPr="003D1E62">
              <w:t xml:space="preserve">New </w:t>
            </w:r>
            <w:r w:rsidR="004C58C4">
              <w:t>biological</w:t>
            </w:r>
            <w:r w:rsidRPr="003D1E62">
              <w:t xml:space="preserve"> </w:t>
            </w:r>
            <w:r w:rsidR="001B5C90">
              <w:t>e</w:t>
            </w:r>
            <w:r w:rsidR="00E71904">
              <w:t>ntity</w:t>
            </w:r>
          </w:p>
        </w:tc>
      </w:tr>
      <w:tr w:rsidR="008E7846" w:rsidRPr="003D1E62" w14:paraId="2299AF64" w14:textId="77777777" w:rsidTr="003735BC">
        <w:tc>
          <w:tcPr>
            <w:tcW w:w="2907" w:type="dxa"/>
          </w:tcPr>
          <w:p w14:paraId="6CE7BEAF" w14:textId="77777777" w:rsidR="008E7846" w:rsidRPr="003D1E62" w:rsidRDefault="008E7846" w:rsidP="003D1E62">
            <w:r w:rsidRPr="003D1E62">
              <w:rPr>
                <w:i/>
              </w:rPr>
              <w:t>Decision</w:t>
            </w:r>
            <w:r w:rsidRPr="003D1E62">
              <w:t>:</w:t>
            </w:r>
          </w:p>
        </w:tc>
        <w:tc>
          <w:tcPr>
            <w:tcW w:w="6307" w:type="dxa"/>
          </w:tcPr>
          <w:p w14:paraId="118B2867" w14:textId="77777777" w:rsidR="008E7846" w:rsidRPr="003D1E62" w:rsidRDefault="00E71904" w:rsidP="00E71904">
            <w:r>
              <w:t>Approved</w:t>
            </w:r>
          </w:p>
        </w:tc>
      </w:tr>
      <w:tr w:rsidR="00E71904" w:rsidRPr="003D1E62" w14:paraId="6D524650" w14:textId="77777777" w:rsidTr="003735BC">
        <w:tc>
          <w:tcPr>
            <w:tcW w:w="2907" w:type="dxa"/>
          </w:tcPr>
          <w:p w14:paraId="7CEA5D1A" w14:textId="77777777" w:rsidR="00E71904" w:rsidRPr="003D1E62" w:rsidRDefault="00E71904" w:rsidP="00E71904">
            <w:pPr>
              <w:rPr>
                <w:i/>
              </w:rPr>
            </w:pPr>
            <w:r w:rsidRPr="003D1E62">
              <w:rPr>
                <w:i/>
              </w:rPr>
              <w:t xml:space="preserve">Date of </w:t>
            </w:r>
            <w:r>
              <w:rPr>
                <w:i/>
              </w:rPr>
              <w:t>d</w:t>
            </w:r>
            <w:r w:rsidRPr="003D1E62">
              <w:rPr>
                <w:i/>
              </w:rPr>
              <w:t>ecision:</w:t>
            </w:r>
          </w:p>
        </w:tc>
        <w:tc>
          <w:tcPr>
            <w:tcW w:w="6307" w:type="dxa"/>
          </w:tcPr>
          <w:p w14:paraId="46029D1D" w14:textId="77777777" w:rsidR="00E71904" w:rsidRDefault="00E71904" w:rsidP="00E71904">
            <w:pPr>
              <w:spacing w:before="0" w:after="200" w:line="276" w:lineRule="auto"/>
              <w:rPr>
                <w:rFonts w:eastAsia="Calibri"/>
              </w:rPr>
            </w:pPr>
            <w:r>
              <w:rPr>
                <w:rFonts w:cs="Cambria"/>
                <w:lang w:eastAsia="en-AU"/>
              </w:rPr>
              <w:t>18 October 2019</w:t>
            </w:r>
          </w:p>
        </w:tc>
      </w:tr>
      <w:tr w:rsidR="00E71904" w:rsidRPr="003D1E62" w14:paraId="08D12215" w14:textId="77777777" w:rsidTr="003735BC">
        <w:tc>
          <w:tcPr>
            <w:tcW w:w="2907" w:type="dxa"/>
          </w:tcPr>
          <w:p w14:paraId="086050AB" w14:textId="77777777" w:rsidR="00E71904" w:rsidRPr="00441C3F" w:rsidRDefault="00E71904" w:rsidP="00E71904">
            <w:pPr>
              <w:rPr>
                <w:i/>
              </w:rPr>
            </w:pPr>
            <w:r w:rsidRPr="00441C3F">
              <w:rPr>
                <w:i/>
              </w:rPr>
              <w:t>Date of entry onto ARTG</w:t>
            </w:r>
            <w:r>
              <w:rPr>
                <w:i/>
              </w:rPr>
              <w:t>:</w:t>
            </w:r>
          </w:p>
        </w:tc>
        <w:tc>
          <w:tcPr>
            <w:tcW w:w="6307" w:type="dxa"/>
          </w:tcPr>
          <w:p w14:paraId="72036F48" w14:textId="77777777" w:rsidR="00E71904" w:rsidRDefault="00E71904" w:rsidP="00E71904">
            <w:pPr>
              <w:spacing w:before="0" w:after="200" w:line="276" w:lineRule="auto"/>
              <w:rPr>
                <w:rFonts w:eastAsia="Calibri"/>
              </w:rPr>
            </w:pPr>
            <w:r>
              <w:rPr>
                <w:rFonts w:eastAsia="Calibri"/>
              </w:rPr>
              <w:t>21 October 2019</w:t>
            </w:r>
          </w:p>
        </w:tc>
      </w:tr>
      <w:tr w:rsidR="00E71904" w:rsidRPr="003D1E62" w14:paraId="105B3EF5" w14:textId="77777777" w:rsidTr="003735BC">
        <w:tc>
          <w:tcPr>
            <w:tcW w:w="2907" w:type="dxa"/>
          </w:tcPr>
          <w:p w14:paraId="5A153C18" w14:textId="6CACF92A" w:rsidR="00E71904" w:rsidRPr="00441C3F" w:rsidRDefault="00E71904" w:rsidP="00E71904">
            <w:pPr>
              <w:rPr>
                <w:i/>
              </w:rPr>
            </w:pPr>
            <w:r>
              <w:rPr>
                <w:i/>
              </w:rPr>
              <w:t>ARTG number:</w:t>
            </w:r>
          </w:p>
        </w:tc>
        <w:tc>
          <w:tcPr>
            <w:tcW w:w="6307" w:type="dxa"/>
          </w:tcPr>
          <w:p w14:paraId="7BAF54F5" w14:textId="77777777" w:rsidR="00E71904" w:rsidRPr="00D75678" w:rsidRDefault="00E71904" w:rsidP="00E71904">
            <w:pPr>
              <w:spacing w:before="0" w:after="200" w:line="276" w:lineRule="auto"/>
              <w:rPr>
                <w:rFonts w:eastAsia="Calibri"/>
              </w:rPr>
            </w:pPr>
            <w:r w:rsidRPr="007D371D">
              <w:rPr>
                <w:rFonts w:eastAsia="Calibri"/>
              </w:rPr>
              <w:t>314866</w:t>
            </w:r>
          </w:p>
        </w:tc>
      </w:tr>
      <w:tr w:rsidR="00E71904" w:rsidRPr="003D1E62" w14:paraId="4A13DFAA" w14:textId="77777777" w:rsidTr="003735BC">
        <w:tc>
          <w:tcPr>
            <w:tcW w:w="2907" w:type="dxa"/>
          </w:tcPr>
          <w:p w14:paraId="178AEB8A" w14:textId="77777777" w:rsidR="00E71904" w:rsidRDefault="00E71904" w:rsidP="00E71904">
            <w:pPr>
              <w:rPr>
                <w:i/>
              </w:rPr>
            </w:pPr>
            <w:r>
              <w:rPr>
                <w:rFonts w:ascii="Wingdings 3" w:hAnsi="Wingdings 3"/>
                <w:sz w:val="34"/>
                <w:szCs w:val="34"/>
                <w:lang w:eastAsia="en-AU"/>
              </w:rPr>
              <w:t></w:t>
            </w:r>
            <w:r w:rsidRPr="003735BC">
              <w:rPr>
                <w:i/>
              </w:rPr>
              <w:t>Black Triangle Scheme</w:t>
            </w:r>
          </w:p>
        </w:tc>
        <w:tc>
          <w:tcPr>
            <w:tcW w:w="6307" w:type="dxa"/>
          </w:tcPr>
          <w:p w14:paraId="477AB8E4" w14:textId="77777777" w:rsidR="00E71904" w:rsidRPr="00487162" w:rsidRDefault="00E71904" w:rsidP="00E71904">
            <w:r w:rsidRPr="00E71904">
              <w:t>Yes. This product will remain in the scheme for 5 years, starting on the date the product is first supplied in Australia</w:t>
            </w:r>
          </w:p>
        </w:tc>
      </w:tr>
      <w:tr w:rsidR="008E7846" w:rsidRPr="00487162" w14:paraId="1458C9F0" w14:textId="77777777" w:rsidTr="00BF1190">
        <w:tc>
          <w:tcPr>
            <w:tcW w:w="2907" w:type="dxa"/>
          </w:tcPr>
          <w:p w14:paraId="5EEC99C3" w14:textId="42DFAF14" w:rsidR="008E7846" w:rsidRPr="00487162" w:rsidRDefault="001B5C90" w:rsidP="00E45619">
            <w:pPr>
              <w:rPr>
                <w:i/>
              </w:rPr>
            </w:pPr>
            <w:r>
              <w:rPr>
                <w:i/>
              </w:rPr>
              <w:t>Active ingredient:</w:t>
            </w:r>
          </w:p>
        </w:tc>
        <w:tc>
          <w:tcPr>
            <w:tcW w:w="6307" w:type="dxa"/>
          </w:tcPr>
          <w:p w14:paraId="35D3AB20" w14:textId="77777777" w:rsidR="008E7846" w:rsidRPr="00487162" w:rsidRDefault="00E71904" w:rsidP="00E55CB0">
            <w:r>
              <w:t>Polatuzumab vedotin</w:t>
            </w:r>
          </w:p>
        </w:tc>
      </w:tr>
      <w:tr w:rsidR="008E7846" w:rsidRPr="00487162" w14:paraId="083DE8BB" w14:textId="77777777" w:rsidTr="00BF1190">
        <w:tc>
          <w:tcPr>
            <w:tcW w:w="2907" w:type="dxa"/>
          </w:tcPr>
          <w:p w14:paraId="2D47B177" w14:textId="1A4C5E9F" w:rsidR="008E7846" w:rsidRPr="00487162" w:rsidRDefault="008E7846" w:rsidP="001B5C90">
            <w:pPr>
              <w:rPr>
                <w:i/>
              </w:rPr>
            </w:pPr>
            <w:r w:rsidRPr="00487162">
              <w:rPr>
                <w:i/>
              </w:rPr>
              <w:t>Product</w:t>
            </w:r>
            <w:r w:rsidR="001B5C90">
              <w:rPr>
                <w:i/>
              </w:rPr>
              <w:t xml:space="preserve"> name:</w:t>
            </w:r>
          </w:p>
        </w:tc>
        <w:tc>
          <w:tcPr>
            <w:tcW w:w="6307" w:type="dxa"/>
          </w:tcPr>
          <w:p w14:paraId="326FDB54" w14:textId="77777777" w:rsidR="008E7846" w:rsidRPr="00487162" w:rsidRDefault="00E71904" w:rsidP="00E70D40">
            <w:r w:rsidRPr="00E71904">
              <w:t>Polivy</w:t>
            </w:r>
          </w:p>
        </w:tc>
      </w:tr>
      <w:tr w:rsidR="008E7846" w:rsidRPr="00487162" w14:paraId="1BD1538E" w14:textId="77777777" w:rsidTr="00BF1190">
        <w:tc>
          <w:tcPr>
            <w:tcW w:w="2907" w:type="dxa"/>
          </w:tcPr>
          <w:p w14:paraId="4A15FEC9"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48DC4F58" w14:textId="77777777" w:rsidR="00E71904" w:rsidRDefault="00E71904" w:rsidP="00E71904">
            <w:r>
              <w:t>Roche Products Pty Limited</w:t>
            </w:r>
          </w:p>
          <w:p w14:paraId="46DCB324" w14:textId="77777777" w:rsidR="008E7846" w:rsidRPr="00487162" w:rsidRDefault="00E71904" w:rsidP="00E71904">
            <w:r w:rsidRPr="0038169E">
              <w:t>30-34 Hickson Road, Sydney NSW 2000</w:t>
            </w:r>
          </w:p>
        </w:tc>
      </w:tr>
      <w:tr w:rsidR="00E71904" w:rsidRPr="00487162" w14:paraId="5CD53618" w14:textId="77777777" w:rsidTr="00BF1190">
        <w:tc>
          <w:tcPr>
            <w:tcW w:w="2907" w:type="dxa"/>
          </w:tcPr>
          <w:p w14:paraId="487F4281" w14:textId="7ED6B0C1" w:rsidR="00E71904" w:rsidRPr="00487162" w:rsidRDefault="00E71904" w:rsidP="00E71904">
            <w:pPr>
              <w:rPr>
                <w:i/>
              </w:rPr>
            </w:pPr>
            <w:r>
              <w:rPr>
                <w:i/>
              </w:rPr>
              <w:t>Dose form:</w:t>
            </w:r>
          </w:p>
        </w:tc>
        <w:tc>
          <w:tcPr>
            <w:tcW w:w="6307" w:type="dxa"/>
          </w:tcPr>
          <w:p w14:paraId="5527397C" w14:textId="77777777" w:rsidR="00E71904" w:rsidRDefault="00E71904" w:rsidP="00E71904">
            <w:pPr>
              <w:rPr>
                <w:rFonts w:eastAsia="Calibri"/>
              </w:rPr>
            </w:pPr>
            <w:r>
              <w:rPr>
                <w:lang w:eastAsia="en-AU"/>
              </w:rPr>
              <w:t>Powder for injection</w:t>
            </w:r>
            <w:r>
              <w:rPr>
                <w:rFonts w:eastAsia="Calibri"/>
              </w:rPr>
              <w:t xml:space="preserve"> </w:t>
            </w:r>
          </w:p>
        </w:tc>
      </w:tr>
      <w:tr w:rsidR="00E71904" w:rsidRPr="00487162" w14:paraId="03E9684F" w14:textId="77777777" w:rsidTr="00BF1190">
        <w:tc>
          <w:tcPr>
            <w:tcW w:w="2907" w:type="dxa"/>
          </w:tcPr>
          <w:p w14:paraId="7A890DB5" w14:textId="1AB90BB5" w:rsidR="00E71904" w:rsidRPr="00487162" w:rsidRDefault="00E71904" w:rsidP="00E71904">
            <w:pPr>
              <w:rPr>
                <w:i/>
              </w:rPr>
            </w:pPr>
            <w:r w:rsidRPr="00487162">
              <w:rPr>
                <w:i/>
              </w:rPr>
              <w:t>Strength:</w:t>
            </w:r>
          </w:p>
        </w:tc>
        <w:tc>
          <w:tcPr>
            <w:tcW w:w="6307" w:type="dxa"/>
          </w:tcPr>
          <w:p w14:paraId="76DFD488" w14:textId="77777777" w:rsidR="00E71904" w:rsidRDefault="00E71904" w:rsidP="00AA35E0">
            <w:r>
              <w:t>140 mg/mL</w:t>
            </w:r>
          </w:p>
        </w:tc>
      </w:tr>
      <w:tr w:rsidR="00E71904" w:rsidRPr="00487162" w14:paraId="35B3C8D7" w14:textId="77777777" w:rsidTr="00BF1190">
        <w:tc>
          <w:tcPr>
            <w:tcW w:w="2907" w:type="dxa"/>
          </w:tcPr>
          <w:p w14:paraId="2C535EC4" w14:textId="4802DF31" w:rsidR="00E71904" w:rsidRPr="00487162" w:rsidRDefault="00E71904" w:rsidP="00E71904">
            <w:pPr>
              <w:rPr>
                <w:i/>
              </w:rPr>
            </w:pPr>
            <w:r w:rsidRPr="00487162">
              <w:rPr>
                <w:i/>
              </w:rPr>
              <w:t>Container:</w:t>
            </w:r>
          </w:p>
        </w:tc>
        <w:tc>
          <w:tcPr>
            <w:tcW w:w="6307" w:type="dxa"/>
          </w:tcPr>
          <w:p w14:paraId="1567444C" w14:textId="77777777" w:rsidR="00E71904" w:rsidRDefault="00E71904" w:rsidP="00E71904">
            <w:pPr>
              <w:rPr>
                <w:szCs w:val="20"/>
                <w:highlight w:val="lightGray"/>
              </w:rPr>
            </w:pPr>
            <w:r>
              <w:rPr>
                <w:rFonts w:eastAsia="Calibri"/>
              </w:rPr>
              <w:t>Vial</w:t>
            </w:r>
          </w:p>
        </w:tc>
      </w:tr>
      <w:tr w:rsidR="008E7846" w:rsidRPr="00487162" w14:paraId="6189FCF2" w14:textId="77777777" w:rsidTr="00BF1190">
        <w:tc>
          <w:tcPr>
            <w:tcW w:w="2907" w:type="dxa"/>
          </w:tcPr>
          <w:p w14:paraId="4D2CA08B" w14:textId="31393CBC" w:rsidR="008E7846" w:rsidRPr="00487162" w:rsidRDefault="008E7846" w:rsidP="00E45619">
            <w:pPr>
              <w:rPr>
                <w:i/>
              </w:rPr>
            </w:pPr>
            <w:r w:rsidRPr="00487162">
              <w:rPr>
                <w:i/>
              </w:rPr>
              <w:t>Pack size:</w:t>
            </w:r>
          </w:p>
        </w:tc>
        <w:tc>
          <w:tcPr>
            <w:tcW w:w="6307" w:type="dxa"/>
          </w:tcPr>
          <w:p w14:paraId="4417D66D" w14:textId="77777777" w:rsidR="008E7846" w:rsidRPr="00487162" w:rsidRDefault="00E71904" w:rsidP="00E45619">
            <w:r>
              <w:t>1</w:t>
            </w:r>
          </w:p>
        </w:tc>
      </w:tr>
      <w:tr w:rsidR="008E7846" w:rsidRPr="00487162" w14:paraId="1D6338C3" w14:textId="77777777" w:rsidTr="00BF1190">
        <w:tc>
          <w:tcPr>
            <w:tcW w:w="2907" w:type="dxa"/>
          </w:tcPr>
          <w:p w14:paraId="05B9B898"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0EB492E" w14:textId="77777777" w:rsidR="008E7846" w:rsidRPr="00487162" w:rsidRDefault="00E71904" w:rsidP="00E71904">
            <w:pPr>
              <w:rPr>
                <w:rFonts w:eastAsia="MS Mincho"/>
                <w:lang w:eastAsia="ja-JP"/>
              </w:rPr>
            </w:pPr>
            <w:r w:rsidRPr="007B3181">
              <w:rPr>
                <w:i/>
                <w:lang w:eastAsia="en-AU"/>
              </w:rPr>
              <w:t>Polivy in combination with bendamustine and rituximab is indicated for the treatment of previously treated adult patients with diffuse large B-cell lymphoma who are not candidates for hematopoietic stem cell transplant.</w:t>
            </w:r>
          </w:p>
        </w:tc>
      </w:tr>
      <w:tr w:rsidR="008E7846" w:rsidRPr="00487162" w14:paraId="642D9828" w14:textId="77777777" w:rsidTr="00BF1190">
        <w:tc>
          <w:tcPr>
            <w:tcW w:w="2907" w:type="dxa"/>
          </w:tcPr>
          <w:p w14:paraId="02855C86" w14:textId="7BDBBB48" w:rsidR="008E7846" w:rsidRPr="00487162" w:rsidRDefault="008E7846" w:rsidP="00E45619">
            <w:pPr>
              <w:rPr>
                <w:i/>
              </w:rPr>
            </w:pPr>
            <w:r w:rsidRPr="00487162">
              <w:rPr>
                <w:i/>
              </w:rPr>
              <w:t>Route of administration:</w:t>
            </w:r>
          </w:p>
        </w:tc>
        <w:tc>
          <w:tcPr>
            <w:tcW w:w="6307" w:type="dxa"/>
          </w:tcPr>
          <w:p w14:paraId="513B1F53" w14:textId="77777777" w:rsidR="008E7846" w:rsidRPr="00487162" w:rsidRDefault="00E71904" w:rsidP="00E71904">
            <w:r>
              <w:t>Intravenous infusion (IV)</w:t>
            </w:r>
          </w:p>
        </w:tc>
      </w:tr>
      <w:tr w:rsidR="008E7846" w:rsidRPr="00487162" w14:paraId="7C20244B" w14:textId="77777777" w:rsidTr="00BF1190">
        <w:tc>
          <w:tcPr>
            <w:tcW w:w="2907" w:type="dxa"/>
          </w:tcPr>
          <w:p w14:paraId="443321AE" w14:textId="77777777" w:rsidR="008E7846" w:rsidRPr="00487162" w:rsidRDefault="008E7846" w:rsidP="00E45619">
            <w:pPr>
              <w:rPr>
                <w:i/>
              </w:rPr>
            </w:pPr>
            <w:r w:rsidRPr="00487162">
              <w:rPr>
                <w:i/>
              </w:rPr>
              <w:t>Dosage:</w:t>
            </w:r>
          </w:p>
        </w:tc>
        <w:tc>
          <w:tcPr>
            <w:tcW w:w="6307" w:type="dxa"/>
          </w:tcPr>
          <w:p w14:paraId="789FE04E" w14:textId="77777777" w:rsidR="00E71904" w:rsidRPr="002F4BD6" w:rsidRDefault="00E71904" w:rsidP="00E71904">
            <w:pPr>
              <w:spacing w:before="0" w:after="200" w:line="276" w:lineRule="auto"/>
              <w:rPr>
                <w:rFonts w:eastAsia="Calibri"/>
              </w:rPr>
            </w:pPr>
            <w:r w:rsidRPr="002F4BD6">
              <w:t>The recommended dose of Polivy is 1.8 mg/kg given as an intravenous infusion every 21 days in combination with bendamustine and rituximab for 6 cycles.</w:t>
            </w:r>
          </w:p>
          <w:p w14:paraId="286D1735" w14:textId="054F7EE9" w:rsidR="008E7846" w:rsidRPr="00487162" w:rsidRDefault="00E71904" w:rsidP="00E71904">
            <w:r w:rsidRPr="002F4BD6">
              <w:rPr>
                <w:rFonts w:eastAsia="Calibri"/>
              </w:rPr>
              <w:t>For further information refer to the Product Information</w:t>
            </w:r>
            <w:r w:rsidR="0066462F">
              <w:rPr>
                <w:rFonts w:eastAsia="Calibri"/>
              </w:rPr>
              <w:t xml:space="preserve"> (PI)</w:t>
            </w:r>
            <w:r w:rsidRPr="002F4BD6">
              <w:rPr>
                <w:rFonts w:eastAsia="Calibri"/>
              </w:rPr>
              <w:t>.</w:t>
            </w:r>
          </w:p>
        </w:tc>
      </w:tr>
    </w:tbl>
    <w:p w14:paraId="781D3B7E" w14:textId="77777777" w:rsidR="008E7846" w:rsidRDefault="008E7846" w:rsidP="008E7846">
      <w:pPr>
        <w:pStyle w:val="Heading3"/>
      </w:pPr>
      <w:bookmarkStart w:id="13" w:name="_Toc247691503"/>
      <w:bookmarkStart w:id="14" w:name="_Toc314842484"/>
      <w:bookmarkStart w:id="15" w:name="_Toc28858548"/>
      <w:r>
        <w:t>Product background</w:t>
      </w:r>
      <w:bookmarkEnd w:id="13"/>
      <w:bookmarkEnd w:id="14"/>
      <w:bookmarkEnd w:id="15"/>
    </w:p>
    <w:p w14:paraId="1480407F" w14:textId="772FF178" w:rsidR="004C58C4" w:rsidRPr="004C58C4" w:rsidRDefault="004C58C4" w:rsidP="004C58C4">
      <w:bookmarkStart w:id="16" w:name="_Toc314842485"/>
      <w:bookmarkStart w:id="17" w:name="_Toc247691504"/>
      <w:r w:rsidRPr="004C58C4">
        <w:t>This AusPAR describes</w:t>
      </w:r>
      <w:r w:rsidR="00164EB6">
        <w:t xml:space="preserve"> the application by the sponsor, </w:t>
      </w:r>
      <w:r>
        <w:t>Roche Products Pty Ltd</w:t>
      </w:r>
      <w:r w:rsidR="0066462F">
        <w:t>,</w:t>
      </w:r>
      <w:r>
        <w:t xml:space="preserve"> </w:t>
      </w:r>
      <w:r w:rsidRPr="004C58C4">
        <w:t xml:space="preserve">to register the new biological entity </w:t>
      </w:r>
      <w:r>
        <w:t>p</w:t>
      </w:r>
      <w:r w:rsidRPr="004C58C4">
        <w:t>olatuzumab vedotin</w:t>
      </w:r>
      <w:r>
        <w:t xml:space="preserve"> as Polivy for the following indications:</w:t>
      </w:r>
    </w:p>
    <w:p w14:paraId="1736F506" w14:textId="77777777" w:rsidR="004C58C4" w:rsidRDefault="004C58C4" w:rsidP="00164EB6">
      <w:pPr>
        <w:ind w:left="720"/>
      </w:pPr>
      <w:r w:rsidRPr="007B3181">
        <w:rPr>
          <w:i/>
          <w:lang w:eastAsia="en-AU"/>
        </w:rPr>
        <w:t>Polivy in combination with bendamustine and rituximab is indicated for the treatment of previously treated adult patients with diffuse large B-cell lymphoma who are not candidates for hematopoietic stem cell transplant</w:t>
      </w:r>
      <w:r>
        <w:rPr>
          <w:i/>
          <w:lang w:eastAsia="en-AU"/>
        </w:rPr>
        <w:t>.</w:t>
      </w:r>
    </w:p>
    <w:p w14:paraId="32629317" w14:textId="68678604" w:rsidR="00094B37" w:rsidRDefault="00094B37" w:rsidP="00094B37">
      <w:r w:rsidRPr="00094B37">
        <w:lastRenderedPageBreak/>
        <w:t>P</w:t>
      </w:r>
      <w:r>
        <w:t xml:space="preserve">olivy </w:t>
      </w:r>
      <w:r w:rsidRPr="00094B37">
        <w:t xml:space="preserve">is proposed to be used in combination with bendamustine and rituximab </w:t>
      </w:r>
      <w:r>
        <w:t>at a</w:t>
      </w:r>
      <w:r w:rsidRPr="00094B37">
        <w:t xml:space="preserve"> proposed dose </w:t>
      </w:r>
      <w:r>
        <w:t xml:space="preserve">of </w:t>
      </w:r>
      <w:r w:rsidRPr="00094B37">
        <w:t>1.8 mg/kg administered as an</w:t>
      </w:r>
      <w:r w:rsidR="0066462F">
        <w:t xml:space="preserve"> intravenous</w:t>
      </w:r>
      <w:r w:rsidRPr="00094B37">
        <w:t xml:space="preserve"> </w:t>
      </w:r>
      <w:r w:rsidR="0066462F">
        <w:t>(</w:t>
      </w:r>
      <w:r w:rsidRPr="00094B37">
        <w:t>IV</w:t>
      </w:r>
      <w:r w:rsidR="0066462F">
        <w:t>)</w:t>
      </w:r>
      <w:r w:rsidRPr="00094B37">
        <w:t xml:space="preserve"> infusion (over 90 min</w:t>
      </w:r>
      <w:r w:rsidR="0066462F">
        <w:t>utes</w:t>
      </w:r>
      <w:r w:rsidRPr="00094B37">
        <w:t xml:space="preserve"> </w:t>
      </w:r>
      <w:r w:rsidR="0066462F">
        <w:t>(</w:t>
      </w:r>
      <w:r w:rsidRPr="00094B37">
        <w:t>initial dose</w:t>
      </w:r>
      <w:r w:rsidR="0066462F">
        <w:t>)</w:t>
      </w:r>
      <w:r w:rsidRPr="00094B37">
        <w:t xml:space="preserve"> or 30 min</w:t>
      </w:r>
      <w:r w:rsidR="0066462F">
        <w:t>utes</w:t>
      </w:r>
      <w:r w:rsidRPr="00094B37">
        <w:t xml:space="preserve"> </w:t>
      </w:r>
      <w:r w:rsidR="0066462F">
        <w:t>(</w:t>
      </w:r>
      <w:r w:rsidRPr="00094B37">
        <w:t>subsequent doses</w:t>
      </w:r>
      <w:r w:rsidR="0066462F">
        <w:t>)</w:t>
      </w:r>
      <w:r w:rsidRPr="00094B37">
        <w:t>) every 21 days in combination with bendamustine and rituximab for 6 cycles (recommended duration of treatment).</w:t>
      </w:r>
    </w:p>
    <w:p w14:paraId="0AB19DC5" w14:textId="671FF4E3" w:rsidR="00164EB6" w:rsidRDefault="00E71904" w:rsidP="00094B37">
      <w:pPr>
        <w:rPr>
          <w:rFonts w:asciiTheme="minorHAnsi" w:hAnsiTheme="minorHAnsi"/>
        </w:rPr>
      </w:pPr>
      <w:r w:rsidRPr="00465F18">
        <w:t xml:space="preserve">Polatuzumab vedotin </w:t>
      </w:r>
      <w:r w:rsidR="00164EB6">
        <w:t>consist of a</w:t>
      </w:r>
      <w:r w:rsidRPr="002F4BD6">
        <w:t xml:space="preserve"> CD79b-targeted antibody-drug conjugate that preferentially delivers </w:t>
      </w:r>
      <w:r w:rsidR="00164EB6">
        <w:rPr>
          <w:rFonts w:asciiTheme="minorHAnsi" w:hAnsiTheme="minorHAnsi"/>
        </w:rPr>
        <w:t>a cytotoxic agent,</w:t>
      </w:r>
      <w:r w:rsidR="00164EB6" w:rsidRPr="002F4BD6">
        <w:t xml:space="preserve"> </w:t>
      </w:r>
      <w:r w:rsidRPr="002F4BD6">
        <w:t xml:space="preserve">an anti-mitotic agent (monomethyl auristatin E, </w:t>
      </w:r>
      <w:r w:rsidR="0066462F">
        <w:t>(</w:t>
      </w:r>
      <w:r w:rsidRPr="002F4BD6">
        <w:t>MMAE</w:t>
      </w:r>
      <w:r w:rsidR="0066462F">
        <w:t>)</w:t>
      </w:r>
      <w:r w:rsidRPr="002F4BD6">
        <w:t>)</w:t>
      </w:r>
      <w:r w:rsidR="00164EB6">
        <w:t>,</w:t>
      </w:r>
      <w:r w:rsidRPr="002F4BD6">
        <w:t xml:space="preserve"> to B-cells, which results in the killing of malignant B-cells.</w:t>
      </w:r>
      <w:r w:rsidR="00164EB6" w:rsidRPr="00164EB6">
        <w:rPr>
          <w:rFonts w:asciiTheme="minorHAnsi" w:hAnsiTheme="minorHAnsi"/>
        </w:rPr>
        <w:t xml:space="preserve"> </w:t>
      </w:r>
      <w:r w:rsidR="00164EB6">
        <w:rPr>
          <w:rFonts w:asciiTheme="minorHAnsi" w:hAnsiTheme="minorHAnsi"/>
        </w:rPr>
        <w:t xml:space="preserve">Hence, it is intended to allow target specific cytotoxic treatment of malignant B-cells in </w:t>
      </w:r>
      <w:r w:rsidR="0066462F">
        <w:rPr>
          <w:rFonts w:asciiTheme="minorHAnsi" w:hAnsiTheme="minorHAnsi"/>
        </w:rPr>
        <w:t>d</w:t>
      </w:r>
      <w:r w:rsidR="00164EB6">
        <w:rPr>
          <w:rFonts w:asciiTheme="minorHAnsi" w:hAnsiTheme="minorHAnsi"/>
        </w:rPr>
        <w:t xml:space="preserve">iffuse </w:t>
      </w:r>
      <w:r w:rsidR="0066462F">
        <w:rPr>
          <w:rFonts w:asciiTheme="minorHAnsi" w:hAnsiTheme="minorHAnsi"/>
        </w:rPr>
        <w:t>l</w:t>
      </w:r>
      <w:r w:rsidR="00164EB6">
        <w:rPr>
          <w:rFonts w:asciiTheme="minorHAnsi" w:hAnsiTheme="minorHAnsi"/>
        </w:rPr>
        <w:t>arge B-cell lymphoma (DLBCL).</w:t>
      </w:r>
    </w:p>
    <w:p w14:paraId="5AFE3BD2" w14:textId="5BFA8C86" w:rsidR="004C58C4" w:rsidRPr="00E70D40" w:rsidRDefault="004C58C4" w:rsidP="00094B37">
      <w:pPr>
        <w:rPr>
          <w:rFonts w:asciiTheme="minorHAnsi" w:hAnsiTheme="minorHAnsi"/>
        </w:rPr>
      </w:pPr>
      <w:r>
        <w:rPr>
          <w:rFonts w:asciiTheme="minorHAnsi" w:hAnsiTheme="minorHAnsi"/>
        </w:rPr>
        <w:t xml:space="preserve">DLBCL is a usually </w:t>
      </w:r>
      <w:r w:rsidRPr="00BE2CC1">
        <w:rPr>
          <w:rFonts w:asciiTheme="minorHAnsi" w:hAnsiTheme="minorHAnsi"/>
        </w:rPr>
        <w:t xml:space="preserve">treated </w:t>
      </w:r>
      <w:r w:rsidRPr="00BE2CC1">
        <w:t xml:space="preserve">initially with </w:t>
      </w:r>
      <w:r w:rsidR="00BE2CC1" w:rsidRPr="00BE2CC1">
        <w:t>rituximab, cyclophosphamide, doxorubicin, vincristine and prednisolone (</w:t>
      </w:r>
      <w:r w:rsidRPr="00BE2CC1">
        <w:t>R-CHOP</w:t>
      </w:r>
      <w:r w:rsidR="00BE2CC1" w:rsidRPr="00BE2CC1">
        <w:t>)</w:t>
      </w:r>
      <w:r w:rsidRPr="00BE2CC1">
        <w:t>, which is curative in approximately 60% of patients. In those who are refractory to first-line therapy</w:t>
      </w:r>
      <w:r w:rsidR="000D1CA6">
        <w:t>,</w:t>
      </w:r>
      <w:r w:rsidRPr="00BE2CC1">
        <w:t xml:space="preserve"> </w:t>
      </w:r>
      <w:r w:rsidR="00BE2CC1" w:rsidRPr="00BE2CC1">
        <w:t>autologous stem cell transplantation (</w:t>
      </w:r>
      <w:r w:rsidRPr="00BE2CC1">
        <w:t>ASCT</w:t>
      </w:r>
      <w:r w:rsidR="00BE2CC1" w:rsidRPr="00BE2CC1">
        <w:t>)</w:t>
      </w:r>
      <w:r w:rsidRPr="00BE2CC1">
        <w:t xml:space="preserve"> is considered. However, given that </w:t>
      </w:r>
      <w:r w:rsidRPr="00E70D40">
        <w:t>the average</w:t>
      </w:r>
      <w:r w:rsidRPr="00E70D40">
        <w:rPr>
          <w:rFonts w:asciiTheme="minorHAnsi" w:hAnsiTheme="minorHAnsi"/>
        </w:rPr>
        <w:t xml:space="preserve"> age of onset for DLBCL is 60</w:t>
      </w:r>
      <w:r w:rsidR="001F3857" w:rsidRPr="00E70D40">
        <w:rPr>
          <w:rFonts w:asciiTheme="minorHAnsi" w:hAnsiTheme="minorHAnsi"/>
        </w:rPr>
        <w:t xml:space="preserve"> to </w:t>
      </w:r>
      <w:r w:rsidRPr="00E70D40">
        <w:rPr>
          <w:rFonts w:asciiTheme="minorHAnsi" w:hAnsiTheme="minorHAnsi"/>
        </w:rPr>
        <w:t>70 years of age, ASCT is not always possible. In refractory patients in whom ASCT is not an option</w:t>
      </w:r>
      <w:r w:rsidR="001F3857" w:rsidRPr="00E70D40">
        <w:rPr>
          <w:rFonts w:asciiTheme="minorHAnsi" w:hAnsiTheme="minorHAnsi"/>
        </w:rPr>
        <w:t>,</w:t>
      </w:r>
      <w:r w:rsidRPr="00E70D40">
        <w:rPr>
          <w:rFonts w:asciiTheme="minorHAnsi" w:hAnsiTheme="minorHAnsi"/>
        </w:rPr>
        <w:t xml:space="preserve"> there are limited treatment options, and Pol</w:t>
      </w:r>
      <w:r w:rsidR="00E70D40" w:rsidRPr="00E70D40">
        <w:rPr>
          <w:rFonts w:asciiTheme="minorHAnsi" w:hAnsiTheme="minorHAnsi"/>
        </w:rPr>
        <w:t>ivy</w:t>
      </w:r>
      <w:r w:rsidRPr="00E70D40">
        <w:rPr>
          <w:rFonts w:asciiTheme="minorHAnsi" w:hAnsiTheme="minorHAnsi"/>
        </w:rPr>
        <w:t xml:space="preserve"> is intended for use in this group.</w:t>
      </w:r>
    </w:p>
    <w:p w14:paraId="6649DC66" w14:textId="500284B3" w:rsidR="004C58C4" w:rsidRPr="00532BDA" w:rsidRDefault="00E5666E" w:rsidP="00094B37">
      <w:pPr>
        <w:rPr>
          <w:rFonts w:asciiTheme="minorHAnsi" w:hAnsiTheme="minorHAnsi"/>
        </w:rPr>
      </w:pPr>
      <w:r>
        <w:rPr>
          <w:rFonts w:cs="Arial"/>
        </w:rPr>
        <w:t xml:space="preserve">Relapsed/refractory </w:t>
      </w:r>
      <w:r w:rsidR="004C58C4" w:rsidRPr="00E70D40">
        <w:rPr>
          <w:rFonts w:asciiTheme="minorHAnsi" w:hAnsiTheme="minorHAnsi"/>
        </w:rPr>
        <w:t>DLBCL is a rare condition as it represents only a fraction of patients with DLBCL, itself an uncommon disease. Therefore</w:t>
      </w:r>
      <w:r w:rsidR="001F3857" w:rsidRPr="00E70D40">
        <w:rPr>
          <w:rFonts w:asciiTheme="minorHAnsi" w:hAnsiTheme="minorHAnsi"/>
        </w:rPr>
        <w:t xml:space="preserve">, </w:t>
      </w:r>
      <w:r w:rsidR="004C58C4" w:rsidRPr="00E70D40">
        <w:rPr>
          <w:rFonts w:asciiTheme="minorHAnsi" w:hAnsiTheme="minorHAnsi"/>
        </w:rPr>
        <w:t>the efficacy and safety of Pol</w:t>
      </w:r>
      <w:r w:rsidR="00E70D40" w:rsidRPr="00E70D40">
        <w:rPr>
          <w:rFonts w:asciiTheme="minorHAnsi" w:hAnsiTheme="minorHAnsi"/>
        </w:rPr>
        <w:t>ivy</w:t>
      </w:r>
      <w:r w:rsidR="004C58C4" w:rsidRPr="00E70D40">
        <w:rPr>
          <w:rFonts w:asciiTheme="minorHAnsi" w:hAnsiTheme="minorHAnsi"/>
        </w:rPr>
        <w:t xml:space="preserve"> was supported in this submission largely by a single </w:t>
      </w:r>
      <w:r w:rsidR="00094B37">
        <w:rPr>
          <w:rFonts w:asciiTheme="minorHAnsi" w:hAnsiTheme="minorHAnsi"/>
        </w:rPr>
        <w:t>P</w:t>
      </w:r>
      <w:r w:rsidR="004C58C4" w:rsidRPr="00E70D40">
        <w:rPr>
          <w:rFonts w:asciiTheme="minorHAnsi" w:hAnsiTheme="minorHAnsi"/>
        </w:rPr>
        <w:t>hase II study.</w:t>
      </w:r>
    </w:p>
    <w:p w14:paraId="3A993196" w14:textId="77777777" w:rsidR="008E7846" w:rsidRPr="003F31A2" w:rsidRDefault="00386150" w:rsidP="008E7846">
      <w:pPr>
        <w:pStyle w:val="Heading3"/>
      </w:pPr>
      <w:bookmarkStart w:id="18" w:name="_Toc28858549"/>
      <w:r>
        <w:t>Regulatory s</w:t>
      </w:r>
      <w:r w:rsidR="008E7846">
        <w:t>tatus</w:t>
      </w:r>
      <w:bookmarkEnd w:id="16"/>
      <w:bookmarkEnd w:id="17"/>
      <w:bookmarkEnd w:id="18"/>
    </w:p>
    <w:p w14:paraId="22101CFD" w14:textId="77777777" w:rsidR="007A6505" w:rsidRPr="00940A89" w:rsidRDefault="00940A89" w:rsidP="00964ED9">
      <w:bookmarkStart w:id="19" w:name="_Toc247691505"/>
      <w:bookmarkStart w:id="20" w:name="_Toc314842486"/>
      <w:r w:rsidRPr="00940A89">
        <w:t>Th</w:t>
      </w:r>
      <w:r w:rsidR="00964ED9">
        <w:t>is is an application to register a new biological entity for Austra</w:t>
      </w:r>
      <w:r w:rsidR="00094B37">
        <w:t>lian regulatory purposes.</w:t>
      </w:r>
    </w:p>
    <w:p w14:paraId="5F34D30D" w14:textId="284B4103" w:rsidR="00940A89" w:rsidRDefault="00940A89" w:rsidP="00940A89">
      <w:r w:rsidRPr="00940A89">
        <w:t>At the time the TGA considered this application, a similar application had been</w:t>
      </w:r>
      <w:r w:rsidR="0038169E">
        <w:t xml:space="preserve"> submitted in the </w:t>
      </w:r>
      <w:r w:rsidR="0066462F">
        <w:t>United States of America (</w:t>
      </w:r>
      <w:r w:rsidR="0038169E">
        <w:t>USA</w:t>
      </w:r>
      <w:r w:rsidR="0066462F">
        <w:t>)</w:t>
      </w:r>
      <w:r w:rsidR="0038169E">
        <w:t xml:space="preserve"> and</w:t>
      </w:r>
      <w:r w:rsidR="0066462F">
        <w:t xml:space="preserve"> the European Union</w:t>
      </w:r>
      <w:r w:rsidR="0038169E">
        <w:t xml:space="preserve"> </w:t>
      </w:r>
      <w:r w:rsidR="0066462F">
        <w:t>(</w:t>
      </w:r>
      <w:r w:rsidR="0038169E">
        <w:t>EU</w:t>
      </w:r>
      <w:r w:rsidR="0066462F">
        <w:t>)</w:t>
      </w:r>
      <w:r w:rsidR="0038169E">
        <w:t xml:space="preserve"> (see Table 1)</w:t>
      </w:r>
      <w:r w:rsidR="0066462F">
        <w:t>.</w:t>
      </w:r>
    </w:p>
    <w:p w14:paraId="08917BF5" w14:textId="66A41D2E" w:rsidR="006412E7" w:rsidRDefault="006412E7" w:rsidP="006412E7">
      <w:pPr>
        <w:pStyle w:val="TableTitle"/>
      </w:pPr>
      <w:r>
        <w:t>Table 1: International regulatory status</w:t>
      </w:r>
      <w:r w:rsidR="00094B37">
        <w:t xml:space="preserve"> of </w:t>
      </w:r>
      <w:r w:rsidR="00347E75">
        <w:t>Polivy</w:t>
      </w:r>
    </w:p>
    <w:tbl>
      <w:tblPr>
        <w:tblStyle w:val="TableTGAblue"/>
        <w:tblW w:w="8613" w:type="dxa"/>
        <w:tblLayout w:type="fixed"/>
        <w:tblLook w:val="04A0" w:firstRow="1" w:lastRow="0" w:firstColumn="1" w:lastColumn="0" w:noHBand="0" w:noVBand="1"/>
      </w:tblPr>
      <w:tblGrid>
        <w:gridCol w:w="1408"/>
        <w:gridCol w:w="2410"/>
        <w:gridCol w:w="4795"/>
      </w:tblGrid>
      <w:tr w:rsidR="0066462F" w:rsidRPr="0066462F" w14:paraId="44F0D096" w14:textId="77777777" w:rsidTr="00FE64D0">
        <w:trPr>
          <w:cnfStyle w:val="100000000000" w:firstRow="1" w:lastRow="0" w:firstColumn="0" w:lastColumn="0" w:oddVBand="0" w:evenVBand="0" w:oddHBand="0" w:evenHBand="0" w:firstRowFirstColumn="0" w:firstRowLastColumn="0" w:lastRowFirstColumn="0" w:lastRowLastColumn="0"/>
        </w:trPr>
        <w:tc>
          <w:tcPr>
            <w:tcW w:w="1408" w:type="dxa"/>
          </w:tcPr>
          <w:p w14:paraId="504D1E80" w14:textId="69881605" w:rsidR="00094B37" w:rsidRPr="0066462F" w:rsidRDefault="00094B37" w:rsidP="0066462F">
            <w:r w:rsidRPr="0066462F">
              <w:t>Country</w:t>
            </w:r>
            <w:r w:rsidR="0066462F" w:rsidRPr="0066462F">
              <w:t>/region</w:t>
            </w:r>
          </w:p>
        </w:tc>
        <w:tc>
          <w:tcPr>
            <w:tcW w:w="2410" w:type="dxa"/>
          </w:tcPr>
          <w:p w14:paraId="3997ECB1" w14:textId="2EB0F03D" w:rsidR="00094B37" w:rsidRPr="0066462F" w:rsidRDefault="0038169E" w:rsidP="0066462F">
            <w:r w:rsidRPr="00AA35E0">
              <w:t xml:space="preserve">Submission </w:t>
            </w:r>
            <w:r w:rsidR="00094B37" w:rsidRPr="00AA35E0">
              <w:t>d</w:t>
            </w:r>
            <w:r w:rsidR="00094B37" w:rsidRPr="0066462F">
              <w:t>ate</w:t>
            </w:r>
          </w:p>
        </w:tc>
        <w:tc>
          <w:tcPr>
            <w:tcW w:w="4795" w:type="dxa"/>
          </w:tcPr>
          <w:p w14:paraId="14601420" w14:textId="0E6D7819" w:rsidR="00094B37" w:rsidRPr="00E952E0" w:rsidRDefault="00347E75" w:rsidP="00E952E0">
            <w:r w:rsidRPr="00E952E0">
              <w:t>Approved</w:t>
            </w:r>
            <w:r w:rsidR="0038169E" w:rsidRPr="00E952E0">
              <w:t xml:space="preserve"> </w:t>
            </w:r>
            <w:r w:rsidR="0066462F" w:rsidRPr="00E952E0">
              <w:t>i</w:t>
            </w:r>
            <w:r w:rsidR="00E574AD" w:rsidRPr="00E952E0">
              <w:t>ndication</w:t>
            </w:r>
          </w:p>
        </w:tc>
      </w:tr>
      <w:tr w:rsidR="00094B37" w:rsidRPr="0066462F" w14:paraId="24F45197" w14:textId="77777777" w:rsidTr="00FE64D0">
        <w:tc>
          <w:tcPr>
            <w:tcW w:w="1408" w:type="dxa"/>
          </w:tcPr>
          <w:p w14:paraId="657EF6D6" w14:textId="77777777" w:rsidR="00094B37" w:rsidRPr="0066462F" w:rsidRDefault="00094B37" w:rsidP="0066462F">
            <w:r w:rsidRPr="0066462F">
              <w:t>USA</w:t>
            </w:r>
          </w:p>
        </w:tc>
        <w:tc>
          <w:tcPr>
            <w:tcW w:w="2410" w:type="dxa"/>
          </w:tcPr>
          <w:p w14:paraId="52D0629B" w14:textId="5836602B" w:rsidR="00094B37" w:rsidRPr="00AA35E0" w:rsidRDefault="0038169E" w:rsidP="0066462F">
            <w:r w:rsidRPr="00AA35E0">
              <w:t>19 December 2018</w:t>
            </w:r>
          </w:p>
        </w:tc>
        <w:tc>
          <w:tcPr>
            <w:tcW w:w="4795" w:type="dxa"/>
          </w:tcPr>
          <w:p w14:paraId="1F63BF9C" w14:textId="18A522C3" w:rsidR="0046412C" w:rsidRPr="004E046F" w:rsidRDefault="0066462F" w:rsidP="0066462F">
            <w:pPr>
              <w:rPr>
                <w:i/>
              </w:rPr>
            </w:pPr>
            <w:r w:rsidRPr="0066462F">
              <w:rPr>
                <w:i/>
              </w:rPr>
              <w:t>P</w:t>
            </w:r>
            <w:r w:rsidRPr="00E952E0">
              <w:rPr>
                <w:i/>
              </w:rPr>
              <w:t xml:space="preserve">olivy </w:t>
            </w:r>
            <w:r w:rsidR="0046412C" w:rsidRPr="00E952E0">
              <w:rPr>
                <w:i/>
              </w:rPr>
              <w:t>in combination with bendamustine and a rituximab p</w:t>
            </w:r>
            <w:r w:rsidR="0046412C" w:rsidRPr="004E046F">
              <w:rPr>
                <w:i/>
              </w:rPr>
              <w:t>roduct is indicated for the treatment of adult patients with relapsed or refractory diffuse large B-cell lymphoma (DLBCL), not otherwise specified, after at least two prior therapies.</w:t>
            </w:r>
          </w:p>
          <w:p w14:paraId="1D1AB73D" w14:textId="3AB11E49" w:rsidR="00094B37" w:rsidRPr="0066462F" w:rsidRDefault="0046412C" w:rsidP="00E952E0">
            <w:r w:rsidRPr="00062CAC">
              <w:rPr>
                <w:i/>
              </w:rPr>
              <w:t>Accelerated approval was granted for this indication based on complete response rate [see Clinical Studies (14.1)]. Continued approval for this indication may be contingent upon verification and description of clinical benefit in a confirmatory trial</w:t>
            </w:r>
            <w:r w:rsidR="0066462F" w:rsidRPr="00062CAC">
              <w:rPr>
                <w:i/>
              </w:rPr>
              <w:t>.</w:t>
            </w:r>
          </w:p>
        </w:tc>
      </w:tr>
      <w:tr w:rsidR="00094B37" w:rsidRPr="0066462F" w14:paraId="186E8139" w14:textId="77777777" w:rsidTr="00FE64D0">
        <w:tc>
          <w:tcPr>
            <w:tcW w:w="1408" w:type="dxa"/>
          </w:tcPr>
          <w:p w14:paraId="4BEACAB2" w14:textId="77777777" w:rsidR="00094B37" w:rsidRPr="0066462F" w:rsidRDefault="00094B37" w:rsidP="0066462F">
            <w:r w:rsidRPr="0066462F">
              <w:t>EU</w:t>
            </w:r>
          </w:p>
        </w:tc>
        <w:tc>
          <w:tcPr>
            <w:tcW w:w="2410" w:type="dxa"/>
          </w:tcPr>
          <w:p w14:paraId="01AECDF3" w14:textId="37202A2C" w:rsidR="00094B37" w:rsidRPr="00AA35E0" w:rsidRDefault="0038169E" w:rsidP="0066462F">
            <w:r w:rsidRPr="00AA35E0">
              <w:t>20 December 2018</w:t>
            </w:r>
          </w:p>
        </w:tc>
        <w:tc>
          <w:tcPr>
            <w:tcW w:w="4795" w:type="dxa"/>
          </w:tcPr>
          <w:p w14:paraId="2A1F939C" w14:textId="2538F8F4" w:rsidR="00094B37" w:rsidRPr="00AA35E0" w:rsidRDefault="0038169E" w:rsidP="0066462F">
            <w:pPr>
              <w:rPr>
                <w:i/>
              </w:rPr>
            </w:pPr>
            <w:r w:rsidRPr="0066462F">
              <w:rPr>
                <w:i/>
              </w:rPr>
              <w:t xml:space="preserve">Polivy in combination with bendamustine and rituximab is indicated for the treatment of previously treated adult patients with diffuse large B-cell lymphoma who </w:t>
            </w:r>
            <w:r w:rsidRPr="00E952E0">
              <w:rPr>
                <w:i/>
              </w:rPr>
              <w:t>are not candidates for hematopoietic stem cell transplant.</w:t>
            </w:r>
          </w:p>
        </w:tc>
      </w:tr>
    </w:tbl>
    <w:p w14:paraId="62601F01" w14:textId="77777777" w:rsidR="008E7846" w:rsidRDefault="008E7846" w:rsidP="00940A89">
      <w:pPr>
        <w:pStyle w:val="Heading3"/>
      </w:pPr>
      <w:bookmarkStart w:id="21" w:name="_Toc28858550"/>
      <w:r>
        <w:lastRenderedPageBreak/>
        <w:t>Product Information</w:t>
      </w:r>
      <w:bookmarkEnd w:id="19"/>
      <w:bookmarkEnd w:id="20"/>
      <w:bookmarkEnd w:id="21"/>
    </w:p>
    <w:p w14:paraId="1C924527"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3273B033" w14:textId="77777777" w:rsidR="00500337" w:rsidRDefault="00500337" w:rsidP="00500337">
      <w:pPr>
        <w:pStyle w:val="Heading2"/>
      </w:pPr>
      <w:bookmarkStart w:id="24" w:name="_Toc504480011"/>
      <w:bookmarkStart w:id="25" w:name="_Toc28858551"/>
      <w:r>
        <w:t>II. Registration time line</w:t>
      </w:r>
      <w:bookmarkEnd w:id="24"/>
      <w:bookmarkEnd w:id="25"/>
    </w:p>
    <w:p w14:paraId="1B3B75DD" w14:textId="77777777" w:rsidR="00500337" w:rsidRDefault="00500337" w:rsidP="00500337">
      <w:r>
        <w:t xml:space="preserve">The following table captures the key steps and dates for this </w:t>
      </w:r>
      <w:r w:rsidR="00094B37">
        <w:t xml:space="preserve">Priority </w:t>
      </w:r>
      <w:r>
        <w:t xml:space="preserve">application and which are detailed and discussed in this </w:t>
      </w:r>
      <w:r w:rsidR="00E70D40">
        <w:t>AusPAR.</w:t>
      </w:r>
    </w:p>
    <w:p w14:paraId="532550E3" w14:textId="01498FAC" w:rsidR="006A58A8" w:rsidRPr="006A58A8" w:rsidRDefault="006A58A8" w:rsidP="006A58A8">
      <w:pPr>
        <w:pStyle w:val="TableTitle"/>
      </w:pPr>
      <w:r w:rsidRPr="006A58A8">
        <w:t>Table</w:t>
      </w:r>
      <w:r w:rsidR="0066462F">
        <w:t xml:space="preserve"> 2: </w:t>
      </w:r>
      <w:r w:rsidR="00094B37" w:rsidRPr="00094B37">
        <w:t xml:space="preserve">Registration </w:t>
      </w:r>
      <w:r w:rsidR="00094B37">
        <w:t>t</w:t>
      </w:r>
      <w:r w:rsidRPr="006A58A8">
        <w:t>imeline for Submission PM-201</w:t>
      </w:r>
      <w:r w:rsidR="002E6E71">
        <w:t>9</w:t>
      </w:r>
      <w:r w:rsidRPr="006A58A8">
        <w:t>-</w:t>
      </w:r>
      <w:r w:rsidR="002E6E71">
        <w:t>00471</w:t>
      </w:r>
      <w:r w:rsidRPr="006A58A8">
        <w:t>-1-</w:t>
      </w:r>
      <w:r w:rsidR="002E6E71">
        <w:t>4</w:t>
      </w:r>
    </w:p>
    <w:tbl>
      <w:tblPr>
        <w:tblStyle w:val="TableTGAblue"/>
        <w:tblW w:w="9039" w:type="dxa"/>
        <w:tblLook w:val="04A0" w:firstRow="1" w:lastRow="0" w:firstColumn="1" w:lastColumn="0" w:noHBand="0" w:noVBand="1"/>
      </w:tblPr>
      <w:tblGrid>
        <w:gridCol w:w="6487"/>
        <w:gridCol w:w="2552"/>
      </w:tblGrid>
      <w:tr w:rsidR="00E71904" w:rsidRPr="00D75678" w14:paraId="26D55C57" w14:textId="77777777" w:rsidTr="00AA35E0">
        <w:trPr>
          <w:cnfStyle w:val="100000000000" w:firstRow="1" w:lastRow="0" w:firstColumn="0" w:lastColumn="0" w:oddVBand="0" w:evenVBand="0" w:oddHBand="0" w:evenHBand="0" w:firstRowFirstColumn="0" w:firstRowLastColumn="0" w:lastRowFirstColumn="0" w:lastRowLastColumn="0"/>
        </w:trPr>
        <w:tc>
          <w:tcPr>
            <w:tcW w:w="6487" w:type="dxa"/>
          </w:tcPr>
          <w:p w14:paraId="599CF7BE" w14:textId="77777777" w:rsidR="00E71904" w:rsidRPr="00D75678" w:rsidRDefault="00E71904" w:rsidP="00964ED9">
            <w:bookmarkStart w:id="26" w:name="_Toc196046504"/>
            <w:bookmarkStart w:id="27" w:name="_Toc247691527"/>
            <w:bookmarkStart w:id="28" w:name="_Toc314842510"/>
            <w:bookmarkStart w:id="29" w:name="_Toc163441390"/>
            <w:bookmarkEnd w:id="22"/>
            <w:bookmarkEnd w:id="23"/>
            <w:bookmarkEnd w:id="2"/>
            <w:r w:rsidRPr="00D75678">
              <w:t>Description</w:t>
            </w:r>
          </w:p>
        </w:tc>
        <w:tc>
          <w:tcPr>
            <w:tcW w:w="2552" w:type="dxa"/>
          </w:tcPr>
          <w:p w14:paraId="75D927B6" w14:textId="77777777" w:rsidR="00E71904" w:rsidRPr="00D75678" w:rsidRDefault="00E71904" w:rsidP="00964ED9">
            <w:r w:rsidRPr="00D75678">
              <w:t>Date</w:t>
            </w:r>
          </w:p>
        </w:tc>
      </w:tr>
      <w:tr w:rsidR="00E71904" w:rsidRPr="00D75678" w14:paraId="6A453351" w14:textId="77777777" w:rsidTr="00AA35E0">
        <w:tc>
          <w:tcPr>
            <w:tcW w:w="6487" w:type="dxa"/>
          </w:tcPr>
          <w:p w14:paraId="62444CBF" w14:textId="77777777" w:rsidR="00E71904" w:rsidRPr="003C1460" w:rsidRDefault="00E71904" w:rsidP="00964ED9">
            <w:r w:rsidRPr="003C1460">
              <w:t>Submission dossier accepted and first round evaluation commenced</w:t>
            </w:r>
          </w:p>
        </w:tc>
        <w:tc>
          <w:tcPr>
            <w:tcW w:w="2552" w:type="dxa"/>
          </w:tcPr>
          <w:p w14:paraId="71411EBD" w14:textId="77777777" w:rsidR="00E71904" w:rsidRPr="003C1460" w:rsidRDefault="00E71904" w:rsidP="00964ED9">
            <w:r w:rsidRPr="003C1460">
              <w:t>15 April 2019</w:t>
            </w:r>
          </w:p>
        </w:tc>
      </w:tr>
      <w:tr w:rsidR="00E71904" w:rsidRPr="00D75678" w14:paraId="32523ACE" w14:textId="77777777" w:rsidTr="00AA35E0">
        <w:tc>
          <w:tcPr>
            <w:tcW w:w="6487" w:type="dxa"/>
          </w:tcPr>
          <w:p w14:paraId="7BCE9199" w14:textId="77777777" w:rsidR="00E71904" w:rsidRPr="003C1460" w:rsidRDefault="00E71904" w:rsidP="00964ED9">
            <w:r>
              <w:t>E</w:t>
            </w:r>
            <w:r w:rsidRPr="003C1460">
              <w:t>valuation completed</w:t>
            </w:r>
          </w:p>
        </w:tc>
        <w:tc>
          <w:tcPr>
            <w:tcW w:w="2552" w:type="dxa"/>
          </w:tcPr>
          <w:p w14:paraId="3EB49F5B" w14:textId="77777777" w:rsidR="00E71904" w:rsidRPr="003C1460" w:rsidRDefault="00E71904" w:rsidP="00964ED9">
            <w:r w:rsidRPr="003C1460">
              <w:t>17 September 2019</w:t>
            </w:r>
          </w:p>
        </w:tc>
      </w:tr>
      <w:tr w:rsidR="00E71904" w:rsidRPr="003C1460" w14:paraId="2600DD4E" w14:textId="77777777" w:rsidTr="00AA35E0">
        <w:tc>
          <w:tcPr>
            <w:tcW w:w="6487" w:type="dxa"/>
          </w:tcPr>
          <w:p w14:paraId="17A6B506" w14:textId="77777777" w:rsidR="00E71904" w:rsidRPr="003C1460" w:rsidRDefault="00E71904" w:rsidP="00964ED9">
            <w:r w:rsidRPr="003C1460">
              <w:t>Delegate’s Overall benefit-risk assessment and request for Advisory Committee advice</w:t>
            </w:r>
          </w:p>
        </w:tc>
        <w:tc>
          <w:tcPr>
            <w:tcW w:w="2552" w:type="dxa"/>
          </w:tcPr>
          <w:p w14:paraId="717B65E4" w14:textId="719D1970" w:rsidR="00E71904" w:rsidRPr="003C1460" w:rsidRDefault="005F3741" w:rsidP="00964ED9">
            <w:r>
              <w:rPr>
                <w:rFonts w:asciiTheme="minorHAnsi" w:hAnsiTheme="minorHAnsi"/>
                <w:noProof/>
              </w:rPr>
              <w:t>2</w:t>
            </w:r>
            <w:r w:rsidRPr="003C1460">
              <w:rPr>
                <w:rFonts w:asciiTheme="minorHAnsi" w:hAnsiTheme="minorHAnsi"/>
                <w:noProof/>
              </w:rPr>
              <w:t xml:space="preserve">6 </w:t>
            </w:r>
            <w:r w:rsidR="00E71904" w:rsidRPr="003C1460">
              <w:rPr>
                <w:rFonts w:asciiTheme="minorHAnsi" w:hAnsiTheme="minorHAnsi"/>
                <w:noProof/>
              </w:rPr>
              <w:t>September 2019</w:t>
            </w:r>
          </w:p>
        </w:tc>
      </w:tr>
      <w:tr w:rsidR="00E71904" w:rsidRPr="00D75678" w14:paraId="32C11B34" w14:textId="77777777" w:rsidTr="00AA35E0">
        <w:tc>
          <w:tcPr>
            <w:tcW w:w="6487" w:type="dxa"/>
          </w:tcPr>
          <w:p w14:paraId="0A36CE62" w14:textId="77777777" w:rsidR="00E71904" w:rsidRPr="003C1460" w:rsidRDefault="00E71904" w:rsidP="00964ED9">
            <w:r w:rsidRPr="003C1460">
              <w:t>Sponsor’s pre-Advisory Committee response</w:t>
            </w:r>
          </w:p>
        </w:tc>
        <w:tc>
          <w:tcPr>
            <w:tcW w:w="2552" w:type="dxa"/>
          </w:tcPr>
          <w:p w14:paraId="73983F4B" w14:textId="77777777" w:rsidR="00E71904" w:rsidRPr="003C1460" w:rsidRDefault="00E71904" w:rsidP="00964ED9">
            <w:r w:rsidRPr="003C1460">
              <w:t>N/A</w:t>
            </w:r>
          </w:p>
        </w:tc>
      </w:tr>
      <w:tr w:rsidR="00E71904" w:rsidRPr="00D75678" w14:paraId="5F7E318B" w14:textId="77777777" w:rsidTr="00AA35E0">
        <w:tc>
          <w:tcPr>
            <w:tcW w:w="6487" w:type="dxa"/>
          </w:tcPr>
          <w:p w14:paraId="353D7694" w14:textId="77777777" w:rsidR="00E71904" w:rsidRPr="003C1460" w:rsidRDefault="00E71904" w:rsidP="00964ED9">
            <w:r w:rsidRPr="003C1460">
              <w:t>Advisory Committee meeting</w:t>
            </w:r>
          </w:p>
        </w:tc>
        <w:tc>
          <w:tcPr>
            <w:tcW w:w="2552" w:type="dxa"/>
          </w:tcPr>
          <w:p w14:paraId="11FAD9B2" w14:textId="77777777" w:rsidR="00E71904" w:rsidRPr="003C1460" w:rsidRDefault="00E71904" w:rsidP="00964ED9">
            <w:r w:rsidRPr="003C1460">
              <w:t>N/A</w:t>
            </w:r>
          </w:p>
        </w:tc>
      </w:tr>
      <w:tr w:rsidR="00E71904" w:rsidRPr="003C1460" w14:paraId="2B855B92" w14:textId="77777777" w:rsidTr="00AA35E0">
        <w:tc>
          <w:tcPr>
            <w:tcW w:w="6487" w:type="dxa"/>
          </w:tcPr>
          <w:p w14:paraId="073F7DF6" w14:textId="77777777" w:rsidR="00E71904" w:rsidRPr="003C1460" w:rsidRDefault="00E71904" w:rsidP="00964ED9">
            <w:r w:rsidRPr="003C1460">
              <w:t>Registration decision (Outcome)</w:t>
            </w:r>
          </w:p>
        </w:tc>
        <w:tc>
          <w:tcPr>
            <w:tcW w:w="2552" w:type="dxa"/>
          </w:tcPr>
          <w:p w14:paraId="29CFFF64" w14:textId="77777777" w:rsidR="00E71904" w:rsidRPr="003C1460" w:rsidRDefault="00E71904" w:rsidP="00964ED9">
            <w:r w:rsidRPr="003C1460">
              <w:rPr>
                <w:rFonts w:cs="Cambria"/>
              </w:rPr>
              <w:t>18 October 2019</w:t>
            </w:r>
          </w:p>
        </w:tc>
      </w:tr>
      <w:tr w:rsidR="00E71904" w:rsidRPr="003C1460" w14:paraId="42237159" w14:textId="77777777" w:rsidTr="00AA35E0">
        <w:tc>
          <w:tcPr>
            <w:tcW w:w="6487" w:type="dxa"/>
          </w:tcPr>
          <w:p w14:paraId="3616CB61" w14:textId="77777777" w:rsidR="00E71904" w:rsidRPr="003C1460" w:rsidRDefault="00E71904" w:rsidP="00964ED9">
            <w:r w:rsidRPr="003C1460">
              <w:t>Completion of administrative activities and registration on ARTG</w:t>
            </w:r>
          </w:p>
        </w:tc>
        <w:tc>
          <w:tcPr>
            <w:tcW w:w="2552" w:type="dxa"/>
          </w:tcPr>
          <w:p w14:paraId="23850BD3" w14:textId="77777777" w:rsidR="00E71904" w:rsidRPr="003C1460" w:rsidRDefault="00E71904" w:rsidP="00964ED9">
            <w:r>
              <w:t>21</w:t>
            </w:r>
            <w:r w:rsidRPr="003C1460">
              <w:t xml:space="preserve"> October 2019</w:t>
            </w:r>
          </w:p>
        </w:tc>
      </w:tr>
      <w:tr w:rsidR="00E71904" w:rsidRPr="003C1460" w14:paraId="2CA15070" w14:textId="77777777" w:rsidTr="00AA35E0">
        <w:tc>
          <w:tcPr>
            <w:tcW w:w="6487" w:type="dxa"/>
          </w:tcPr>
          <w:p w14:paraId="64C0390C" w14:textId="77777777" w:rsidR="00E71904" w:rsidRPr="003C1460" w:rsidRDefault="00E71904" w:rsidP="00964ED9">
            <w:r w:rsidRPr="003C1460">
              <w:t>Number of working days from submission dossier acceptance to registration decision*</w:t>
            </w:r>
          </w:p>
        </w:tc>
        <w:tc>
          <w:tcPr>
            <w:tcW w:w="2552" w:type="dxa"/>
          </w:tcPr>
          <w:p w14:paraId="3D5979C5" w14:textId="77777777" w:rsidR="00E71904" w:rsidRPr="003C1460" w:rsidRDefault="00E71904" w:rsidP="00964ED9">
            <w:r w:rsidRPr="003C1460">
              <w:t>130</w:t>
            </w:r>
          </w:p>
        </w:tc>
      </w:tr>
    </w:tbl>
    <w:p w14:paraId="4397924F" w14:textId="77777777" w:rsidR="00E71904" w:rsidRDefault="00E71904" w:rsidP="00E71904">
      <w:pPr>
        <w:pStyle w:val="TableDescription"/>
      </w:pPr>
      <w:r w:rsidRPr="00465F18">
        <w:t>*</w:t>
      </w:r>
      <w:r w:rsidR="00094B37">
        <w:t xml:space="preserve">The statutory time frame is 255 working days. </w:t>
      </w:r>
      <w:r w:rsidRPr="00465F18">
        <w:t>Target timeframe for priority applications is 150 working days from acceptance for evaluation to the decision.</w:t>
      </w:r>
    </w:p>
    <w:p w14:paraId="28D4AE54" w14:textId="77777777" w:rsidR="008E7846" w:rsidRPr="00792A32" w:rsidRDefault="00456765" w:rsidP="008E7846">
      <w:pPr>
        <w:pStyle w:val="Heading2"/>
      </w:pPr>
      <w:bookmarkStart w:id="30" w:name="_Toc28858552"/>
      <w:r>
        <w:t>I</w:t>
      </w:r>
      <w:r w:rsidR="00DA64CB">
        <w:t>I</w:t>
      </w:r>
      <w:r w:rsidR="008E7846">
        <w:t xml:space="preserve">I. </w:t>
      </w:r>
      <w:r w:rsidR="002E6E71">
        <w:t>Submission o</w:t>
      </w:r>
      <w:r w:rsidR="008E7846" w:rsidRPr="00792A32">
        <w:t>ver</w:t>
      </w:r>
      <w:r w:rsidR="002E6E71">
        <w:t xml:space="preserve">view 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023086E4" w14:textId="132D25C7" w:rsidR="008E7846" w:rsidRDefault="008E7846" w:rsidP="008E7846">
      <w:bookmarkStart w:id="31" w:name="_Toc247691528"/>
      <w:r>
        <w:t xml:space="preserve">The submission was summarised in the following </w:t>
      </w:r>
      <w:r w:rsidRPr="00EF5C48">
        <w:t xml:space="preserve">Delegate’s </w:t>
      </w:r>
      <w:r>
        <w:t>overview</w:t>
      </w:r>
      <w:r w:rsidRPr="00EF5C48">
        <w:t xml:space="preserve"> and recommendation</w:t>
      </w:r>
      <w:r>
        <w:t>s</w:t>
      </w:r>
      <w:r w:rsidR="00E952E0">
        <w:t>.</w:t>
      </w:r>
    </w:p>
    <w:p w14:paraId="1AB3790D" w14:textId="77777777" w:rsidR="008E7846" w:rsidRDefault="008E7846" w:rsidP="008E7846">
      <w:pPr>
        <w:pStyle w:val="Heading3"/>
      </w:pPr>
      <w:bookmarkStart w:id="32" w:name="_Toc314842511"/>
      <w:bookmarkStart w:id="33" w:name="_Toc28858553"/>
      <w:r w:rsidRPr="0003344A">
        <w:t>Quality</w:t>
      </w:r>
      <w:bookmarkEnd w:id="31"/>
      <w:bookmarkEnd w:id="32"/>
      <w:bookmarkEnd w:id="33"/>
    </w:p>
    <w:p w14:paraId="72379F3E" w14:textId="77777777" w:rsidR="003D5D55" w:rsidRDefault="001F3857" w:rsidP="001F3857">
      <w:r w:rsidRPr="002F4BD6">
        <w:t xml:space="preserve">The polatuzumab vedotin molecule consists of MMAE </w:t>
      </w:r>
      <w:r>
        <w:t>covalently attached to a humanis</w:t>
      </w:r>
      <w:r w:rsidRPr="002F4BD6">
        <w:t>ed immunoglobulin G1 (IgG1) monoclonal a</w:t>
      </w:r>
      <w:r w:rsidR="003D5D55">
        <w:t>ntibody via a cleavable linker.</w:t>
      </w:r>
    </w:p>
    <w:p w14:paraId="5AE51538" w14:textId="77777777" w:rsidR="003D5D55" w:rsidRDefault="003D5D55" w:rsidP="003D5D55">
      <w:pPr>
        <w:rPr>
          <w:rFonts w:asciiTheme="minorHAnsi" w:hAnsiTheme="minorHAnsi"/>
          <w:lang w:val="en-GB"/>
        </w:rPr>
      </w:pPr>
      <w:r w:rsidRPr="00A771F3">
        <w:rPr>
          <w:rFonts w:asciiTheme="minorHAnsi" w:hAnsiTheme="minorHAnsi"/>
          <w:lang w:val="en-GB"/>
        </w:rPr>
        <w:t>The structure of polatuzumab vedotin is shown in Figur</w:t>
      </w:r>
      <w:r>
        <w:rPr>
          <w:rFonts w:asciiTheme="minorHAnsi" w:hAnsiTheme="minorHAnsi"/>
          <w:lang w:val="en-GB"/>
        </w:rPr>
        <w:t xml:space="preserve">e 1 </w:t>
      </w:r>
      <w:r w:rsidRPr="00A771F3">
        <w:rPr>
          <w:rFonts w:asciiTheme="minorHAnsi" w:hAnsiTheme="minorHAnsi"/>
          <w:lang w:val="en-GB"/>
        </w:rPr>
        <w:t>below.</w:t>
      </w:r>
    </w:p>
    <w:p w14:paraId="216BDD63" w14:textId="77777777" w:rsidR="003D5D55" w:rsidRPr="00A771F3" w:rsidRDefault="003D5D55" w:rsidP="003D5D55">
      <w:pPr>
        <w:pStyle w:val="FigureTitle"/>
        <w:rPr>
          <w:lang w:val="en-GB"/>
        </w:rPr>
      </w:pPr>
      <w:r>
        <w:rPr>
          <w:lang w:val="en-GB"/>
        </w:rPr>
        <w:lastRenderedPageBreak/>
        <w:t xml:space="preserve">Figure 1: Primary structure of </w:t>
      </w:r>
      <w:r w:rsidRPr="00A771F3">
        <w:rPr>
          <w:lang w:val="en-GB"/>
        </w:rPr>
        <w:t>polatuzumab vedotin</w:t>
      </w:r>
    </w:p>
    <w:p w14:paraId="4218E2DA" w14:textId="77777777" w:rsidR="003D5D55" w:rsidRDefault="003D5D55" w:rsidP="003D5D55">
      <w:r w:rsidRPr="00A771F3">
        <w:rPr>
          <w:rFonts w:asciiTheme="minorHAnsi" w:hAnsiTheme="minorHAnsi"/>
          <w:noProof/>
          <w:lang w:eastAsia="en-AU"/>
        </w:rPr>
        <w:drawing>
          <wp:inline distT="0" distB="0" distL="0" distR="0" wp14:anchorId="35D8F6E3" wp14:editId="5F843449">
            <wp:extent cx="4792345" cy="3069522"/>
            <wp:effectExtent l="0" t="0" r="8255" b="0"/>
            <wp:docPr id="25" name="Picture 25" descr="Primary structure of polatuzumab vedo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13308"/>
                    <a:stretch/>
                  </pic:blipFill>
                  <pic:spPr bwMode="auto">
                    <a:xfrm>
                      <a:off x="0" y="0"/>
                      <a:ext cx="4849022" cy="3105824"/>
                    </a:xfrm>
                    <a:prstGeom prst="rect">
                      <a:avLst/>
                    </a:prstGeom>
                    <a:noFill/>
                    <a:ln>
                      <a:noFill/>
                    </a:ln>
                    <a:extLst>
                      <a:ext uri="{53640926-AAD7-44D8-BBD7-CCE9431645EC}">
                        <a14:shadowObscured xmlns:a14="http://schemas.microsoft.com/office/drawing/2010/main"/>
                      </a:ext>
                    </a:extLst>
                  </pic:spPr>
                </pic:pic>
              </a:graphicData>
            </a:graphic>
          </wp:inline>
        </w:drawing>
      </w:r>
    </w:p>
    <w:p w14:paraId="4FC38E66" w14:textId="77777777" w:rsidR="003D5D55" w:rsidRDefault="003D5D55" w:rsidP="003D5D55">
      <w:pPr>
        <w:rPr>
          <w:rFonts w:asciiTheme="minorHAnsi" w:hAnsiTheme="minorHAnsi"/>
          <w:lang w:val="en-GB"/>
        </w:rPr>
      </w:pPr>
      <w:r w:rsidRPr="00A771F3">
        <w:rPr>
          <w:rFonts w:asciiTheme="minorHAnsi" w:hAnsiTheme="minorHAnsi"/>
          <w:lang w:val="en-GB"/>
        </w:rPr>
        <w:t xml:space="preserve">The </w:t>
      </w:r>
      <w:r>
        <w:rPr>
          <w:rFonts w:asciiTheme="minorHAnsi" w:hAnsiTheme="minorHAnsi"/>
          <w:lang w:val="en-GB"/>
        </w:rPr>
        <w:t xml:space="preserve">sponsor </w:t>
      </w:r>
      <w:r w:rsidRPr="00A771F3">
        <w:rPr>
          <w:rFonts w:asciiTheme="minorHAnsi" w:hAnsiTheme="minorHAnsi"/>
          <w:lang w:val="en-GB"/>
        </w:rPr>
        <w:t>provide</w:t>
      </w:r>
      <w:r>
        <w:rPr>
          <w:rFonts w:asciiTheme="minorHAnsi" w:hAnsiTheme="minorHAnsi"/>
          <w:lang w:val="en-GB"/>
        </w:rPr>
        <w:t>d results of</w:t>
      </w:r>
      <w:r w:rsidRPr="00A771F3">
        <w:rPr>
          <w:rFonts w:asciiTheme="minorHAnsi" w:hAnsiTheme="minorHAnsi"/>
          <w:lang w:val="en-GB"/>
        </w:rPr>
        <w:t xml:space="preserve"> characterisation testing, including physicochemical, biological, and immunochemical properties</w:t>
      </w:r>
      <w:r w:rsidR="00EF368C">
        <w:rPr>
          <w:rFonts w:asciiTheme="minorHAnsi" w:hAnsiTheme="minorHAnsi"/>
          <w:lang w:val="en-GB"/>
        </w:rPr>
        <w:t xml:space="preserve"> </w:t>
      </w:r>
      <w:r w:rsidRPr="00A771F3">
        <w:rPr>
          <w:rFonts w:asciiTheme="minorHAnsi" w:hAnsiTheme="minorHAnsi"/>
          <w:lang w:val="en-GB"/>
        </w:rPr>
        <w:t>of polatuzumab vedotin</w:t>
      </w:r>
      <w:r>
        <w:rPr>
          <w:rFonts w:asciiTheme="minorHAnsi" w:hAnsiTheme="minorHAnsi"/>
          <w:lang w:val="en-GB"/>
        </w:rPr>
        <w:t>.</w:t>
      </w:r>
    </w:p>
    <w:p w14:paraId="1C3ACAA7" w14:textId="77777777" w:rsidR="0003344A" w:rsidRDefault="0003344A" w:rsidP="0003344A">
      <w:r w:rsidRPr="00A771F3">
        <w:rPr>
          <w:rFonts w:asciiTheme="minorHAnsi" w:hAnsiTheme="minorHAnsi"/>
        </w:rPr>
        <w:t>All drug substance and drug product materials undergo in process control testing and in process acceptance criteria testing. All manufacturing steps and analytical procedures are validated.</w:t>
      </w:r>
      <w:r>
        <w:rPr>
          <w:rFonts w:asciiTheme="minorHAnsi" w:hAnsiTheme="minorHAnsi"/>
        </w:rPr>
        <w:t xml:space="preserve"> </w:t>
      </w:r>
      <w:r w:rsidRPr="0003344A">
        <w:t>There are no issues pertaining to manufacture or manufacturer of the product or specifications.</w:t>
      </w:r>
    </w:p>
    <w:p w14:paraId="167D3C37" w14:textId="77777777" w:rsidR="00A50A8A" w:rsidRDefault="0003344A" w:rsidP="002E6E71">
      <w:r w:rsidRPr="0003344A">
        <w:t>There are no objections to the registration of this product from sterility; endotoxin, viral safety and container safety aspects.</w:t>
      </w:r>
    </w:p>
    <w:p w14:paraId="5D7BD1C3" w14:textId="77777777" w:rsidR="004C58C4" w:rsidRPr="00B57717" w:rsidRDefault="004C58C4" w:rsidP="002E6E71">
      <w:r>
        <w:t xml:space="preserve">The main issue that the </w:t>
      </w:r>
      <w:r w:rsidR="00BE2CC1">
        <w:t>quality</w:t>
      </w:r>
      <w:r>
        <w:t xml:space="preserve"> evaluation has raised is that the maximum shelf life recommended is 12 months at 2</w:t>
      </w:r>
      <w:r w:rsidR="003D5D55">
        <w:t xml:space="preserve"> to </w:t>
      </w:r>
      <w:r>
        <w:t xml:space="preserve">8 </w:t>
      </w:r>
      <w:r w:rsidR="001F3857">
        <w:t>°C</w:t>
      </w:r>
      <w:r>
        <w:t xml:space="preserve">. This is shorter than originally proposed by the </w:t>
      </w:r>
      <w:r w:rsidR="001F3857">
        <w:t>s</w:t>
      </w:r>
      <w:r>
        <w:t>ponsor.</w:t>
      </w:r>
    </w:p>
    <w:p w14:paraId="722B0020" w14:textId="77777777" w:rsidR="008E7846" w:rsidRDefault="008E7846" w:rsidP="008E7846">
      <w:pPr>
        <w:pStyle w:val="Heading3"/>
      </w:pPr>
      <w:bookmarkStart w:id="34" w:name="_Toc314842512"/>
      <w:bookmarkStart w:id="35" w:name="_Toc28858554"/>
      <w:r>
        <w:t>Nonclinical</w:t>
      </w:r>
      <w:bookmarkEnd w:id="34"/>
      <w:bookmarkEnd w:id="35"/>
    </w:p>
    <w:p w14:paraId="76B0C71B" w14:textId="77777777" w:rsidR="00CC3D9F" w:rsidRDefault="00CC3D9F" w:rsidP="00CC3D9F">
      <w:pPr>
        <w:pStyle w:val="Heading4"/>
      </w:pPr>
      <w:r>
        <w:t xml:space="preserve">Primary pharmacology </w:t>
      </w:r>
    </w:p>
    <w:p w14:paraId="76D33DD5" w14:textId="77777777" w:rsidR="00CC3D9F" w:rsidRPr="00CC3D9F" w:rsidRDefault="00CC3D9F" w:rsidP="00CC3D9F">
      <w:pPr>
        <w:pStyle w:val="Heading5"/>
      </w:pPr>
      <w:r>
        <w:t>M</w:t>
      </w:r>
      <w:r w:rsidRPr="00CC3D9F">
        <w:t>echanism of action</w:t>
      </w:r>
    </w:p>
    <w:p w14:paraId="20F80B4B" w14:textId="43EACEEE" w:rsidR="00094B37" w:rsidRPr="00094B37" w:rsidRDefault="00094B37" w:rsidP="00094B37">
      <w:r w:rsidRPr="00094B37">
        <w:t>Polatuzumab vedotin is an anti-CD79b antibody conjugated via a protease-cleavable linker (composed of maleimidocaproyl-valine-citrulline-p-aminobenzyloxycarbonyl) to the anti</w:t>
      </w:r>
      <w:r w:rsidR="00E952E0">
        <w:noBreakHyphen/>
      </w:r>
      <w:r w:rsidRPr="00094B37">
        <w:t>microtubule agent, MMAE. The molar ratio of MMAE to antibody is on average 3.5. CD79b is a B-cell receptor–associated protein and is located on the surface of B-cells. The expression of CD79b is restricted to pre-B-cells and mature B</w:t>
      </w:r>
      <w:r w:rsidR="00E952E0">
        <w:noBreakHyphen/>
      </w:r>
      <w:r w:rsidRPr="00094B37">
        <w:t>cells (except plasma cells). It is expressed in a majority of the B-cell</w:t>
      </w:r>
      <w:r w:rsidR="00E952E0">
        <w:t xml:space="preserve"> </w:t>
      </w:r>
      <w:r w:rsidRPr="00094B37">
        <w:t xml:space="preserve">derived malignancies, including </w:t>
      </w:r>
      <w:r w:rsidR="00121FBA">
        <w:t xml:space="preserve">DLBCL </w:t>
      </w:r>
      <w:r w:rsidR="00121FBA" w:rsidRPr="00094B37">
        <w:t>and</w:t>
      </w:r>
      <w:r w:rsidRPr="00094B37">
        <w:t xml:space="preserve"> chronic lymphocytic leuk</w:t>
      </w:r>
      <w:r w:rsidR="00E952E0">
        <w:t>a</w:t>
      </w:r>
      <w:r w:rsidRPr="00094B37">
        <w:t>emia (CLL). Following binding to CD79b expressing cells, polatuzumab vedotin is intended to be internalised and transported to lysosomes, where the MMAE component is released and binds to tubulin, leading to cell cycle arrest and apoptosis.</w:t>
      </w:r>
    </w:p>
    <w:p w14:paraId="66D5F9E9" w14:textId="77777777" w:rsidR="00CC3D9F" w:rsidRDefault="00CC3D9F" w:rsidP="00CC3D9F">
      <w:pPr>
        <w:pStyle w:val="Heading4"/>
      </w:pPr>
      <w:r>
        <w:lastRenderedPageBreak/>
        <w:t>Toxicology</w:t>
      </w:r>
    </w:p>
    <w:p w14:paraId="12717C9C" w14:textId="34306F4E" w:rsidR="00E5666E" w:rsidRPr="00EF368C" w:rsidRDefault="00E5666E" w:rsidP="002E6E71">
      <w:r w:rsidRPr="006F24AE">
        <w:rPr>
          <w:rFonts w:cs="Arial"/>
        </w:rPr>
        <w:t xml:space="preserve">The nonclinical toxicity of polatuzumab vedotin was assessed in rats and cynomolgus monkey.  The nonclinical toxicity of a surrogate </w:t>
      </w:r>
      <w:r w:rsidR="00E952E0">
        <w:rPr>
          <w:rFonts w:cs="Arial"/>
        </w:rPr>
        <w:t>antibody-drug conjugate (</w:t>
      </w:r>
      <w:r w:rsidRPr="006F24AE">
        <w:rPr>
          <w:rFonts w:cs="Arial"/>
        </w:rPr>
        <w:t>ADC</w:t>
      </w:r>
      <w:r w:rsidR="00E952E0">
        <w:rPr>
          <w:rFonts w:cs="Arial"/>
        </w:rPr>
        <w:t>)</w:t>
      </w:r>
      <w:r w:rsidRPr="006F24AE">
        <w:rPr>
          <w:rFonts w:cs="Arial"/>
        </w:rPr>
        <w:t xml:space="preserve"> (which binds to cynomolgus monkey CD79b) was assessed in cynomolgus monkeys.</w:t>
      </w:r>
    </w:p>
    <w:p w14:paraId="13389B43" w14:textId="3FBC5711" w:rsidR="004C58C4" w:rsidRDefault="004C58C4" w:rsidP="002E6E71">
      <w:r w:rsidRPr="00EF368C">
        <w:t xml:space="preserve">The </w:t>
      </w:r>
      <w:r w:rsidR="001F3857" w:rsidRPr="00EF368C">
        <w:t>non</w:t>
      </w:r>
      <w:r w:rsidRPr="00EF368C">
        <w:t>clinical evaluator co</w:t>
      </w:r>
      <w:r>
        <w:t>ncluded that the studies support the proposed ind</w:t>
      </w:r>
      <w:r w:rsidR="00E70D40">
        <w:t>ication for Polivy</w:t>
      </w:r>
      <w:r w:rsidR="00E952E0">
        <w:t>;</w:t>
      </w:r>
      <w:r w:rsidR="00EF368C">
        <w:t xml:space="preserve"> </w:t>
      </w:r>
      <w:r w:rsidR="00E952E0">
        <w:t>s</w:t>
      </w:r>
      <w:r w:rsidR="00EF368C">
        <w:t>pecifically</w:t>
      </w:r>
      <w:r w:rsidR="00E952E0">
        <w:t>:</w:t>
      </w:r>
    </w:p>
    <w:p w14:paraId="7DA90DC9" w14:textId="77777777" w:rsidR="00EF368C" w:rsidRDefault="00EF368C" w:rsidP="00EF368C">
      <w:pPr>
        <w:pStyle w:val="ListBullet"/>
      </w:pPr>
      <w:r>
        <w:t>The pharmacology studies support the proposed indication for polatuzumab vedotin, that is, to be used in combination with rituximab and bendamustine to treat patients with diffuse B-cell lymphoma. The studies also support the proposed clinical dose.</w:t>
      </w:r>
    </w:p>
    <w:p w14:paraId="5982DDEA" w14:textId="77777777" w:rsidR="00EF368C" w:rsidRDefault="00EF368C" w:rsidP="00EF368C">
      <w:pPr>
        <w:pStyle w:val="ListBullet"/>
      </w:pPr>
      <w:r>
        <w:t>Inhibitors/inducers of cytochrome P450 (CYP) isozyme 3A4 or P-glycoprotein are likely to alter the plasma kinetics of MMAE, thereby affecting the safety and efficacy profile of the drug.</w:t>
      </w:r>
    </w:p>
    <w:p w14:paraId="0C884AA1" w14:textId="77777777" w:rsidR="00EF368C" w:rsidRDefault="00EF368C" w:rsidP="00EF368C">
      <w:pPr>
        <w:pStyle w:val="ListBullet"/>
      </w:pPr>
      <w:r>
        <w:t>The toxicity findings with polatuzumab vedotin can be attributed to MMAE and are typical for those seen with tubulin-acting agents. Notable findings of clinical relevance in the toxicity studies include:</w:t>
      </w:r>
    </w:p>
    <w:p w14:paraId="63A3B630" w14:textId="16AF217F" w:rsidR="00EF368C" w:rsidRDefault="00E952E0" w:rsidP="00EF368C">
      <w:pPr>
        <w:pStyle w:val="ListBullet2"/>
      </w:pPr>
      <w:r>
        <w:t>r</w:t>
      </w:r>
      <w:r w:rsidR="00EF368C">
        <w:t>eversible myelotoxicity with secondary haematological effects (both anaemia and leukopaenia) associated with MMAE toxicity and suppression of B-cells associated with the pharmacological activity, indicating a risk for opportunistic infections;</w:t>
      </w:r>
    </w:p>
    <w:p w14:paraId="1A913604" w14:textId="57A4BE15" w:rsidR="00EF368C" w:rsidRDefault="00E952E0" w:rsidP="00EF368C">
      <w:pPr>
        <w:pStyle w:val="ListBullet2"/>
      </w:pPr>
      <w:r>
        <w:t>g</w:t>
      </w:r>
      <w:r w:rsidR="00EF368C">
        <w:t>astrointestinal disturbances (vomiting and nausea);</w:t>
      </w:r>
    </w:p>
    <w:p w14:paraId="4FD2047B" w14:textId="661D0744" w:rsidR="00EF368C" w:rsidRDefault="00E952E0" w:rsidP="00EF368C">
      <w:pPr>
        <w:pStyle w:val="ListBullet2"/>
      </w:pPr>
      <w:r>
        <w:t xml:space="preserve">reduced </w:t>
      </w:r>
      <w:r w:rsidR="00EF368C">
        <w:t>male fertility and effects on the testes, which was not completely reversible after a 6 week treatment-free period in rats;</w:t>
      </w:r>
    </w:p>
    <w:p w14:paraId="4702B208" w14:textId="02AC9B2A" w:rsidR="00EF368C" w:rsidRDefault="00E952E0" w:rsidP="00EF368C">
      <w:pPr>
        <w:pStyle w:val="ListBullet2"/>
      </w:pPr>
      <w:r>
        <w:t xml:space="preserve">reversible </w:t>
      </w:r>
      <w:r w:rsidR="00EF368C">
        <w:t>hepatotoxicity, which should be easily monitored;</w:t>
      </w:r>
      <w:r>
        <w:t xml:space="preserve"> and</w:t>
      </w:r>
    </w:p>
    <w:p w14:paraId="4D74C475" w14:textId="32C95D78" w:rsidR="00EF368C" w:rsidRDefault="00E952E0" w:rsidP="00EF368C">
      <w:pPr>
        <w:pStyle w:val="ListBullet2"/>
      </w:pPr>
      <w:r>
        <w:t xml:space="preserve">embryofetal </w:t>
      </w:r>
      <w:r w:rsidR="00EF368C">
        <w:t>lethality and fetotoxicity.</w:t>
      </w:r>
    </w:p>
    <w:p w14:paraId="13A19765" w14:textId="77777777" w:rsidR="00EF368C" w:rsidRDefault="00EF368C" w:rsidP="00EF368C">
      <w:pPr>
        <w:pStyle w:val="ListBullet"/>
      </w:pPr>
      <w:r>
        <w:t>Given the effects on the testes, the aneugenic properties of MMAE and the adverse embryofetal effects, together with the long half-life of polatuzumab vedotin, a washout period of at least 6 months would be recommended before patients consider becoming pregnant.</w:t>
      </w:r>
    </w:p>
    <w:p w14:paraId="3939BDD5" w14:textId="77777777" w:rsidR="00EF368C" w:rsidRDefault="00EF368C" w:rsidP="00EF368C">
      <w:pPr>
        <w:pStyle w:val="ListBullet"/>
        <w:rPr>
          <w:rFonts w:asciiTheme="minorHAnsi" w:hAnsiTheme="minorHAnsi"/>
        </w:rPr>
      </w:pPr>
      <w:r>
        <w:rPr>
          <w:rFonts w:asciiTheme="minorHAnsi" w:hAnsiTheme="minorHAnsi"/>
        </w:rPr>
        <w:t>The nonclinical evaluator recommended that the draft PI be amended to specify the embryo-toxicity and limit use in pregnancy.</w:t>
      </w:r>
    </w:p>
    <w:p w14:paraId="77345A6F" w14:textId="77777777" w:rsidR="00EF368C" w:rsidRDefault="00EF368C" w:rsidP="00CC3D9F">
      <w:pPr>
        <w:pStyle w:val="ListBullet"/>
        <w:numPr>
          <w:ilvl w:val="0"/>
          <w:numId w:val="0"/>
        </w:numPr>
      </w:pPr>
      <w:r>
        <w:t>There are no objections on nonclinical grounds to the registration of polatuzumab vedotin for the proposed indication. Amendments to the draft PI were recommended but these are beyond the scope of this AusPAR.</w:t>
      </w:r>
    </w:p>
    <w:p w14:paraId="2E7E4E29" w14:textId="77777777" w:rsidR="008E7846" w:rsidRDefault="008E7846" w:rsidP="008E7846">
      <w:pPr>
        <w:pStyle w:val="Heading3"/>
      </w:pPr>
      <w:bookmarkStart w:id="36" w:name="_Toc247691530"/>
      <w:bookmarkStart w:id="37" w:name="_Toc314842513"/>
      <w:bookmarkStart w:id="38" w:name="_Toc28858555"/>
      <w:r>
        <w:t>Clinical</w:t>
      </w:r>
      <w:bookmarkEnd w:id="36"/>
      <w:bookmarkEnd w:id="37"/>
      <w:bookmarkEnd w:id="38"/>
    </w:p>
    <w:p w14:paraId="3E893BDC" w14:textId="77777777" w:rsidR="004C58C4" w:rsidRDefault="004C58C4" w:rsidP="00964ED9">
      <w:pPr>
        <w:pStyle w:val="Heading4"/>
      </w:pPr>
      <w:bookmarkStart w:id="39" w:name="_Toc314842514"/>
      <w:r w:rsidRPr="003F08CF">
        <w:t>Pharmacology</w:t>
      </w:r>
    </w:p>
    <w:p w14:paraId="31CA2CE8" w14:textId="77777777" w:rsidR="004C58C4" w:rsidRPr="00964ED9" w:rsidRDefault="004C58C4" w:rsidP="00964ED9">
      <w:r w:rsidRPr="00964ED9">
        <w:t>The pharmacokinetics of Pol</w:t>
      </w:r>
      <w:r w:rsidR="004E2F9C">
        <w:t>ivy</w:t>
      </w:r>
      <w:r w:rsidRPr="00964ED9">
        <w:t xml:space="preserve"> are consistent with a monoclonal antibody; small volume of distribution with tissue binding mediated by receptor affinity, long half-life and 100% (parenteral) bioavailability. </w:t>
      </w:r>
    </w:p>
    <w:p w14:paraId="34298CC9" w14:textId="7E7601E1" w:rsidR="004C58C4" w:rsidRPr="00964ED9" w:rsidRDefault="004C58C4" w:rsidP="00964ED9">
      <w:r w:rsidRPr="00964ED9">
        <w:t xml:space="preserve">The main </w:t>
      </w:r>
      <w:r w:rsidR="00DB7B5C" w:rsidRPr="00DB7B5C">
        <w:rPr>
          <w:rFonts w:cs="Arial"/>
        </w:rPr>
        <w:t>immunogenicity</w:t>
      </w:r>
      <w:r w:rsidR="00DB7B5C" w:rsidRPr="00964ED9">
        <w:t xml:space="preserve"> </w:t>
      </w:r>
      <w:r w:rsidRPr="00964ED9">
        <w:t>finding is that 2.6% of 536 subjects developed anti-drug antibodies</w:t>
      </w:r>
      <w:r w:rsidR="004E2F9C">
        <w:t xml:space="preserve"> (ADA)</w:t>
      </w:r>
      <w:r w:rsidRPr="00964ED9">
        <w:t>. This did not appear to be associate</w:t>
      </w:r>
      <w:r w:rsidR="004E2F9C">
        <w:t>d with pharmacokinetic effects.</w:t>
      </w:r>
    </w:p>
    <w:p w14:paraId="390ABFF4" w14:textId="77777777" w:rsidR="004C58C4" w:rsidRPr="00964ED9" w:rsidRDefault="004C58C4" w:rsidP="00964ED9">
      <w:r w:rsidRPr="00964ED9">
        <w:t>The submitted data did not determine the incidence of neutralising antibodies.</w:t>
      </w:r>
    </w:p>
    <w:p w14:paraId="6C72D1AC" w14:textId="103312B2" w:rsidR="004C58C4" w:rsidRDefault="004C58C4" w:rsidP="00964ED9">
      <w:r w:rsidRPr="00964ED9">
        <w:t xml:space="preserve">Dose finding for the pivotal study was based on the </w:t>
      </w:r>
      <w:r w:rsidR="001F3857">
        <w:t>P</w:t>
      </w:r>
      <w:r w:rsidRPr="00964ED9">
        <w:t xml:space="preserve">hase I </w:t>
      </w:r>
      <w:r w:rsidR="004E2F9C">
        <w:t>Study</w:t>
      </w:r>
      <w:r w:rsidRPr="00964ED9">
        <w:t xml:space="preserve"> DCS4968g. The US </w:t>
      </w:r>
      <w:r w:rsidR="00E952E0">
        <w:t>Food and Drug Administration (</w:t>
      </w:r>
      <w:r w:rsidRPr="00964ED9">
        <w:t>FDA</w:t>
      </w:r>
      <w:r w:rsidR="00E952E0">
        <w:t>)</w:t>
      </w:r>
      <w:r w:rsidRPr="00964ED9">
        <w:t xml:space="preserve"> reduced the planned dose of 2.4</w:t>
      </w:r>
      <w:r w:rsidR="001F3857">
        <w:t xml:space="preserve"> </w:t>
      </w:r>
      <w:r w:rsidRPr="00964ED9">
        <w:t>mg to 1.8</w:t>
      </w:r>
      <w:r w:rsidR="001F3857">
        <w:t xml:space="preserve"> </w:t>
      </w:r>
      <w:r w:rsidRPr="00964ED9">
        <w:t xml:space="preserve">mg due to toxicity. The </w:t>
      </w:r>
      <w:r w:rsidR="001F3857">
        <w:t>clinical e</w:t>
      </w:r>
      <w:r w:rsidRPr="00964ED9">
        <w:t xml:space="preserve">valuator has noted that the nature of this toxicity has not been </w:t>
      </w:r>
      <w:r w:rsidRPr="00964ED9">
        <w:lastRenderedPageBreak/>
        <w:t xml:space="preserve">specified in the submission. The </w:t>
      </w:r>
      <w:r w:rsidR="001F3857">
        <w:t>clinical e</w:t>
      </w:r>
      <w:r w:rsidRPr="00964ED9">
        <w:t>valuator has concluded</w:t>
      </w:r>
      <w:r>
        <w:t xml:space="preserve"> that the choice of the 1.8</w:t>
      </w:r>
      <w:r w:rsidR="00E952E0">
        <w:t> </w:t>
      </w:r>
      <w:r>
        <w:t>mg dose is acceptable.</w:t>
      </w:r>
    </w:p>
    <w:p w14:paraId="0BE2B21E" w14:textId="77777777" w:rsidR="004C58C4" w:rsidRDefault="004C58C4" w:rsidP="00964ED9">
      <w:pPr>
        <w:pStyle w:val="Heading4"/>
      </w:pPr>
      <w:r w:rsidRPr="003F08CF">
        <w:t>Efficacy</w:t>
      </w:r>
    </w:p>
    <w:p w14:paraId="12D7DB7A" w14:textId="71956508" w:rsidR="004C58C4" w:rsidRDefault="004C58C4" w:rsidP="00964ED9">
      <w:r>
        <w:t xml:space="preserve">Efficacy was based on a </w:t>
      </w:r>
      <w:r w:rsidR="001F3857">
        <w:t>P</w:t>
      </w:r>
      <w:r>
        <w:t xml:space="preserve">hase I/II trial, </w:t>
      </w:r>
      <w:r w:rsidR="00B67F39">
        <w:t xml:space="preserve">Study </w:t>
      </w:r>
      <w:r>
        <w:t>G029365. This compared the efficacy of Pol</w:t>
      </w:r>
      <w:r w:rsidR="004E2F9C">
        <w:t>ivy</w:t>
      </w:r>
      <w:r w:rsidR="00E952E0">
        <w:t> </w:t>
      </w:r>
      <w:r>
        <w:t>+</w:t>
      </w:r>
      <w:r w:rsidR="00E952E0">
        <w:t> bendamustine </w:t>
      </w:r>
      <w:r>
        <w:t>+</w:t>
      </w:r>
      <w:r w:rsidR="00E952E0">
        <w:t xml:space="preserve"> rituximab </w:t>
      </w:r>
      <w:r>
        <w:t>(Pola</w:t>
      </w:r>
      <w:r w:rsidR="00E952E0">
        <w:t> </w:t>
      </w:r>
      <w:r>
        <w:t>+</w:t>
      </w:r>
      <w:r w:rsidR="00E952E0">
        <w:t> </w:t>
      </w:r>
      <w:r>
        <w:t xml:space="preserve">BR) with </w:t>
      </w:r>
      <w:r w:rsidR="00E952E0">
        <w:t>bendamustine </w:t>
      </w:r>
      <w:r>
        <w:t>+</w:t>
      </w:r>
      <w:r w:rsidR="00E952E0">
        <w:t> r</w:t>
      </w:r>
      <w:r>
        <w:t>ituximab (BR) in 80 patients randomised 1:1 to either treatment arm. There were additional treatment arms in the trial not relevant to the proposed indication for which efficacy data was not provided (however safety data was</w:t>
      </w:r>
      <w:r w:rsidR="00E952E0">
        <w:t xml:space="preserve"> provided</w:t>
      </w:r>
      <w:r>
        <w:t>).</w:t>
      </w:r>
    </w:p>
    <w:p w14:paraId="7E0BA218" w14:textId="77777777" w:rsidR="004C58C4" w:rsidRDefault="004C58C4" w:rsidP="00964ED9">
      <w:r>
        <w:t>Enrolled patients had received at least 1 prior treatment for DLBCL and had either relapsed or become refractory as defined by:</w:t>
      </w:r>
    </w:p>
    <w:p w14:paraId="1F567D90" w14:textId="577A544B" w:rsidR="00ED44D4" w:rsidRDefault="00E952E0" w:rsidP="00ED44D4">
      <w:pPr>
        <w:pStyle w:val="ListBullet"/>
        <w:rPr>
          <w:lang w:eastAsia="ja-JP"/>
        </w:rPr>
      </w:pPr>
      <w:r>
        <w:rPr>
          <w:lang w:eastAsia="ja-JP"/>
        </w:rPr>
        <w:t xml:space="preserve">patients </w:t>
      </w:r>
      <w:r w:rsidR="00ED44D4">
        <w:rPr>
          <w:lang w:eastAsia="ja-JP"/>
        </w:rPr>
        <w:t>who were ineligible for second-line stem cell transplant (SCT), with progressive disease or no response (stable disease) &lt; 6 months from start of initial therapy (2L refractory);</w:t>
      </w:r>
    </w:p>
    <w:p w14:paraId="541BC71E" w14:textId="0B00A20F" w:rsidR="00ED44D4" w:rsidRDefault="00E952E0" w:rsidP="00ED44D4">
      <w:pPr>
        <w:pStyle w:val="ListBullet"/>
        <w:rPr>
          <w:lang w:eastAsia="ja-JP"/>
        </w:rPr>
      </w:pPr>
      <w:r>
        <w:rPr>
          <w:lang w:eastAsia="ja-JP"/>
        </w:rPr>
        <w:t>p</w:t>
      </w:r>
      <w:r w:rsidR="00ED44D4">
        <w:rPr>
          <w:lang w:eastAsia="ja-JP"/>
        </w:rPr>
        <w:t xml:space="preserve">atients who were ineligible for second-line SCT, with disease relapse after initial response </w:t>
      </w:r>
      <w:r w:rsidR="00ED44D4">
        <w:rPr>
          <w:lang w:eastAsia="ja-JP"/>
        </w:rPr>
        <w:sym w:font="Symbol" w:char="F0B3"/>
      </w:r>
      <w:r w:rsidR="00ED44D4">
        <w:rPr>
          <w:lang w:eastAsia="ja-JP"/>
        </w:rPr>
        <w:t xml:space="preserve"> 6 months from start of initial therapy (2L relapsed);</w:t>
      </w:r>
    </w:p>
    <w:p w14:paraId="48B2A084" w14:textId="3255C0A3" w:rsidR="00ED44D4" w:rsidRDefault="00E952E0" w:rsidP="00ED44D4">
      <w:pPr>
        <w:pStyle w:val="ListBullet"/>
        <w:rPr>
          <w:lang w:eastAsia="ja-JP"/>
        </w:rPr>
      </w:pPr>
      <w:r>
        <w:rPr>
          <w:lang w:eastAsia="ja-JP"/>
        </w:rPr>
        <w:t>p</w:t>
      </w:r>
      <w:r w:rsidR="00ED44D4">
        <w:rPr>
          <w:lang w:eastAsia="ja-JP"/>
        </w:rPr>
        <w:t>atients who were ineligible for third-line (or beyond) SCT, with progressive disease or no response (stable disease) &lt; 6 months from start of prior therapy (3L+ refractory)</w:t>
      </w:r>
      <w:r>
        <w:rPr>
          <w:lang w:eastAsia="ja-JP"/>
        </w:rPr>
        <w:t>; and</w:t>
      </w:r>
    </w:p>
    <w:p w14:paraId="07C4C0E6" w14:textId="1ECC06FB" w:rsidR="004E2F9C" w:rsidRDefault="00E952E0" w:rsidP="00ED44D4">
      <w:pPr>
        <w:pStyle w:val="ListBullet"/>
      </w:pPr>
      <w:r>
        <w:rPr>
          <w:lang w:eastAsia="ja-JP"/>
        </w:rPr>
        <w:t>p</w:t>
      </w:r>
      <w:r w:rsidR="00ED44D4">
        <w:rPr>
          <w:lang w:eastAsia="ja-JP"/>
        </w:rPr>
        <w:t xml:space="preserve">atients who were ineligible for third-line (or beyond) SCT with disease relapse after initial response </w:t>
      </w:r>
      <w:r w:rsidR="00ED44D4">
        <w:rPr>
          <w:lang w:eastAsia="ja-JP"/>
        </w:rPr>
        <w:sym w:font="Symbol" w:char="F0B3"/>
      </w:r>
      <w:r w:rsidR="00ED44D4">
        <w:rPr>
          <w:lang w:eastAsia="ja-JP"/>
        </w:rPr>
        <w:t xml:space="preserve"> 6 months from start of prior therapy (3L+ relapsed).</w:t>
      </w:r>
    </w:p>
    <w:p w14:paraId="2228DBF9" w14:textId="143495E4" w:rsidR="004C58C4" w:rsidRPr="00964ED9" w:rsidRDefault="004C58C4" w:rsidP="00964ED9">
      <w:r w:rsidRPr="00964ED9">
        <w:t xml:space="preserve">If a patient had received previous </w:t>
      </w:r>
      <w:r w:rsidR="001F3857">
        <w:t>b</w:t>
      </w:r>
      <w:r w:rsidRPr="00964ED9">
        <w:t>endamustine, they must have had a response of &gt;</w:t>
      </w:r>
      <w:r w:rsidR="00E952E0">
        <w:t> </w:t>
      </w:r>
      <w:r w:rsidRPr="00964ED9">
        <w:t>1</w:t>
      </w:r>
      <w:r w:rsidR="00E952E0">
        <w:t> </w:t>
      </w:r>
      <w:r w:rsidRPr="00964ED9">
        <w:t>year to be included.</w:t>
      </w:r>
    </w:p>
    <w:p w14:paraId="148B9D93" w14:textId="122243E5" w:rsidR="004C58C4" w:rsidRPr="00964ED9" w:rsidRDefault="004C58C4" w:rsidP="00964ED9">
      <w:r w:rsidRPr="00964ED9">
        <w:t xml:space="preserve">The </w:t>
      </w:r>
      <w:r w:rsidR="00964ED9">
        <w:t>clinical e</w:t>
      </w:r>
      <w:r w:rsidRPr="00964ED9">
        <w:t xml:space="preserve">valuator has noted that there </w:t>
      </w:r>
      <w:r w:rsidRPr="00ED44D4">
        <w:t>was an imbalance in prognostic indicators among patients in the two treatment arms. The BR arm enrolled more patients with high-risk prognosis than did the Pola</w:t>
      </w:r>
      <w:r w:rsidR="00E952E0">
        <w:t> </w:t>
      </w:r>
      <w:r w:rsidRPr="00ED44D4">
        <w:t>+</w:t>
      </w:r>
      <w:r w:rsidR="00E952E0">
        <w:t> </w:t>
      </w:r>
      <w:r w:rsidRPr="00ED44D4">
        <w:t>BR arm (42.5 v</w:t>
      </w:r>
      <w:r w:rsidR="001F3857" w:rsidRPr="00ED44D4">
        <w:t>ersu</w:t>
      </w:r>
      <w:r w:rsidRPr="00ED44D4">
        <w:t>s 22</w:t>
      </w:r>
      <w:r w:rsidRPr="00964ED9">
        <w:t xml:space="preserve">.5% respectively). </w:t>
      </w:r>
    </w:p>
    <w:p w14:paraId="4B28DA22" w14:textId="4D465BA3" w:rsidR="00964ED9" w:rsidRDefault="004C58C4" w:rsidP="00964ED9">
      <w:pPr>
        <w:rPr>
          <w:rFonts w:asciiTheme="minorHAnsi" w:hAnsiTheme="minorHAnsi"/>
          <w:b/>
          <w:sz w:val="20"/>
        </w:rPr>
      </w:pPr>
      <w:r w:rsidRPr="00964ED9">
        <w:t xml:space="preserve">The primary endpoint of the study was the rate of </w:t>
      </w:r>
      <w:r w:rsidR="00E952E0">
        <w:t>c</w:t>
      </w:r>
      <w:r w:rsidR="00E952E0" w:rsidRPr="00964ED9">
        <w:t xml:space="preserve">omplete </w:t>
      </w:r>
      <w:r w:rsidR="00E952E0">
        <w:t>r</w:t>
      </w:r>
      <w:r w:rsidRPr="00964ED9">
        <w:t>esponse (CR) in the two comparator arms.</w:t>
      </w:r>
      <w:r w:rsidR="00964ED9" w:rsidRPr="00964ED9">
        <w:rPr>
          <w:rFonts w:asciiTheme="minorHAnsi" w:hAnsiTheme="minorHAnsi"/>
          <w:b/>
          <w:sz w:val="20"/>
        </w:rPr>
        <w:t xml:space="preserve"> </w:t>
      </w:r>
    </w:p>
    <w:p w14:paraId="794519FF" w14:textId="05DD42BD" w:rsidR="00964ED9" w:rsidRDefault="00964ED9" w:rsidP="00964ED9">
      <w:pPr>
        <w:pStyle w:val="TableTitle"/>
      </w:pPr>
      <w:r>
        <w:t xml:space="preserve">Table </w:t>
      </w:r>
      <w:r w:rsidR="004E046F">
        <w:t>3</w:t>
      </w:r>
      <w:r w:rsidR="001F3857">
        <w:t>:</w:t>
      </w:r>
      <w:r>
        <w:t xml:space="preserve"> Comparative </w:t>
      </w:r>
      <w:r w:rsidR="00E952E0">
        <w:t>complete response</w:t>
      </w:r>
      <w:r>
        <w:t xml:space="preserve"> rates in Pola</w:t>
      </w:r>
      <w:r w:rsidR="00E952E0">
        <w:t> </w:t>
      </w:r>
      <w:r>
        <w:t>+</w:t>
      </w:r>
      <w:r w:rsidR="00E952E0">
        <w:t> </w:t>
      </w:r>
      <w:r>
        <w:t>BR and BR treated pa</w:t>
      </w:r>
      <w:r w:rsidR="001F3857">
        <w:t xml:space="preserve">tients in </w:t>
      </w:r>
      <w:r w:rsidR="004E046F">
        <w:t xml:space="preserve">the </w:t>
      </w:r>
      <w:r w:rsidR="001F3857">
        <w:t xml:space="preserve">pivotal trial </w:t>
      </w:r>
      <w:r w:rsidR="004E046F">
        <w:t xml:space="preserve">(Study </w:t>
      </w:r>
      <w:r w:rsidR="001F3857">
        <w:t>G029365</w:t>
      </w:r>
      <w:r w:rsidR="004E046F">
        <w:t>)</w:t>
      </w:r>
    </w:p>
    <w:p w14:paraId="6B034F0F" w14:textId="77777777" w:rsidR="004C58C4" w:rsidRDefault="004C58C4" w:rsidP="00964ED9">
      <w:r w:rsidRPr="00303106">
        <w:rPr>
          <w:noProof/>
          <w:lang w:eastAsia="en-AU"/>
        </w:rPr>
        <w:drawing>
          <wp:inline distT="0" distB="0" distL="0" distR="0" wp14:anchorId="6DD6BBD8" wp14:editId="2B4C83D7">
            <wp:extent cx="5011881" cy="1946005"/>
            <wp:effectExtent l="19050" t="19050" r="17780" b="16510"/>
            <wp:docPr id="9" name="Picture 9" descr="Comparative complete response rates in Pola + BR and BR treated patients in the pivotal trial (Study G02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lum bright="-20000" contrast="40000"/>
                      <a:extLst>
                        <a:ext uri="{28A0092B-C50C-407E-A947-70E740481C1C}">
                          <a14:useLocalDpi xmlns:a14="http://schemas.microsoft.com/office/drawing/2010/main" val="0"/>
                        </a:ext>
                      </a:extLst>
                    </a:blip>
                    <a:srcRect/>
                    <a:stretch>
                      <a:fillRect/>
                    </a:stretch>
                  </pic:blipFill>
                  <pic:spPr bwMode="auto">
                    <a:xfrm>
                      <a:off x="0" y="0"/>
                      <a:ext cx="5021154" cy="1949606"/>
                    </a:xfrm>
                    <a:prstGeom prst="rect">
                      <a:avLst/>
                    </a:prstGeom>
                    <a:noFill/>
                    <a:ln>
                      <a:solidFill>
                        <a:schemeClr val="accent1"/>
                      </a:solidFill>
                    </a:ln>
                  </pic:spPr>
                </pic:pic>
              </a:graphicData>
            </a:graphic>
          </wp:inline>
        </w:drawing>
      </w:r>
    </w:p>
    <w:p w14:paraId="0D031EB5" w14:textId="628AE1D8" w:rsidR="004E046F" w:rsidRPr="00303106" w:rsidRDefault="004E046F" w:rsidP="000D66F3">
      <w:pPr>
        <w:pStyle w:val="TableDescription"/>
      </w:pPr>
      <w:r>
        <w:t>PET = positron emission tomography; CI = confidence interval; PRA = primary response assessment; IRC = independent review committee.</w:t>
      </w:r>
    </w:p>
    <w:p w14:paraId="78FCE35D" w14:textId="352FDD3D" w:rsidR="004C58C4" w:rsidRDefault="004C58C4" w:rsidP="00964ED9">
      <w:r w:rsidRPr="00303106">
        <w:t>The CR response rate was 40% in the Pola</w:t>
      </w:r>
      <w:r w:rsidR="004E046F">
        <w:t> </w:t>
      </w:r>
      <w:r w:rsidRPr="00303106">
        <w:t>+</w:t>
      </w:r>
      <w:r w:rsidR="004E046F">
        <w:t> </w:t>
      </w:r>
      <w:r w:rsidRPr="00303106">
        <w:t xml:space="preserve">BR group </w:t>
      </w:r>
      <w:r>
        <w:t>and 17.5% in the BR group, a difference of 22.5% (95%</w:t>
      </w:r>
      <w:r w:rsidR="004E046F">
        <w:t> </w:t>
      </w:r>
      <w:r w:rsidR="00A13173">
        <w:t>confidence interval (</w:t>
      </w:r>
      <w:r>
        <w:t>CI</w:t>
      </w:r>
      <w:r w:rsidR="00A13173">
        <w:t>):</w:t>
      </w:r>
      <w:r>
        <w:t xml:space="preserve"> 2.6</w:t>
      </w:r>
      <w:r w:rsidR="004E046F">
        <w:t xml:space="preserve"> to </w:t>
      </w:r>
      <w:r>
        <w:t>40.2%).</w:t>
      </w:r>
    </w:p>
    <w:p w14:paraId="18AB5CCD" w14:textId="77777777" w:rsidR="004C58C4" w:rsidRPr="008531CC" w:rsidRDefault="004C58C4" w:rsidP="00964ED9">
      <w:pPr>
        <w:pStyle w:val="Heading5"/>
      </w:pPr>
      <w:r w:rsidRPr="008531CC">
        <w:lastRenderedPageBreak/>
        <w:t>Secondary endpoints</w:t>
      </w:r>
    </w:p>
    <w:p w14:paraId="0113DB40" w14:textId="75DC3CBD" w:rsidR="004C58C4" w:rsidRDefault="004C58C4" w:rsidP="00964ED9">
      <w:r>
        <w:t>Overall 70% of patients in the Pola</w:t>
      </w:r>
      <w:r w:rsidR="004E046F">
        <w:t> </w:t>
      </w:r>
      <w:r>
        <w:t>+</w:t>
      </w:r>
      <w:r w:rsidR="004E046F">
        <w:t> </w:t>
      </w:r>
      <w:r>
        <w:t>BR arm achieved some response, compared with 32.5% in the BR arm.</w:t>
      </w:r>
    </w:p>
    <w:p w14:paraId="0257DFCD" w14:textId="77777777" w:rsidR="00FE64D0" w:rsidRDefault="00964ED9" w:rsidP="004E046F">
      <w:pPr>
        <w:pStyle w:val="FigureTitle"/>
      </w:pPr>
      <w:r w:rsidRPr="00591D64">
        <w:t xml:space="preserve">Figure </w:t>
      </w:r>
      <w:r w:rsidR="00CC3D9F">
        <w:t>2</w:t>
      </w:r>
      <w:r w:rsidR="001F3857">
        <w:t>:</w:t>
      </w:r>
      <w:r w:rsidRPr="00591D64">
        <w:t xml:space="preserve"> Progression free survival in pivotal trial</w:t>
      </w:r>
      <w:r w:rsidR="00A13173">
        <w:t xml:space="preserve"> (Study GO2965)</w:t>
      </w:r>
    </w:p>
    <w:p w14:paraId="4F435CC6" w14:textId="57055342" w:rsidR="00E93E97" w:rsidRDefault="007F5471" w:rsidP="00FE64D0">
      <w:r>
        <w:rPr>
          <w:noProof/>
          <w:lang w:eastAsia="en-AU"/>
        </w:rPr>
        <w:drawing>
          <wp:inline distT="0" distB="0" distL="0" distR="0" wp14:anchorId="7E43D393" wp14:editId="3AA8BD3C">
            <wp:extent cx="5400040" cy="3553974"/>
            <wp:effectExtent l="0" t="0" r="0" b="8890"/>
            <wp:docPr id="3" name="Picture 3" descr="Progression free survival in pivotal trial (Study GO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50000"/>
                              </a14:imgEffect>
                              <a14:imgEffect>
                                <a14:brightnessContrast contrast="-20000"/>
                              </a14:imgEffect>
                            </a14:imgLayer>
                          </a14:imgProps>
                        </a:ext>
                      </a:extLst>
                    </a:blip>
                    <a:stretch>
                      <a:fillRect/>
                    </a:stretch>
                  </pic:blipFill>
                  <pic:spPr>
                    <a:xfrm>
                      <a:off x="0" y="0"/>
                      <a:ext cx="5400040" cy="3553974"/>
                    </a:xfrm>
                    <a:prstGeom prst="rect">
                      <a:avLst/>
                    </a:prstGeom>
                  </pic:spPr>
                </pic:pic>
              </a:graphicData>
            </a:graphic>
          </wp:inline>
        </w:drawing>
      </w:r>
    </w:p>
    <w:p w14:paraId="62ACF146" w14:textId="4C7E781C" w:rsidR="004C58C4" w:rsidRPr="00591D64" w:rsidRDefault="004C58C4" w:rsidP="00964ED9">
      <w:r>
        <w:t>Pola</w:t>
      </w:r>
      <w:r w:rsidR="00A13173">
        <w:t> </w:t>
      </w:r>
      <w:r>
        <w:t>+</w:t>
      </w:r>
      <w:r w:rsidR="00A13173">
        <w:t> </w:t>
      </w:r>
      <w:r>
        <w:t xml:space="preserve">BR was associated with a reduced risk of a disease progression event, with a </w:t>
      </w:r>
      <w:r w:rsidR="00ED44D4">
        <w:t>hazard ratio (</w:t>
      </w:r>
      <w:r>
        <w:t>HR</w:t>
      </w:r>
      <w:r w:rsidR="00A13173">
        <w:t xml:space="preserve">) </w:t>
      </w:r>
      <w:r>
        <w:t>of 0</w:t>
      </w:r>
      <w:r w:rsidR="00345E18">
        <w:t xml:space="preserve">.38 </w:t>
      </w:r>
      <w:r>
        <w:t>(95%</w:t>
      </w:r>
      <w:r w:rsidR="001F3857">
        <w:t xml:space="preserve"> </w:t>
      </w:r>
      <w:r>
        <w:t>CI</w:t>
      </w:r>
      <w:r w:rsidR="00A13173">
        <w:t>:</w:t>
      </w:r>
      <w:r>
        <w:t xml:space="preserve"> </w:t>
      </w:r>
      <w:r w:rsidR="00345E18">
        <w:t xml:space="preserve">0.22 </w:t>
      </w:r>
      <w:r>
        <w:t>to</w:t>
      </w:r>
      <w:r w:rsidR="00CC2959">
        <w:t xml:space="preserve"> </w:t>
      </w:r>
      <w:r w:rsidR="00345E18">
        <w:t>0.66</w:t>
      </w:r>
      <w:r>
        <w:t xml:space="preserve">). Median PFS was </w:t>
      </w:r>
      <w:r w:rsidR="007F5471">
        <w:t>9.5</w:t>
      </w:r>
      <w:r>
        <w:t xml:space="preserve"> months in the Pola</w:t>
      </w:r>
      <w:r w:rsidR="00A13173">
        <w:t> </w:t>
      </w:r>
      <w:r>
        <w:t>+</w:t>
      </w:r>
      <w:r w:rsidR="00A13173">
        <w:t> </w:t>
      </w:r>
      <w:r>
        <w:t>BR group.</w:t>
      </w:r>
    </w:p>
    <w:p w14:paraId="1FB0F1E8" w14:textId="77777777" w:rsidR="004C58C4" w:rsidRPr="008531CC" w:rsidRDefault="004C58C4" w:rsidP="00964ED9">
      <w:r>
        <w:t xml:space="preserve">The </w:t>
      </w:r>
      <w:r w:rsidR="00964ED9">
        <w:t>clinical e</w:t>
      </w:r>
      <w:r>
        <w:t>valuator has concluded that there is sufficient evidence of the efficacy of Pol</w:t>
      </w:r>
      <w:r w:rsidR="00E70D40">
        <w:t>ivy</w:t>
      </w:r>
      <w:r>
        <w:t xml:space="preserve"> given the rarity of refractory DLBCL, which would make a </w:t>
      </w:r>
      <w:r w:rsidR="001F3857">
        <w:t>P</w:t>
      </w:r>
      <w:r>
        <w:t>hase III trial difficult.</w:t>
      </w:r>
    </w:p>
    <w:p w14:paraId="623D2533" w14:textId="77777777" w:rsidR="004C58C4" w:rsidRDefault="004C58C4" w:rsidP="00964ED9">
      <w:pPr>
        <w:pStyle w:val="Heading4"/>
      </w:pPr>
      <w:r w:rsidRPr="003F08CF">
        <w:t>Safety</w:t>
      </w:r>
    </w:p>
    <w:p w14:paraId="5EC90026" w14:textId="77777777" w:rsidR="004C58C4" w:rsidRDefault="004C58C4" w:rsidP="00964ED9">
      <w:r>
        <w:t>Safety data is limited to that in the clinical studies, none of which assessed safety as a primary outcome.</w:t>
      </w:r>
    </w:p>
    <w:p w14:paraId="60179DDA" w14:textId="4315081D" w:rsidR="00ED44D4" w:rsidRDefault="001F3857" w:rsidP="000B2636">
      <w:pPr>
        <w:pStyle w:val="TableTitle"/>
        <w:rPr>
          <w:rFonts w:asciiTheme="minorHAnsi" w:hAnsiTheme="minorHAnsi"/>
          <w:sz w:val="20"/>
        </w:rPr>
      </w:pPr>
      <w:r w:rsidRPr="000B2636">
        <w:t xml:space="preserve">Table </w:t>
      </w:r>
      <w:r w:rsidR="00A13173">
        <w:t>4</w:t>
      </w:r>
      <w:r w:rsidRPr="000B2636">
        <w:t>:</w:t>
      </w:r>
      <w:r w:rsidR="00964ED9" w:rsidRPr="000B2636">
        <w:t xml:space="preserve"> </w:t>
      </w:r>
      <w:r w:rsidR="00ED44D4" w:rsidRPr="000B2636">
        <w:t>Exposure</w:t>
      </w:r>
      <w:r w:rsidR="00ED44D4" w:rsidRPr="008A132D">
        <w:t xml:space="preserve"> to </w:t>
      </w:r>
      <w:r w:rsidR="00ED44D4" w:rsidRPr="000B2636">
        <w:t>polatuzumab</w:t>
      </w:r>
      <w:r w:rsidR="00ED44D4" w:rsidRPr="008A132D">
        <w:t xml:space="preserve"> and </w:t>
      </w:r>
      <w:r w:rsidR="00ED44D4">
        <w:t>comparators in clinical studies</w:t>
      </w:r>
    </w:p>
    <w:tbl>
      <w:tblPr>
        <w:tblStyle w:val="TableTGAblue"/>
        <w:tblW w:w="8784" w:type="dxa"/>
        <w:tblLayout w:type="fixed"/>
        <w:tblLook w:val="04A0" w:firstRow="1" w:lastRow="0" w:firstColumn="1" w:lastColumn="0" w:noHBand="0" w:noVBand="1"/>
      </w:tblPr>
      <w:tblGrid>
        <w:gridCol w:w="1975"/>
        <w:gridCol w:w="1843"/>
        <w:gridCol w:w="1275"/>
        <w:gridCol w:w="1843"/>
        <w:gridCol w:w="1848"/>
      </w:tblGrid>
      <w:tr w:rsidR="000B2636" w:rsidRPr="00A13173" w14:paraId="7F57B140" w14:textId="77777777" w:rsidTr="000D66F3">
        <w:trPr>
          <w:cnfStyle w:val="100000000000" w:firstRow="1" w:lastRow="0" w:firstColumn="0" w:lastColumn="0" w:oddVBand="0" w:evenVBand="0" w:oddHBand="0" w:evenHBand="0" w:firstRowFirstColumn="0" w:firstRowLastColumn="0" w:lastRowFirstColumn="0" w:lastRowLastColumn="0"/>
        </w:trPr>
        <w:tc>
          <w:tcPr>
            <w:tcW w:w="1975" w:type="dxa"/>
          </w:tcPr>
          <w:p w14:paraId="050F8B31" w14:textId="73C33BF3" w:rsidR="00ED44D4" w:rsidRPr="00A13173" w:rsidRDefault="00ED44D4" w:rsidP="00A13173">
            <w:r w:rsidRPr="00A13173">
              <w:t xml:space="preserve">Study </w:t>
            </w:r>
            <w:r w:rsidR="00A13173">
              <w:t>ID</w:t>
            </w:r>
          </w:p>
        </w:tc>
        <w:tc>
          <w:tcPr>
            <w:tcW w:w="1843" w:type="dxa"/>
          </w:tcPr>
          <w:p w14:paraId="405B85DB" w14:textId="5A9DD4A8" w:rsidR="00ED44D4" w:rsidRPr="00A13173" w:rsidRDefault="00ED44D4" w:rsidP="000D66F3">
            <w:pPr>
              <w:ind w:left="0"/>
            </w:pPr>
            <w:r w:rsidRPr="00A13173">
              <w:t>Polatuzumab +</w:t>
            </w:r>
            <w:r w:rsidR="00A13173">
              <w:t> </w:t>
            </w:r>
            <w:r w:rsidRPr="00A13173">
              <w:t>BR</w:t>
            </w:r>
          </w:p>
        </w:tc>
        <w:tc>
          <w:tcPr>
            <w:tcW w:w="1275" w:type="dxa"/>
          </w:tcPr>
          <w:p w14:paraId="122AFF19" w14:textId="77777777" w:rsidR="00ED44D4" w:rsidRPr="00062CAC" w:rsidRDefault="00ED44D4" w:rsidP="00062CAC">
            <w:r w:rsidRPr="00062CAC">
              <w:t>BR</w:t>
            </w:r>
          </w:p>
        </w:tc>
        <w:tc>
          <w:tcPr>
            <w:tcW w:w="1843" w:type="dxa"/>
          </w:tcPr>
          <w:p w14:paraId="16892213" w14:textId="77777777" w:rsidR="00ED44D4" w:rsidRPr="00062CAC" w:rsidRDefault="00ED44D4" w:rsidP="000D66F3">
            <w:pPr>
              <w:ind w:left="0"/>
            </w:pPr>
            <w:r w:rsidRPr="00062CAC">
              <w:t>Other polatuzumab</w:t>
            </w:r>
          </w:p>
        </w:tc>
        <w:tc>
          <w:tcPr>
            <w:tcW w:w="1848" w:type="dxa"/>
          </w:tcPr>
          <w:p w14:paraId="0D0120E5" w14:textId="422A3448" w:rsidR="00ED44D4" w:rsidRPr="00062CAC" w:rsidRDefault="00ED44D4" w:rsidP="000D66F3">
            <w:pPr>
              <w:ind w:left="0"/>
            </w:pPr>
            <w:r w:rsidRPr="00062CAC">
              <w:t>Total</w:t>
            </w:r>
            <w:r w:rsidR="00A13173">
              <w:t xml:space="preserve"> </w:t>
            </w:r>
            <w:r w:rsidR="00A13173" w:rsidRPr="00062CAC">
              <w:t>p</w:t>
            </w:r>
            <w:r w:rsidRPr="00062CAC">
              <w:t>olatuzumab</w:t>
            </w:r>
          </w:p>
        </w:tc>
      </w:tr>
      <w:tr w:rsidR="00ED44D4" w:rsidRPr="00A13173" w14:paraId="74E3D5A2" w14:textId="77777777" w:rsidTr="000D66F3">
        <w:tc>
          <w:tcPr>
            <w:tcW w:w="1975" w:type="dxa"/>
          </w:tcPr>
          <w:p w14:paraId="6237F010" w14:textId="77777777" w:rsidR="00ED44D4" w:rsidRPr="000D66F3" w:rsidRDefault="00ED44D4" w:rsidP="00A13173">
            <w:r w:rsidRPr="00A13173">
              <w:t>GO29365</w:t>
            </w:r>
          </w:p>
        </w:tc>
        <w:tc>
          <w:tcPr>
            <w:tcW w:w="1843" w:type="dxa"/>
          </w:tcPr>
          <w:p w14:paraId="170193EB" w14:textId="77777777" w:rsidR="00ED44D4" w:rsidRPr="00A13173" w:rsidRDefault="00ED44D4" w:rsidP="00062CAC">
            <w:r w:rsidRPr="00A13173">
              <w:t>89</w:t>
            </w:r>
          </w:p>
        </w:tc>
        <w:tc>
          <w:tcPr>
            <w:tcW w:w="1275" w:type="dxa"/>
          </w:tcPr>
          <w:p w14:paraId="32946CBF" w14:textId="77777777" w:rsidR="00ED44D4" w:rsidRPr="00A13173" w:rsidRDefault="00ED44D4" w:rsidP="00062CAC">
            <w:r w:rsidRPr="00A13173">
              <w:t>80</w:t>
            </w:r>
          </w:p>
        </w:tc>
        <w:tc>
          <w:tcPr>
            <w:tcW w:w="1843" w:type="dxa"/>
          </w:tcPr>
          <w:p w14:paraId="031CB514" w14:textId="77777777" w:rsidR="00ED44D4" w:rsidRPr="00A13173" w:rsidRDefault="00ED44D4" w:rsidP="00062CAC">
            <w:r w:rsidRPr="00A13173">
              <w:t>52</w:t>
            </w:r>
          </w:p>
        </w:tc>
        <w:tc>
          <w:tcPr>
            <w:tcW w:w="1848" w:type="dxa"/>
          </w:tcPr>
          <w:p w14:paraId="7F5B83FF" w14:textId="77777777" w:rsidR="00ED44D4" w:rsidRPr="00A13173" w:rsidRDefault="00ED44D4">
            <w:r w:rsidRPr="00A13173">
              <w:t>141</w:t>
            </w:r>
          </w:p>
        </w:tc>
      </w:tr>
      <w:tr w:rsidR="00ED44D4" w:rsidRPr="00A13173" w14:paraId="4BB4F5F3" w14:textId="77777777" w:rsidTr="000D66F3">
        <w:tc>
          <w:tcPr>
            <w:tcW w:w="1975" w:type="dxa"/>
          </w:tcPr>
          <w:p w14:paraId="63878C54" w14:textId="68249927" w:rsidR="00ED44D4" w:rsidRPr="000D66F3" w:rsidRDefault="00ED44D4" w:rsidP="00A13173">
            <w:r w:rsidRPr="00A13173">
              <w:t xml:space="preserve">GO29365 </w:t>
            </w:r>
            <w:r w:rsidR="00A13173">
              <w:t>(</w:t>
            </w:r>
            <w:r w:rsidRPr="00A13173">
              <w:t>Arm G</w:t>
            </w:r>
            <w:r w:rsidR="00A13173">
              <w:t>)</w:t>
            </w:r>
          </w:p>
        </w:tc>
        <w:tc>
          <w:tcPr>
            <w:tcW w:w="1843" w:type="dxa"/>
          </w:tcPr>
          <w:p w14:paraId="621F62AE" w14:textId="77777777" w:rsidR="00ED44D4" w:rsidRPr="00A13173" w:rsidRDefault="00ED44D4" w:rsidP="00062CAC">
            <w:r w:rsidRPr="00A13173">
              <w:t>25</w:t>
            </w:r>
          </w:p>
        </w:tc>
        <w:tc>
          <w:tcPr>
            <w:tcW w:w="1275" w:type="dxa"/>
          </w:tcPr>
          <w:p w14:paraId="6919AA30" w14:textId="77777777" w:rsidR="00ED44D4" w:rsidRPr="00A13173" w:rsidRDefault="00ED44D4" w:rsidP="00062CAC">
            <w:r w:rsidRPr="00A13173">
              <w:t>-</w:t>
            </w:r>
          </w:p>
        </w:tc>
        <w:tc>
          <w:tcPr>
            <w:tcW w:w="1843" w:type="dxa"/>
          </w:tcPr>
          <w:p w14:paraId="18A2F2BE" w14:textId="77777777" w:rsidR="00ED44D4" w:rsidRPr="00A13173" w:rsidRDefault="00ED44D4" w:rsidP="00062CAC">
            <w:r w:rsidRPr="00A13173">
              <w:t>-</w:t>
            </w:r>
          </w:p>
        </w:tc>
        <w:tc>
          <w:tcPr>
            <w:tcW w:w="1848" w:type="dxa"/>
          </w:tcPr>
          <w:p w14:paraId="3E472DCD" w14:textId="77777777" w:rsidR="00ED44D4" w:rsidRPr="00A13173" w:rsidRDefault="00ED44D4">
            <w:r w:rsidRPr="00A13173">
              <w:t>25</w:t>
            </w:r>
          </w:p>
        </w:tc>
      </w:tr>
      <w:tr w:rsidR="00ED44D4" w:rsidRPr="00A13173" w14:paraId="590DE944" w14:textId="77777777" w:rsidTr="000D66F3">
        <w:tc>
          <w:tcPr>
            <w:tcW w:w="1975" w:type="dxa"/>
          </w:tcPr>
          <w:p w14:paraId="784C5B5E" w14:textId="77777777" w:rsidR="00ED44D4" w:rsidRPr="000D66F3" w:rsidRDefault="00ED44D4" w:rsidP="00A13173">
            <w:r w:rsidRPr="00A13173">
              <w:t>DCS4968g</w:t>
            </w:r>
          </w:p>
        </w:tc>
        <w:tc>
          <w:tcPr>
            <w:tcW w:w="1843" w:type="dxa"/>
          </w:tcPr>
          <w:p w14:paraId="245A1B2A" w14:textId="77777777" w:rsidR="00ED44D4" w:rsidRPr="00A13173" w:rsidRDefault="00ED44D4" w:rsidP="00062CAC">
            <w:r w:rsidRPr="00A13173">
              <w:t>-</w:t>
            </w:r>
          </w:p>
        </w:tc>
        <w:tc>
          <w:tcPr>
            <w:tcW w:w="1275" w:type="dxa"/>
          </w:tcPr>
          <w:p w14:paraId="2FD0D108" w14:textId="77777777" w:rsidR="00ED44D4" w:rsidRPr="00A13173" w:rsidRDefault="00ED44D4" w:rsidP="00062CAC">
            <w:r w:rsidRPr="00A13173">
              <w:t>-</w:t>
            </w:r>
          </w:p>
        </w:tc>
        <w:tc>
          <w:tcPr>
            <w:tcW w:w="1843" w:type="dxa"/>
          </w:tcPr>
          <w:p w14:paraId="78EFF146" w14:textId="77777777" w:rsidR="00ED44D4" w:rsidRPr="00A13173" w:rsidRDefault="00ED44D4" w:rsidP="00062CAC">
            <w:r w:rsidRPr="00A13173">
              <w:t>95</w:t>
            </w:r>
          </w:p>
        </w:tc>
        <w:tc>
          <w:tcPr>
            <w:tcW w:w="1848" w:type="dxa"/>
          </w:tcPr>
          <w:p w14:paraId="280814AD" w14:textId="77777777" w:rsidR="00ED44D4" w:rsidRPr="00A13173" w:rsidRDefault="00ED44D4">
            <w:r w:rsidRPr="00A13173">
              <w:t>95</w:t>
            </w:r>
          </w:p>
        </w:tc>
      </w:tr>
      <w:tr w:rsidR="00ED44D4" w:rsidRPr="00A13173" w14:paraId="262A4E8C" w14:textId="77777777" w:rsidTr="000D66F3">
        <w:tc>
          <w:tcPr>
            <w:tcW w:w="1975" w:type="dxa"/>
          </w:tcPr>
          <w:p w14:paraId="05BACD4B" w14:textId="77777777" w:rsidR="00ED44D4" w:rsidRPr="000D66F3" w:rsidRDefault="00ED44D4" w:rsidP="00A13173">
            <w:r w:rsidRPr="00A13173">
              <w:t>GO27834</w:t>
            </w:r>
          </w:p>
        </w:tc>
        <w:tc>
          <w:tcPr>
            <w:tcW w:w="1843" w:type="dxa"/>
          </w:tcPr>
          <w:p w14:paraId="6A6265D3" w14:textId="77777777" w:rsidR="00ED44D4" w:rsidRPr="00A13173" w:rsidRDefault="00ED44D4" w:rsidP="00062CAC"/>
        </w:tc>
        <w:tc>
          <w:tcPr>
            <w:tcW w:w="1275" w:type="dxa"/>
          </w:tcPr>
          <w:p w14:paraId="5BE9369A" w14:textId="77777777" w:rsidR="00ED44D4" w:rsidRPr="00A13173" w:rsidRDefault="00ED44D4" w:rsidP="00062CAC"/>
        </w:tc>
        <w:tc>
          <w:tcPr>
            <w:tcW w:w="1843" w:type="dxa"/>
          </w:tcPr>
          <w:p w14:paraId="1CE0A1D1" w14:textId="77777777" w:rsidR="00ED44D4" w:rsidRPr="00A13173" w:rsidRDefault="00ED44D4" w:rsidP="00062CAC">
            <w:r w:rsidRPr="00A13173">
              <w:t>167</w:t>
            </w:r>
          </w:p>
        </w:tc>
        <w:tc>
          <w:tcPr>
            <w:tcW w:w="1848" w:type="dxa"/>
          </w:tcPr>
          <w:p w14:paraId="70AC89AB" w14:textId="77777777" w:rsidR="00ED44D4" w:rsidRPr="00A13173" w:rsidRDefault="00ED44D4">
            <w:r w:rsidRPr="00A13173">
              <w:t>167</w:t>
            </w:r>
          </w:p>
        </w:tc>
      </w:tr>
      <w:tr w:rsidR="00ED44D4" w:rsidRPr="00A13173" w14:paraId="402B714E" w14:textId="77777777" w:rsidTr="000D66F3">
        <w:tc>
          <w:tcPr>
            <w:tcW w:w="1975" w:type="dxa"/>
          </w:tcPr>
          <w:p w14:paraId="40141A37" w14:textId="77777777" w:rsidR="00ED44D4" w:rsidRPr="000D66F3" w:rsidRDefault="00ED44D4" w:rsidP="00A13173">
            <w:r w:rsidRPr="00A13173">
              <w:t>GO29044</w:t>
            </w:r>
          </w:p>
        </w:tc>
        <w:tc>
          <w:tcPr>
            <w:tcW w:w="1843" w:type="dxa"/>
          </w:tcPr>
          <w:p w14:paraId="5E3E8326" w14:textId="77777777" w:rsidR="00ED44D4" w:rsidRPr="00A13173" w:rsidRDefault="00ED44D4" w:rsidP="00062CAC">
            <w:r w:rsidRPr="00A13173">
              <w:t>-</w:t>
            </w:r>
          </w:p>
        </w:tc>
        <w:tc>
          <w:tcPr>
            <w:tcW w:w="1275" w:type="dxa"/>
          </w:tcPr>
          <w:p w14:paraId="1F3A3A79" w14:textId="77777777" w:rsidR="00ED44D4" w:rsidRPr="00A13173" w:rsidRDefault="00ED44D4" w:rsidP="00062CAC">
            <w:r w:rsidRPr="00A13173">
              <w:t>-</w:t>
            </w:r>
          </w:p>
        </w:tc>
        <w:tc>
          <w:tcPr>
            <w:tcW w:w="1843" w:type="dxa"/>
          </w:tcPr>
          <w:p w14:paraId="17E1FC7E" w14:textId="77777777" w:rsidR="00ED44D4" w:rsidRPr="00A13173" w:rsidRDefault="00ED44D4" w:rsidP="00062CAC">
            <w:r w:rsidRPr="00A13173">
              <w:t>82</w:t>
            </w:r>
          </w:p>
        </w:tc>
        <w:tc>
          <w:tcPr>
            <w:tcW w:w="1848" w:type="dxa"/>
          </w:tcPr>
          <w:p w14:paraId="53A01AA8" w14:textId="77777777" w:rsidR="00ED44D4" w:rsidRPr="00A13173" w:rsidRDefault="00ED44D4">
            <w:r w:rsidRPr="00A13173">
              <w:t>82</w:t>
            </w:r>
          </w:p>
        </w:tc>
      </w:tr>
      <w:tr w:rsidR="00ED44D4" w:rsidRPr="00A13173" w14:paraId="32F2366D" w14:textId="77777777" w:rsidTr="000D66F3">
        <w:tc>
          <w:tcPr>
            <w:tcW w:w="1975" w:type="dxa"/>
          </w:tcPr>
          <w:p w14:paraId="5DA681BE" w14:textId="5F1455B1" w:rsidR="00ED44D4" w:rsidRPr="000D66F3" w:rsidRDefault="00ED44D4" w:rsidP="00A13173">
            <w:r w:rsidRPr="00A13173">
              <w:lastRenderedPageBreak/>
              <w:t>Total</w:t>
            </w:r>
          </w:p>
        </w:tc>
        <w:tc>
          <w:tcPr>
            <w:tcW w:w="1843" w:type="dxa"/>
          </w:tcPr>
          <w:p w14:paraId="57CC5001" w14:textId="77777777" w:rsidR="00ED44D4" w:rsidRPr="00A13173" w:rsidRDefault="00ED44D4" w:rsidP="00062CAC">
            <w:r w:rsidRPr="00A13173">
              <w:t>114</w:t>
            </w:r>
          </w:p>
        </w:tc>
        <w:tc>
          <w:tcPr>
            <w:tcW w:w="1275" w:type="dxa"/>
          </w:tcPr>
          <w:p w14:paraId="54262B7A" w14:textId="77777777" w:rsidR="00ED44D4" w:rsidRPr="00A13173" w:rsidRDefault="00ED44D4" w:rsidP="00062CAC">
            <w:r w:rsidRPr="00A13173">
              <w:t>80</w:t>
            </w:r>
          </w:p>
        </w:tc>
        <w:tc>
          <w:tcPr>
            <w:tcW w:w="1843" w:type="dxa"/>
          </w:tcPr>
          <w:p w14:paraId="575EBD7D" w14:textId="77777777" w:rsidR="00ED44D4" w:rsidRPr="00A13173" w:rsidRDefault="00ED44D4" w:rsidP="00062CAC">
            <w:r w:rsidRPr="00A13173">
              <w:t>396</w:t>
            </w:r>
          </w:p>
        </w:tc>
        <w:tc>
          <w:tcPr>
            <w:tcW w:w="1848" w:type="dxa"/>
          </w:tcPr>
          <w:p w14:paraId="689839E7" w14:textId="77777777" w:rsidR="00ED44D4" w:rsidRPr="00A13173" w:rsidRDefault="00ED44D4">
            <w:r w:rsidRPr="00A13173">
              <w:t>510</w:t>
            </w:r>
          </w:p>
        </w:tc>
      </w:tr>
    </w:tbl>
    <w:p w14:paraId="111EAF78" w14:textId="77777777" w:rsidR="004C58C4" w:rsidRPr="000D66F3" w:rsidRDefault="00ED44D4" w:rsidP="00A13173">
      <w:r w:rsidRPr="00A13173">
        <w:t>In the three ongoing studies, a further 108 subjects were treated with polatuzumab. None of these received the proposed polatuzumab + BR regimen.</w:t>
      </w:r>
    </w:p>
    <w:p w14:paraId="613E4717" w14:textId="3573034F" w:rsidR="004C58C4" w:rsidRPr="00A13173" w:rsidRDefault="004C58C4" w:rsidP="00A13173">
      <w:r w:rsidRPr="00A13173">
        <w:t>The adverse events which occurred more commonly in patients receiving Pola</w:t>
      </w:r>
      <w:r w:rsidR="00A13173">
        <w:t> </w:t>
      </w:r>
      <w:r w:rsidRPr="00A13173">
        <w:t>+</w:t>
      </w:r>
      <w:r w:rsidR="00A13173">
        <w:t> </w:t>
      </w:r>
      <w:r w:rsidRPr="00A13173">
        <w:t>BR than BR in the pivotal efficacy study included:</w:t>
      </w:r>
    </w:p>
    <w:p w14:paraId="2D3A158C" w14:textId="4216FD71" w:rsidR="00ED44D4" w:rsidRPr="00C61CD6" w:rsidRDefault="00A13173" w:rsidP="00FE64D0">
      <w:pPr>
        <w:pStyle w:val="ListBullet"/>
        <w:rPr>
          <w:lang w:eastAsia="ja-JP"/>
        </w:rPr>
      </w:pPr>
      <w:r>
        <w:rPr>
          <w:lang w:eastAsia="ja-JP"/>
        </w:rPr>
        <w:t>c</w:t>
      </w:r>
      <w:r w:rsidRPr="00C61CD6">
        <w:rPr>
          <w:lang w:eastAsia="ja-JP"/>
        </w:rPr>
        <w:t>ytopaenias</w:t>
      </w:r>
      <w:r w:rsidR="00E70D40" w:rsidRPr="00C61CD6">
        <w:rPr>
          <w:lang w:eastAsia="ja-JP"/>
        </w:rPr>
        <w:t>;</w:t>
      </w:r>
      <w:r w:rsidR="00ED44D4" w:rsidRPr="00C61CD6">
        <w:rPr>
          <w:lang w:eastAsia="ja-JP"/>
        </w:rPr>
        <w:t xml:space="preserve"> neutropaenia</w:t>
      </w:r>
      <w:r w:rsidR="009708B0" w:rsidRPr="00C61CD6">
        <w:rPr>
          <w:lang w:eastAsia="ja-JP"/>
        </w:rPr>
        <w:t xml:space="preserve">; </w:t>
      </w:r>
      <w:r w:rsidR="00ED44D4" w:rsidRPr="00C61CD6">
        <w:rPr>
          <w:lang w:eastAsia="ja-JP"/>
        </w:rPr>
        <w:t>and anaemia;</w:t>
      </w:r>
    </w:p>
    <w:p w14:paraId="28596DAF" w14:textId="6793DA03" w:rsidR="00ED44D4" w:rsidRPr="00C61CD6" w:rsidRDefault="00A13173" w:rsidP="00FE64D0">
      <w:pPr>
        <w:pStyle w:val="ListBullet"/>
        <w:rPr>
          <w:lang w:eastAsia="ja-JP"/>
        </w:rPr>
      </w:pPr>
      <w:r>
        <w:rPr>
          <w:lang w:eastAsia="ja-JP"/>
        </w:rPr>
        <w:t>g</w:t>
      </w:r>
      <w:r w:rsidRPr="00C61CD6">
        <w:rPr>
          <w:lang w:eastAsia="ja-JP"/>
        </w:rPr>
        <w:t xml:space="preserve">astrointestinal </w:t>
      </w:r>
      <w:r w:rsidR="000B2636" w:rsidRPr="00C61CD6">
        <w:rPr>
          <w:lang w:eastAsia="ja-JP"/>
        </w:rPr>
        <w:t>(</w:t>
      </w:r>
      <w:r w:rsidR="00E70D40" w:rsidRPr="00C61CD6">
        <w:rPr>
          <w:lang w:eastAsia="ja-JP"/>
        </w:rPr>
        <w:t>GIT</w:t>
      </w:r>
      <w:r w:rsidR="000B2636" w:rsidRPr="00C61CD6">
        <w:rPr>
          <w:lang w:eastAsia="ja-JP"/>
        </w:rPr>
        <w:t>)</w:t>
      </w:r>
      <w:r w:rsidR="00E70D40" w:rsidRPr="00C61CD6">
        <w:rPr>
          <w:lang w:eastAsia="ja-JP"/>
        </w:rPr>
        <w:t xml:space="preserve"> events;</w:t>
      </w:r>
      <w:r w:rsidR="00ED44D4" w:rsidRPr="00C61CD6">
        <w:rPr>
          <w:lang w:eastAsia="ja-JP"/>
        </w:rPr>
        <w:t xml:space="preserve"> diarrhoea, decreased appetite, vomiting, upper abdominal pain, dysgeusia, dehydration, oropharyngeal pain;</w:t>
      </w:r>
    </w:p>
    <w:p w14:paraId="09D1938A" w14:textId="2E1F9662" w:rsidR="00ED44D4" w:rsidRPr="00C61CD6" w:rsidRDefault="00A13173" w:rsidP="00ED44D4">
      <w:pPr>
        <w:pStyle w:val="ListBullet"/>
        <w:rPr>
          <w:lang w:eastAsia="ja-JP"/>
        </w:rPr>
      </w:pPr>
      <w:r>
        <w:rPr>
          <w:lang w:eastAsia="ja-JP"/>
        </w:rPr>
        <w:t>n</w:t>
      </w:r>
      <w:r w:rsidRPr="00C61CD6">
        <w:rPr>
          <w:lang w:eastAsia="ja-JP"/>
        </w:rPr>
        <w:t>europathy</w:t>
      </w:r>
      <w:r w:rsidR="00ED44D4" w:rsidRPr="00C61CD6">
        <w:rPr>
          <w:lang w:eastAsia="ja-JP"/>
        </w:rPr>
        <w:t>-type events</w:t>
      </w:r>
      <w:r w:rsidR="00E70D40" w:rsidRPr="00C61CD6">
        <w:rPr>
          <w:lang w:eastAsia="ja-JP"/>
        </w:rPr>
        <w:t>;</w:t>
      </w:r>
      <w:r w:rsidR="00ED44D4" w:rsidRPr="00C61CD6">
        <w:rPr>
          <w:lang w:eastAsia="ja-JP"/>
        </w:rPr>
        <w:t xml:space="preserve"> peripheral neuropathy, peripheral sensory neuropathy, muscular weakness, paraesthesiae;</w:t>
      </w:r>
    </w:p>
    <w:p w14:paraId="4815DB1E" w14:textId="7AEE6384" w:rsidR="00ED44D4" w:rsidRPr="00C61CD6" w:rsidRDefault="00A13173" w:rsidP="00ED44D4">
      <w:pPr>
        <w:pStyle w:val="ListBullet"/>
        <w:rPr>
          <w:lang w:eastAsia="ja-JP"/>
        </w:rPr>
      </w:pPr>
      <w:r>
        <w:rPr>
          <w:lang w:eastAsia="ja-JP"/>
        </w:rPr>
        <w:t>c</w:t>
      </w:r>
      <w:r w:rsidRPr="00C61CD6">
        <w:rPr>
          <w:lang w:eastAsia="ja-JP"/>
        </w:rPr>
        <w:t xml:space="preserve">entral </w:t>
      </w:r>
      <w:r w:rsidR="000B2636" w:rsidRPr="00C61CD6">
        <w:rPr>
          <w:lang w:eastAsia="ja-JP"/>
        </w:rPr>
        <w:t>nervous system (C</w:t>
      </w:r>
      <w:r w:rsidR="00ED44D4" w:rsidRPr="00C61CD6">
        <w:rPr>
          <w:lang w:eastAsia="ja-JP"/>
        </w:rPr>
        <w:t>NS</w:t>
      </w:r>
      <w:r w:rsidR="000B2636" w:rsidRPr="00C61CD6">
        <w:rPr>
          <w:lang w:eastAsia="ja-JP"/>
        </w:rPr>
        <w:t>)</w:t>
      </w:r>
      <w:r w:rsidR="00ED44D4" w:rsidRPr="00C61CD6">
        <w:rPr>
          <w:lang w:eastAsia="ja-JP"/>
        </w:rPr>
        <w:t xml:space="preserve"> events</w:t>
      </w:r>
      <w:r w:rsidR="00E70D40" w:rsidRPr="00C61CD6">
        <w:rPr>
          <w:lang w:eastAsia="ja-JP"/>
        </w:rPr>
        <w:t xml:space="preserve">; </w:t>
      </w:r>
      <w:r w:rsidR="00ED44D4" w:rsidRPr="00C61CD6">
        <w:rPr>
          <w:lang w:eastAsia="ja-JP"/>
        </w:rPr>
        <w:t>headache, insomnia;</w:t>
      </w:r>
    </w:p>
    <w:p w14:paraId="0983DA67" w14:textId="266CB5B7" w:rsidR="00ED44D4" w:rsidRPr="00C61CD6" w:rsidRDefault="00A13173" w:rsidP="00ED44D4">
      <w:pPr>
        <w:pStyle w:val="ListBullet"/>
        <w:rPr>
          <w:lang w:eastAsia="ja-JP"/>
        </w:rPr>
      </w:pPr>
      <w:r>
        <w:rPr>
          <w:lang w:eastAsia="ja-JP"/>
        </w:rPr>
        <w:t>h</w:t>
      </w:r>
      <w:r w:rsidRPr="00C61CD6">
        <w:rPr>
          <w:lang w:eastAsia="ja-JP"/>
        </w:rPr>
        <w:t xml:space="preserve">ypokalaemia </w:t>
      </w:r>
      <w:r w:rsidR="00ED44D4" w:rsidRPr="00C61CD6">
        <w:rPr>
          <w:lang w:eastAsia="ja-JP"/>
        </w:rPr>
        <w:t>and hypophosphataemia;</w:t>
      </w:r>
    </w:p>
    <w:p w14:paraId="225E665B" w14:textId="33840393" w:rsidR="00ED44D4" w:rsidRPr="00C61CD6" w:rsidRDefault="00A13173" w:rsidP="00ED44D4">
      <w:pPr>
        <w:pStyle w:val="ListBullet"/>
        <w:rPr>
          <w:lang w:eastAsia="ja-JP"/>
        </w:rPr>
      </w:pPr>
      <w:r>
        <w:rPr>
          <w:lang w:eastAsia="ja-JP"/>
        </w:rPr>
        <w:t>f</w:t>
      </w:r>
      <w:r w:rsidRPr="00C61CD6">
        <w:rPr>
          <w:lang w:eastAsia="ja-JP"/>
        </w:rPr>
        <w:t>atigue</w:t>
      </w:r>
      <w:r w:rsidR="00ED44D4" w:rsidRPr="00C61CD6">
        <w:rPr>
          <w:lang w:eastAsia="ja-JP"/>
        </w:rPr>
        <w:t>;</w:t>
      </w:r>
    </w:p>
    <w:p w14:paraId="1A8968BC" w14:textId="0705BC15" w:rsidR="00ED44D4" w:rsidRPr="00C61CD6" w:rsidRDefault="00A13173" w:rsidP="00ED44D4">
      <w:pPr>
        <w:pStyle w:val="ListBullet"/>
        <w:rPr>
          <w:lang w:eastAsia="ja-JP"/>
        </w:rPr>
      </w:pPr>
      <w:r>
        <w:rPr>
          <w:lang w:eastAsia="ja-JP"/>
        </w:rPr>
        <w:t>p</w:t>
      </w:r>
      <w:r w:rsidRPr="00C61CD6">
        <w:rPr>
          <w:lang w:eastAsia="ja-JP"/>
        </w:rPr>
        <w:t>yrexia</w:t>
      </w:r>
      <w:r w:rsidR="00ED44D4" w:rsidRPr="00C61CD6">
        <w:rPr>
          <w:lang w:eastAsia="ja-JP"/>
        </w:rPr>
        <w:t>;</w:t>
      </w:r>
    </w:p>
    <w:p w14:paraId="2483A633" w14:textId="020D37EA" w:rsidR="00ED44D4" w:rsidRPr="00C61CD6" w:rsidRDefault="00A13173" w:rsidP="00ED44D4">
      <w:pPr>
        <w:pStyle w:val="ListBullet"/>
        <w:rPr>
          <w:lang w:eastAsia="ja-JP"/>
        </w:rPr>
      </w:pPr>
      <w:r>
        <w:rPr>
          <w:lang w:eastAsia="ja-JP"/>
        </w:rPr>
        <w:t>p</w:t>
      </w:r>
      <w:r w:rsidRPr="00C61CD6">
        <w:rPr>
          <w:lang w:eastAsia="ja-JP"/>
        </w:rPr>
        <w:t>neumonia</w:t>
      </w:r>
      <w:r w:rsidR="00ED44D4" w:rsidRPr="00C61CD6">
        <w:rPr>
          <w:lang w:eastAsia="ja-JP"/>
        </w:rPr>
        <w:t>;</w:t>
      </w:r>
      <w:r>
        <w:rPr>
          <w:lang w:eastAsia="ja-JP"/>
        </w:rPr>
        <w:t xml:space="preserve"> and</w:t>
      </w:r>
    </w:p>
    <w:p w14:paraId="698BCB51" w14:textId="5026CE05" w:rsidR="00ED44D4" w:rsidRPr="00C61CD6" w:rsidRDefault="00A13173" w:rsidP="00ED44D4">
      <w:pPr>
        <w:pStyle w:val="ListBullet"/>
      </w:pPr>
      <w:r>
        <w:rPr>
          <w:lang w:eastAsia="ja-JP"/>
        </w:rPr>
        <w:t>e</w:t>
      </w:r>
      <w:r w:rsidRPr="00C61CD6">
        <w:rPr>
          <w:lang w:eastAsia="ja-JP"/>
        </w:rPr>
        <w:t xml:space="preserve">levations </w:t>
      </w:r>
      <w:r w:rsidR="00ED44D4" w:rsidRPr="00C61CD6">
        <w:rPr>
          <w:lang w:eastAsia="ja-JP"/>
        </w:rPr>
        <w:t xml:space="preserve">of </w:t>
      </w:r>
      <w:r w:rsidR="00E70D40" w:rsidRPr="00C61CD6">
        <w:rPr>
          <w:lang w:eastAsia="ja-JP"/>
        </w:rPr>
        <w:t>aspartate aminotransferase (</w:t>
      </w:r>
      <w:r w:rsidR="00ED44D4" w:rsidRPr="00C61CD6">
        <w:rPr>
          <w:lang w:eastAsia="ja-JP"/>
        </w:rPr>
        <w:t>AST</w:t>
      </w:r>
      <w:r w:rsidR="00E70D40" w:rsidRPr="00C61CD6">
        <w:rPr>
          <w:lang w:eastAsia="ja-JP"/>
        </w:rPr>
        <w:t>)</w:t>
      </w:r>
      <w:r w:rsidR="00ED44D4" w:rsidRPr="00C61CD6">
        <w:rPr>
          <w:lang w:eastAsia="ja-JP"/>
        </w:rPr>
        <w:t>.</w:t>
      </w:r>
    </w:p>
    <w:p w14:paraId="3303C5A2" w14:textId="4FCDD606" w:rsidR="004C58C4" w:rsidRPr="00C61CD6" w:rsidRDefault="004C58C4" w:rsidP="00964ED9">
      <w:r w:rsidRPr="00C61CD6">
        <w:t>Grade 3 or 4 adverse events</w:t>
      </w:r>
      <w:r w:rsidR="00A13173">
        <w:t xml:space="preserve"> (AE)</w:t>
      </w:r>
      <w:r w:rsidRPr="00C61CD6">
        <w:t xml:space="preserve"> were reported in 84.4% of patients treated with Pola</w:t>
      </w:r>
      <w:r w:rsidR="00A13173">
        <w:t> </w:t>
      </w:r>
      <w:r w:rsidRPr="00C61CD6">
        <w:t>+</w:t>
      </w:r>
      <w:r w:rsidR="00A13173">
        <w:t> </w:t>
      </w:r>
      <w:r w:rsidRPr="00C61CD6">
        <w:t>BR in the pivotal efficacy study compared to 71.8% treated with BR alone. Those which occurred more frequently in the Pola</w:t>
      </w:r>
      <w:r w:rsidR="00A13173">
        <w:t> </w:t>
      </w:r>
      <w:r w:rsidRPr="00C61CD6">
        <w:t>+</w:t>
      </w:r>
      <w:r w:rsidR="00A13173">
        <w:t> </w:t>
      </w:r>
      <w:r w:rsidRPr="00C61CD6">
        <w:t>BR arm were:</w:t>
      </w:r>
    </w:p>
    <w:p w14:paraId="32C19E36" w14:textId="05D10003" w:rsidR="00ED44D4" w:rsidRPr="00C61CD6" w:rsidRDefault="00A13173" w:rsidP="00ED44D4">
      <w:pPr>
        <w:pStyle w:val="ListBullet"/>
      </w:pPr>
      <w:r>
        <w:t>c</w:t>
      </w:r>
      <w:r w:rsidRPr="00C61CD6">
        <w:t>ytopaenias</w:t>
      </w:r>
      <w:r w:rsidR="00E70D40" w:rsidRPr="00C61CD6">
        <w:t>;</w:t>
      </w:r>
      <w:r w:rsidR="00ED44D4" w:rsidRPr="00C61CD6">
        <w:t xml:space="preserve"> neutropaenia</w:t>
      </w:r>
      <w:r w:rsidR="009708B0" w:rsidRPr="00C61CD6">
        <w:t xml:space="preserve">; </w:t>
      </w:r>
      <w:r w:rsidR="00ED44D4" w:rsidRPr="00C61CD6">
        <w:t>and anaemia;</w:t>
      </w:r>
    </w:p>
    <w:p w14:paraId="48DF4699" w14:textId="3DFA1CAD" w:rsidR="00ED44D4" w:rsidRPr="00C61CD6" w:rsidRDefault="00A13173" w:rsidP="00ED44D4">
      <w:pPr>
        <w:pStyle w:val="ListBullet"/>
      </w:pPr>
      <w:r>
        <w:t>i</w:t>
      </w:r>
      <w:r w:rsidRPr="00C61CD6">
        <w:t>nfections</w:t>
      </w:r>
      <w:r w:rsidR="00E70D40" w:rsidRPr="00C61CD6">
        <w:t>;</w:t>
      </w:r>
      <w:r w:rsidR="00ED44D4" w:rsidRPr="00C61CD6">
        <w:t xml:space="preserve"> pneumonia and sepsis;</w:t>
      </w:r>
    </w:p>
    <w:p w14:paraId="38A43246" w14:textId="3F2AEB6B" w:rsidR="00ED44D4" w:rsidRPr="00C61CD6" w:rsidRDefault="00A13173" w:rsidP="00ED44D4">
      <w:pPr>
        <w:pStyle w:val="ListBullet"/>
      </w:pPr>
      <w:r>
        <w:t>h</w:t>
      </w:r>
      <w:r w:rsidRPr="00C61CD6">
        <w:t>ypokalaemia</w:t>
      </w:r>
      <w:r w:rsidR="00ED44D4" w:rsidRPr="00C61CD6">
        <w:t>;</w:t>
      </w:r>
    </w:p>
    <w:p w14:paraId="0E298757" w14:textId="6C964827" w:rsidR="00ED44D4" w:rsidRPr="00ED44D4" w:rsidRDefault="00A13173" w:rsidP="00ED44D4">
      <w:pPr>
        <w:pStyle w:val="ListBullet"/>
      </w:pPr>
      <w:r>
        <w:t>f</w:t>
      </w:r>
      <w:r w:rsidRPr="00ED44D4">
        <w:t>atigue</w:t>
      </w:r>
      <w:r w:rsidR="00ED44D4" w:rsidRPr="00ED44D4">
        <w:t>;</w:t>
      </w:r>
      <w:r>
        <w:t xml:space="preserve"> and</w:t>
      </w:r>
    </w:p>
    <w:p w14:paraId="6A39DB43" w14:textId="5C5AE9AA" w:rsidR="00ED44D4" w:rsidRPr="00ED44D4" w:rsidRDefault="00A13173" w:rsidP="00ED44D4">
      <w:pPr>
        <w:pStyle w:val="ListBullet"/>
      </w:pPr>
      <w:r>
        <w:t>h</w:t>
      </w:r>
      <w:r w:rsidRPr="00ED44D4">
        <w:t>ypertension</w:t>
      </w:r>
      <w:r w:rsidR="00ED44D4" w:rsidRPr="00ED44D4">
        <w:t>.</w:t>
      </w:r>
    </w:p>
    <w:p w14:paraId="489D7E31" w14:textId="17388805" w:rsidR="004C58C4" w:rsidRDefault="004C58C4" w:rsidP="00964ED9">
      <w:r>
        <w:t xml:space="preserve">Discontinuation due to any </w:t>
      </w:r>
      <w:r w:rsidR="00A13173">
        <w:t>AE</w:t>
      </w:r>
      <w:r>
        <w:t xml:space="preserve"> was reported in </w:t>
      </w:r>
      <w:r w:rsidR="009708B0">
        <w:t>31.1</w:t>
      </w:r>
      <w:r>
        <w:t>% of Pola</w:t>
      </w:r>
      <w:r w:rsidR="00A13173">
        <w:t> </w:t>
      </w:r>
      <w:r>
        <w:t>+</w:t>
      </w:r>
      <w:r w:rsidR="00A13173">
        <w:t> </w:t>
      </w:r>
      <w:r>
        <w:t xml:space="preserve">BR patients compared to </w:t>
      </w:r>
      <w:r w:rsidR="009708B0">
        <w:t>15.4</w:t>
      </w:r>
      <w:r>
        <w:t>% of BR patients.</w:t>
      </w:r>
    </w:p>
    <w:p w14:paraId="5CFF0A5F" w14:textId="4BED66C2" w:rsidR="001F3857" w:rsidRDefault="004C58C4" w:rsidP="00964ED9">
      <w:r>
        <w:t xml:space="preserve">The incidence of fatal </w:t>
      </w:r>
      <w:r w:rsidR="00A13173">
        <w:t>AEs</w:t>
      </w:r>
      <w:r>
        <w:t xml:space="preserve"> was 20.0% in Pola</w:t>
      </w:r>
      <w:r w:rsidR="00A13173">
        <w:t> </w:t>
      </w:r>
      <w:r>
        <w:t>+</w:t>
      </w:r>
      <w:r w:rsidR="00A13173">
        <w:t> </w:t>
      </w:r>
      <w:r>
        <w:t>BR treated patients compared with 28.2% in BR treated patients. Treatment related deaths were due to infections</w:t>
      </w:r>
      <w:r w:rsidR="00C7035E">
        <w:t xml:space="preserve"> and</w:t>
      </w:r>
      <w:r>
        <w:t xml:space="preserve"> pulmonary oedema, myelodysplastic syndrome, progressive multi-focal leukoencephalopathy. The latter (PML) occurred in 1 patient treated with Pola</w:t>
      </w:r>
      <w:r w:rsidR="00A13173">
        <w:t> </w:t>
      </w:r>
      <w:r>
        <w:t>+</w:t>
      </w:r>
      <w:r w:rsidR="00A13173">
        <w:t> b</w:t>
      </w:r>
      <w:r>
        <w:t>endamustine</w:t>
      </w:r>
      <w:r w:rsidR="00A13173">
        <w:t> </w:t>
      </w:r>
      <w:r>
        <w:t>+</w:t>
      </w:r>
      <w:r w:rsidR="00A13173">
        <w:t> o</w:t>
      </w:r>
      <w:r>
        <w:t>binu</w:t>
      </w:r>
      <w:r w:rsidR="001F3857">
        <w:t>tuzumab in a non-pivotal trial.</w:t>
      </w:r>
      <w:r w:rsidR="00C61CD6">
        <w:t xml:space="preserve"> </w:t>
      </w:r>
    </w:p>
    <w:p w14:paraId="3F3DBFEB" w14:textId="77777777" w:rsidR="004C58C4" w:rsidRDefault="004C58C4" w:rsidP="00964ED9">
      <w:r>
        <w:t xml:space="preserve">The </w:t>
      </w:r>
      <w:r w:rsidR="002E6E71">
        <w:t>clinical e</w:t>
      </w:r>
      <w:r>
        <w:t>valuator has noted that Pol</w:t>
      </w:r>
      <w:r w:rsidR="00094B37">
        <w:t>ivy</w:t>
      </w:r>
      <w:r>
        <w:t xml:space="preserve"> is associated with increased toxicity compared with BR alone. However, in the context of the poor prognosis for relapsed/refractory DLBCL this is an </w:t>
      </w:r>
      <w:r w:rsidRPr="004C58C4">
        <w:t>acceptable</w:t>
      </w:r>
      <w:r>
        <w:t xml:space="preserve"> safety profile if there is an increased degree of efficacy.</w:t>
      </w:r>
    </w:p>
    <w:p w14:paraId="3EF8794E" w14:textId="77777777" w:rsidR="008E7846" w:rsidRDefault="00386150" w:rsidP="004C58C4">
      <w:pPr>
        <w:pStyle w:val="Heading3"/>
        <w:rPr>
          <w:lang w:eastAsia="en-AU"/>
        </w:rPr>
      </w:pPr>
      <w:bookmarkStart w:id="40" w:name="_Toc28858556"/>
      <w:r>
        <w:rPr>
          <w:lang w:eastAsia="en-AU"/>
        </w:rPr>
        <w:t>Risk m</w:t>
      </w:r>
      <w:r w:rsidR="008E7846">
        <w:rPr>
          <w:lang w:eastAsia="en-AU"/>
        </w:rPr>
        <w:t xml:space="preserve">anagement </w:t>
      </w:r>
      <w:r>
        <w:rPr>
          <w:lang w:eastAsia="en-AU"/>
        </w:rPr>
        <w:t>p</w:t>
      </w:r>
      <w:r w:rsidR="008E7846">
        <w:rPr>
          <w:lang w:eastAsia="en-AU"/>
        </w:rPr>
        <w:t>lan</w:t>
      </w:r>
      <w:bookmarkEnd w:id="39"/>
      <w:bookmarkEnd w:id="40"/>
    </w:p>
    <w:p w14:paraId="0FB63547" w14:textId="656DE95F" w:rsidR="000D66F3" w:rsidRPr="00AE3FF5" w:rsidRDefault="000D66F3" w:rsidP="000D66F3">
      <w:r>
        <w:t xml:space="preserve">The sponsor </w:t>
      </w:r>
      <w:r w:rsidRPr="00AE3FF5">
        <w:t xml:space="preserve">submitted EU-RMP version 1.0 (17 December 2018; </w:t>
      </w:r>
      <w:r w:rsidR="00B67F39">
        <w:t>data lock point</w:t>
      </w:r>
      <w:r w:rsidRPr="00AE3FF5">
        <w:t xml:space="preserve"> 7 September 2018) and ASA version 1.0 (February 2019) in support of this application. </w:t>
      </w:r>
      <w:r>
        <w:t xml:space="preserve"> In </w:t>
      </w:r>
      <w:r>
        <w:lastRenderedPageBreak/>
        <w:t>response to rolling questions sent 8 July 2019, the sponsor updated the ASA to version 1.1 (June 2019).</w:t>
      </w:r>
    </w:p>
    <w:p w14:paraId="5D52847E" w14:textId="3A70F909" w:rsidR="008E7846" w:rsidRDefault="004C58C4" w:rsidP="008E7846">
      <w:pPr>
        <w:rPr>
          <w:rFonts w:asciiTheme="minorHAnsi" w:hAnsiTheme="minorHAnsi"/>
        </w:rPr>
      </w:pPr>
      <w:r>
        <w:rPr>
          <w:rFonts w:asciiTheme="minorHAnsi" w:hAnsiTheme="minorHAnsi"/>
        </w:rPr>
        <w:t xml:space="preserve">The </w:t>
      </w:r>
      <w:r w:rsidR="001F3857">
        <w:rPr>
          <w:rFonts w:asciiTheme="minorHAnsi" w:hAnsiTheme="minorHAnsi"/>
        </w:rPr>
        <w:t>risk management plan (</w:t>
      </w:r>
      <w:r>
        <w:rPr>
          <w:rFonts w:asciiTheme="minorHAnsi" w:hAnsiTheme="minorHAnsi"/>
        </w:rPr>
        <w:t>RMP</w:t>
      </w:r>
      <w:r w:rsidR="001F3857">
        <w:rPr>
          <w:rFonts w:asciiTheme="minorHAnsi" w:hAnsiTheme="minorHAnsi"/>
        </w:rPr>
        <w:t>)</w:t>
      </w:r>
      <w:r>
        <w:rPr>
          <w:rFonts w:asciiTheme="minorHAnsi" w:hAnsiTheme="minorHAnsi"/>
        </w:rPr>
        <w:t xml:space="preserve"> evaluator has recommended conditions of </w:t>
      </w:r>
      <w:r w:rsidR="001F3857">
        <w:rPr>
          <w:rFonts w:asciiTheme="minorHAnsi" w:hAnsiTheme="minorHAnsi"/>
        </w:rPr>
        <w:t>r</w:t>
      </w:r>
      <w:r>
        <w:rPr>
          <w:rFonts w:asciiTheme="minorHAnsi" w:hAnsiTheme="minorHAnsi"/>
        </w:rPr>
        <w:t>egistration consistent with ongoing pharmacovigilance.</w:t>
      </w:r>
    </w:p>
    <w:p w14:paraId="41B1C9D6" w14:textId="3CFF837C" w:rsidR="00964ED9" w:rsidRDefault="00964ED9" w:rsidP="00964ED9">
      <w:r w:rsidRPr="009B14C5">
        <w:t>The proposed summary of safety concerns and their associated risk monitoring and mitigation strategies</w:t>
      </w:r>
      <w:r>
        <w:t xml:space="preserve"> which have been agreed to during evaluation</w:t>
      </w:r>
      <w:r w:rsidRPr="009B14C5">
        <w:t xml:space="preserve"> are summarised below</w:t>
      </w:r>
      <w:r>
        <w:t xml:space="preserve"> in Table</w:t>
      </w:r>
      <w:r w:rsidR="001F3857">
        <w:t xml:space="preserve"> </w:t>
      </w:r>
      <w:r w:rsidR="00062CAC">
        <w:t>5</w:t>
      </w:r>
      <w:r w:rsidR="001F3857">
        <w:t>.</w:t>
      </w:r>
      <w:r w:rsidR="00062CAC">
        <w:rPr>
          <w:rStyle w:val="FootnoteReference"/>
        </w:rPr>
        <w:footnoteReference w:id="1"/>
      </w:r>
    </w:p>
    <w:p w14:paraId="5C98FE71" w14:textId="3163F3AE" w:rsidR="00964ED9" w:rsidRPr="009B14C5" w:rsidRDefault="00964ED9" w:rsidP="00964ED9">
      <w:pPr>
        <w:pStyle w:val="TableTitle"/>
      </w:pPr>
      <w:r>
        <w:t xml:space="preserve">Table </w:t>
      </w:r>
      <w:r w:rsidR="00062CAC">
        <w:t>5</w:t>
      </w:r>
      <w:r w:rsidR="001F3857">
        <w:t xml:space="preserve">: </w:t>
      </w:r>
      <w:r>
        <w:t>Summary of safety concerns</w:t>
      </w:r>
    </w:p>
    <w:tbl>
      <w:tblPr>
        <w:tblStyle w:val="TableTGAblue"/>
        <w:tblW w:w="8613" w:type="dxa"/>
        <w:tblLayout w:type="fixed"/>
        <w:tblLook w:val="04A0" w:firstRow="1" w:lastRow="0" w:firstColumn="1" w:lastColumn="0" w:noHBand="0" w:noVBand="1"/>
      </w:tblPr>
      <w:tblGrid>
        <w:gridCol w:w="1809"/>
        <w:gridCol w:w="2576"/>
        <w:gridCol w:w="992"/>
        <w:gridCol w:w="1252"/>
        <w:gridCol w:w="992"/>
        <w:gridCol w:w="992"/>
      </w:tblGrid>
      <w:tr w:rsidR="00964ED9" w:rsidRPr="004F1C07" w14:paraId="615E0E59" w14:textId="77777777" w:rsidTr="00121FBA">
        <w:trPr>
          <w:cnfStyle w:val="100000000000" w:firstRow="1" w:lastRow="0" w:firstColumn="0" w:lastColumn="0" w:oddVBand="0" w:evenVBand="0" w:oddHBand="0" w:evenHBand="0" w:firstRowFirstColumn="0" w:firstRowLastColumn="0" w:lastRowFirstColumn="0" w:lastRowLastColumn="0"/>
          <w:trHeight w:val="131"/>
        </w:trPr>
        <w:tc>
          <w:tcPr>
            <w:tcW w:w="4385" w:type="dxa"/>
            <w:gridSpan w:val="2"/>
            <w:vMerge w:val="restart"/>
          </w:tcPr>
          <w:p w14:paraId="74661DDF" w14:textId="77777777" w:rsidR="00964ED9" w:rsidRPr="004F1C07" w:rsidRDefault="00964ED9" w:rsidP="00164EB6">
            <w:pPr>
              <w:pStyle w:val="Tabletext"/>
              <w:rPr>
                <w:b w:val="0"/>
              </w:rPr>
            </w:pPr>
            <w:r w:rsidRPr="004F1C07">
              <w:t>Summary of safety concerns</w:t>
            </w:r>
          </w:p>
        </w:tc>
        <w:tc>
          <w:tcPr>
            <w:tcW w:w="2244" w:type="dxa"/>
            <w:gridSpan w:val="2"/>
          </w:tcPr>
          <w:p w14:paraId="0C94F8A3" w14:textId="77777777" w:rsidR="00964ED9" w:rsidRPr="0011726C" w:rsidRDefault="00964ED9" w:rsidP="00164EB6">
            <w:pPr>
              <w:pStyle w:val="Tabletext"/>
              <w:rPr>
                <w:b w:val="0"/>
                <w:sz w:val="18"/>
              </w:rPr>
            </w:pPr>
            <w:r w:rsidRPr="0011726C">
              <w:rPr>
                <w:sz w:val="18"/>
              </w:rPr>
              <w:t>Pharmacovigilance</w:t>
            </w:r>
          </w:p>
        </w:tc>
        <w:tc>
          <w:tcPr>
            <w:tcW w:w="1984" w:type="dxa"/>
            <w:gridSpan w:val="2"/>
          </w:tcPr>
          <w:p w14:paraId="4A134C2C" w14:textId="77777777" w:rsidR="00964ED9" w:rsidRPr="0011726C" w:rsidRDefault="00964ED9" w:rsidP="00164EB6">
            <w:pPr>
              <w:pStyle w:val="Tabletext"/>
              <w:rPr>
                <w:b w:val="0"/>
                <w:sz w:val="18"/>
              </w:rPr>
            </w:pPr>
            <w:r w:rsidRPr="0011726C">
              <w:rPr>
                <w:sz w:val="18"/>
              </w:rPr>
              <w:t>Risk Minimisation</w:t>
            </w:r>
          </w:p>
        </w:tc>
      </w:tr>
      <w:tr w:rsidR="00964ED9" w:rsidRPr="004F1C07" w14:paraId="0BC0C6B6" w14:textId="77777777" w:rsidTr="00121FBA">
        <w:trPr>
          <w:trHeight w:val="150"/>
        </w:trPr>
        <w:tc>
          <w:tcPr>
            <w:tcW w:w="4385" w:type="dxa"/>
            <w:gridSpan w:val="2"/>
            <w:vMerge/>
          </w:tcPr>
          <w:p w14:paraId="7059486B" w14:textId="77777777" w:rsidR="00964ED9" w:rsidRPr="004F1C07" w:rsidRDefault="00964ED9" w:rsidP="00164EB6">
            <w:pPr>
              <w:pStyle w:val="Tabletext"/>
              <w:rPr>
                <w:b/>
              </w:rPr>
            </w:pPr>
          </w:p>
        </w:tc>
        <w:tc>
          <w:tcPr>
            <w:tcW w:w="992" w:type="dxa"/>
          </w:tcPr>
          <w:p w14:paraId="2C3C13C7" w14:textId="77777777" w:rsidR="00964ED9" w:rsidRDefault="00964ED9" w:rsidP="000D66F3">
            <w:pPr>
              <w:pStyle w:val="Tabletext"/>
              <w:ind w:left="0"/>
              <w:rPr>
                <w:sz w:val="18"/>
              </w:rPr>
            </w:pPr>
            <w:r w:rsidRPr="0011726C">
              <w:rPr>
                <w:sz w:val="18"/>
              </w:rPr>
              <w:t>Routine</w:t>
            </w:r>
          </w:p>
          <w:p w14:paraId="17CF8A25" w14:textId="77777777" w:rsidR="00964ED9" w:rsidRPr="0011726C" w:rsidRDefault="00964ED9" w:rsidP="00164EB6">
            <w:pPr>
              <w:pStyle w:val="Tabletext"/>
              <w:rPr>
                <w:sz w:val="18"/>
              </w:rPr>
            </w:pPr>
            <w:r>
              <w:rPr>
                <w:sz w:val="18"/>
              </w:rPr>
              <w:t>(R)</w:t>
            </w:r>
          </w:p>
        </w:tc>
        <w:tc>
          <w:tcPr>
            <w:tcW w:w="1252" w:type="dxa"/>
          </w:tcPr>
          <w:p w14:paraId="0FF3608C" w14:textId="77777777" w:rsidR="00964ED9" w:rsidRDefault="00964ED9" w:rsidP="000D66F3">
            <w:pPr>
              <w:pStyle w:val="Tabletext"/>
              <w:ind w:left="0"/>
              <w:rPr>
                <w:sz w:val="18"/>
              </w:rPr>
            </w:pPr>
            <w:r w:rsidRPr="0011726C">
              <w:rPr>
                <w:sz w:val="18"/>
              </w:rPr>
              <w:t>Additional</w:t>
            </w:r>
          </w:p>
          <w:p w14:paraId="06CB89B2" w14:textId="77777777" w:rsidR="00964ED9" w:rsidRPr="0011726C" w:rsidRDefault="00964ED9" w:rsidP="00164EB6">
            <w:pPr>
              <w:pStyle w:val="Tabletext"/>
              <w:rPr>
                <w:sz w:val="18"/>
              </w:rPr>
            </w:pPr>
            <w:r>
              <w:rPr>
                <w:sz w:val="18"/>
              </w:rPr>
              <w:t>(A)</w:t>
            </w:r>
          </w:p>
        </w:tc>
        <w:tc>
          <w:tcPr>
            <w:tcW w:w="992" w:type="dxa"/>
          </w:tcPr>
          <w:p w14:paraId="496E12EF" w14:textId="77777777" w:rsidR="00964ED9" w:rsidRPr="0011726C" w:rsidRDefault="00964ED9" w:rsidP="00964ED9">
            <w:pPr>
              <w:pStyle w:val="Tabletext"/>
              <w:rPr>
                <w:sz w:val="18"/>
              </w:rPr>
            </w:pPr>
            <w:r w:rsidRPr="0011726C">
              <w:rPr>
                <w:sz w:val="18"/>
              </w:rPr>
              <w:t>R</w:t>
            </w:r>
          </w:p>
        </w:tc>
        <w:tc>
          <w:tcPr>
            <w:tcW w:w="992" w:type="dxa"/>
          </w:tcPr>
          <w:p w14:paraId="1ED9272E" w14:textId="77777777" w:rsidR="00964ED9" w:rsidRPr="0011726C" w:rsidRDefault="00964ED9" w:rsidP="00964ED9">
            <w:pPr>
              <w:pStyle w:val="Tabletext"/>
              <w:rPr>
                <w:sz w:val="18"/>
              </w:rPr>
            </w:pPr>
            <w:r w:rsidRPr="0011726C">
              <w:rPr>
                <w:sz w:val="18"/>
              </w:rPr>
              <w:t>A</w:t>
            </w:r>
          </w:p>
        </w:tc>
      </w:tr>
      <w:tr w:rsidR="00437DD7" w:rsidRPr="004F1C07" w14:paraId="5CDF9FAC" w14:textId="77777777" w:rsidTr="00121FBA">
        <w:trPr>
          <w:trHeight w:val="137"/>
        </w:trPr>
        <w:tc>
          <w:tcPr>
            <w:tcW w:w="1809" w:type="dxa"/>
            <w:vMerge w:val="restart"/>
            <w:tcBorders>
              <w:right w:val="single" w:sz="4" w:space="0" w:color="auto"/>
            </w:tcBorders>
          </w:tcPr>
          <w:p w14:paraId="7D93F407" w14:textId="77777777" w:rsidR="00437DD7" w:rsidRPr="00680101" w:rsidRDefault="00437DD7" w:rsidP="00437DD7">
            <w:pPr>
              <w:pStyle w:val="Tabletext"/>
              <w:rPr>
                <w:b/>
              </w:rPr>
            </w:pPr>
            <w:r w:rsidRPr="00680101">
              <w:rPr>
                <w:b/>
              </w:rPr>
              <w:t>Important identified risks</w:t>
            </w:r>
          </w:p>
        </w:tc>
        <w:tc>
          <w:tcPr>
            <w:tcW w:w="2576" w:type="dxa"/>
            <w:tcBorders>
              <w:top w:val="single" w:sz="4" w:space="0" w:color="auto"/>
              <w:left w:val="single" w:sz="4" w:space="0" w:color="auto"/>
              <w:bottom w:val="single" w:sz="4" w:space="0" w:color="auto"/>
              <w:right w:val="single" w:sz="4" w:space="0" w:color="auto"/>
            </w:tcBorders>
          </w:tcPr>
          <w:p w14:paraId="3005AE6C" w14:textId="3B0C16A8" w:rsidR="00437DD7" w:rsidRPr="000D66F3" w:rsidRDefault="00437DD7" w:rsidP="000D66F3">
            <w:pPr>
              <w:rPr>
                <w:sz w:val="20"/>
              </w:rPr>
            </w:pPr>
            <w:r w:rsidRPr="000D66F3">
              <w:rPr>
                <w:color w:val="auto"/>
                <w:sz w:val="20"/>
                <w:szCs w:val="22"/>
              </w:rPr>
              <w:t>Myelosuppression (Neutrop</w:t>
            </w:r>
            <w:r w:rsidR="00062CAC">
              <w:rPr>
                <w:sz w:val="20"/>
              </w:rPr>
              <w:t>a</w:t>
            </w:r>
            <w:r w:rsidRPr="000D66F3">
              <w:rPr>
                <w:color w:val="auto"/>
                <w:sz w:val="20"/>
                <w:szCs w:val="22"/>
              </w:rPr>
              <w:t>enia, Thrombocytop</w:t>
            </w:r>
            <w:r w:rsidR="00062CAC">
              <w:rPr>
                <w:sz w:val="20"/>
              </w:rPr>
              <w:t>a</w:t>
            </w:r>
            <w:r w:rsidRPr="000D66F3">
              <w:rPr>
                <w:color w:val="auto"/>
                <w:sz w:val="20"/>
                <w:szCs w:val="22"/>
              </w:rPr>
              <w:t>enia, An</w:t>
            </w:r>
            <w:r w:rsidR="00062CAC">
              <w:rPr>
                <w:sz w:val="20"/>
              </w:rPr>
              <w:t>a</w:t>
            </w:r>
            <w:r w:rsidRPr="000D66F3">
              <w:rPr>
                <w:color w:val="auto"/>
                <w:sz w:val="20"/>
                <w:szCs w:val="22"/>
              </w:rPr>
              <w:t xml:space="preserve">emia) </w:t>
            </w:r>
          </w:p>
        </w:tc>
        <w:tc>
          <w:tcPr>
            <w:tcW w:w="992" w:type="dxa"/>
            <w:tcBorders>
              <w:top w:val="single" w:sz="4" w:space="0" w:color="auto"/>
              <w:left w:val="single" w:sz="4" w:space="0" w:color="auto"/>
              <w:bottom w:val="single" w:sz="4" w:space="0" w:color="auto"/>
              <w:right w:val="single" w:sz="4" w:space="0" w:color="auto"/>
            </w:tcBorders>
          </w:tcPr>
          <w:p w14:paraId="65014511" w14:textId="06434AC8" w:rsidR="00437DD7" w:rsidRPr="0048783C" w:rsidRDefault="00437DD7" w:rsidP="00437DD7">
            <w:pPr>
              <w:jc w:val="center"/>
              <w:rPr>
                <w:sz w:val="20"/>
                <w:szCs w:val="20"/>
              </w:rPr>
            </w:pPr>
            <w:r>
              <w:rPr>
                <w:rFonts w:ascii="Wingdings" w:hAnsi="Wingdings" w:cs="Wingdings"/>
                <w:sz w:val="20"/>
                <w:szCs w:val="20"/>
              </w:rPr>
              <w:t></w:t>
            </w:r>
          </w:p>
        </w:tc>
        <w:tc>
          <w:tcPr>
            <w:tcW w:w="1252" w:type="dxa"/>
            <w:tcBorders>
              <w:top w:val="single" w:sz="4" w:space="0" w:color="auto"/>
              <w:left w:val="single" w:sz="4" w:space="0" w:color="auto"/>
              <w:bottom w:val="single" w:sz="4" w:space="0" w:color="auto"/>
              <w:right w:val="single" w:sz="4" w:space="0" w:color="auto"/>
            </w:tcBorders>
          </w:tcPr>
          <w:p w14:paraId="7CC3833A" w14:textId="5E989E8A" w:rsidR="00437DD7" w:rsidRPr="0048783C" w:rsidRDefault="00437DD7" w:rsidP="00437DD7">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738E310B" w14:textId="200703B4" w:rsidR="00437DD7" w:rsidRPr="0048783C" w:rsidRDefault="00437DD7" w:rsidP="00437DD7">
            <w:pPr>
              <w:jc w:val="center"/>
              <w:rPr>
                <w:sz w:val="20"/>
                <w:szCs w:val="20"/>
              </w:rPr>
            </w:pPr>
            <w:r>
              <w:rPr>
                <w:rFonts w:ascii="Wingdings" w:hAnsi="Wingdings" w:cs="Wingding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0FC5F45" w14:textId="4825D5A0" w:rsidR="00437DD7" w:rsidRPr="0048783C" w:rsidRDefault="00437DD7" w:rsidP="00437DD7">
            <w:pPr>
              <w:jc w:val="center"/>
              <w:rPr>
                <w:sz w:val="20"/>
                <w:szCs w:val="20"/>
              </w:rPr>
            </w:pPr>
            <w:r>
              <w:rPr>
                <w:sz w:val="20"/>
                <w:szCs w:val="20"/>
              </w:rPr>
              <w:t>–</w:t>
            </w:r>
          </w:p>
        </w:tc>
      </w:tr>
      <w:tr w:rsidR="00437DD7" w:rsidRPr="004F1C07" w14:paraId="7E23DF73" w14:textId="77777777" w:rsidTr="00121FBA">
        <w:trPr>
          <w:trHeight w:val="137"/>
        </w:trPr>
        <w:tc>
          <w:tcPr>
            <w:tcW w:w="1809" w:type="dxa"/>
            <w:vMerge/>
            <w:tcBorders>
              <w:right w:val="single" w:sz="4" w:space="0" w:color="auto"/>
            </w:tcBorders>
          </w:tcPr>
          <w:p w14:paraId="3B3E7F6E" w14:textId="77777777" w:rsidR="00437DD7" w:rsidRPr="00680101" w:rsidRDefault="00437DD7" w:rsidP="00437DD7">
            <w:pPr>
              <w:pStyle w:val="Tabletext"/>
              <w:rPr>
                <w:b/>
              </w:rPr>
            </w:pPr>
          </w:p>
        </w:tc>
        <w:tc>
          <w:tcPr>
            <w:tcW w:w="2576" w:type="dxa"/>
            <w:tcBorders>
              <w:top w:val="single" w:sz="4" w:space="0" w:color="auto"/>
              <w:left w:val="single" w:sz="4" w:space="0" w:color="auto"/>
              <w:bottom w:val="single" w:sz="4" w:space="0" w:color="auto"/>
              <w:right w:val="single" w:sz="4" w:space="0" w:color="auto"/>
            </w:tcBorders>
          </w:tcPr>
          <w:p w14:paraId="67AB7AAC" w14:textId="66547292" w:rsidR="00437DD7" w:rsidRPr="000D66F3" w:rsidRDefault="00437DD7" w:rsidP="000D66F3">
            <w:pPr>
              <w:rPr>
                <w:sz w:val="20"/>
              </w:rPr>
            </w:pPr>
            <w:r w:rsidRPr="000D66F3">
              <w:rPr>
                <w:color w:val="auto"/>
                <w:sz w:val="20"/>
                <w:szCs w:val="22"/>
              </w:rPr>
              <w:t xml:space="preserve">Peripheral neuropathy </w:t>
            </w:r>
          </w:p>
        </w:tc>
        <w:tc>
          <w:tcPr>
            <w:tcW w:w="992" w:type="dxa"/>
            <w:tcBorders>
              <w:top w:val="single" w:sz="4" w:space="0" w:color="auto"/>
              <w:left w:val="single" w:sz="4" w:space="0" w:color="auto"/>
              <w:bottom w:val="single" w:sz="4" w:space="0" w:color="auto"/>
              <w:right w:val="single" w:sz="4" w:space="0" w:color="auto"/>
            </w:tcBorders>
          </w:tcPr>
          <w:p w14:paraId="388DFEEA" w14:textId="6F2A6624" w:rsidR="00437DD7" w:rsidRPr="0048783C" w:rsidRDefault="00437DD7" w:rsidP="00437DD7">
            <w:pPr>
              <w:jc w:val="center"/>
              <w:rPr>
                <w:sz w:val="20"/>
                <w:szCs w:val="20"/>
              </w:rPr>
            </w:pPr>
            <w:r>
              <w:rPr>
                <w:rFonts w:ascii="Wingdings" w:hAnsi="Wingdings" w:cs="Wingdings"/>
                <w:sz w:val="20"/>
                <w:szCs w:val="20"/>
              </w:rPr>
              <w:t></w:t>
            </w:r>
          </w:p>
        </w:tc>
        <w:tc>
          <w:tcPr>
            <w:tcW w:w="1252" w:type="dxa"/>
            <w:tcBorders>
              <w:top w:val="single" w:sz="4" w:space="0" w:color="auto"/>
              <w:left w:val="single" w:sz="4" w:space="0" w:color="auto"/>
              <w:bottom w:val="single" w:sz="4" w:space="0" w:color="auto"/>
              <w:right w:val="single" w:sz="4" w:space="0" w:color="auto"/>
            </w:tcBorders>
          </w:tcPr>
          <w:p w14:paraId="3A791619" w14:textId="58C460B4" w:rsidR="00437DD7" w:rsidRPr="0048783C" w:rsidRDefault="00437DD7" w:rsidP="00437DD7">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25194AC" w14:textId="2DCC5D2B" w:rsidR="00437DD7" w:rsidRPr="0048783C" w:rsidRDefault="00437DD7" w:rsidP="00437DD7">
            <w:pPr>
              <w:jc w:val="center"/>
              <w:rPr>
                <w:sz w:val="20"/>
                <w:szCs w:val="20"/>
              </w:rPr>
            </w:pPr>
            <w:r>
              <w:rPr>
                <w:rFonts w:ascii="Wingdings" w:hAnsi="Wingdings" w:cs="Wingding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EC1714A" w14:textId="06723AC7" w:rsidR="00437DD7" w:rsidRPr="0048783C" w:rsidRDefault="00437DD7" w:rsidP="00437DD7">
            <w:pPr>
              <w:jc w:val="center"/>
              <w:rPr>
                <w:sz w:val="20"/>
                <w:szCs w:val="20"/>
              </w:rPr>
            </w:pPr>
            <w:r>
              <w:rPr>
                <w:sz w:val="20"/>
                <w:szCs w:val="20"/>
              </w:rPr>
              <w:t>–</w:t>
            </w:r>
          </w:p>
        </w:tc>
      </w:tr>
      <w:tr w:rsidR="00437DD7" w:rsidRPr="004F1C07" w14:paraId="202A9B30" w14:textId="77777777" w:rsidTr="00121FBA">
        <w:trPr>
          <w:trHeight w:val="137"/>
        </w:trPr>
        <w:tc>
          <w:tcPr>
            <w:tcW w:w="1809" w:type="dxa"/>
            <w:vMerge/>
            <w:tcBorders>
              <w:right w:val="single" w:sz="4" w:space="0" w:color="auto"/>
            </w:tcBorders>
          </w:tcPr>
          <w:p w14:paraId="660DCF4F" w14:textId="77777777" w:rsidR="00437DD7" w:rsidRPr="00680101" w:rsidRDefault="00437DD7" w:rsidP="00437DD7">
            <w:pPr>
              <w:pStyle w:val="Tabletext"/>
              <w:rPr>
                <w:b/>
              </w:rPr>
            </w:pPr>
          </w:p>
        </w:tc>
        <w:tc>
          <w:tcPr>
            <w:tcW w:w="2576" w:type="dxa"/>
            <w:tcBorders>
              <w:top w:val="single" w:sz="4" w:space="0" w:color="auto"/>
              <w:left w:val="single" w:sz="4" w:space="0" w:color="auto"/>
              <w:bottom w:val="single" w:sz="4" w:space="0" w:color="auto"/>
              <w:right w:val="single" w:sz="4" w:space="0" w:color="auto"/>
            </w:tcBorders>
          </w:tcPr>
          <w:p w14:paraId="3AD704BB" w14:textId="71F8FEE8" w:rsidR="00437DD7" w:rsidRPr="000D66F3" w:rsidRDefault="00437DD7" w:rsidP="000D66F3">
            <w:pPr>
              <w:rPr>
                <w:sz w:val="20"/>
              </w:rPr>
            </w:pPr>
            <w:r w:rsidRPr="000D66F3">
              <w:rPr>
                <w:color w:val="auto"/>
                <w:sz w:val="20"/>
                <w:szCs w:val="22"/>
              </w:rPr>
              <w:t xml:space="preserve">Infections </w:t>
            </w:r>
          </w:p>
        </w:tc>
        <w:tc>
          <w:tcPr>
            <w:tcW w:w="992" w:type="dxa"/>
            <w:tcBorders>
              <w:top w:val="single" w:sz="4" w:space="0" w:color="auto"/>
              <w:left w:val="single" w:sz="4" w:space="0" w:color="auto"/>
              <w:bottom w:val="single" w:sz="4" w:space="0" w:color="auto"/>
              <w:right w:val="single" w:sz="4" w:space="0" w:color="auto"/>
            </w:tcBorders>
          </w:tcPr>
          <w:p w14:paraId="65DD5D83" w14:textId="6A28BE80" w:rsidR="00437DD7" w:rsidRPr="0048783C" w:rsidRDefault="00437DD7" w:rsidP="00437DD7">
            <w:pPr>
              <w:jc w:val="center"/>
              <w:rPr>
                <w:sz w:val="20"/>
                <w:szCs w:val="20"/>
              </w:rPr>
            </w:pPr>
            <w:r>
              <w:rPr>
                <w:rFonts w:ascii="Wingdings" w:hAnsi="Wingdings" w:cs="Wingdings"/>
                <w:sz w:val="20"/>
                <w:szCs w:val="20"/>
              </w:rPr>
              <w:t></w:t>
            </w:r>
          </w:p>
        </w:tc>
        <w:tc>
          <w:tcPr>
            <w:tcW w:w="1252" w:type="dxa"/>
            <w:tcBorders>
              <w:top w:val="single" w:sz="4" w:space="0" w:color="auto"/>
              <w:left w:val="single" w:sz="4" w:space="0" w:color="auto"/>
              <w:bottom w:val="single" w:sz="4" w:space="0" w:color="auto"/>
              <w:right w:val="single" w:sz="4" w:space="0" w:color="auto"/>
            </w:tcBorders>
          </w:tcPr>
          <w:p w14:paraId="785953C9" w14:textId="6BA51DEF" w:rsidR="00437DD7" w:rsidRPr="0048783C" w:rsidRDefault="00437DD7" w:rsidP="00437DD7">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5F04720" w14:textId="4513DBF3" w:rsidR="00437DD7" w:rsidRPr="0048783C" w:rsidRDefault="00437DD7" w:rsidP="00437DD7">
            <w:pPr>
              <w:jc w:val="center"/>
              <w:rPr>
                <w:sz w:val="20"/>
                <w:szCs w:val="20"/>
              </w:rPr>
            </w:pPr>
            <w:r>
              <w:rPr>
                <w:rFonts w:ascii="Wingdings" w:hAnsi="Wingdings" w:cs="Wingding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DE548E7" w14:textId="13C2B530" w:rsidR="00437DD7" w:rsidRPr="0048783C" w:rsidRDefault="00437DD7" w:rsidP="00437DD7">
            <w:pPr>
              <w:jc w:val="center"/>
              <w:rPr>
                <w:sz w:val="20"/>
                <w:szCs w:val="20"/>
              </w:rPr>
            </w:pPr>
            <w:r>
              <w:rPr>
                <w:sz w:val="20"/>
                <w:szCs w:val="20"/>
              </w:rPr>
              <w:t>–</w:t>
            </w:r>
          </w:p>
        </w:tc>
      </w:tr>
      <w:tr w:rsidR="00437DD7" w:rsidRPr="004F1C07" w14:paraId="72462645" w14:textId="77777777" w:rsidTr="00121FBA">
        <w:trPr>
          <w:trHeight w:val="159"/>
        </w:trPr>
        <w:tc>
          <w:tcPr>
            <w:tcW w:w="1809" w:type="dxa"/>
            <w:vMerge w:val="restart"/>
          </w:tcPr>
          <w:p w14:paraId="09FD7FE0" w14:textId="77777777" w:rsidR="00437DD7" w:rsidRPr="00680101" w:rsidRDefault="00437DD7" w:rsidP="00437DD7">
            <w:pPr>
              <w:pStyle w:val="Tabletext"/>
              <w:rPr>
                <w:b/>
              </w:rPr>
            </w:pPr>
            <w:r w:rsidRPr="00680101">
              <w:rPr>
                <w:b/>
              </w:rPr>
              <w:t>Important potential risks</w:t>
            </w:r>
          </w:p>
        </w:tc>
        <w:tc>
          <w:tcPr>
            <w:tcW w:w="2576" w:type="dxa"/>
          </w:tcPr>
          <w:p w14:paraId="5D1F678D" w14:textId="6E812EAB" w:rsidR="00437DD7" w:rsidRPr="000D66F3" w:rsidRDefault="00437DD7" w:rsidP="000D66F3">
            <w:pPr>
              <w:rPr>
                <w:sz w:val="20"/>
              </w:rPr>
            </w:pPr>
            <w:r w:rsidRPr="000D66F3">
              <w:rPr>
                <w:sz w:val="20"/>
              </w:rPr>
              <w:t xml:space="preserve">Progressive Multifocal Leukoencephalopathy </w:t>
            </w:r>
          </w:p>
        </w:tc>
        <w:tc>
          <w:tcPr>
            <w:tcW w:w="992" w:type="dxa"/>
          </w:tcPr>
          <w:p w14:paraId="18D46863" w14:textId="258FBF25" w:rsidR="00437DD7" w:rsidRPr="0048783C" w:rsidRDefault="00437DD7" w:rsidP="00437DD7">
            <w:pPr>
              <w:pStyle w:val="Tabletext"/>
              <w:jc w:val="center"/>
            </w:pPr>
            <w:r>
              <w:rPr>
                <w:rFonts w:ascii="Wingdings" w:hAnsi="Wingdings" w:cs="Wingdings"/>
                <w:sz w:val="20"/>
                <w:szCs w:val="20"/>
              </w:rPr>
              <w:t></w:t>
            </w:r>
          </w:p>
        </w:tc>
        <w:tc>
          <w:tcPr>
            <w:tcW w:w="1252" w:type="dxa"/>
          </w:tcPr>
          <w:p w14:paraId="27B5617A" w14:textId="4648F602" w:rsidR="00437DD7" w:rsidRPr="0048783C" w:rsidRDefault="00437DD7" w:rsidP="00437DD7">
            <w:pPr>
              <w:pStyle w:val="Tabletext"/>
              <w:jc w:val="center"/>
            </w:pPr>
            <w:r>
              <w:rPr>
                <w:sz w:val="20"/>
                <w:szCs w:val="20"/>
              </w:rPr>
              <w:t>–</w:t>
            </w:r>
          </w:p>
        </w:tc>
        <w:tc>
          <w:tcPr>
            <w:tcW w:w="992" w:type="dxa"/>
          </w:tcPr>
          <w:p w14:paraId="7469520B" w14:textId="781277D3" w:rsidR="00437DD7" w:rsidRPr="0048783C" w:rsidRDefault="00437DD7" w:rsidP="00437DD7">
            <w:pPr>
              <w:pStyle w:val="Tabletext"/>
              <w:jc w:val="center"/>
            </w:pPr>
            <w:r>
              <w:rPr>
                <w:rFonts w:ascii="Wingdings" w:hAnsi="Wingdings" w:cs="Wingdings"/>
                <w:sz w:val="20"/>
                <w:szCs w:val="20"/>
              </w:rPr>
              <w:t></w:t>
            </w:r>
          </w:p>
        </w:tc>
        <w:tc>
          <w:tcPr>
            <w:tcW w:w="992" w:type="dxa"/>
          </w:tcPr>
          <w:p w14:paraId="077D7034" w14:textId="778BD654" w:rsidR="00437DD7" w:rsidRPr="0048783C" w:rsidRDefault="00437DD7" w:rsidP="00437DD7">
            <w:pPr>
              <w:pStyle w:val="Tabletext"/>
              <w:jc w:val="center"/>
            </w:pPr>
            <w:r>
              <w:rPr>
                <w:sz w:val="20"/>
                <w:szCs w:val="20"/>
              </w:rPr>
              <w:t>–</w:t>
            </w:r>
          </w:p>
        </w:tc>
      </w:tr>
      <w:tr w:rsidR="00437DD7" w:rsidRPr="004F1C07" w14:paraId="16DC9C1C" w14:textId="77777777" w:rsidTr="00121FBA">
        <w:trPr>
          <w:trHeight w:val="159"/>
        </w:trPr>
        <w:tc>
          <w:tcPr>
            <w:tcW w:w="1809" w:type="dxa"/>
            <w:vMerge/>
          </w:tcPr>
          <w:p w14:paraId="08372BCB" w14:textId="77777777" w:rsidR="00437DD7" w:rsidRPr="00680101" w:rsidRDefault="00437DD7" w:rsidP="00437DD7">
            <w:pPr>
              <w:pStyle w:val="Tabletext"/>
              <w:rPr>
                <w:b/>
              </w:rPr>
            </w:pPr>
          </w:p>
        </w:tc>
        <w:tc>
          <w:tcPr>
            <w:tcW w:w="2576" w:type="dxa"/>
          </w:tcPr>
          <w:p w14:paraId="0FBA508B" w14:textId="0E718876" w:rsidR="00437DD7" w:rsidRPr="000D66F3" w:rsidRDefault="00437DD7" w:rsidP="000D66F3">
            <w:pPr>
              <w:rPr>
                <w:sz w:val="20"/>
              </w:rPr>
            </w:pPr>
            <w:r w:rsidRPr="000D66F3">
              <w:rPr>
                <w:sz w:val="20"/>
              </w:rPr>
              <w:t>Tumo</w:t>
            </w:r>
            <w:r w:rsidR="00A13173">
              <w:rPr>
                <w:sz w:val="20"/>
              </w:rPr>
              <w:t>u</w:t>
            </w:r>
            <w:r w:rsidRPr="000D66F3">
              <w:rPr>
                <w:sz w:val="20"/>
              </w:rPr>
              <w:t xml:space="preserve">r Lysis Syndrome </w:t>
            </w:r>
          </w:p>
        </w:tc>
        <w:tc>
          <w:tcPr>
            <w:tcW w:w="992" w:type="dxa"/>
          </w:tcPr>
          <w:p w14:paraId="79B08D7B" w14:textId="51A924E4" w:rsidR="00437DD7" w:rsidRPr="00420645" w:rsidRDefault="00437DD7" w:rsidP="00437DD7">
            <w:pPr>
              <w:pStyle w:val="Tabletext"/>
              <w:jc w:val="center"/>
              <w:rPr>
                <w:vertAlign w:val="superscript"/>
              </w:rPr>
            </w:pPr>
            <w:r>
              <w:rPr>
                <w:rFonts w:ascii="Wingdings" w:hAnsi="Wingdings" w:cs="Wingdings"/>
                <w:sz w:val="20"/>
                <w:szCs w:val="20"/>
              </w:rPr>
              <w:t></w:t>
            </w:r>
          </w:p>
        </w:tc>
        <w:tc>
          <w:tcPr>
            <w:tcW w:w="1252" w:type="dxa"/>
          </w:tcPr>
          <w:p w14:paraId="05308F3D" w14:textId="501FDF30" w:rsidR="00437DD7" w:rsidRPr="00420645" w:rsidRDefault="00437DD7" w:rsidP="00437DD7">
            <w:pPr>
              <w:pStyle w:val="Tabletext"/>
              <w:jc w:val="center"/>
              <w:rPr>
                <w:vertAlign w:val="superscript"/>
              </w:rPr>
            </w:pPr>
            <w:r>
              <w:rPr>
                <w:sz w:val="20"/>
                <w:szCs w:val="20"/>
              </w:rPr>
              <w:t>–</w:t>
            </w:r>
          </w:p>
        </w:tc>
        <w:tc>
          <w:tcPr>
            <w:tcW w:w="992" w:type="dxa"/>
          </w:tcPr>
          <w:p w14:paraId="32F3CBD6" w14:textId="71C2152B" w:rsidR="00437DD7" w:rsidRPr="0048783C" w:rsidRDefault="00437DD7" w:rsidP="00437DD7">
            <w:pPr>
              <w:pStyle w:val="Tabletext"/>
              <w:jc w:val="center"/>
            </w:pPr>
            <w:r>
              <w:rPr>
                <w:rFonts w:ascii="Wingdings" w:hAnsi="Wingdings" w:cs="Wingdings"/>
                <w:sz w:val="20"/>
                <w:szCs w:val="20"/>
              </w:rPr>
              <w:t></w:t>
            </w:r>
          </w:p>
        </w:tc>
        <w:tc>
          <w:tcPr>
            <w:tcW w:w="992" w:type="dxa"/>
          </w:tcPr>
          <w:p w14:paraId="4DDF9ED1" w14:textId="3DB2FF91" w:rsidR="00437DD7" w:rsidRPr="0048783C" w:rsidRDefault="00437DD7" w:rsidP="00437DD7">
            <w:pPr>
              <w:pStyle w:val="Tabletext"/>
              <w:jc w:val="center"/>
            </w:pPr>
            <w:r>
              <w:rPr>
                <w:sz w:val="20"/>
                <w:szCs w:val="20"/>
              </w:rPr>
              <w:t>–</w:t>
            </w:r>
          </w:p>
        </w:tc>
      </w:tr>
      <w:tr w:rsidR="00437DD7" w:rsidRPr="004F1C07" w14:paraId="6375DE1D" w14:textId="77777777" w:rsidTr="00121FBA">
        <w:trPr>
          <w:trHeight w:val="159"/>
        </w:trPr>
        <w:tc>
          <w:tcPr>
            <w:tcW w:w="1809" w:type="dxa"/>
            <w:vMerge/>
          </w:tcPr>
          <w:p w14:paraId="47324DBA" w14:textId="77777777" w:rsidR="00437DD7" w:rsidRPr="00680101" w:rsidRDefault="00437DD7" w:rsidP="00437DD7">
            <w:pPr>
              <w:pStyle w:val="Tabletext"/>
              <w:rPr>
                <w:b/>
              </w:rPr>
            </w:pPr>
          </w:p>
        </w:tc>
        <w:tc>
          <w:tcPr>
            <w:tcW w:w="2576" w:type="dxa"/>
          </w:tcPr>
          <w:p w14:paraId="6FDCB926" w14:textId="162A4A35" w:rsidR="00437DD7" w:rsidRPr="000D66F3" w:rsidRDefault="00437DD7" w:rsidP="000D66F3">
            <w:pPr>
              <w:rPr>
                <w:sz w:val="20"/>
              </w:rPr>
            </w:pPr>
            <w:r w:rsidRPr="000D66F3">
              <w:rPr>
                <w:sz w:val="20"/>
              </w:rPr>
              <w:t xml:space="preserve">Embryo-fetal toxicity </w:t>
            </w:r>
          </w:p>
        </w:tc>
        <w:tc>
          <w:tcPr>
            <w:tcW w:w="992" w:type="dxa"/>
          </w:tcPr>
          <w:p w14:paraId="01B7EC2E" w14:textId="6F6D814B" w:rsidR="00437DD7" w:rsidRPr="0048783C" w:rsidRDefault="00437DD7" w:rsidP="00437DD7">
            <w:pPr>
              <w:pStyle w:val="Tabletext"/>
              <w:jc w:val="center"/>
            </w:pPr>
            <w:r>
              <w:rPr>
                <w:rFonts w:ascii="Wingdings" w:hAnsi="Wingdings" w:cs="Wingdings"/>
                <w:sz w:val="20"/>
                <w:szCs w:val="20"/>
              </w:rPr>
              <w:t></w:t>
            </w:r>
          </w:p>
        </w:tc>
        <w:tc>
          <w:tcPr>
            <w:tcW w:w="1252" w:type="dxa"/>
          </w:tcPr>
          <w:p w14:paraId="07EC607B" w14:textId="57061EFB" w:rsidR="00437DD7" w:rsidRPr="0048783C" w:rsidRDefault="00437DD7" w:rsidP="00437DD7">
            <w:pPr>
              <w:pStyle w:val="Tabletext"/>
              <w:jc w:val="center"/>
            </w:pPr>
            <w:r>
              <w:rPr>
                <w:sz w:val="20"/>
                <w:szCs w:val="20"/>
              </w:rPr>
              <w:t>–</w:t>
            </w:r>
          </w:p>
        </w:tc>
        <w:tc>
          <w:tcPr>
            <w:tcW w:w="992" w:type="dxa"/>
          </w:tcPr>
          <w:p w14:paraId="123DF1E8" w14:textId="20DF67AA" w:rsidR="00437DD7" w:rsidRPr="0048783C" w:rsidRDefault="00437DD7" w:rsidP="00437DD7">
            <w:pPr>
              <w:pStyle w:val="Tabletext"/>
              <w:jc w:val="center"/>
            </w:pPr>
            <w:r>
              <w:rPr>
                <w:rFonts w:ascii="Wingdings" w:hAnsi="Wingdings" w:cs="Wingdings"/>
                <w:sz w:val="20"/>
                <w:szCs w:val="20"/>
              </w:rPr>
              <w:t></w:t>
            </w:r>
          </w:p>
        </w:tc>
        <w:tc>
          <w:tcPr>
            <w:tcW w:w="992" w:type="dxa"/>
          </w:tcPr>
          <w:p w14:paraId="6D76039F" w14:textId="3598AE7D" w:rsidR="00437DD7" w:rsidRPr="0048783C" w:rsidRDefault="00437DD7" w:rsidP="00437DD7">
            <w:pPr>
              <w:pStyle w:val="Tabletext"/>
              <w:jc w:val="center"/>
            </w:pPr>
            <w:r>
              <w:rPr>
                <w:sz w:val="20"/>
                <w:szCs w:val="20"/>
              </w:rPr>
              <w:t>–</w:t>
            </w:r>
          </w:p>
        </w:tc>
      </w:tr>
      <w:tr w:rsidR="00437DD7" w:rsidRPr="004F1C07" w14:paraId="6C11F5C9" w14:textId="77777777" w:rsidTr="00121FBA">
        <w:trPr>
          <w:trHeight w:val="159"/>
        </w:trPr>
        <w:tc>
          <w:tcPr>
            <w:tcW w:w="1809" w:type="dxa"/>
            <w:vMerge/>
          </w:tcPr>
          <w:p w14:paraId="0D925374" w14:textId="77777777" w:rsidR="00437DD7" w:rsidRPr="00680101" w:rsidRDefault="00437DD7" w:rsidP="00437DD7">
            <w:pPr>
              <w:pStyle w:val="Tabletext"/>
              <w:rPr>
                <w:b/>
              </w:rPr>
            </w:pPr>
          </w:p>
        </w:tc>
        <w:tc>
          <w:tcPr>
            <w:tcW w:w="2576" w:type="dxa"/>
          </w:tcPr>
          <w:p w14:paraId="41983367" w14:textId="3D6AC10F" w:rsidR="00437DD7" w:rsidRPr="000D66F3" w:rsidRDefault="00437DD7" w:rsidP="000D66F3">
            <w:pPr>
              <w:rPr>
                <w:sz w:val="20"/>
              </w:rPr>
            </w:pPr>
            <w:r w:rsidRPr="000D66F3">
              <w:rPr>
                <w:sz w:val="20"/>
              </w:rPr>
              <w:t xml:space="preserve">Hepatic toxicity </w:t>
            </w:r>
          </w:p>
        </w:tc>
        <w:tc>
          <w:tcPr>
            <w:tcW w:w="992" w:type="dxa"/>
          </w:tcPr>
          <w:p w14:paraId="06F8BAFB" w14:textId="437D3983" w:rsidR="00437DD7" w:rsidRPr="0048783C" w:rsidRDefault="00437DD7" w:rsidP="00437DD7">
            <w:pPr>
              <w:pStyle w:val="Tabletext"/>
              <w:jc w:val="center"/>
            </w:pPr>
            <w:r>
              <w:rPr>
                <w:rFonts w:ascii="Wingdings" w:hAnsi="Wingdings" w:cs="Wingdings"/>
                <w:sz w:val="20"/>
                <w:szCs w:val="20"/>
              </w:rPr>
              <w:t></w:t>
            </w:r>
          </w:p>
        </w:tc>
        <w:tc>
          <w:tcPr>
            <w:tcW w:w="1252" w:type="dxa"/>
          </w:tcPr>
          <w:p w14:paraId="0F29EA61" w14:textId="361420FF" w:rsidR="00437DD7" w:rsidRPr="0048783C" w:rsidRDefault="00437DD7" w:rsidP="00437DD7">
            <w:pPr>
              <w:pStyle w:val="Tabletext"/>
              <w:jc w:val="center"/>
            </w:pPr>
            <w:r>
              <w:rPr>
                <w:sz w:val="20"/>
                <w:szCs w:val="20"/>
              </w:rPr>
              <w:t>–</w:t>
            </w:r>
          </w:p>
        </w:tc>
        <w:tc>
          <w:tcPr>
            <w:tcW w:w="992" w:type="dxa"/>
          </w:tcPr>
          <w:p w14:paraId="561151BF" w14:textId="3D429846" w:rsidR="00437DD7" w:rsidRPr="0048783C" w:rsidRDefault="00437DD7" w:rsidP="00437DD7">
            <w:pPr>
              <w:pStyle w:val="Tabletext"/>
              <w:jc w:val="center"/>
            </w:pPr>
            <w:r>
              <w:rPr>
                <w:rFonts w:ascii="Wingdings" w:hAnsi="Wingdings" w:cs="Wingdings"/>
                <w:sz w:val="20"/>
                <w:szCs w:val="20"/>
              </w:rPr>
              <w:t></w:t>
            </w:r>
          </w:p>
        </w:tc>
        <w:tc>
          <w:tcPr>
            <w:tcW w:w="992" w:type="dxa"/>
          </w:tcPr>
          <w:p w14:paraId="7179E34D" w14:textId="3ED893C4" w:rsidR="00437DD7" w:rsidRPr="0048783C" w:rsidRDefault="00437DD7" w:rsidP="00437DD7">
            <w:pPr>
              <w:pStyle w:val="Tabletext"/>
              <w:jc w:val="center"/>
            </w:pPr>
            <w:r>
              <w:rPr>
                <w:sz w:val="20"/>
                <w:szCs w:val="20"/>
              </w:rPr>
              <w:t>–</w:t>
            </w:r>
          </w:p>
        </w:tc>
      </w:tr>
      <w:tr w:rsidR="00437DD7" w:rsidRPr="004F1C07" w14:paraId="5D8599A4" w14:textId="77777777" w:rsidTr="00121FBA">
        <w:trPr>
          <w:trHeight w:val="159"/>
        </w:trPr>
        <w:tc>
          <w:tcPr>
            <w:tcW w:w="1809" w:type="dxa"/>
            <w:vMerge/>
          </w:tcPr>
          <w:p w14:paraId="694640FC" w14:textId="77777777" w:rsidR="00437DD7" w:rsidRPr="00680101" w:rsidRDefault="00437DD7" w:rsidP="00437DD7">
            <w:pPr>
              <w:pStyle w:val="Tabletext"/>
              <w:rPr>
                <w:b/>
              </w:rPr>
            </w:pPr>
          </w:p>
        </w:tc>
        <w:tc>
          <w:tcPr>
            <w:tcW w:w="2576" w:type="dxa"/>
          </w:tcPr>
          <w:p w14:paraId="4737FCA2" w14:textId="15A993FB" w:rsidR="00437DD7" w:rsidRPr="000D66F3" w:rsidRDefault="00437DD7" w:rsidP="000D66F3">
            <w:pPr>
              <w:rPr>
                <w:sz w:val="20"/>
              </w:rPr>
            </w:pPr>
            <w:r w:rsidRPr="000D66F3">
              <w:rPr>
                <w:sz w:val="20"/>
              </w:rPr>
              <w:t xml:space="preserve">Carcinogenicity </w:t>
            </w:r>
          </w:p>
        </w:tc>
        <w:tc>
          <w:tcPr>
            <w:tcW w:w="992" w:type="dxa"/>
          </w:tcPr>
          <w:p w14:paraId="49E39AB5" w14:textId="259ECC7E" w:rsidR="00437DD7" w:rsidRPr="0048783C" w:rsidRDefault="00437DD7" w:rsidP="00437DD7">
            <w:pPr>
              <w:pStyle w:val="Tabletext"/>
              <w:jc w:val="center"/>
            </w:pPr>
            <w:r>
              <w:rPr>
                <w:rFonts w:ascii="Wingdings" w:hAnsi="Wingdings" w:cs="Wingdings"/>
                <w:sz w:val="20"/>
                <w:szCs w:val="20"/>
              </w:rPr>
              <w:t></w:t>
            </w:r>
          </w:p>
        </w:tc>
        <w:tc>
          <w:tcPr>
            <w:tcW w:w="1252" w:type="dxa"/>
          </w:tcPr>
          <w:p w14:paraId="3BB2F303" w14:textId="5817BC1D" w:rsidR="00437DD7" w:rsidRPr="0048783C" w:rsidRDefault="00437DD7" w:rsidP="00437DD7">
            <w:pPr>
              <w:pStyle w:val="Tabletext"/>
              <w:jc w:val="center"/>
            </w:pPr>
            <w:r>
              <w:rPr>
                <w:sz w:val="20"/>
                <w:szCs w:val="20"/>
              </w:rPr>
              <w:t>–</w:t>
            </w:r>
          </w:p>
        </w:tc>
        <w:tc>
          <w:tcPr>
            <w:tcW w:w="992" w:type="dxa"/>
          </w:tcPr>
          <w:p w14:paraId="5B218B16" w14:textId="2198832C" w:rsidR="00437DD7" w:rsidRPr="0048783C" w:rsidRDefault="00437DD7" w:rsidP="00437DD7">
            <w:pPr>
              <w:pStyle w:val="Tabletext"/>
              <w:jc w:val="center"/>
            </w:pPr>
            <w:r>
              <w:rPr>
                <w:rFonts w:ascii="Wingdings" w:hAnsi="Wingdings" w:cs="Wingdings"/>
                <w:sz w:val="20"/>
                <w:szCs w:val="20"/>
              </w:rPr>
              <w:t></w:t>
            </w:r>
          </w:p>
        </w:tc>
        <w:tc>
          <w:tcPr>
            <w:tcW w:w="992" w:type="dxa"/>
          </w:tcPr>
          <w:p w14:paraId="30E1B265" w14:textId="72ECF244" w:rsidR="00437DD7" w:rsidRPr="0048783C" w:rsidRDefault="00437DD7" w:rsidP="00437DD7">
            <w:pPr>
              <w:pStyle w:val="Tabletext"/>
              <w:jc w:val="center"/>
            </w:pPr>
            <w:r>
              <w:rPr>
                <w:sz w:val="20"/>
                <w:szCs w:val="20"/>
              </w:rPr>
              <w:t>–</w:t>
            </w:r>
          </w:p>
        </w:tc>
      </w:tr>
      <w:tr w:rsidR="00437DD7" w:rsidRPr="004F1C07" w14:paraId="0776D5E0" w14:textId="77777777" w:rsidTr="00121FBA">
        <w:trPr>
          <w:trHeight w:val="178"/>
        </w:trPr>
        <w:tc>
          <w:tcPr>
            <w:tcW w:w="1809" w:type="dxa"/>
            <w:vMerge w:val="restart"/>
          </w:tcPr>
          <w:p w14:paraId="285D8C08" w14:textId="77777777" w:rsidR="00437DD7" w:rsidRPr="00680101" w:rsidRDefault="00437DD7" w:rsidP="00437DD7">
            <w:pPr>
              <w:pStyle w:val="Tabletext"/>
              <w:rPr>
                <w:b/>
              </w:rPr>
            </w:pPr>
            <w:r w:rsidRPr="00680101">
              <w:rPr>
                <w:b/>
              </w:rPr>
              <w:t>Missing information</w:t>
            </w:r>
          </w:p>
        </w:tc>
        <w:tc>
          <w:tcPr>
            <w:tcW w:w="2576" w:type="dxa"/>
          </w:tcPr>
          <w:p w14:paraId="27D1C8AE" w14:textId="17033BB7" w:rsidR="00437DD7" w:rsidRPr="000D66F3" w:rsidRDefault="00437DD7" w:rsidP="000D66F3">
            <w:pPr>
              <w:rPr>
                <w:sz w:val="20"/>
              </w:rPr>
            </w:pPr>
            <w:r w:rsidRPr="000D66F3">
              <w:rPr>
                <w:sz w:val="20"/>
              </w:rPr>
              <w:t xml:space="preserve">Use in patients with hepatic impairment </w:t>
            </w:r>
          </w:p>
        </w:tc>
        <w:tc>
          <w:tcPr>
            <w:tcW w:w="992" w:type="dxa"/>
          </w:tcPr>
          <w:p w14:paraId="360C7069" w14:textId="72168D61" w:rsidR="00437DD7" w:rsidRPr="0048783C" w:rsidRDefault="00437DD7" w:rsidP="00437DD7">
            <w:pPr>
              <w:pStyle w:val="Tabletext"/>
              <w:jc w:val="center"/>
            </w:pPr>
            <w:r>
              <w:rPr>
                <w:rFonts w:ascii="Wingdings" w:hAnsi="Wingdings" w:cs="Wingdings"/>
                <w:sz w:val="20"/>
                <w:szCs w:val="20"/>
              </w:rPr>
              <w:t></w:t>
            </w:r>
          </w:p>
        </w:tc>
        <w:tc>
          <w:tcPr>
            <w:tcW w:w="1252" w:type="dxa"/>
          </w:tcPr>
          <w:p w14:paraId="164144A3" w14:textId="7719FC9B" w:rsidR="00437DD7" w:rsidRPr="0048783C" w:rsidRDefault="00437DD7" w:rsidP="00437DD7">
            <w:pPr>
              <w:pStyle w:val="Tabletext"/>
              <w:jc w:val="center"/>
            </w:pPr>
            <w:r>
              <w:rPr>
                <w:sz w:val="20"/>
                <w:szCs w:val="20"/>
              </w:rPr>
              <w:t>–</w:t>
            </w:r>
          </w:p>
        </w:tc>
        <w:tc>
          <w:tcPr>
            <w:tcW w:w="992" w:type="dxa"/>
          </w:tcPr>
          <w:p w14:paraId="60F2E88B" w14:textId="3AFCBA00" w:rsidR="00437DD7" w:rsidRPr="0048783C" w:rsidRDefault="00437DD7" w:rsidP="00437DD7">
            <w:pPr>
              <w:pStyle w:val="Tabletext"/>
              <w:jc w:val="center"/>
            </w:pPr>
            <w:r>
              <w:rPr>
                <w:rFonts w:ascii="Wingdings" w:hAnsi="Wingdings" w:cs="Wingdings"/>
                <w:sz w:val="20"/>
                <w:szCs w:val="20"/>
              </w:rPr>
              <w:t></w:t>
            </w:r>
          </w:p>
        </w:tc>
        <w:tc>
          <w:tcPr>
            <w:tcW w:w="992" w:type="dxa"/>
          </w:tcPr>
          <w:p w14:paraId="61D019B3" w14:textId="0C7856DD" w:rsidR="00437DD7" w:rsidRPr="0048783C" w:rsidRDefault="00437DD7" w:rsidP="00437DD7">
            <w:pPr>
              <w:pStyle w:val="Tabletext"/>
              <w:jc w:val="center"/>
            </w:pPr>
            <w:r>
              <w:rPr>
                <w:sz w:val="20"/>
                <w:szCs w:val="20"/>
              </w:rPr>
              <w:t>–</w:t>
            </w:r>
          </w:p>
        </w:tc>
      </w:tr>
      <w:tr w:rsidR="00437DD7" w:rsidRPr="004F1C07" w14:paraId="657F1102" w14:textId="77777777" w:rsidTr="00121FBA">
        <w:trPr>
          <w:trHeight w:val="103"/>
        </w:trPr>
        <w:tc>
          <w:tcPr>
            <w:tcW w:w="1809" w:type="dxa"/>
            <w:vMerge/>
          </w:tcPr>
          <w:p w14:paraId="74F7B0CA" w14:textId="77777777" w:rsidR="00437DD7" w:rsidRPr="004F1C07" w:rsidRDefault="00437DD7" w:rsidP="00437DD7">
            <w:pPr>
              <w:pStyle w:val="Tabletext"/>
            </w:pPr>
          </w:p>
        </w:tc>
        <w:tc>
          <w:tcPr>
            <w:tcW w:w="2576" w:type="dxa"/>
          </w:tcPr>
          <w:p w14:paraId="64C98676" w14:textId="0384961B" w:rsidR="00437DD7" w:rsidRPr="000D66F3" w:rsidRDefault="00437DD7" w:rsidP="000D66F3">
            <w:pPr>
              <w:rPr>
                <w:sz w:val="20"/>
              </w:rPr>
            </w:pPr>
            <w:r w:rsidRPr="000D66F3">
              <w:rPr>
                <w:sz w:val="20"/>
              </w:rPr>
              <w:t xml:space="preserve">Use in patients with renal impairment </w:t>
            </w:r>
          </w:p>
        </w:tc>
        <w:tc>
          <w:tcPr>
            <w:tcW w:w="992" w:type="dxa"/>
          </w:tcPr>
          <w:p w14:paraId="22383F8D" w14:textId="7998EB22" w:rsidR="00437DD7" w:rsidRPr="0048783C" w:rsidRDefault="00437DD7" w:rsidP="00437DD7">
            <w:pPr>
              <w:pStyle w:val="Tabletext"/>
              <w:jc w:val="center"/>
            </w:pPr>
            <w:r>
              <w:rPr>
                <w:rFonts w:ascii="Wingdings" w:hAnsi="Wingdings" w:cs="Wingdings"/>
                <w:sz w:val="20"/>
                <w:szCs w:val="20"/>
              </w:rPr>
              <w:t></w:t>
            </w:r>
          </w:p>
        </w:tc>
        <w:tc>
          <w:tcPr>
            <w:tcW w:w="1252" w:type="dxa"/>
          </w:tcPr>
          <w:p w14:paraId="62EAC02A" w14:textId="51141417" w:rsidR="00437DD7" w:rsidRPr="0048783C" w:rsidRDefault="00437DD7" w:rsidP="00437DD7">
            <w:pPr>
              <w:jc w:val="center"/>
              <w:rPr>
                <w:sz w:val="20"/>
                <w:szCs w:val="20"/>
              </w:rPr>
            </w:pPr>
            <w:r>
              <w:rPr>
                <w:sz w:val="20"/>
                <w:szCs w:val="20"/>
              </w:rPr>
              <w:t>–</w:t>
            </w:r>
          </w:p>
        </w:tc>
        <w:tc>
          <w:tcPr>
            <w:tcW w:w="992" w:type="dxa"/>
          </w:tcPr>
          <w:p w14:paraId="62DAF115" w14:textId="0A53A9F9" w:rsidR="00437DD7" w:rsidRPr="0048783C" w:rsidRDefault="00437DD7" w:rsidP="00437DD7">
            <w:pPr>
              <w:pStyle w:val="Tabletext"/>
              <w:jc w:val="center"/>
            </w:pPr>
            <w:r>
              <w:rPr>
                <w:rFonts w:ascii="Wingdings" w:hAnsi="Wingdings" w:cs="Wingdings"/>
                <w:sz w:val="20"/>
                <w:szCs w:val="20"/>
              </w:rPr>
              <w:t></w:t>
            </w:r>
          </w:p>
        </w:tc>
        <w:tc>
          <w:tcPr>
            <w:tcW w:w="992" w:type="dxa"/>
          </w:tcPr>
          <w:p w14:paraId="045FAD11" w14:textId="46AC7359" w:rsidR="00437DD7" w:rsidRPr="0048783C" w:rsidRDefault="00437DD7" w:rsidP="00437DD7">
            <w:pPr>
              <w:jc w:val="center"/>
              <w:rPr>
                <w:sz w:val="20"/>
                <w:szCs w:val="20"/>
              </w:rPr>
            </w:pPr>
            <w:r>
              <w:rPr>
                <w:sz w:val="20"/>
                <w:szCs w:val="20"/>
              </w:rPr>
              <w:t>–</w:t>
            </w:r>
          </w:p>
        </w:tc>
      </w:tr>
      <w:tr w:rsidR="00437DD7" w:rsidRPr="004F1C07" w14:paraId="38DD653E" w14:textId="77777777" w:rsidTr="00121FBA">
        <w:trPr>
          <w:trHeight w:val="103"/>
        </w:trPr>
        <w:tc>
          <w:tcPr>
            <w:tcW w:w="1809" w:type="dxa"/>
            <w:vMerge/>
          </w:tcPr>
          <w:p w14:paraId="5C88AE23" w14:textId="77777777" w:rsidR="00437DD7" w:rsidRPr="004F1C07" w:rsidRDefault="00437DD7" w:rsidP="00437DD7">
            <w:pPr>
              <w:pStyle w:val="Tabletext"/>
            </w:pPr>
          </w:p>
        </w:tc>
        <w:tc>
          <w:tcPr>
            <w:tcW w:w="2576" w:type="dxa"/>
          </w:tcPr>
          <w:p w14:paraId="028D6629" w14:textId="0CF59C62" w:rsidR="00437DD7" w:rsidRPr="000D66F3" w:rsidRDefault="00437DD7" w:rsidP="000D66F3">
            <w:pPr>
              <w:rPr>
                <w:sz w:val="20"/>
              </w:rPr>
            </w:pPr>
            <w:r w:rsidRPr="000D66F3">
              <w:rPr>
                <w:sz w:val="20"/>
              </w:rPr>
              <w:t xml:space="preserve">Use in elderly patients </w:t>
            </w:r>
          </w:p>
        </w:tc>
        <w:tc>
          <w:tcPr>
            <w:tcW w:w="992" w:type="dxa"/>
          </w:tcPr>
          <w:p w14:paraId="0594E686" w14:textId="457D23E8" w:rsidR="00437DD7" w:rsidRPr="0048783C" w:rsidRDefault="00437DD7" w:rsidP="00437DD7">
            <w:pPr>
              <w:pStyle w:val="Tabletext"/>
              <w:jc w:val="center"/>
            </w:pPr>
            <w:r>
              <w:rPr>
                <w:rFonts w:ascii="Wingdings" w:hAnsi="Wingdings" w:cs="Wingdings"/>
                <w:sz w:val="20"/>
                <w:szCs w:val="20"/>
              </w:rPr>
              <w:t></w:t>
            </w:r>
          </w:p>
        </w:tc>
        <w:tc>
          <w:tcPr>
            <w:tcW w:w="1252" w:type="dxa"/>
          </w:tcPr>
          <w:p w14:paraId="3C5C5BEE" w14:textId="6CD75FFC" w:rsidR="00437DD7" w:rsidRPr="0048783C" w:rsidRDefault="00437DD7" w:rsidP="00437DD7">
            <w:pPr>
              <w:jc w:val="center"/>
            </w:pPr>
            <w:r>
              <w:rPr>
                <w:sz w:val="20"/>
                <w:szCs w:val="20"/>
              </w:rPr>
              <w:t>–</w:t>
            </w:r>
          </w:p>
        </w:tc>
        <w:tc>
          <w:tcPr>
            <w:tcW w:w="992" w:type="dxa"/>
          </w:tcPr>
          <w:p w14:paraId="3E3F7B3D" w14:textId="1D8A252F" w:rsidR="00437DD7" w:rsidRPr="0048783C" w:rsidRDefault="00437DD7" w:rsidP="00437DD7">
            <w:pPr>
              <w:pStyle w:val="Tabletext"/>
              <w:jc w:val="center"/>
            </w:pPr>
            <w:r>
              <w:rPr>
                <w:rFonts w:ascii="Wingdings" w:hAnsi="Wingdings" w:cs="Wingdings"/>
                <w:sz w:val="20"/>
                <w:szCs w:val="20"/>
              </w:rPr>
              <w:t></w:t>
            </w:r>
          </w:p>
        </w:tc>
        <w:tc>
          <w:tcPr>
            <w:tcW w:w="992" w:type="dxa"/>
          </w:tcPr>
          <w:p w14:paraId="2467B026" w14:textId="57C13F6F" w:rsidR="00437DD7" w:rsidRPr="0048783C" w:rsidRDefault="00437DD7" w:rsidP="00437DD7">
            <w:pPr>
              <w:jc w:val="center"/>
              <w:rPr>
                <w:sz w:val="20"/>
                <w:szCs w:val="20"/>
              </w:rPr>
            </w:pPr>
            <w:r>
              <w:rPr>
                <w:sz w:val="20"/>
                <w:szCs w:val="20"/>
              </w:rPr>
              <w:t>–</w:t>
            </w:r>
          </w:p>
        </w:tc>
      </w:tr>
      <w:tr w:rsidR="00437DD7" w:rsidRPr="004F1C07" w14:paraId="1B01DEBB" w14:textId="77777777" w:rsidTr="00121FBA">
        <w:trPr>
          <w:trHeight w:val="103"/>
        </w:trPr>
        <w:tc>
          <w:tcPr>
            <w:tcW w:w="1809" w:type="dxa"/>
            <w:vMerge/>
          </w:tcPr>
          <w:p w14:paraId="4B6C9495" w14:textId="77777777" w:rsidR="00437DD7" w:rsidRPr="004F1C07" w:rsidRDefault="00437DD7" w:rsidP="00437DD7">
            <w:pPr>
              <w:pStyle w:val="Tabletext"/>
            </w:pPr>
          </w:p>
        </w:tc>
        <w:tc>
          <w:tcPr>
            <w:tcW w:w="2576" w:type="dxa"/>
          </w:tcPr>
          <w:p w14:paraId="1F8CEDC6" w14:textId="348CD595" w:rsidR="00437DD7" w:rsidRPr="000D66F3" w:rsidRDefault="00437DD7" w:rsidP="000D66F3">
            <w:pPr>
              <w:rPr>
                <w:sz w:val="20"/>
              </w:rPr>
            </w:pPr>
            <w:r w:rsidRPr="000D66F3">
              <w:rPr>
                <w:sz w:val="20"/>
              </w:rPr>
              <w:t>Use in p</w:t>
            </w:r>
            <w:r w:rsidR="00A13173">
              <w:rPr>
                <w:sz w:val="20"/>
              </w:rPr>
              <w:t>a</w:t>
            </w:r>
            <w:r w:rsidRPr="000D66F3">
              <w:rPr>
                <w:sz w:val="20"/>
              </w:rPr>
              <w:t xml:space="preserve">ediatric patients </w:t>
            </w:r>
          </w:p>
        </w:tc>
        <w:tc>
          <w:tcPr>
            <w:tcW w:w="992" w:type="dxa"/>
          </w:tcPr>
          <w:p w14:paraId="7C8A9001" w14:textId="6A20AC66" w:rsidR="00437DD7" w:rsidRPr="0048783C" w:rsidRDefault="00437DD7" w:rsidP="00437DD7">
            <w:pPr>
              <w:pStyle w:val="Tabletext"/>
              <w:jc w:val="center"/>
            </w:pPr>
            <w:r>
              <w:rPr>
                <w:rFonts w:ascii="Wingdings" w:hAnsi="Wingdings" w:cs="Wingdings"/>
                <w:sz w:val="20"/>
                <w:szCs w:val="20"/>
              </w:rPr>
              <w:t></w:t>
            </w:r>
          </w:p>
        </w:tc>
        <w:tc>
          <w:tcPr>
            <w:tcW w:w="1252" w:type="dxa"/>
          </w:tcPr>
          <w:p w14:paraId="6AC376B7" w14:textId="0282BC58" w:rsidR="00437DD7" w:rsidRPr="0048783C" w:rsidRDefault="00437DD7" w:rsidP="00437DD7">
            <w:pPr>
              <w:jc w:val="center"/>
            </w:pPr>
            <w:r>
              <w:rPr>
                <w:sz w:val="20"/>
                <w:szCs w:val="20"/>
              </w:rPr>
              <w:t>–</w:t>
            </w:r>
          </w:p>
        </w:tc>
        <w:tc>
          <w:tcPr>
            <w:tcW w:w="992" w:type="dxa"/>
          </w:tcPr>
          <w:p w14:paraId="67AE2A29" w14:textId="6C803609" w:rsidR="00437DD7" w:rsidRPr="0048783C" w:rsidRDefault="00437DD7" w:rsidP="00437DD7">
            <w:pPr>
              <w:pStyle w:val="Tabletext"/>
              <w:jc w:val="center"/>
            </w:pPr>
            <w:r>
              <w:rPr>
                <w:rFonts w:ascii="Wingdings" w:hAnsi="Wingdings" w:cs="Wingdings"/>
                <w:sz w:val="20"/>
                <w:szCs w:val="20"/>
              </w:rPr>
              <w:t></w:t>
            </w:r>
          </w:p>
        </w:tc>
        <w:tc>
          <w:tcPr>
            <w:tcW w:w="992" w:type="dxa"/>
          </w:tcPr>
          <w:p w14:paraId="1F946560" w14:textId="0DA5EEB6" w:rsidR="00437DD7" w:rsidRPr="0048783C" w:rsidRDefault="00437DD7" w:rsidP="00437DD7">
            <w:pPr>
              <w:jc w:val="center"/>
              <w:rPr>
                <w:sz w:val="20"/>
                <w:szCs w:val="20"/>
              </w:rPr>
            </w:pPr>
            <w:r>
              <w:rPr>
                <w:sz w:val="20"/>
                <w:szCs w:val="20"/>
              </w:rPr>
              <w:t>–</w:t>
            </w:r>
          </w:p>
        </w:tc>
      </w:tr>
      <w:tr w:rsidR="00437DD7" w:rsidRPr="004F1C07" w14:paraId="70D59B9D" w14:textId="77777777" w:rsidTr="00121FBA">
        <w:trPr>
          <w:trHeight w:val="103"/>
        </w:trPr>
        <w:tc>
          <w:tcPr>
            <w:tcW w:w="1809" w:type="dxa"/>
            <w:vMerge/>
          </w:tcPr>
          <w:p w14:paraId="64A5E88D" w14:textId="77777777" w:rsidR="00437DD7" w:rsidRPr="004F1C07" w:rsidRDefault="00437DD7" w:rsidP="00437DD7">
            <w:pPr>
              <w:pStyle w:val="Tabletext"/>
            </w:pPr>
          </w:p>
        </w:tc>
        <w:tc>
          <w:tcPr>
            <w:tcW w:w="2576" w:type="dxa"/>
          </w:tcPr>
          <w:p w14:paraId="4BD755A5" w14:textId="31C374D7" w:rsidR="00437DD7" w:rsidRPr="000D66F3" w:rsidRDefault="00437DD7" w:rsidP="000D66F3">
            <w:pPr>
              <w:rPr>
                <w:sz w:val="20"/>
              </w:rPr>
            </w:pPr>
            <w:r w:rsidRPr="000D66F3">
              <w:rPr>
                <w:sz w:val="20"/>
              </w:rPr>
              <w:t xml:space="preserve">Use in pregnancy </w:t>
            </w:r>
          </w:p>
        </w:tc>
        <w:tc>
          <w:tcPr>
            <w:tcW w:w="992" w:type="dxa"/>
          </w:tcPr>
          <w:p w14:paraId="1EFD6E6A" w14:textId="326622D7" w:rsidR="00437DD7" w:rsidRPr="0048783C" w:rsidRDefault="00437DD7" w:rsidP="00437DD7">
            <w:pPr>
              <w:pStyle w:val="Tabletext"/>
              <w:jc w:val="center"/>
            </w:pPr>
            <w:r>
              <w:rPr>
                <w:rFonts w:ascii="Wingdings" w:hAnsi="Wingdings" w:cs="Wingdings"/>
                <w:sz w:val="20"/>
                <w:szCs w:val="20"/>
              </w:rPr>
              <w:t></w:t>
            </w:r>
            <w:r>
              <w:rPr>
                <w:sz w:val="20"/>
                <w:szCs w:val="20"/>
              </w:rPr>
              <w:t>*</w:t>
            </w:r>
          </w:p>
        </w:tc>
        <w:tc>
          <w:tcPr>
            <w:tcW w:w="1252" w:type="dxa"/>
          </w:tcPr>
          <w:p w14:paraId="7B819951" w14:textId="13535791" w:rsidR="00437DD7" w:rsidRPr="0048783C" w:rsidRDefault="00437DD7" w:rsidP="00437DD7">
            <w:pPr>
              <w:jc w:val="center"/>
            </w:pPr>
            <w:r>
              <w:rPr>
                <w:sz w:val="20"/>
                <w:szCs w:val="20"/>
              </w:rPr>
              <w:t>–</w:t>
            </w:r>
          </w:p>
        </w:tc>
        <w:tc>
          <w:tcPr>
            <w:tcW w:w="992" w:type="dxa"/>
          </w:tcPr>
          <w:p w14:paraId="35E3BD33" w14:textId="7F5317C2" w:rsidR="00437DD7" w:rsidRPr="0048783C" w:rsidRDefault="00437DD7" w:rsidP="00437DD7">
            <w:pPr>
              <w:pStyle w:val="Tabletext"/>
              <w:jc w:val="center"/>
            </w:pPr>
            <w:r>
              <w:rPr>
                <w:rFonts w:ascii="Wingdings" w:hAnsi="Wingdings" w:cs="Wingdings"/>
                <w:sz w:val="20"/>
                <w:szCs w:val="20"/>
              </w:rPr>
              <w:t></w:t>
            </w:r>
          </w:p>
        </w:tc>
        <w:tc>
          <w:tcPr>
            <w:tcW w:w="992" w:type="dxa"/>
          </w:tcPr>
          <w:p w14:paraId="7CDE2245" w14:textId="31C3759F" w:rsidR="00437DD7" w:rsidRPr="0048783C" w:rsidRDefault="00437DD7" w:rsidP="00437DD7">
            <w:pPr>
              <w:jc w:val="center"/>
              <w:rPr>
                <w:sz w:val="20"/>
                <w:szCs w:val="20"/>
              </w:rPr>
            </w:pPr>
            <w:r>
              <w:rPr>
                <w:sz w:val="20"/>
                <w:szCs w:val="20"/>
              </w:rPr>
              <w:t>–</w:t>
            </w:r>
          </w:p>
        </w:tc>
      </w:tr>
    </w:tbl>
    <w:p w14:paraId="7D5B8946" w14:textId="406C5335" w:rsidR="00437DD7" w:rsidRDefault="00437DD7" w:rsidP="00964ED9">
      <w:pPr>
        <w:pStyle w:val="Standard"/>
        <w:spacing w:after="0"/>
        <w:rPr>
          <w:sz w:val="20"/>
          <w:szCs w:val="20"/>
          <w:vertAlign w:val="superscript"/>
        </w:rPr>
      </w:pPr>
      <w:r>
        <w:rPr>
          <w:sz w:val="20"/>
          <w:szCs w:val="20"/>
        </w:rPr>
        <w:t>* Non-product specific adverse drug reaction follow-up forms</w:t>
      </w:r>
    </w:p>
    <w:p w14:paraId="0C4CD067" w14:textId="77777777" w:rsidR="008E7846" w:rsidRDefault="00AA0ED0" w:rsidP="008E7846">
      <w:pPr>
        <w:pStyle w:val="Heading3"/>
      </w:pPr>
      <w:bookmarkStart w:id="41" w:name="_Toc247691531"/>
      <w:bookmarkStart w:id="42" w:name="_Toc314842515"/>
      <w:bookmarkStart w:id="43" w:name="_Toc28858557"/>
      <w:bookmarkStart w:id="44" w:name="_Toc196046505"/>
      <w:bookmarkStart w:id="45" w:name="_Toc196046949"/>
      <w:r>
        <w:t>Risk-benefit a</w:t>
      </w:r>
      <w:r w:rsidR="008E7846">
        <w:t>nalysis</w:t>
      </w:r>
      <w:bookmarkEnd w:id="41"/>
      <w:bookmarkEnd w:id="42"/>
      <w:bookmarkEnd w:id="43"/>
    </w:p>
    <w:p w14:paraId="79E3C33A" w14:textId="3AA71A9D" w:rsidR="00D23139" w:rsidRDefault="00FE64D0" w:rsidP="00D23139">
      <w:pPr>
        <w:pStyle w:val="Heading4"/>
      </w:pPr>
      <w:r>
        <w:t>Delegate’s considerations</w:t>
      </w:r>
    </w:p>
    <w:p w14:paraId="31C570AC" w14:textId="77777777" w:rsidR="004C58C4" w:rsidRDefault="004C58C4" w:rsidP="002E6E71">
      <w:r>
        <w:t>The data on Pol</w:t>
      </w:r>
      <w:r w:rsidR="00ED44D4">
        <w:t>ivy</w:t>
      </w:r>
      <w:r>
        <w:t xml:space="preserve"> </w:t>
      </w:r>
      <w:r w:rsidRPr="00ED44D4">
        <w:t xml:space="preserve">indicates that it offers a clinically significant response in refractory patients, based on the CR outcomes of the pivotal </w:t>
      </w:r>
      <w:r w:rsidR="001F3857" w:rsidRPr="00ED44D4">
        <w:t>Study</w:t>
      </w:r>
      <w:r w:rsidRPr="00ED44D4">
        <w:t xml:space="preserve"> G029365. While this is a small trial, the refractory patient population</w:t>
      </w:r>
      <w:r>
        <w:t xml:space="preserve"> who are unsuitable for ASCT currently has a poor prognosis. Pol</w:t>
      </w:r>
      <w:r w:rsidR="00ED44D4">
        <w:t>ivy</w:t>
      </w:r>
      <w:r>
        <w:t xml:space="preserve"> offers a potentially beneficial addition to therapy in this group.</w:t>
      </w:r>
    </w:p>
    <w:p w14:paraId="7E803FD6" w14:textId="77777777" w:rsidR="004C58C4" w:rsidRDefault="004C58C4" w:rsidP="002E6E71">
      <w:r>
        <w:t xml:space="preserve">The FDA indication has specified patients who have not responded to two previous therapies. The inclusion criteria for </w:t>
      </w:r>
      <w:r w:rsidR="001F3857">
        <w:t xml:space="preserve">Study </w:t>
      </w:r>
      <w:r>
        <w:t xml:space="preserve">G029365 required patients to have received at least one prior therapy, but the median number of previous therapies in the pivotal study was 2 (29% having received 1 prior, 25% having received 2 prior and 46% having received 3 or more prior therapies. The </w:t>
      </w:r>
      <w:r w:rsidR="001F3857">
        <w:t>c</w:t>
      </w:r>
      <w:r>
        <w:t xml:space="preserve">linical </w:t>
      </w:r>
      <w:r w:rsidR="001F3857">
        <w:t>e</w:t>
      </w:r>
      <w:r>
        <w:t>valuator has noted, however, that overall numbers in this study were small and recommends that the indication remain ‘agnostic’ to the number of previously failed therapies. The Delegate agrees with this approach.</w:t>
      </w:r>
    </w:p>
    <w:p w14:paraId="191DEE47" w14:textId="0DF3EC62" w:rsidR="004C58C4" w:rsidRDefault="004C58C4" w:rsidP="002E6E71">
      <w:r>
        <w:t>The Delegate considers the most relevant issue for registration to be the immaturity of the data supporting efficacy for this product. While there is adequate demonstration of a clinically beneficial effect from Pola</w:t>
      </w:r>
      <w:r w:rsidR="00062CAC">
        <w:t> </w:t>
      </w:r>
      <w:r>
        <w:t>+</w:t>
      </w:r>
      <w:r w:rsidR="00062CAC">
        <w:t> </w:t>
      </w:r>
      <w:r>
        <w:t>BR, there is significant uncertainty as to the scale of that effect. The 95% confidence interval for the difference in CR response rate between Pola</w:t>
      </w:r>
      <w:r w:rsidR="00062CAC">
        <w:t> </w:t>
      </w:r>
      <w:r>
        <w:t>+</w:t>
      </w:r>
      <w:r w:rsidR="00062CAC">
        <w:t> </w:t>
      </w:r>
      <w:r>
        <w:t>BR and BR alone is from 2.6% to 40.2%.</w:t>
      </w:r>
    </w:p>
    <w:p w14:paraId="2C4AE53F" w14:textId="36FBE713" w:rsidR="004C58C4" w:rsidRDefault="004C58C4" w:rsidP="002E6E71">
      <w:r>
        <w:t>The Delegate considers the uncertainly in the scale of additional effectiveness offered by Pola</w:t>
      </w:r>
      <w:r w:rsidR="00062CAC">
        <w:t> </w:t>
      </w:r>
      <w:r>
        <w:t>+</w:t>
      </w:r>
      <w:r w:rsidR="00062CAC">
        <w:t> </w:t>
      </w:r>
      <w:r>
        <w:t>BR compared to BR alone to be significant because the Pola</w:t>
      </w:r>
      <w:r w:rsidR="00062CAC">
        <w:t> </w:t>
      </w:r>
      <w:r>
        <w:t>+</w:t>
      </w:r>
      <w:r w:rsidR="00062CAC">
        <w:t> </w:t>
      </w:r>
      <w:r>
        <w:t>BR combination imposes an additional burden of toxicity on patients compared to BR alone. If the true additional efficacy benefit were to be at the ‘low’ end this may alter than risk-benefit assessment of therapy with Pola</w:t>
      </w:r>
      <w:r w:rsidR="00062CAC">
        <w:t> </w:t>
      </w:r>
      <w:r>
        <w:t>+</w:t>
      </w:r>
      <w:r w:rsidR="00062CAC">
        <w:t> </w:t>
      </w:r>
      <w:r>
        <w:t>BR. Toxicity also has the potential to influence compliance with therapy and overall survival results in the long term.</w:t>
      </w:r>
    </w:p>
    <w:p w14:paraId="5049785A" w14:textId="77777777" w:rsidR="004C58C4" w:rsidRDefault="004C58C4" w:rsidP="002E6E71">
      <w:r>
        <w:t xml:space="preserve">The FDA approval is based on a rapid assessment and two larger efficacy trials are expected, </w:t>
      </w:r>
      <w:r w:rsidR="0073061D">
        <w:t xml:space="preserve">Studies </w:t>
      </w:r>
      <w:r>
        <w:t>GO39942 and MO40598</w:t>
      </w:r>
      <w:r w:rsidR="0073061D">
        <w:t>,</w:t>
      </w:r>
      <w:r>
        <w:t xml:space="preserve"> which will clarify overall survival and have larger numbers of patients. The </w:t>
      </w:r>
      <w:r w:rsidR="0073061D">
        <w:t>s</w:t>
      </w:r>
      <w:r>
        <w:t xml:space="preserve">ponsor has indicated that </w:t>
      </w:r>
      <w:r w:rsidR="0073061D">
        <w:t xml:space="preserve">Study </w:t>
      </w:r>
      <w:r>
        <w:t xml:space="preserve">GO39942 completed enrolment in June 2019 and a study report is expected in 2021, while </w:t>
      </w:r>
      <w:r w:rsidR="0073061D">
        <w:t xml:space="preserve">Study </w:t>
      </w:r>
      <w:r>
        <w:t>MO40598 commences enrolment in late 2019.</w:t>
      </w:r>
    </w:p>
    <w:p w14:paraId="2D9B0610" w14:textId="77777777" w:rsidR="0073061D" w:rsidRDefault="004C58C4" w:rsidP="002E6E71">
      <w:r>
        <w:t xml:space="preserve">The Delegate notes that the </w:t>
      </w:r>
      <w:r w:rsidR="0073061D">
        <w:t>s</w:t>
      </w:r>
      <w:r>
        <w:t>ponsor has not requested ‘provisional’ registration of Pol</w:t>
      </w:r>
      <w:r w:rsidR="00094B37">
        <w:t>ivy</w:t>
      </w:r>
      <w:r>
        <w:t xml:space="preserve"> in Australia, but has concluded that a) the provisional nature of the data supporting the efficacy of Pol</w:t>
      </w:r>
      <w:r w:rsidR="00094B37">
        <w:t>ivy</w:t>
      </w:r>
      <w:r>
        <w:t xml:space="preserve"> should be effectively communicated in the </w:t>
      </w:r>
      <w:r w:rsidR="0073061D">
        <w:t>PI</w:t>
      </w:r>
      <w:r>
        <w:t xml:space="preserve"> and that b) it is essential that confirmatory trials are made available for evaluati</w:t>
      </w:r>
      <w:r w:rsidR="0073061D">
        <w:t>on at the earliest opportunity.</w:t>
      </w:r>
    </w:p>
    <w:p w14:paraId="2F4466D6" w14:textId="77777777" w:rsidR="00ED44D4" w:rsidRDefault="004C58C4" w:rsidP="00ED44D4">
      <w:r>
        <w:t>The US product information has the advantage of making this plain in the indication with the statement</w:t>
      </w:r>
      <w:r w:rsidR="0073061D">
        <w:t>:</w:t>
      </w:r>
    </w:p>
    <w:p w14:paraId="6E29DD1B" w14:textId="77777777" w:rsidR="004C58C4" w:rsidRPr="00ED44D4" w:rsidRDefault="00ED44D4" w:rsidP="00ED44D4">
      <w:pPr>
        <w:ind w:left="720"/>
        <w:rPr>
          <w:rFonts w:asciiTheme="minorHAnsi" w:hAnsiTheme="minorHAnsi"/>
        </w:rPr>
      </w:pPr>
      <w:r w:rsidRPr="00ED44D4">
        <w:rPr>
          <w:i/>
        </w:rPr>
        <w:lastRenderedPageBreak/>
        <w:t>Accelerated approval was granted for this indication based on complete response rate. Continued approval for this indication may be contingent upon verification and description of clinical benefit in a confirmatory trial.</w:t>
      </w:r>
    </w:p>
    <w:p w14:paraId="57144BF2" w14:textId="4779E118" w:rsidR="004C58C4" w:rsidRDefault="004C58C4" w:rsidP="000B2636">
      <w:r>
        <w:t>The Delegate feels that this would make the Australian indication overly complex and, in</w:t>
      </w:r>
      <w:r w:rsidR="00062CAC">
        <w:t> </w:t>
      </w:r>
      <w:r>
        <w:t xml:space="preserve">fact, the Therapeutic Goods Act (1989) does not require further data to support registration per se. However, the Delegate proposes to amend the </w:t>
      </w:r>
      <w:r w:rsidRPr="000D66F3">
        <w:rPr>
          <w:i/>
        </w:rPr>
        <w:t>Clinical Trials</w:t>
      </w:r>
      <w:r>
        <w:t xml:space="preserve"> section of the </w:t>
      </w:r>
      <w:r w:rsidR="0073061D">
        <w:t>PI</w:t>
      </w:r>
      <w:r>
        <w:t xml:space="preserve"> in accordance with the US prescribing information to read in total, with allowance for renumbering for formatting:</w:t>
      </w:r>
    </w:p>
    <w:p w14:paraId="40B2558F" w14:textId="77777777" w:rsidR="00ED44D4" w:rsidRPr="000B2636" w:rsidRDefault="000B2636" w:rsidP="000B2636">
      <w:pPr>
        <w:ind w:left="720"/>
        <w:rPr>
          <w:b/>
        </w:rPr>
      </w:pPr>
      <w:r>
        <w:rPr>
          <w:b/>
        </w:rPr>
        <w:t>‘</w:t>
      </w:r>
      <w:r w:rsidR="00ED44D4" w:rsidRPr="000B2636">
        <w:rPr>
          <w:b/>
        </w:rPr>
        <w:t xml:space="preserve">14 CLINICAL STUDIES </w:t>
      </w:r>
    </w:p>
    <w:p w14:paraId="14893634" w14:textId="77777777" w:rsidR="00ED44D4" w:rsidRPr="000B2636" w:rsidRDefault="00ED44D4" w:rsidP="000B2636">
      <w:pPr>
        <w:ind w:left="720"/>
        <w:rPr>
          <w:b/>
        </w:rPr>
      </w:pPr>
      <w:r w:rsidRPr="000B2636">
        <w:rPr>
          <w:b/>
        </w:rPr>
        <w:t xml:space="preserve">14.1 Relapsed or Refractory Diffuse Large B-cell Lymphoma </w:t>
      </w:r>
    </w:p>
    <w:p w14:paraId="6EF127E7" w14:textId="77777777" w:rsidR="00E70D40" w:rsidRPr="00E70D40" w:rsidRDefault="00ED44D4" w:rsidP="000B2636">
      <w:pPr>
        <w:ind w:left="720"/>
      </w:pPr>
      <w:r w:rsidRPr="00E70D40">
        <w:t>The efficacy of POLIVY was evaluated in Study GO29365 (NCT02257567), an open-label, multicenter clinical trial that included a cohort of 80 patients with relapsed or refractory DLBCL after least one prior regimen. Patients were randomized 1:1 to receive either POLIVY in</w:t>
      </w:r>
      <w:r w:rsidR="00E70D40" w:rsidRPr="00E70D40">
        <w:t xml:space="preserve"> combination with bendamustine and a rituximab product (BR) or BR alone for six 21-day cycles. Randomization was stratified by duration of response (DOR) to last therapy. Eligible patients were not candidates for autologous HSCT at study entry. The study excluded patients with Grade 2 or higher peripheral neuropathy, prior allogeneic HSCT, active central nervous system lymphoma, or transformed lymphoma. </w:t>
      </w:r>
    </w:p>
    <w:p w14:paraId="3494BFE8" w14:textId="77777777" w:rsidR="00ED44D4" w:rsidRPr="00E70D40" w:rsidRDefault="00E70D40" w:rsidP="000B2636">
      <w:pPr>
        <w:ind w:left="720"/>
        <w:rPr>
          <w:rFonts w:asciiTheme="minorHAnsi" w:hAnsiTheme="minorHAnsi"/>
        </w:rPr>
      </w:pPr>
      <w:r w:rsidRPr="00E70D40">
        <w:t>Following premedication with an antihistamine and antipyretic, POLIVY was given by intravenous infusion at 1.8 mg/kg on Day 2 of Cycle 1 and on Day 1 of Cycles 2–6. Bendamustine was administered at 90 mg/m</w:t>
      </w:r>
      <w:r w:rsidRPr="00E70D40">
        <w:rPr>
          <w:position w:val="9"/>
          <w:vertAlign w:val="superscript"/>
        </w:rPr>
        <w:t xml:space="preserve">2 </w:t>
      </w:r>
      <w:r w:rsidRPr="00E70D40">
        <w:t xml:space="preserve">intravenously daily </w:t>
      </w:r>
      <w:r>
        <w:rPr>
          <w:sz w:val="23"/>
          <w:szCs w:val="23"/>
        </w:rPr>
        <w:t xml:space="preserve">on Days 2 </w:t>
      </w:r>
      <w:r w:rsidRPr="00E70D40">
        <w:t>and 3 of Cycle 1 and on Days 1 and 2 of Cycles 2–6. A rituximab product was administered at a dose of 375 mg/m</w:t>
      </w:r>
      <w:r w:rsidRPr="00E70D40">
        <w:rPr>
          <w:position w:val="9"/>
          <w:vertAlign w:val="superscript"/>
        </w:rPr>
        <w:t xml:space="preserve">2 </w:t>
      </w:r>
      <w:r w:rsidRPr="00E70D40">
        <w:t>intravenously on Day 1 of Cycles 1–6. The cycle length was 21 days.</w:t>
      </w:r>
    </w:p>
    <w:p w14:paraId="4992EBD7" w14:textId="77777777" w:rsidR="00E70D40" w:rsidRPr="00E70D40" w:rsidRDefault="00E70D40" w:rsidP="000B2636">
      <w:pPr>
        <w:ind w:left="720"/>
      </w:pPr>
      <w:r w:rsidRPr="00E70D40">
        <w:t xml:space="preserve">Of the 80 patients randomized to receive POLIVY plus BR (n = 40) or BR alone (n = 40), the median age was 69 years (range: 30–86 years), 66% were male, and 71% were white. Most patients (98%) had DLBCL not otherwise specified. The primary reasons patients were not candidates for HSCT included age (40%), insufficient response to salvage therapy (26%), and prior transplant failure (20%). The median number of prior therapies was 2 (range: 1–7), with 29% receiving one prior therapy, 25% receiving 2 prior therapies, and 46% receiving 3 or more prior therapies. Eighty percent of patients had refractory disease to last therapy. </w:t>
      </w:r>
    </w:p>
    <w:p w14:paraId="246E78AA" w14:textId="77777777" w:rsidR="00E70D40" w:rsidRPr="00E70D40" w:rsidRDefault="00E70D40" w:rsidP="000B2636">
      <w:pPr>
        <w:ind w:left="720"/>
      </w:pPr>
      <w:r w:rsidRPr="00E70D40">
        <w:t xml:space="preserve">In the POLIVY plus BR arm, patients received a median of 5 cycles, with 49% receiving 6 cycles. In the BR arm, patients received a median of 3 cycles, with 23% receiving 6 cycles. </w:t>
      </w:r>
    </w:p>
    <w:p w14:paraId="3D17D844" w14:textId="77777777" w:rsidR="00E70D40" w:rsidRPr="00E70D40" w:rsidRDefault="00E70D40" w:rsidP="000B2636">
      <w:pPr>
        <w:ind w:left="720"/>
      </w:pPr>
      <w:r w:rsidRPr="00E70D40">
        <w:t xml:space="preserve">Efficacy was based on complete response (CR) rate at the end of treatment and DOR, as determined by an independent review committee (IRC). Other efficacy measures included IRC-assessed best overall response. </w:t>
      </w:r>
    </w:p>
    <w:p w14:paraId="56D07F9E" w14:textId="36AF6249" w:rsidR="004C58C4" w:rsidRPr="00E70D40" w:rsidRDefault="00B67F39" w:rsidP="000B2636">
      <w:pPr>
        <w:ind w:left="720"/>
      </w:pPr>
      <w:r>
        <w:t>Response rates are summaris</w:t>
      </w:r>
      <w:r w:rsidR="00E70D40" w:rsidRPr="00E70D40">
        <w:t xml:space="preserve">ed in Table </w:t>
      </w:r>
      <w:r w:rsidR="00062CAC">
        <w:t>6</w:t>
      </w:r>
      <w:r w:rsidR="00E70D40" w:rsidRPr="00E70D40">
        <w:t>.</w:t>
      </w:r>
    </w:p>
    <w:p w14:paraId="17BCC537" w14:textId="1895F4BD" w:rsidR="00E70D40" w:rsidRDefault="00E70D40" w:rsidP="000B2636">
      <w:pPr>
        <w:pStyle w:val="TableTitle"/>
      </w:pPr>
      <w:r>
        <w:t xml:space="preserve">Table </w:t>
      </w:r>
      <w:r w:rsidR="00062CAC">
        <w:t xml:space="preserve">6: </w:t>
      </w:r>
      <w:r>
        <w:t xml:space="preserve">Response </w:t>
      </w:r>
      <w:r w:rsidR="00C776FD">
        <w:t>r</w:t>
      </w:r>
      <w:r>
        <w:t xml:space="preserve">ates in </w:t>
      </w:r>
      <w:r w:rsidR="00C776FD">
        <w:t>p</w:t>
      </w:r>
      <w:r>
        <w:t xml:space="preserve">atients with </w:t>
      </w:r>
      <w:r w:rsidR="00C776FD">
        <w:t>r</w:t>
      </w:r>
      <w:r>
        <w:t xml:space="preserve">elapsed or </w:t>
      </w:r>
      <w:r w:rsidR="00C776FD">
        <w:t>r</w:t>
      </w:r>
      <w:r>
        <w:t>efractory DLBCL</w:t>
      </w:r>
    </w:p>
    <w:tbl>
      <w:tblPr>
        <w:tblStyle w:val="TableTGAblue"/>
        <w:tblW w:w="8075" w:type="dxa"/>
        <w:tblLook w:val="04A0" w:firstRow="1" w:lastRow="0" w:firstColumn="1" w:lastColumn="0" w:noHBand="0" w:noVBand="1"/>
      </w:tblPr>
      <w:tblGrid>
        <w:gridCol w:w="3114"/>
        <w:gridCol w:w="2268"/>
        <w:gridCol w:w="2693"/>
      </w:tblGrid>
      <w:tr w:rsidR="000B2636" w14:paraId="5A28B256" w14:textId="77777777" w:rsidTr="00B67F39">
        <w:trPr>
          <w:cnfStyle w:val="100000000000" w:firstRow="1" w:lastRow="0" w:firstColumn="0" w:lastColumn="0" w:oddVBand="0" w:evenVBand="0" w:oddHBand="0" w:evenHBand="0" w:firstRowFirstColumn="0" w:firstRowLastColumn="0" w:lastRowFirstColumn="0" w:lastRowLastColumn="0"/>
        </w:trPr>
        <w:tc>
          <w:tcPr>
            <w:tcW w:w="3114" w:type="dxa"/>
          </w:tcPr>
          <w:p w14:paraId="3FE68946" w14:textId="77777777" w:rsidR="000B2636" w:rsidRPr="00014C8D" w:rsidRDefault="000B2636" w:rsidP="00B67F39">
            <w:pPr>
              <w:rPr>
                <w:sz w:val="20"/>
                <w:szCs w:val="20"/>
              </w:rPr>
            </w:pPr>
            <w:r w:rsidRPr="00014C8D">
              <w:rPr>
                <w:sz w:val="20"/>
                <w:szCs w:val="20"/>
              </w:rPr>
              <w:t xml:space="preserve">Response per IRC, n (%)a </w:t>
            </w:r>
          </w:p>
        </w:tc>
        <w:tc>
          <w:tcPr>
            <w:tcW w:w="2268" w:type="dxa"/>
          </w:tcPr>
          <w:p w14:paraId="0A2D2869" w14:textId="468C12AF" w:rsidR="000B2636" w:rsidRPr="00014C8D" w:rsidRDefault="000B2636" w:rsidP="00B67F39">
            <w:pPr>
              <w:rPr>
                <w:sz w:val="20"/>
                <w:szCs w:val="20"/>
              </w:rPr>
            </w:pPr>
            <w:r w:rsidRPr="00014C8D">
              <w:rPr>
                <w:sz w:val="20"/>
                <w:szCs w:val="20"/>
              </w:rPr>
              <w:t>P</w:t>
            </w:r>
            <w:r w:rsidR="00B67F39" w:rsidRPr="00014C8D">
              <w:rPr>
                <w:sz w:val="20"/>
                <w:szCs w:val="20"/>
              </w:rPr>
              <w:t>olivy</w:t>
            </w:r>
            <w:r w:rsidRPr="00014C8D">
              <w:rPr>
                <w:sz w:val="20"/>
                <w:szCs w:val="20"/>
              </w:rPr>
              <w:t xml:space="preserve"> + BR n = 40 </w:t>
            </w:r>
          </w:p>
        </w:tc>
        <w:tc>
          <w:tcPr>
            <w:tcW w:w="2693" w:type="dxa"/>
          </w:tcPr>
          <w:p w14:paraId="0173FFCB" w14:textId="77777777" w:rsidR="000B2636" w:rsidRPr="00014C8D" w:rsidRDefault="000B2636" w:rsidP="00B67F39">
            <w:pPr>
              <w:rPr>
                <w:sz w:val="20"/>
                <w:szCs w:val="20"/>
              </w:rPr>
            </w:pPr>
            <w:r w:rsidRPr="00014C8D">
              <w:rPr>
                <w:sz w:val="20"/>
                <w:szCs w:val="20"/>
              </w:rPr>
              <w:t xml:space="preserve">BR n = 40 </w:t>
            </w:r>
          </w:p>
        </w:tc>
      </w:tr>
      <w:tr w:rsidR="000B2636" w14:paraId="4842BD47" w14:textId="77777777" w:rsidTr="00B67F39">
        <w:tc>
          <w:tcPr>
            <w:tcW w:w="3114" w:type="dxa"/>
          </w:tcPr>
          <w:p w14:paraId="664E71CC" w14:textId="77777777" w:rsidR="000B2636" w:rsidRPr="00014C8D" w:rsidRDefault="000B2636" w:rsidP="00B67F39">
            <w:pPr>
              <w:rPr>
                <w:b/>
                <w:sz w:val="20"/>
                <w:szCs w:val="20"/>
              </w:rPr>
            </w:pPr>
            <w:r w:rsidRPr="00014C8D">
              <w:rPr>
                <w:b/>
                <w:sz w:val="20"/>
                <w:szCs w:val="20"/>
              </w:rPr>
              <w:t xml:space="preserve">Objective Response at End of Treatmentb (95% CI) </w:t>
            </w:r>
          </w:p>
        </w:tc>
        <w:tc>
          <w:tcPr>
            <w:tcW w:w="2268" w:type="dxa"/>
          </w:tcPr>
          <w:p w14:paraId="6A707B45" w14:textId="77777777" w:rsidR="000B2636" w:rsidRPr="00014C8D" w:rsidRDefault="000B2636" w:rsidP="00B67F39">
            <w:pPr>
              <w:rPr>
                <w:sz w:val="20"/>
                <w:szCs w:val="20"/>
              </w:rPr>
            </w:pPr>
            <w:r w:rsidRPr="00014C8D">
              <w:rPr>
                <w:sz w:val="20"/>
                <w:szCs w:val="20"/>
              </w:rPr>
              <w:t xml:space="preserve">18 (45) (29, 62) </w:t>
            </w:r>
          </w:p>
        </w:tc>
        <w:tc>
          <w:tcPr>
            <w:tcW w:w="2693" w:type="dxa"/>
          </w:tcPr>
          <w:p w14:paraId="7835EFF0" w14:textId="77777777" w:rsidR="000B2636" w:rsidRPr="00014C8D" w:rsidRDefault="000B2636" w:rsidP="00B67F39">
            <w:pPr>
              <w:rPr>
                <w:sz w:val="20"/>
                <w:szCs w:val="20"/>
              </w:rPr>
            </w:pPr>
            <w:r w:rsidRPr="00014C8D">
              <w:rPr>
                <w:sz w:val="20"/>
                <w:szCs w:val="20"/>
              </w:rPr>
              <w:t xml:space="preserve">7 (18) (7, 33) </w:t>
            </w:r>
          </w:p>
        </w:tc>
      </w:tr>
      <w:tr w:rsidR="000B2636" w14:paraId="54D68CD7" w14:textId="77777777" w:rsidTr="00B67F39">
        <w:tc>
          <w:tcPr>
            <w:tcW w:w="3114" w:type="dxa"/>
          </w:tcPr>
          <w:p w14:paraId="436426A2" w14:textId="77777777" w:rsidR="000B2636" w:rsidRPr="00014C8D" w:rsidRDefault="000B2636" w:rsidP="00B67F39">
            <w:pPr>
              <w:rPr>
                <w:sz w:val="20"/>
                <w:szCs w:val="20"/>
              </w:rPr>
            </w:pPr>
            <w:r w:rsidRPr="00014C8D">
              <w:rPr>
                <w:sz w:val="20"/>
                <w:szCs w:val="20"/>
              </w:rPr>
              <w:t xml:space="preserve">CR (95% CI) </w:t>
            </w:r>
          </w:p>
        </w:tc>
        <w:tc>
          <w:tcPr>
            <w:tcW w:w="2268" w:type="dxa"/>
          </w:tcPr>
          <w:p w14:paraId="742AE685" w14:textId="77777777" w:rsidR="000B2636" w:rsidRPr="00014C8D" w:rsidRDefault="000B2636" w:rsidP="00B67F39">
            <w:pPr>
              <w:rPr>
                <w:sz w:val="20"/>
                <w:szCs w:val="20"/>
              </w:rPr>
            </w:pPr>
            <w:r w:rsidRPr="00014C8D">
              <w:rPr>
                <w:sz w:val="20"/>
                <w:szCs w:val="20"/>
              </w:rPr>
              <w:t xml:space="preserve">16 (40) (25, 57) </w:t>
            </w:r>
          </w:p>
        </w:tc>
        <w:tc>
          <w:tcPr>
            <w:tcW w:w="2693" w:type="dxa"/>
          </w:tcPr>
          <w:p w14:paraId="2CDA7C12" w14:textId="77777777" w:rsidR="000B2636" w:rsidRPr="00014C8D" w:rsidRDefault="000B2636" w:rsidP="00B67F39">
            <w:pPr>
              <w:rPr>
                <w:sz w:val="20"/>
                <w:szCs w:val="20"/>
              </w:rPr>
            </w:pPr>
            <w:r w:rsidRPr="00014C8D">
              <w:rPr>
                <w:sz w:val="20"/>
                <w:szCs w:val="20"/>
              </w:rPr>
              <w:t xml:space="preserve">7 (18) (7, 33) </w:t>
            </w:r>
          </w:p>
        </w:tc>
      </w:tr>
      <w:tr w:rsidR="004A06C7" w14:paraId="4D74BE45" w14:textId="77777777" w:rsidTr="00B67F39">
        <w:tc>
          <w:tcPr>
            <w:tcW w:w="3114" w:type="dxa"/>
          </w:tcPr>
          <w:p w14:paraId="45E5E6D4" w14:textId="77777777" w:rsidR="004A06C7" w:rsidRPr="00014C8D" w:rsidRDefault="004A06C7" w:rsidP="00B67F39">
            <w:pPr>
              <w:rPr>
                <w:b/>
                <w:sz w:val="20"/>
                <w:szCs w:val="20"/>
              </w:rPr>
            </w:pPr>
            <w:r w:rsidRPr="00014C8D">
              <w:rPr>
                <w:b/>
                <w:sz w:val="20"/>
                <w:szCs w:val="20"/>
              </w:rPr>
              <w:lastRenderedPageBreak/>
              <w:t xml:space="preserve">Difference in CR rates, % (95% CI)c </w:t>
            </w:r>
          </w:p>
        </w:tc>
        <w:tc>
          <w:tcPr>
            <w:tcW w:w="4961" w:type="dxa"/>
            <w:gridSpan w:val="2"/>
          </w:tcPr>
          <w:p w14:paraId="1FD51AE0" w14:textId="77777777" w:rsidR="004A06C7" w:rsidRPr="00014C8D" w:rsidRDefault="004A06C7" w:rsidP="00B67F39">
            <w:pPr>
              <w:rPr>
                <w:b/>
                <w:sz w:val="20"/>
                <w:szCs w:val="20"/>
              </w:rPr>
            </w:pPr>
            <w:r w:rsidRPr="00014C8D">
              <w:rPr>
                <w:b/>
                <w:sz w:val="20"/>
                <w:szCs w:val="20"/>
              </w:rPr>
              <w:t xml:space="preserve">22 (3, 41) </w:t>
            </w:r>
          </w:p>
        </w:tc>
      </w:tr>
      <w:tr w:rsidR="000B2636" w14:paraId="1AA29635" w14:textId="77777777" w:rsidTr="00B67F39">
        <w:tc>
          <w:tcPr>
            <w:tcW w:w="3114" w:type="dxa"/>
          </w:tcPr>
          <w:p w14:paraId="12B42E11" w14:textId="77777777" w:rsidR="000B2636" w:rsidRPr="00014C8D" w:rsidRDefault="000B2636" w:rsidP="00B67F39">
            <w:pPr>
              <w:rPr>
                <w:sz w:val="20"/>
                <w:szCs w:val="20"/>
              </w:rPr>
            </w:pPr>
            <w:r w:rsidRPr="00014C8D">
              <w:rPr>
                <w:sz w:val="20"/>
                <w:szCs w:val="20"/>
              </w:rPr>
              <w:t xml:space="preserve">Best Overall Response of CR or PRd (95% CI) </w:t>
            </w:r>
          </w:p>
        </w:tc>
        <w:tc>
          <w:tcPr>
            <w:tcW w:w="2268" w:type="dxa"/>
          </w:tcPr>
          <w:p w14:paraId="25580337" w14:textId="77777777" w:rsidR="000B2636" w:rsidRPr="00014C8D" w:rsidRDefault="000B2636" w:rsidP="00B67F39">
            <w:pPr>
              <w:rPr>
                <w:sz w:val="20"/>
                <w:szCs w:val="20"/>
              </w:rPr>
            </w:pPr>
            <w:r w:rsidRPr="00014C8D">
              <w:rPr>
                <w:sz w:val="20"/>
                <w:szCs w:val="20"/>
              </w:rPr>
              <w:t xml:space="preserve">25 (63) (46, 77) </w:t>
            </w:r>
          </w:p>
        </w:tc>
        <w:tc>
          <w:tcPr>
            <w:tcW w:w="2693" w:type="dxa"/>
          </w:tcPr>
          <w:p w14:paraId="3C8021EF" w14:textId="77777777" w:rsidR="000B2636" w:rsidRPr="00014C8D" w:rsidRDefault="000B2636" w:rsidP="00B67F39">
            <w:pPr>
              <w:rPr>
                <w:sz w:val="20"/>
                <w:szCs w:val="20"/>
              </w:rPr>
            </w:pPr>
            <w:r w:rsidRPr="00014C8D">
              <w:rPr>
                <w:sz w:val="20"/>
                <w:szCs w:val="20"/>
              </w:rPr>
              <w:t xml:space="preserve">10 (25) (13, 41) </w:t>
            </w:r>
          </w:p>
        </w:tc>
      </w:tr>
      <w:tr w:rsidR="000B2636" w14:paraId="02709184" w14:textId="77777777" w:rsidTr="00B67F39">
        <w:tc>
          <w:tcPr>
            <w:tcW w:w="3114" w:type="dxa"/>
          </w:tcPr>
          <w:p w14:paraId="6A69348F" w14:textId="77777777" w:rsidR="000B2636" w:rsidRPr="00014C8D" w:rsidRDefault="000B2636" w:rsidP="00B67F39">
            <w:pPr>
              <w:rPr>
                <w:sz w:val="20"/>
                <w:szCs w:val="20"/>
              </w:rPr>
            </w:pPr>
            <w:r w:rsidRPr="00014C8D">
              <w:rPr>
                <w:sz w:val="20"/>
                <w:szCs w:val="20"/>
              </w:rPr>
              <w:t xml:space="preserve">Best Response of CR (95% CI) </w:t>
            </w:r>
          </w:p>
        </w:tc>
        <w:tc>
          <w:tcPr>
            <w:tcW w:w="2268" w:type="dxa"/>
          </w:tcPr>
          <w:p w14:paraId="611252D3" w14:textId="77777777" w:rsidR="000B2636" w:rsidRPr="00014C8D" w:rsidRDefault="000B2636" w:rsidP="00B67F39">
            <w:pPr>
              <w:rPr>
                <w:sz w:val="20"/>
                <w:szCs w:val="20"/>
              </w:rPr>
            </w:pPr>
            <w:r w:rsidRPr="00014C8D">
              <w:rPr>
                <w:sz w:val="20"/>
                <w:szCs w:val="20"/>
              </w:rPr>
              <w:t xml:space="preserve">20 (50) (34, 66) </w:t>
            </w:r>
          </w:p>
        </w:tc>
        <w:tc>
          <w:tcPr>
            <w:tcW w:w="2693" w:type="dxa"/>
          </w:tcPr>
          <w:p w14:paraId="170052AE" w14:textId="77777777" w:rsidR="000B2636" w:rsidRPr="00014C8D" w:rsidRDefault="000B2636" w:rsidP="00B67F39">
            <w:pPr>
              <w:rPr>
                <w:sz w:val="20"/>
                <w:szCs w:val="20"/>
              </w:rPr>
            </w:pPr>
            <w:r w:rsidRPr="00014C8D">
              <w:rPr>
                <w:sz w:val="20"/>
                <w:szCs w:val="20"/>
              </w:rPr>
              <w:t xml:space="preserve">9 (23) (11, 38) </w:t>
            </w:r>
          </w:p>
        </w:tc>
      </w:tr>
    </w:tbl>
    <w:p w14:paraId="338B2030" w14:textId="74B580D3" w:rsidR="00E70D40" w:rsidRPr="00B67F39" w:rsidRDefault="00E70D40" w:rsidP="00B67F39">
      <w:pPr>
        <w:pStyle w:val="TableDescription"/>
      </w:pPr>
      <w:r w:rsidRPr="00B67F39">
        <w:t xml:space="preserve">PR = partial remission. a PET-CT based response per modified Lugano 2014 criteria. Bone marrow confirmation of PET-CT CR was required. PET-CT PR required meeting both PET criteria and CT criteria for PR. b End of treatment was defined as 6–8 weeks after Day 1 of Cycle 6 or last study treatment. cMiettinen-Nurminen method d </w:t>
      </w:r>
      <w:r w:rsidR="007E4E8A">
        <w:t>PET-CT results were prioritis</w:t>
      </w:r>
      <w:r w:rsidRPr="00B67F39">
        <w:t>ed over CT results.</w:t>
      </w:r>
    </w:p>
    <w:p w14:paraId="7B5EA3DC" w14:textId="005814CB" w:rsidR="00E70D40" w:rsidRPr="00E70D40" w:rsidRDefault="00E70D40" w:rsidP="00B67F39">
      <w:r w:rsidRPr="000B2636">
        <w:t>In the P</w:t>
      </w:r>
      <w:r w:rsidR="00B67F39">
        <w:t>olivy</w:t>
      </w:r>
      <w:r w:rsidRPr="000B2636">
        <w:t xml:space="preserve"> plus BR arm, of the 25 patients who achieved a partial or complete response, 16 (64%) had a DOR of at least 6 months, and 12 (48%) had a DOR of at least 12 months. In the BR arm, of the 10 patients who achieved a partial or complete response, 3 (30%) had a DOR lasting at least 6 months, and 2 (20%) had a DOR lasting at least 12 months.</w:t>
      </w:r>
      <w:r w:rsidR="000B2636">
        <w:t>’</w:t>
      </w:r>
    </w:p>
    <w:p w14:paraId="78C11845" w14:textId="77777777" w:rsidR="004C58C4" w:rsidRDefault="004C58C4" w:rsidP="00E70D40">
      <w:r>
        <w:t>The Delegate is of the view that the inclusion of non-significant comparator data in the draft Australian product information has a significant potential to mislead clinicians as to the basis for regulatory approval, and of the scope of the data which supports the efficacy of Pol</w:t>
      </w:r>
      <w:r w:rsidR="00094B37">
        <w:t>ivy</w:t>
      </w:r>
      <w:r>
        <w:t xml:space="preserve"> in a statistically verifiable manner.</w:t>
      </w:r>
    </w:p>
    <w:p w14:paraId="22CCF7E5" w14:textId="77777777" w:rsidR="004C58C4" w:rsidRDefault="004C58C4" w:rsidP="00964ED9">
      <w:pPr>
        <w:pStyle w:val="Heading4"/>
      </w:pPr>
      <w:r w:rsidRPr="005B376C">
        <w:t>Conclusion</w:t>
      </w:r>
    </w:p>
    <w:p w14:paraId="2C4EC42A" w14:textId="465E4EDB" w:rsidR="004C58C4" w:rsidRDefault="004C58C4" w:rsidP="002E6E71">
      <w:r>
        <w:t xml:space="preserve">The Delegate proposes to include </w:t>
      </w:r>
      <w:r w:rsidR="00E70D40">
        <w:t>p</w:t>
      </w:r>
      <w:r>
        <w:t xml:space="preserve">olatuzumab </w:t>
      </w:r>
      <w:r w:rsidR="00E70D40">
        <w:t xml:space="preserve">vedotin </w:t>
      </w:r>
      <w:r>
        <w:t xml:space="preserve">in the </w:t>
      </w:r>
      <w:r w:rsidR="00062CAC">
        <w:t>Australian Register of Therapeutic Goods (</w:t>
      </w:r>
      <w:r w:rsidR="004A06C7">
        <w:t>ARTG</w:t>
      </w:r>
      <w:r w:rsidR="00062CAC">
        <w:t>)</w:t>
      </w:r>
      <w:r>
        <w:t xml:space="preserve"> with the indication:</w:t>
      </w:r>
    </w:p>
    <w:p w14:paraId="64C84D08" w14:textId="77777777" w:rsidR="004C58C4" w:rsidRDefault="002E6E71" w:rsidP="002E6E71">
      <w:pPr>
        <w:spacing w:before="0" w:after="0" w:line="240" w:lineRule="auto"/>
        <w:ind w:left="720"/>
        <w:rPr>
          <w:rFonts w:asciiTheme="minorHAnsi" w:hAnsiTheme="minorHAnsi"/>
        </w:rPr>
      </w:pPr>
      <w:r>
        <w:rPr>
          <w:i/>
          <w:lang w:eastAsia="en-AU"/>
        </w:rPr>
        <w:t>Polivy in combination with bendamustine and rituximab is indicated for the treatment of previously treated adult patients with diffuse large B-cell lymphoma who are not candidates for hematopoietic stem cell transplant.</w:t>
      </w:r>
    </w:p>
    <w:p w14:paraId="73401A93" w14:textId="77777777" w:rsidR="004C58C4" w:rsidRDefault="0073061D" w:rsidP="002E6E71">
      <w:r>
        <w:t>Following PI amendments, t</w:t>
      </w:r>
      <w:r w:rsidR="004C58C4">
        <w:t xml:space="preserve">he </w:t>
      </w:r>
      <w:r w:rsidR="004C58C4" w:rsidRPr="002E6E71">
        <w:t>Delegate</w:t>
      </w:r>
      <w:r w:rsidR="004C58C4">
        <w:t xml:space="preserve"> proposes to include </w:t>
      </w:r>
      <w:r w:rsidR="002E6E71">
        <w:t xml:space="preserve">the following </w:t>
      </w:r>
      <w:r w:rsidR="004C58C4">
        <w:t>as</w:t>
      </w:r>
      <w:r w:rsidR="00ED197A">
        <w:t xml:space="preserve"> condition</w:t>
      </w:r>
      <w:r w:rsidR="002E6E71">
        <w:t>s</w:t>
      </w:r>
      <w:r w:rsidR="00ED197A">
        <w:t xml:space="preserve"> of the registration:</w:t>
      </w:r>
    </w:p>
    <w:p w14:paraId="7D485E1A" w14:textId="0482A641" w:rsidR="004C58C4" w:rsidRPr="002E6E71" w:rsidRDefault="002E6E71" w:rsidP="002E6E71">
      <w:pPr>
        <w:pStyle w:val="ListBullet"/>
      </w:pPr>
      <w:r>
        <w:t>The s</w:t>
      </w:r>
      <w:r w:rsidR="004C58C4" w:rsidRPr="002E6E71">
        <w:t xml:space="preserve">ponsor will provide a study report of </w:t>
      </w:r>
      <w:r w:rsidR="00B67F39">
        <w:t>trial</w:t>
      </w:r>
      <w:r w:rsidR="004C58C4" w:rsidRPr="002E6E71">
        <w:t xml:space="preserve"> GO39942 to </w:t>
      </w:r>
      <w:r w:rsidR="00062CAC">
        <w:t>the TGA</w:t>
      </w:r>
      <w:r w:rsidR="004C58C4" w:rsidRPr="002E6E71">
        <w:t xml:space="preserve"> for evaluation no later than this trial is first submitted to either the US FDA, </w:t>
      </w:r>
      <w:r w:rsidR="00062CAC">
        <w:t>European Medicines Agency (</w:t>
      </w:r>
      <w:r w:rsidR="004C58C4" w:rsidRPr="002E6E71">
        <w:t>EMA</w:t>
      </w:r>
      <w:r w:rsidR="00062CAC">
        <w:t>)</w:t>
      </w:r>
      <w:r w:rsidR="004C58C4" w:rsidRPr="002E6E71">
        <w:t xml:space="preserve"> or Health Canada.</w:t>
      </w:r>
    </w:p>
    <w:p w14:paraId="5C4F1071" w14:textId="7F38985C" w:rsidR="004C58C4" w:rsidRDefault="004C58C4" w:rsidP="002E6E71">
      <w:pPr>
        <w:pStyle w:val="ListBullet"/>
      </w:pPr>
      <w:r>
        <w:t xml:space="preserve">The Register entry will include as a condition of </w:t>
      </w:r>
      <w:r w:rsidR="00062CAC">
        <w:t>r</w:t>
      </w:r>
      <w:r>
        <w:t>egistration a shelf-life of 12 months at 2</w:t>
      </w:r>
      <w:r w:rsidR="00062CAC">
        <w:t xml:space="preserve"> to </w:t>
      </w:r>
      <w:r>
        <w:t xml:space="preserve">8 degrees centigrade as specified in the </w:t>
      </w:r>
      <w:r w:rsidR="00062CAC">
        <w:t>b</w:t>
      </w:r>
      <w:r>
        <w:t>iological evaluation.</w:t>
      </w:r>
    </w:p>
    <w:p w14:paraId="6036A8C6" w14:textId="77777777" w:rsidR="00D23139" w:rsidRDefault="00A22D57" w:rsidP="00D23139">
      <w:pPr>
        <w:pStyle w:val="Heading4"/>
      </w:pPr>
      <w:r>
        <w:t>Request for AC</w:t>
      </w:r>
      <w:r w:rsidR="00D23139" w:rsidRPr="00D23139">
        <w:t>M advice</w:t>
      </w:r>
    </w:p>
    <w:p w14:paraId="2BF59916" w14:textId="77777777" w:rsidR="00ED197A" w:rsidRPr="00A322B3" w:rsidRDefault="00ED197A" w:rsidP="00ED197A">
      <w:r>
        <w:rPr>
          <w:bCs/>
        </w:rPr>
        <w:t>The Delegate did not refer this application to the Advisory Committee on Prescription Medicines (ACM) for advice.</w:t>
      </w:r>
    </w:p>
    <w:p w14:paraId="07FE9CB7" w14:textId="77777777" w:rsidR="008E7846" w:rsidRDefault="008E7846" w:rsidP="008E7846">
      <w:pPr>
        <w:pStyle w:val="Heading4"/>
      </w:pPr>
      <w:r>
        <w:t>Advisory Committee Considerations</w:t>
      </w:r>
      <w:r w:rsidR="00456765">
        <w:rPr>
          <w:rStyle w:val="FootnoteReference"/>
        </w:rPr>
        <w:footnoteReference w:id="2"/>
      </w:r>
    </w:p>
    <w:p w14:paraId="4DCEC30A" w14:textId="77777777" w:rsidR="00456765" w:rsidRPr="00A322B3" w:rsidRDefault="00456765" w:rsidP="008E7846">
      <w:r>
        <w:rPr>
          <w:bCs/>
        </w:rPr>
        <w:t>The Delegate did not refer this application to the Advisory Committee on Prescription Medicines (ACM) for advice.</w:t>
      </w:r>
    </w:p>
    <w:p w14:paraId="101D3712" w14:textId="77777777" w:rsidR="008E7846" w:rsidRPr="002E238E" w:rsidRDefault="008E7846" w:rsidP="008E7846">
      <w:pPr>
        <w:pStyle w:val="Heading3"/>
      </w:pPr>
      <w:bookmarkStart w:id="46" w:name="_Toc247691532"/>
      <w:bookmarkStart w:id="47" w:name="_Toc314842516"/>
      <w:bookmarkStart w:id="48" w:name="_Toc28858558"/>
      <w:bookmarkEnd w:id="29"/>
      <w:bookmarkEnd w:id="44"/>
      <w:bookmarkEnd w:id="45"/>
      <w:r>
        <w:lastRenderedPageBreak/>
        <w:t>Outcome</w:t>
      </w:r>
      <w:bookmarkEnd w:id="46"/>
      <w:bookmarkEnd w:id="47"/>
      <w:bookmarkEnd w:id="48"/>
    </w:p>
    <w:p w14:paraId="4BD6583F" w14:textId="04407861" w:rsidR="00D23139" w:rsidRPr="00D23139" w:rsidRDefault="00D23139" w:rsidP="00D23139">
      <w:bookmarkStart w:id="49" w:name="_Toc247691533"/>
      <w:bookmarkStart w:id="50" w:name="_Toc314842517"/>
      <w:r w:rsidRPr="00D23139">
        <w:t xml:space="preserve">Based on a review of quality, safety and efficacy, </w:t>
      </w:r>
      <w:r w:rsidR="00062CAC">
        <w:t xml:space="preserve">the </w:t>
      </w:r>
      <w:r w:rsidRPr="00D23139">
        <w:t>TG</w:t>
      </w:r>
      <w:r w:rsidR="00ED197A">
        <w:t>A approved the registration of Polivy (</w:t>
      </w:r>
      <w:r w:rsidR="00964ED9">
        <w:t>p</w:t>
      </w:r>
      <w:r w:rsidR="00ED197A" w:rsidRPr="00ED197A">
        <w:t>olatuzumab vedotin</w:t>
      </w:r>
      <w:r w:rsidR="00ED197A">
        <w:t>) 140 mg powder for injection vial for</w:t>
      </w:r>
      <w:r w:rsidRPr="00D23139">
        <w:t>, indicated for:</w:t>
      </w:r>
    </w:p>
    <w:p w14:paraId="79045741" w14:textId="77777777" w:rsidR="00D23139" w:rsidRPr="00D23139" w:rsidRDefault="00964ED9" w:rsidP="00964ED9">
      <w:pPr>
        <w:ind w:left="720"/>
      </w:pPr>
      <w:r>
        <w:rPr>
          <w:i/>
          <w:lang w:eastAsia="en-AU"/>
        </w:rPr>
        <w:t>Polivy in combination with bendamustine and rituximab is indicated for the treatment of previously treated adult patients with diffuse large B-cell lymphoma who are not candidates for hematopoietic stem cell transplant.</w:t>
      </w:r>
    </w:p>
    <w:p w14:paraId="369447CF" w14:textId="77777777" w:rsidR="00D23139" w:rsidRDefault="00D23139" w:rsidP="00D23139">
      <w:pPr>
        <w:pStyle w:val="Heading4"/>
      </w:pPr>
      <w:r w:rsidRPr="00D23139">
        <w:t>Specific conditions of registration applying to these goods</w:t>
      </w:r>
    </w:p>
    <w:p w14:paraId="719398F4" w14:textId="77777777" w:rsidR="00E71904" w:rsidRDefault="00E71904" w:rsidP="00964ED9">
      <w:pPr>
        <w:pStyle w:val="Numberbullet0"/>
      </w:pPr>
      <w:r>
        <w:t>Polivy (polatuzumab vedotin) is to be included in the Black Triangle Scheme. The Product Information (PI) and Consumer Medicines Information (CMI) for Polivy must include the black triangle symbol and mandatory accompanying text for five years, which starts from the date that the sponsor notifies the TGA of supply of the product.</w:t>
      </w:r>
    </w:p>
    <w:p w14:paraId="465FB0CA" w14:textId="77777777" w:rsidR="00E71904" w:rsidRDefault="00E71904" w:rsidP="0073061D">
      <w:pPr>
        <w:pStyle w:val="Numberbullet0"/>
      </w:pPr>
      <w:r>
        <w:t>The Polivy European Union-Risk Management Plan (EU-RMP) (version 1.0, dated 17 December 2018, data lock point 7 September 2018), with Australian Specific Annex (version 1.1, dated June 2019), included with submission PM-2019-00471-1-6, and any subsequent revisions, as agreed with the TGA will be implemented in Australia.</w:t>
      </w:r>
    </w:p>
    <w:p w14:paraId="600E21CD" w14:textId="77777777" w:rsidR="00E71904" w:rsidRDefault="00E71904" w:rsidP="0073061D">
      <w:pPr>
        <w:pStyle w:val="ListBullet"/>
        <w:numPr>
          <w:ilvl w:val="0"/>
          <w:numId w:val="0"/>
        </w:numPr>
        <w:ind w:left="425"/>
      </w:pPr>
      <w:r>
        <w:t xml:space="preserve">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w:t>
      </w:r>
      <w:r w:rsidRPr="005F3F2E">
        <w:t>periodic safety update report</w:t>
      </w:r>
      <w:r>
        <w:t>s</w:t>
      </w:r>
      <w:r w:rsidRPr="005F3F2E">
        <w:t xml:space="preserve"> </w:t>
      </w:r>
      <w:r>
        <w:t>(PSURs) each covering six months. If the sponsor wishes, the six monthly reports may be submitted separately as they become available.</w:t>
      </w:r>
    </w:p>
    <w:p w14:paraId="1933AF4F" w14:textId="77777777" w:rsidR="00E71904" w:rsidRDefault="00E71904" w:rsidP="0073061D">
      <w:pPr>
        <w:pStyle w:val="ListBullet"/>
        <w:numPr>
          <w:ilvl w:val="0"/>
          <w:numId w:val="0"/>
        </w:numPr>
        <w:ind w:left="425"/>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6ED92A82" w14:textId="77777777" w:rsidR="00E71904" w:rsidRPr="007B3181" w:rsidRDefault="00E71904" w:rsidP="00964ED9">
      <w:pPr>
        <w:pStyle w:val="Numberbullet0"/>
      </w:pPr>
      <w:r w:rsidRPr="007B3181">
        <w:t xml:space="preserve">Batch release testing </w:t>
      </w:r>
      <w:r w:rsidR="00DC49C0">
        <w:t xml:space="preserve">and </w:t>
      </w:r>
      <w:r w:rsidRPr="007B3181">
        <w:t>compliance with Certified Product Details (CPD)</w:t>
      </w:r>
    </w:p>
    <w:p w14:paraId="1C40C201" w14:textId="77777777" w:rsidR="00E71904" w:rsidRDefault="00E71904" w:rsidP="00E71904">
      <w:pPr>
        <w:pStyle w:val="ListBullet2"/>
      </w:pPr>
      <w:r>
        <w:t>It is a condition of registration that all batches of Polivy imported into Australia must comply with the product details and specifications approved during evaluation and detailed in the Certified Product Details (CPD).</w:t>
      </w:r>
    </w:p>
    <w:p w14:paraId="7B5F4EBE" w14:textId="77777777" w:rsidR="00E71904" w:rsidRPr="007B3181" w:rsidRDefault="00E71904" w:rsidP="00E71904">
      <w:pPr>
        <w:pStyle w:val="ListBullet2"/>
      </w:pPr>
      <w:r>
        <w:t xml:space="preserve">It is a condition of registration that up to 5 initial batches of Polivy imported into Australia is not released for sale until samples and/or the manufacturer’s release data have been assessed and endorsed for release by the TGA Laboratories Branch. Outcomes of laboratory testing are published biannually in the TGA Database of Laboratory Testing </w:t>
      </w:r>
      <w:r w:rsidRPr="007B3181">
        <w:t>Results http://www.tga.gov.au/ws-labs-index.</w:t>
      </w:r>
    </w:p>
    <w:p w14:paraId="125CB993" w14:textId="77777777" w:rsidR="00E71904" w:rsidRPr="007B3181" w:rsidRDefault="00E71904" w:rsidP="00E71904">
      <w:pPr>
        <w:pStyle w:val="ListBullet2"/>
      </w:pPr>
      <w:r>
        <w:t xml:space="preserve">The sponsor should be prepared to provide product samples, reference materials and documentary evidence as defined by the TGA Laboratories branch. The sponsor must contact </w:t>
      </w:r>
      <w:r w:rsidRPr="007B3181">
        <w:t>Biochemistry.Testing@health.gov.au</w:t>
      </w:r>
      <w:r>
        <w:rPr>
          <w:color w:val="0000FF"/>
        </w:rPr>
        <w:t xml:space="preserve"> </w:t>
      </w:r>
      <w:r>
        <w:t xml:space="preserve">for specific material </w:t>
      </w:r>
      <w:r>
        <w:lastRenderedPageBreak/>
        <w:t xml:space="preserve">requirements related to the batch release testing/assessment of the product. More information on TGA testing of biological medicines is available at </w:t>
      </w:r>
      <w:r w:rsidRPr="007B3181">
        <w:t>https://www.tga.gov.au/publication/testing-biological-medicines.</w:t>
      </w:r>
    </w:p>
    <w:p w14:paraId="0A47FB45" w14:textId="77777777" w:rsidR="00E71904" w:rsidRPr="007B3181" w:rsidRDefault="00E71904" w:rsidP="00E71904">
      <w:pPr>
        <w:pStyle w:val="ListBullet"/>
        <w:numPr>
          <w:ilvl w:val="0"/>
          <w:numId w:val="0"/>
        </w:numPr>
        <w:ind w:left="360"/>
      </w:pPr>
      <w:r>
        <w:t xml:space="preserve">This batch release condition will be reviewed and may be modified on the basis of actual batch quality and consistency. </w:t>
      </w:r>
      <w:r w:rsidRPr="007B3181">
        <w:t>This condition remains in place until you are notified in writing of any variation.</w:t>
      </w:r>
    </w:p>
    <w:p w14:paraId="067F48C2" w14:textId="77777777" w:rsidR="00E71904" w:rsidRPr="007B3181" w:rsidRDefault="00E71904" w:rsidP="00964ED9">
      <w:pPr>
        <w:pStyle w:val="Numberbullet0"/>
      </w:pPr>
      <w:r w:rsidRPr="007B3181">
        <w:t>Certified Product Details</w:t>
      </w:r>
    </w:p>
    <w:p w14:paraId="5C16E0EA" w14:textId="77777777" w:rsidR="00E71904" w:rsidRDefault="00E71904" w:rsidP="00E71904">
      <w:pPr>
        <w:pStyle w:val="ListBullet"/>
        <w:numPr>
          <w:ilvl w:val="0"/>
          <w:numId w:val="0"/>
        </w:numPr>
        <w:ind w:left="360"/>
      </w:pPr>
      <w:r w:rsidRPr="007B3181">
        <w:t>The Certified Product Details (CPD), as described in Guidance 7: Certified Product Details of the Australian Regulatory Guidelines for Prescription Medicines (ARGPM) [http://www.tga.gov.au/industry/pm-argpm-guidance-7.htm], in PDF format, for the above products should be provided upon registration of these therapeutic goods. In addition, an updated CPD should be provided when changes to finished product specifications and test</w:t>
      </w:r>
      <w:r>
        <w:t xml:space="preserve"> methods are approved in a Category 3 application or notified through a self-assessable change.</w:t>
      </w:r>
    </w:p>
    <w:p w14:paraId="74BF51D0" w14:textId="77777777" w:rsidR="00E71904" w:rsidRDefault="00E71904" w:rsidP="00E71904">
      <w:pPr>
        <w:pStyle w:val="ListBullet"/>
        <w:numPr>
          <w:ilvl w:val="0"/>
          <w:numId w:val="0"/>
        </w:numPr>
        <w:ind w:left="360"/>
      </w:pPr>
      <w:r>
        <w:t>The CPD should be emailed to Biochemistry.Testing@health.gov.au as a single PDF document.</w:t>
      </w:r>
    </w:p>
    <w:p w14:paraId="6AB28C79" w14:textId="77777777" w:rsidR="00E71904" w:rsidRDefault="00E71904" w:rsidP="00964ED9">
      <w:pPr>
        <w:pStyle w:val="Numberbullet0"/>
      </w:pPr>
      <w:r>
        <w:t xml:space="preserve">The sponsor will provide a study report of trial GO39942 to Therapeutic Goods Administration for evaluation no later than this trial is first submitted to either the United States (US) Food and Drug Administration (FDA), </w:t>
      </w:r>
      <w:r w:rsidRPr="005F3F2E">
        <w:t xml:space="preserve">European Medicines Agency </w:t>
      </w:r>
      <w:r>
        <w:t>(EMA) or Health Canada.</w:t>
      </w:r>
    </w:p>
    <w:p w14:paraId="5EC3FE28" w14:textId="77777777" w:rsidR="00E71904" w:rsidRPr="007B3181" w:rsidRDefault="00E71904" w:rsidP="00964ED9">
      <w:pPr>
        <w:pStyle w:val="Numberbullet0"/>
      </w:pPr>
      <w:r>
        <w:t>The register entry will include as a condition of registration a shelf life of 12 months at 2 to 8 degrees centigrade as specified in the Biological evaluation.</w:t>
      </w:r>
    </w:p>
    <w:p w14:paraId="1FFA3C92" w14:textId="77777777" w:rsidR="00E71904" w:rsidRPr="003916D7" w:rsidRDefault="00E71904" w:rsidP="00964ED9">
      <w:pPr>
        <w:pStyle w:val="Numberbullet0"/>
        <w:rPr>
          <w:lang w:eastAsia="en-AU"/>
        </w:rPr>
      </w:pPr>
      <w:r>
        <w:rPr>
          <w:lang w:eastAsia="en-AU"/>
        </w:rPr>
        <w:t>For all injectable products the Product Information must be included with the product as a package insert.</w:t>
      </w:r>
    </w:p>
    <w:p w14:paraId="5DF26010" w14:textId="77777777" w:rsidR="008E7846" w:rsidRDefault="00A80B5B" w:rsidP="00D23139">
      <w:pPr>
        <w:pStyle w:val="Heading2"/>
      </w:pPr>
      <w:bookmarkStart w:id="51" w:name="_Toc28858559"/>
      <w:r>
        <w:t xml:space="preserve">Attachment 1. </w:t>
      </w:r>
      <w:r w:rsidR="008E7846">
        <w:t xml:space="preserve">Product </w:t>
      </w:r>
      <w:r w:rsidR="00AA0ED0">
        <w:t>I</w:t>
      </w:r>
      <w:r w:rsidR="008E7846">
        <w:t>nformation</w:t>
      </w:r>
      <w:bookmarkEnd w:id="49"/>
      <w:bookmarkEnd w:id="50"/>
      <w:bookmarkEnd w:id="51"/>
    </w:p>
    <w:p w14:paraId="365C3A67" w14:textId="77777777" w:rsidR="00291957" w:rsidRDefault="006136D7" w:rsidP="00291957">
      <w:pPr>
        <w:rPr>
          <w:lang w:eastAsia="ja-JP"/>
        </w:rPr>
      </w:pPr>
      <w:r w:rsidRPr="002B3624">
        <w:t xml:space="preserve">The </w:t>
      </w:r>
      <w:r>
        <w:t>PI</w:t>
      </w:r>
      <w:r w:rsidRPr="002B3624">
        <w:t xml:space="preserve"> for </w:t>
      </w:r>
      <w:r w:rsidR="00E71904">
        <w:t>Polivy</w:t>
      </w:r>
      <w:r w:rsidR="00E70D40">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E71904">
        <w:t>&gt;.</w:t>
      </w:r>
    </w:p>
    <w:p w14:paraId="0B394D2D"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2C52A3F" w14:textId="77777777" w:rsidTr="00A05FA4">
        <w:trPr>
          <w:trHeight w:hRule="exact" w:val="704"/>
        </w:trPr>
        <w:tc>
          <w:tcPr>
            <w:tcW w:w="9175" w:type="dxa"/>
          </w:tcPr>
          <w:p w14:paraId="30525CF7" w14:textId="77777777" w:rsidR="001C32CD" w:rsidRPr="00487162" w:rsidRDefault="001C32CD" w:rsidP="00A05FA4">
            <w:pPr>
              <w:pStyle w:val="TGASignoff"/>
            </w:pPr>
            <w:r w:rsidRPr="00487162">
              <w:lastRenderedPageBreak/>
              <w:t>Therapeutic Goods Administration</w:t>
            </w:r>
          </w:p>
        </w:tc>
      </w:tr>
      <w:tr w:rsidR="001C32CD" w:rsidRPr="004C239D" w14:paraId="7C9F74A6" w14:textId="77777777" w:rsidTr="00A05FA4">
        <w:trPr>
          <w:trHeight w:val="1221"/>
        </w:trPr>
        <w:tc>
          <w:tcPr>
            <w:tcW w:w="9175" w:type="dxa"/>
            <w:tcMar>
              <w:top w:w="28" w:type="dxa"/>
            </w:tcMar>
          </w:tcPr>
          <w:p w14:paraId="40F2ADC5" w14:textId="77777777" w:rsidR="001C32CD" w:rsidRPr="00487162" w:rsidRDefault="001C32CD" w:rsidP="00A05FA4">
            <w:pPr>
              <w:pStyle w:val="Address"/>
            </w:pPr>
            <w:r w:rsidRPr="00487162">
              <w:t>PO Box 100 Woden ACT 2606 Australia</w:t>
            </w:r>
          </w:p>
          <w:p w14:paraId="39013436" w14:textId="77777777" w:rsidR="001C32CD" w:rsidRPr="00487162" w:rsidRDefault="001C32CD" w:rsidP="00A05FA4">
            <w:pPr>
              <w:pStyle w:val="Address"/>
            </w:pPr>
            <w:r w:rsidRPr="00487162">
              <w:t xml:space="preserve">Email: </w:t>
            </w:r>
            <w:hyperlink r:id="rId26" w:history="1">
              <w:r w:rsidRPr="004C239D">
                <w:rPr>
                  <w:rStyle w:val="Hyperlink"/>
                </w:rPr>
                <w:t>info@tga.gov.au</w:t>
              </w:r>
            </w:hyperlink>
            <w:r w:rsidRPr="00487162">
              <w:t xml:space="preserve">  Phone: 1800 020 653  Fax: 02 6232 8605</w:t>
            </w:r>
          </w:p>
          <w:p w14:paraId="7E3CC6B1" w14:textId="77777777" w:rsidR="001C32CD" w:rsidRPr="004C239D" w:rsidRDefault="0026248F"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0C4B0A5B"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6722F" w14:textId="77777777" w:rsidR="00CC2959" w:rsidRDefault="00CC2959" w:rsidP="00C40A36">
      <w:pPr>
        <w:spacing w:after="0"/>
      </w:pPr>
      <w:r>
        <w:separator/>
      </w:r>
    </w:p>
  </w:endnote>
  <w:endnote w:type="continuationSeparator" w:id="0">
    <w:p w14:paraId="4CF34B82" w14:textId="77777777" w:rsidR="00CC2959" w:rsidRDefault="00CC295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AA3D" w14:textId="77777777" w:rsidR="00FD21FA" w:rsidRDefault="00FD2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C2959" w:rsidRPr="00487162" w14:paraId="55C2A099" w14:textId="77777777" w:rsidTr="00DB750B">
      <w:trPr>
        <w:trHeight w:val="269"/>
      </w:trPr>
      <w:tc>
        <w:tcPr>
          <w:tcW w:w="7371" w:type="dxa"/>
          <w:tcMar>
            <w:top w:w="142" w:type="dxa"/>
            <w:bottom w:w="0" w:type="dxa"/>
          </w:tcMar>
        </w:tcPr>
        <w:p w14:paraId="057E9393" w14:textId="77777777" w:rsidR="00CC2959" w:rsidRDefault="00CC2959" w:rsidP="00E71904">
          <w:pPr>
            <w:pStyle w:val="Footer"/>
            <w:ind w:right="-674"/>
          </w:pPr>
          <w:r>
            <w:t>AusPAR for Polivy (</w:t>
          </w:r>
          <w:r w:rsidRPr="009254DA">
            <w:t>polatuzumab vedotin</w:t>
          </w:r>
          <w:r>
            <w:t>) Roche Products Pty Limited</w:t>
          </w:r>
          <w:r w:rsidRPr="009254DA">
            <w:t xml:space="preserve"> PM-2019-00471-1-6</w:t>
          </w:r>
        </w:p>
        <w:p w14:paraId="63F0295E" w14:textId="5398DF73" w:rsidR="00CC2959" w:rsidRPr="00487162" w:rsidRDefault="00CC2959" w:rsidP="00E71904">
          <w:pPr>
            <w:pStyle w:val="Footer"/>
          </w:pPr>
          <w:r>
            <w:t>Final 3 December 2019</w:t>
          </w:r>
        </w:p>
      </w:tc>
      <w:tc>
        <w:tcPr>
          <w:tcW w:w="1490" w:type="dxa"/>
          <w:tcMar>
            <w:top w:w="142" w:type="dxa"/>
            <w:bottom w:w="0" w:type="dxa"/>
          </w:tcMar>
        </w:tcPr>
        <w:p w14:paraId="0F6FF97B" w14:textId="45283D08" w:rsidR="00CC2959" w:rsidRPr="00487162" w:rsidRDefault="00CC2959" w:rsidP="00DB750B">
          <w:pPr>
            <w:pStyle w:val="Footer"/>
            <w:jc w:val="right"/>
          </w:pPr>
          <w:r w:rsidRPr="00487162">
            <w:t xml:space="preserve">Page </w:t>
          </w:r>
          <w:r>
            <w:fldChar w:fldCharType="begin"/>
          </w:r>
          <w:r>
            <w:instrText xml:space="preserve"> PAGE  \* Arabic </w:instrText>
          </w:r>
          <w:r>
            <w:fldChar w:fldCharType="separate"/>
          </w:r>
          <w:r w:rsidR="0026248F">
            <w:rPr>
              <w:noProof/>
            </w:rPr>
            <w:t>2</w:t>
          </w:r>
          <w:r>
            <w:fldChar w:fldCharType="end"/>
          </w:r>
          <w:r w:rsidRPr="00487162">
            <w:t xml:space="preserve"> of </w:t>
          </w:r>
          <w:fldSimple w:instr=" NUMPAGES  \* Arabic ">
            <w:r w:rsidR="0026248F">
              <w:rPr>
                <w:noProof/>
              </w:rPr>
              <w:t>20</w:t>
            </w:r>
          </w:fldSimple>
        </w:p>
      </w:tc>
    </w:tr>
  </w:tbl>
  <w:p w14:paraId="26980146" w14:textId="77777777" w:rsidR="00CC2959" w:rsidRDefault="00CC2959"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C98A" w14:textId="77777777" w:rsidR="00FD21FA" w:rsidRDefault="00FD21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C2959" w:rsidRPr="00487162" w14:paraId="5D759531" w14:textId="77777777" w:rsidTr="00E45619">
      <w:trPr>
        <w:trHeight w:val="269"/>
      </w:trPr>
      <w:tc>
        <w:tcPr>
          <w:tcW w:w="4519" w:type="dxa"/>
          <w:tcBorders>
            <w:top w:val="single" w:sz="4" w:space="0" w:color="auto"/>
          </w:tcBorders>
          <w:tcMar>
            <w:top w:w="142" w:type="dxa"/>
            <w:bottom w:w="0" w:type="dxa"/>
          </w:tcMar>
        </w:tcPr>
        <w:p w14:paraId="41DD7AB1" w14:textId="77777777" w:rsidR="00CC2959" w:rsidRPr="00487162" w:rsidRDefault="00CC2959" w:rsidP="00FE1DEE">
          <w:pPr>
            <w:pStyle w:val="Footer"/>
          </w:pPr>
          <w:r w:rsidRPr="00487162">
            <w:t>Document title, Part #, Section # - Section title</w:t>
          </w:r>
        </w:p>
        <w:p w14:paraId="68B8C28C" w14:textId="77777777" w:rsidR="00CC2959" w:rsidRPr="00487162" w:rsidRDefault="00CC2959" w:rsidP="00FE1DEE">
          <w:pPr>
            <w:pStyle w:val="Footer"/>
          </w:pPr>
          <w:r w:rsidRPr="00487162">
            <w:t>V1.0 October 2010</w:t>
          </w:r>
        </w:p>
      </w:tc>
      <w:tc>
        <w:tcPr>
          <w:tcW w:w="4342" w:type="dxa"/>
          <w:tcBorders>
            <w:top w:val="single" w:sz="4" w:space="0" w:color="auto"/>
          </w:tcBorders>
          <w:tcMar>
            <w:top w:w="142" w:type="dxa"/>
            <w:bottom w:w="0" w:type="dxa"/>
          </w:tcMar>
        </w:tcPr>
        <w:p w14:paraId="130C646E" w14:textId="6CF62996" w:rsidR="00CC2959" w:rsidRPr="00487162" w:rsidRDefault="00CC295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sidR="00B97EC8">
              <w:rPr>
                <w:noProof/>
              </w:rPr>
              <w:t>2</w:t>
            </w:r>
          </w:fldSimple>
        </w:p>
      </w:tc>
    </w:tr>
  </w:tbl>
  <w:p w14:paraId="02E972B7" w14:textId="77777777" w:rsidR="00CC2959" w:rsidRDefault="00CC29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08A6F" w14:textId="77777777" w:rsidR="00CC2959" w:rsidRPr="001C32CD" w:rsidRDefault="00CC2959"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C2959" w14:paraId="3037CE75" w14:textId="77777777" w:rsidTr="0010601F">
      <w:trPr>
        <w:trHeight w:val="108"/>
      </w:trPr>
      <w:tc>
        <w:tcPr>
          <w:tcW w:w="8875" w:type="dxa"/>
          <w:gridSpan w:val="2"/>
          <w:tcBorders>
            <w:bottom w:val="single" w:sz="4" w:space="0" w:color="auto"/>
          </w:tcBorders>
          <w:tcMar>
            <w:right w:w="284" w:type="dxa"/>
          </w:tcMar>
        </w:tcPr>
        <w:p w14:paraId="02C2BECD" w14:textId="77777777" w:rsidR="00CC2959" w:rsidRDefault="00CC2959" w:rsidP="006E08B3">
          <w:pPr>
            <w:pStyle w:val="Heading3"/>
          </w:pPr>
          <w:r>
            <w:t>Copyright</w:t>
          </w:r>
        </w:p>
        <w:p w14:paraId="041E7D1E" w14:textId="77777777" w:rsidR="00CC2959" w:rsidRDefault="00CC2959" w:rsidP="006E08B3">
          <w:r>
            <w:rPr>
              <w:rFonts w:cs="Arial"/>
            </w:rPr>
            <w:t>©</w:t>
          </w:r>
          <w:r>
            <w:t xml:space="preserve"> Commonwealth of Australia [add year]</w:t>
          </w:r>
        </w:p>
        <w:p w14:paraId="20B295AF" w14:textId="77777777" w:rsidR="00CC2959" w:rsidRDefault="00CC2959" w:rsidP="006E08B3"/>
        <w:p w14:paraId="7E25245E" w14:textId="77777777" w:rsidR="00CC2959" w:rsidRDefault="00CC295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71F117E1" w14:textId="77777777" w:rsidR="00CC2959" w:rsidRDefault="00CC2959" w:rsidP="006E08B3"/>
        <w:p w14:paraId="492E005C" w14:textId="77777777" w:rsidR="00CC2959" w:rsidRDefault="00CC2959" w:rsidP="006E08B3">
          <w:pPr>
            <w:pStyle w:val="Heading3"/>
          </w:pPr>
          <w:r>
            <w:t>Confidentiality</w:t>
          </w:r>
        </w:p>
        <w:p w14:paraId="04D09960" w14:textId="77777777" w:rsidR="00CC2959" w:rsidRDefault="00CC295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198A415" w14:textId="77777777" w:rsidR="00CC2959" w:rsidRDefault="00CC2959" w:rsidP="006E08B3"/>
        <w:p w14:paraId="67DB99E9" w14:textId="77777777" w:rsidR="00CC2959" w:rsidRDefault="00CC2959" w:rsidP="006E08B3">
          <w:r>
            <w:t>For submission made by individuals, all personal details, other than your name, will be removed from your submission before it is published on the TGA’s Internet site.</w:t>
          </w:r>
        </w:p>
        <w:p w14:paraId="6EAC6924" w14:textId="77777777" w:rsidR="00CC2959" w:rsidRDefault="00CC2959" w:rsidP="006E08B3"/>
        <w:p w14:paraId="674A80B0" w14:textId="77777777" w:rsidR="00CC2959" w:rsidRDefault="00CC2959" w:rsidP="006E08B3">
          <w:r>
            <w:t>In addition, a list of parties making submissions will be published. If you do not wish to be identified with your submission you must specifically request this in the space provided ib the submission coversheet.</w:t>
          </w:r>
        </w:p>
      </w:tc>
    </w:tr>
    <w:tr w:rsidR="00CC2959" w14:paraId="535A3D01" w14:textId="77777777" w:rsidTr="0010601F">
      <w:trPr>
        <w:trHeight w:val="417"/>
      </w:trPr>
      <w:tc>
        <w:tcPr>
          <w:tcW w:w="4519" w:type="dxa"/>
          <w:tcBorders>
            <w:top w:val="single" w:sz="4" w:space="0" w:color="auto"/>
          </w:tcBorders>
          <w:tcMar>
            <w:top w:w="142" w:type="dxa"/>
            <w:bottom w:w="0" w:type="dxa"/>
          </w:tcMar>
        </w:tcPr>
        <w:p w14:paraId="67F83545" w14:textId="77777777" w:rsidR="00CC2959" w:rsidRDefault="00CC2959" w:rsidP="006E08B3">
          <w:r>
            <w:t>Document title, Part #, Section # - Section title</w:t>
          </w:r>
        </w:p>
        <w:p w14:paraId="38207EF2" w14:textId="77777777" w:rsidR="00CC2959" w:rsidRDefault="00CC2959" w:rsidP="006E08B3">
          <w:r>
            <w:t>V1.0 October 2010</w:t>
          </w:r>
        </w:p>
      </w:tc>
      <w:tc>
        <w:tcPr>
          <w:tcW w:w="4356" w:type="dxa"/>
          <w:tcBorders>
            <w:top w:val="single" w:sz="4" w:space="0" w:color="auto"/>
          </w:tcBorders>
          <w:tcMar>
            <w:top w:w="142" w:type="dxa"/>
            <w:bottom w:w="0" w:type="dxa"/>
          </w:tcMar>
        </w:tcPr>
        <w:p w14:paraId="51B2CC73" w14:textId="2AF4B5EC" w:rsidR="00CC2959" w:rsidRDefault="00CC295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sidR="00B97EC8">
              <w:rPr>
                <w:noProof/>
              </w:rPr>
              <w:t>2</w:t>
            </w:r>
          </w:fldSimple>
          <w:r>
            <w:t xml:space="preserve">  </w:t>
          </w:r>
        </w:p>
      </w:tc>
    </w:tr>
  </w:tbl>
  <w:p w14:paraId="47E3386A" w14:textId="77777777" w:rsidR="00CC2959" w:rsidRDefault="00CC29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E468" w14:textId="77777777" w:rsidR="00CC2959" w:rsidRDefault="00CC2959" w:rsidP="00C40A36">
      <w:pPr>
        <w:spacing w:after="0"/>
      </w:pPr>
      <w:r>
        <w:separator/>
      </w:r>
    </w:p>
  </w:footnote>
  <w:footnote w:type="continuationSeparator" w:id="0">
    <w:p w14:paraId="58A4C77F" w14:textId="77777777" w:rsidR="00CC2959" w:rsidRDefault="00CC2959" w:rsidP="00C40A36">
      <w:pPr>
        <w:spacing w:after="0"/>
      </w:pPr>
      <w:r>
        <w:continuationSeparator/>
      </w:r>
    </w:p>
  </w:footnote>
  <w:footnote w:id="1">
    <w:p w14:paraId="640F023F" w14:textId="77777777" w:rsidR="00CC2959" w:rsidRDefault="00CC2959" w:rsidP="000D66F3">
      <w:pPr>
        <w:pStyle w:val="FootnoteText"/>
        <w:tabs>
          <w:tab w:val="left" w:pos="4536"/>
        </w:tabs>
        <w:ind w:left="284" w:hanging="284"/>
      </w:pPr>
      <w:r>
        <w:rPr>
          <w:rStyle w:val="FootnoteReference"/>
        </w:rPr>
        <w:footnoteRef/>
      </w:r>
      <w:r>
        <w:t xml:space="preserve"> Routine risk minimisation activities may be limited to ensuring that suitable warnings are included in the product information or by careful use of labelling and packaging.</w:t>
      </w:r>
    </w:p>
    <w:p w14:paraId="2ED621B9" w14:textId="77777777" w:rsidR="00CC2959" w:rsidRDefault="00CC2959" w:rsidP="000D66F3">
      <w:pPr>
        <w:pStyle w:val="FootnoteText"/>
        <w:tabs>
          <w:tab w:val="left" w:pos="4536"/>
        </w:tabs>
        <w:ind w:left="284" w:hanging="284"/>
      </w:pPr>
      <w:r>
        <w:t>Routine pharmacovigilance practices involve the following activities:</w:t>
      </w:r>
    </w:p>
    <w:p w14:paraId="67D89331" w14:textId="77777777" w:rsidR="00CC2959" w:rsidRDefault="00CC2959" w:rsidP="000D66F3">
      <w:pPr>
        <w:pStyle w:val="FootnoteText"/>
        <w:tabs>
          <w:tab w:val="left" w:pos="4536"/>
        </w:tabs>
        <w:ind w:left="284" w:hanging="284"/>
      </w:pPr>
      <w:r>
        <w:t>•</w:t>
      </w:r>
      <w:r>
        <w:tab/>
        <w:t>All suspected adverse reactions that are reported to the personnel of the company are collected and collated in an accessible manner;</w:t>
      </w:r>
    </w:p>
    <w:p w14:paraId="7A93A899" w14:textId="77777777" w:rsidR="00CC2959" w:rsidRDefault="00CC2959" w:rsidP="000D66F3">
      <w:pPr>
        <w:pStyle w:val="FootnoteText"/>
        <w:tabs>
          <w:tab w:val="left" w:pos="4536"/>
        </w:tabs>
        <w:ind w:left="284" w:hanging="284"/>
      </w:pPr>
      <w:r>
        <w:t>•</w:t>
      </w:r>
      <w:r>
        <w:tab/>
        <w:t>Reporting to regulatory authorities;</w:t>
      </w:r>
    </w:p>
    <w:p w14:paraId="0DB7E1B5" w14:textId="77777777" w:rsidR="00CC2959" w:rsidRDefault="00CC2959" w:rsidP="000D66F3">
      <w:pPr>
        <w:pStyle w:val="FootnoteText"/>
        <w:tabs>
          <w:tab w:val="left" w:pos="4536"/>
        </w:tabs>
        <w:ind w:left="284" w:hanging="284"/>
      </w:pPr>
      <w:r>
        <w:t>•</w:t>
      </w:r>
      <w:r>
        <w:tab/>
        <w:t>Continuous monitoring of the safety profiles of approved products including signal detection and updating of labeling;</w:t>
      </w:r>
    </w:p>
    <w:p w14:paraId="625A946D" w14:textId="77777777" w:rsidR="00CC2959" w:rsidRDefault="00CC2959" w:rsidP="000D66F3">
      <w:pPr>
        <w:pStyle w:val="FootnoteText"/>
        <w:tabs>
          <w:tab w:val="left" w:pos="4536"/>
        </w:tabs>
        <w:ind w:left="284" w:hanging="284"/>
      </w:pPr>
      <w:r>
        <w:t>•</w:t>
      </w:r>
      <w:r>
        <w:tab/>
        <w:t>Submission of PSURs;</w:t>
      </w:r>
    </w:p>
    <w:p w14:paraId="611A7B45" w14:textId="59492AD6" w:rsidR="00CC2959" w:rsidRPr="000D66F3" w:rsidRDefault="00CC2959" w:rsidP="000D66F3">
      <w:pPr>
        <w:pStyle w:val="FootnoteText"/>
        <w:tabs>
          <w:tab w:val="left" w:pos="4536"/>
        </w:tabs>
        <w:ind w:left="284" w:hanging="284"/>
        <w:rPr>
          <w:lang w:val="en-GB"/>
        </w:rPr>
      </w:pPr>
      <w:r>
        <w:tab/>
        <w:t>Meeting other local regulatory agency requirements.</w:t>
      </w:r>
    </w:p>
  </w:footnote>
  <w:footnote w:id="2">
    <w:p w14:paraId="5B5A5827" w14:textId="77777777" w:rsidR="00CC2959" w:rsidRDefault="00CC2959"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33F4ADAE" w14:textId="77777777" w:rsidR="00CC2959" w:rsidRPr="00456765" w:rsidRDefault="00CC2959"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8C06" w14:textId="77777777" w:rsidR="00FD21FA" w:rsidRDefault="00FD2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2AE9" w14:textId="77777777" w:rsidR="00CC2959" w:rsidRDefault="00CC2959"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CB0F3" w14:textId="77777777" w:rsidR="00CC2959" w:rsidRDefault="00CC2959">
    <w:pPr>
      <w:rPr>
        <w:noProof/>
        <w:lang w:eastAsia="en-AU"/>
      </w:rPr>
    </w:pPr>
    <w:r w:rsidRPr="00347824">
      <w:rPr>
        <w:noProof/>
        <w:lang w:eastAsia="en-AU"/>
      </w:rPr>
      <w:drawing>
        <wp:anchor distT="0" distB="0" distL="114300" distR="114300" simplePos="0" relativeHeight="251659264" behindDoc="1" locked="0" layoutInCell="1" allowOverlap="1" wp14:anchorId="392D42C7" wp14:editId="1867A60F">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3CD36AB" w14:textId="77777777" w:rsidR="00CC2959" w:rsidRDefault="00CC2959"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AEB5" w14:textId="77777777" w:rsidR="00CC2959" w:rsidRDefault="00CC29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67AF" w14:textId="77777777" w:rsidR="00CC2959" w:rsidRDefault="00CC2959">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BE86" w14:textId="77777777" w:rsidR="00CC2959" w:rsidRDefault="00CC2959">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8CD9" w14:textId="77777777" w:rsidR="00CC2959" w:rsidRDefault="00CC29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4CD0" w14:textId="77777777" w:rsidR="00CC2959" w:rsidRDefault="00CC2959"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7A113" w14:textId="77777777" w:rsidR="00CC2959" w:rsidRDefault="00CC2959" w:rsidP="006E08B3">
    <w:r>
      <w:t>Therapeutic Goods Administration</w:t>
    </w:r>
  </w:p>
  <w:p w14:paraId="4ECB24F3" w14:textId="77777777" w:rsidR="00CC2959" w:rsidRDefault="00CC2959"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1750D0C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5716EF0"/>
    <w:multiLevelType w:val="hybridMultilevel"/>
    <w:tmpl w:val="5D5E3D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68F13E9"/>
    <w:multiLevelType w:val="multilevel"/>
    <w:tmpl w:val="591E4604"/>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6"/>
  </w:num>
  <w:num w:numId="17">
    <w:abstractNumId w:val="6"/>
  </w:num>
  <w:num w:numId="18">
    <w:abstractNumId w:val="6"/>
  </w:num>
  <w:num w:numId="19">
    <w:abstractNumId w:val="7"/>
  </w:num>
  <w:num w:numId="20">
    <w:abstractNumId w:val="7"/>
  </w:num>
  <w:num w:numId="21">
    <w:abstractNumId w:val="7"/>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8"/>
  </w:num>
  <w:num w:numId="28">
    <w:abstractNumId w:val="9"/>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04"/>
    <w:rsid w:val="00002031"/>
    <w:rsid w:val="00004734"/>
    <w:rsid w:val="00006B22"/>
    <w:rsid w:val="00006DDA"/>
    <w:rsid w:val="0001276A"/>
    <w:rsid w:val="00014C8D"/>
    <w:rsid w:val="000246AE"/>
    <w:rsid w:val="00025C67"/>
    <w:rsid w:val="0003344A"/>
    <w:rsid w:val="00044772"/>
    <w:rsid w:val="0004541C"/>
    <w:rsid w:val="0005559E"/>
    <w:rsid w:val="000604D6"/>
    <w:rsid w:val="00062CAC"/>
    <w:rsid w:val="000734D8"/>
    <w:rsid w:val="00077775"/>
    <w:rsid w:val="00090471"/>
    <w:rsid w:val="00094B37"/>
    <w:rsid w:val="00096AA7"/>
    <w:rsid w:val="000A3AED"/>
    <w:rsid w:val="000B2636"/>
    <w:rsid w:val="000B3532"/>
    <w:rsid w:val="000B3A75"/>
    <w:rsid w:val="000B431C"/>
    <w:rsid w:val="000C00C2"/>
    <w:rsid w:val="000C690F"/>
    <w:rsid w:val="000D1295"/>
    <w:rsid w:val="000D1CA6"/>
    <w:rsid w:val="000D391B"/>
    <w:rsid w:val="000D3D6D"/>
    <w:rsid w:val="000D4FC7"/>
    <w:rsid w:val="000D66F3"/>
    <w:rsid w:val="000E6196"/>
    <w:rsid w:val="000F4869"/>
    <w:rsid w:val="000F5B42"/>
    <w:rsid w:val="000F6E6F"/>
    <w:rsid w:val="0010601F"/>
    <w:rsid w:val="0010788A"/>
    <w:rsid w:val="00107A31"/>
    <w:rsid w:val="00110EA5"/>
    <w:rsid w:val="00112F56"/>
    <w:rsid w:val="00121FBA"/>
    <w:rsid w:val="00124ACD"/>
    <w:rsid w:val="00125318"/>
    <w:rsid w:val="00126120"/>
    <w:rsid w:val="001305A2"/>
    <w:rsid w:val="00133238"/>
    <w:rsid w:val="00133A1B"/>
    <w:rsid w:val="0014197B"/>
    <w:rsid w:val="001447CD"/>
    <w:rsid w:val="001516B1"/>
    <w:rsid w:val="00154EBB"/>
    <w:rsid w:val="00156316"/>
    <w:rsid w:val="00161181"/>
    <w:rsid w:val="00162D14"/>
    <w:rsid w:val="00163780"/>
    <w:rsid w:val="00164EB6"/>
    <w:rsid w:val="00165389"/>
    <w:rsid w:val="0017693F"/>
    <w:rsid w:val="0018110E"/>
    <w:rsid w:val="00181684"/>
    <w:rsid w:val="001843C6"/>
    <w:rsid w:val="001850E0"/>
    <w:rsid w:val="00197046"/>
    <w:rsid w:val="001A03AF"/>
    <w:rsid w:val="001A2158"/>
    <w:rsid w:val="001A525F"/>
    <w:rsid w:val="001B09F9"/>
    <w:rsid w:val="001B5C90"/>
    <w:rsid w:val="001B6448"/>
    <w:rsid w:val="001C32CD"/>
    <w:rsid w:val="001D2984"/>
    <w:rsid w:val="001D4465"/>
    <w:rsid w:val="001E07CF"/>
    <w:rsid w:val="001E59F1"/>
    <w:rsid w:val="001F2CEE"/>
    <w:rsid w:val="001F3857"/>
    <w:rsid w:val="001F49EB"/>
    <w:rsid w:val="001F6CBA"/>
    <w:rsid w:val="00201D4E"/>
    <w:rsid w:val="002076C9"/>
    <w:rsid w:val="00220B8A"/>
    <w:rsid w:val="002257F3"/>
    <w:rsid w:val="00233456"/>
    <w:rsid w:val="002339A5"/>
    <w:rsid w:val="00257848"/>
    <w:rsid w:val="0026248F"/>
    <w:rsid w:val="0027084A"/>
    <w:rsid w:val="00280265"/>
    <w:rsid w:val="00286434"/>
    <w:rsid w:val="00286C59"/>
    <w:rsid w:val="00291957"/>
    <w:rsid w:val="002942D1"/>
    <w:rsid w:val="0029501A"/>
    <w:rsid w:val="002A3721"/>
    <w:rsid w:val="002B1638"/>
    <w:rsid w:val="002B3624"/>
    <w:rsid w:val="002D0952"/>
    <w:rsid w:val="002E40B3"/>
    <w:rsid w:val="002E4C9A"/>
    <w:rsid w:val="002E6E71"/>
    <w:rsid w:val="002F11F8"/>
    <w:rsid w:val="002F3F56"/>
    <w:rsid w:val="002F44B5"/>
    <w:rsid w:val="002F5122"/>
    <w:rsid w:val="00311AC0"/>
    <w:rsid w:val="003176FC"/>
    <w:rsid w:val="0032583B"/>
    <w:rsid w:val="00327883"/>
    <w:rsid w:val="00335504"/>
    <w:rsid w:val="00340C18"/>
    <w:rsid w:val="003442FD"/>
    <w:rsid w:val="00345E18"/>
    <w:rsid w:val="00347824"/>
    <w:rsid w:val="00347E75"/>
    <w:rsid w:val="00350567"/>
    <w:rsid w:val="003521E8"/>
    <w:rsid w:val="00370CE3"/>
    <w:rsid w:val="003728F3"/>
    <w:rsid w:val="003735BC"/>
    <w:rsid w:val="0037496E"/>
    <w:rsid w:val="0038169E"/>
    <w:rsid w:val="00383221"/>
    <w:rsid w:val="00386150"/>
    <w:rsid w:val="003874CE"/>
    <w:rsid w:val="00390900"/>
    <w:rsid w:val="003A340A"/>
    <w:rsid w:val="003A7F6C"/>
    <w:rsid w:val="003B4D60"/>
    <w:rsid w:val="003B7E39"/>
    <w:rsid w:val="003C58DC"/>
    <w:rsid w:val="003D1E62"/>
    <w:rsid w:val="003D5D55"/>
    <w:rsid w:val="003E0B99"/>
    <w:rsid w:val="003E2486"/>
    <w:rsid w:val="003E3208"/>
    <w:rsid w:val="003F0B04"/>
    <w:rsid w:val="0040134E"/>
    <w:rsid w:val="004334C7"/>
    <w:rsid w:val="00437DD7"/>
    <w:rsid w:val="00440A2D"/>
    <w:rsid w:val="00441C3F"/>
    <w:rsid w:val="00444D1A"/>
    <w:rsid w:val="0045186A"/>
    <w:rsid w:val="00455C04"/>
    <w:rsid w:val="004564A7"/>
    <w:rsid w:val="00456765"/>
    <w:rsid w:val="004617BF"/>
    <w:rsid w:val="00463658"/>
    <w:rsid w:val="004637A0"/>
    <w:rsid w:val="0046412C"/>
    <w:rsid w:val="004722CC"/>
    <w:rsid w:val="00490483"/>
    <w:rsid w:val="004936E4"/>
    <w:rsid w:val="00494E60"/>
    <w:rsid w:val="00497487"/>
    <w:rsid w:val="004A06C7"/>
    <w:rsid w:val="004A2771"/>
    <w:rsid w:val="004A6189"/>
    <w:rsid w:val="004A7390"/>
    <w:rsid w:val="004B44AA"/>
    <w:rsid w:val="004B7B76"/>
    <w:rsid w:val="004C239D"/>
    <w:rsid w:val="004C2DCA"/>
    <w:rsid w:val="004C58C4"/>
    <w:rsid w:val="004C61D2"/>
    <w:rsid w:val="004E046F"/>
    <w:rsid w:val="004E2F9C"/>
    <w:rsid w:val="004F0C4A"/>
    <w:rsid w:val="004F0F38"/>
    <w:rsid w:val="004F47D6"/>
    <w:rsid w:val="00500337"/>
    <w:rsid w:val="00501921"/>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3E9A"/>
    <w:rsid w:val="005C5570"/>
    <w:rsid w:val="005C79A4"/>
    <w:rsid w:val="005D5442"/>
    <w:rsid w:val="005F3741"/>
    <w:rsid w:val="00603F32"/>
    <w:rsid w:val="00605AD4"/>
    <w:rsid w:val="006136D7"/>
    <w:rsid w:val="00625A6E"/>
    <w:rsid w:val="00632398"/>
    <w:rsid w:val="00640405"/>
    <w:rsid w:val="00640FC3"/>
    <w:rsid w:val="006412E7"/>
    <w:rsid w:val="00642020"/>
    <w:rsid w:val="006430EE"/>
    <w:rsid w:val="0065337B"/>
    <w:rsid w:val="0065419D"/>
    <w:rsid w:val="006603BC"/>
    <w:rsid w:val="006604D8"/>
    <w:rsid w:val="0066462F"/>
    <w:rsid w:val="00664A5B"/>
    <w:rsid w:val="0066735C"/>
    <w:rsid w:val="006763D2"/>
    <w:rsid w:val="00680C08"/>
    <w:rsid w:val="006916A0"/>
    <w:rsid w:val="006931B1"/>
    <w:rsid w:val="006A15C0"/>
    <w:rsid w:val="006A58A8"/>
    <w:rsid w:val="006C3E2A"/>
    <w:rsid w:val="006C642F"/>
    <w:rsid w:val="006D03E5"/>
    <w:rsid w:val="006D5D3E"/>
    <w:rsid w:val="006E08B3"/>
    <w:rsid w:val="006F17AC"/>
    <w:rsid w:val="006F25B8"/>
    <w:rsid w:val="006F572E"/>
    <w:rsid w:val="007046D6"/>
    <w:rsid w:val="00705DB0"/>
    <w:rsid w:val="00722B57"/>
    <w:rsid w:val="0073061D"/>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86616"/>
    <w:rsid w:val="00793A59"/>
    <w:rsid w:val="007A46F5"/>
    <w:rsid w:val="007A6505"/>
    <w:rsid w:val="007B6132"/>
    <w:rsid w:val="007B6E9F"/>
    <w:rsid w:val="007C1216"/>
    <w:rsid w:val="007C1AF7"/>
    <w:rsid w:val="007C6B9B"/>
    <w:rsid w:val="007E4E8A"/>
    <w:rsid w:val="007F5471"/>
    <w:rsid w:val="00805D27"/>
    <w:rsid w:val="00806DCB"/>
    <w:rsid w:val="00821776"/>
    <w:rsid w:val="008321F5"/>
    <w:rsid w:val="00832369"/>
    <w:rsid w:val="00834660"/>
    <w:rsid w:val="00836BC2"/>
    <w:rsid w:val="0085156D"/>
    <w:rsid w:val="00852B28"/>
    <w:rsid w:val="0085641B"/>
    <w:rsid w:val="00857136"/>
    <w:rsid w:val="00875A6B"/>
    <w:rsid w:val="0087721D"/>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C7EA5"/>
    <w:rsid w:val="008E7846"/>
    <w:rsid w:val="008F02E5"/>
    <w:rsid w:val="008F1CCC"/>
    <w:rsid w:val="008F2967"/>
    <w:rsid w:val="008F6943"/>
    <w:rsid w:val="00902A21"/>
    <w:rsid w:val="0091523F"/>
    <w:rsid w:val="00920330"/>
    <w:rsid w:val="009219D7"/>
    <w:rsid w:val="00922D53"/>
    <w:rsid w:val="00923B70"/>
    <w:rsid w:val="00924482"/>
    <w:rsid w:val="00930237"/>
    <w:rsid w:val="00937C17"/>
    <w:rsid w:val="00940A89"/>
    <w:rsid w:val="00941F77"/>
    <w:rsid w:val="00945DDA"/>
    <w:rsid w:val="00946EA5"/>
    <w:rsid w:val="00963C08"/>
    <w:rsid w:val="00964ED9"/>
    <w:rsid w:val="0096696D"/>
    <w:rsid w:val="009708B0"/>
    <w:rsid w:val="009739B2"/>
    <w:rsid w:val="009752A5"/>
    <w:rsid w:val="0098585A"/>
    <w:rsid w:val="009A4CED"/>
    <w:rsid w:val="009A690D"/>
    <w:rsid w:val="009B1D12"/>
    <w:rsid w:val="009B416B"/>
    <w:rsid w:val="009C4BD5"/>
    <w:rsid w:val="009D7B77"/>
    <w:rsid w:val="009E0BB0"/>
    <w:rsid w:val="009E3FBB"/>
    <w:rsid w:val="009F7353"/>
    <w:rsid w:val="00A04F85"/>
    <w:rsid w:val="00A05FA4"/>
    <w:rsid w:val="00A102E4"/>
    <w:rsid w:val="00A1219C"/>
    <w:rsid w:val="00A12C42"/>
    <w:rsid w:val="00A13173"/>
    <w:rsid w:val="00A14DF7"/>
    <w:rsid w:val="00A22D57"/>
    <w:rsid w:val="00A3246D"/>
    <w:rsid w:val="00A36FA7"/>
    <w:rsid w:val="00A44DDB"/>
    <w:rsid w:val="00A475B7"/>
    <w:rsid w:val="00A47AF7"/>
    <w:rsid w:val="00A47C3E"/>
    <w:rsid w:val="00A50226"/>
    <w:rsid w:val="00A5096E"/>
    <w:rsid w:val="00A50A8A"/>
    <w:rsid w:val="00A60BAD"/>
    <w:rsid w:val="00A77F87"/>
    <w:rsid w:val="00A80B5B"/>
    <w:rsid w:val="00A84E36"/>
    <w:rsid w:val="00A964D1"/>
    <w:rsid w:val="00AA0ED0"/>
    <w:rsid w:val="00AA35E0"/>
    <w:rsid w:val="00AC2B40"/>
    <w:rsid w:val="00AC2BB2"/>
    <w:rsid w:val="00AC2C3C"/>
    <w:rsid w:val="00AC512D"/>
    <w:rsid w:val="00AD0083"/>
    <w:rsid w:val="00AD3935"/>
    <w:rsid w:val="00AD501C"/>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67F39"/>
    <w:rsid w:val="00B76B91"/>
    <w:rsid w:val="00B77EB1"/>
    <w:rsid w:val="00B811C6"/>
    <w:rsid w:val="00B855B0"/>
    <w:rsid w:val="00B92E08"/>
    <w:rsid w:val="00B97EC8"/>
    <w:rsid w:val="00BC622A"/>
    <w:rsid w:val="00BE0A78"/>
    <w:rsid w:val="00BE2CC1"/>
    <w:rsid w:val="00BE79F0"/>
    <w:rsid w:val="00BF046D"/>
    <w:rsid w:val="00BF1190"/>
    <w:rsid w:val="00BF3774"/>
    <w:rsid w:val="00BF5D04"/>
    <w:rsid w:val="00C009AA"/>
    <w:rsid w:val="00C1164D"/>
    <w:rsid w:val="00C16861"/>
    <w:rsid w:val="00C17131"/>
    <w:rsid w:val="00C346AB"/>
    <w:rsid w:val="00C404A6"/>
    <w:rsid w:val="00C40A36"/>
    <w:rsid w:val="00C44419"/>
    <w:rsid w:val="00C45E7B"/>
    <w:rsid w:val="00C471B1"/>
    <w:rsid w:val="00C52E24"/>
    <w:rsid w:val="00C61CD6"/>
    <w:rsid w:val="00C6316B"/>
    <w:rsid w:val="00C634A9"/>
    <w:rsid w:val="00C64586"/>
    <w:rsid w:val="00C7035E"/>
    <w:rsid w:val="00C70D53"/>
    <w:rsid w:val="00C73D0B"/>
    <w:rsid w:val="00C772FF"/>
    <w:rsid w:val="00C776FD"/>
    <w:rsid w:val="00C80137"/>
    <w:rsid w:val="00C801AF"/>
    <w:rsid w:val="00C80256"/>
    <w:rsid w:val="00C94CD4"/>
    <w:rsid w:val="00C9747E"/>
    <w:rsid w:val="00CB6BC0"/>
    <w:rsid w:val="00CC1B7C"/>
    <w:rsid w:val="00CC2959"/>
    <w:rsid w:val="00CC3439"/>
    <w:rsid w:val="00CC380F"/>
    <w:rsid w:val="00CC3D9F"/>
    <w:rsid w:val="00CC727F"/>
    <w:rsid w:val="00CF15C3"/>
    <w:rsid w:val="00CF2B6F"/>
    <w:rsid w:val="00CF2F3E"/>
    <w:rsid w:val="00CF58B6"/>
    <w:rsid w:val="00D0062D"/>
    <w:rsid w:val="00D017ED"/>
    <w:rsid w:val="00D040D3"/>
    <w:rsid w:val="00D04C65"/>
    <w:rsid w:val="00D127B3"/>
    <w:rsid w:val="00D153D8"/>
    <w:rsid w:val="00D201D2"/>
    <w:rsid w:val="00D224FE"/>
    <w:rsid w:val="00D23139"/>
    <w:rsid w:val="00D425BB"/>
    <w:rsid w:val="00D453FA"/>
    <w:rsid w:val="00D533F0"/>
    <w:rsid w:val="00D6493E"/>
    <w:rsid w:val="00D7195D"/>
    <w:rsid w:val="00D7301E"/>
    <w:rsid w:val="00D83AE1"/>
    <w:rsid w:val="00D855D4"/>
    <w:rsid w:val="00D902C9"/>
    <w:rsid w:val="00D93466"/>
    <w:rsid w:val="00DA1124"/>
    <w:rsid w:val="00DA64CB"/>
    <w:rsid w:val="00DB06B8"/>
    <w:rsid w:val="00DB6124"/>
    <w:rsid w:val="00DB750B"/>
    <w:rsid w:val="00DB75B7"/>
    <w:rsid w:val="00DB7B5C"/>
    <w:rsid w:val="00DC0A2F"/>
    <w:rsid w:val="00DC1948"/>
    <w:rsid w:val="00DC49C0"/>
    <w:rsid w:val="00DC6E02"/>
    <w:rsid w:val="00DD28CD"/>
    <w:rsid w:val="00DE02AE"/>
    <w:rsid w:val="00DE39D1"/>
    <w:rsid w:val="00DF1D7F"/>
    <w:rsid w:val="00DF4BE4"/>
    <w:rsid w:val="00E02382"/>
    <w:rsid w:val="00E02FB4"/>
    <w:rsid w:val="00E13FC7"/>
    <w:rsid w:val="00E20571"/>
    <w:rsid w:val="00E235F7"/>
    <w:rsid w:val="00E23659"/>
    <w:rsid w:val="00E239D4"/>
    <w:rsid w:val="00E26130"/>
    <w:rsid w:val="00E40B22"/>
    <w:rsid w:val="00E43D7F"/>
    <w:rsid w:val="00E44ED1"/>
    <w:rsid w:val="00E45619"/>
    <w:rsid w:val="00E4588F"/>
    <w:rsid w:val="00E46DA3"/>
    <w:rsid w:val="00E51BB1"/>
    <w:rsid w:val="00E55CB0"/>
    <w:rsid w:val="00E5666E"/>
    <w:rsid w:val="00E574AD"/>
    <w:rsid w:val="00E60AA5"/>
    <w:rsid w:val="00E624A5"/>
    <w:rsid w:val="00E64BA4"/>
    <w:rsid w:val="00E70D40"/>
    <w:rsid w:val="00E71904"/>
    <w:rsid w:val="00E7344E"/>
    <w:rsid w:val="00E82665"/>
    <w:rsid w:val="00E93E97"/>
    <w:rsid w:val="00E952E0"/>
    <w:rsid w:val="00E97800"/>
    <w:rsid w:val="00EB0798"/>
    <w:rsid w:val="00EB40AD"/>
    <w:rsid w:val="00EB586E"/>
    <w:rsid w:val="00EB5FC8"/>
    <w:rsid w:val="00EC463D"/>
    <w:rsid w:val="00EC7A85"/>
    <w:rsid w:val="00ED197A"/>
    <w:rsid w:val="00ED2922"/>
    <w:rsid w:val="00ED3CAD"/>
    <w:rsid w:val="00ED44D4"/>
    <w:rsid w:val="00ED5A41"/>
    <w:rsid w:val="00EE1DE8"/>
    <w:rsid w:val="00EE27C2"/>
    <w:rsid w:val="00EF368C"/>
    <w:rsid w:val="00EF4BAD"/>
    <w:rsid w:val="00EF59DC"/>
    <w:rsid w:val="00F033EC"/>
    <w:rsid w:val="00F04F68"/>
    <w:rsid w:val="00F12670"/>
    <w:rsid w:val="00F14B27"/>
    <w:rsid w:val="00F20423"/>
    <w:rsid w:val="00F3148D"/>
    <w:rsid w:val="00F325C5"/>
    <w:rsid w:val="00F32FE0"/>
    <w:rsid w:val="00F35298"/>
    <w:rsid w:val="00F47333"/>
    <w:rsid w:val="00F47E37"/>
    <w:rsid w:val="00F52C0E"/>
    <w:rsid w:val="00F53C07"/>
    <w:rsid w:val="00F54B65"/>
    <w:rsid w:val="00F640B6"/>
    <w:rsid w:val="00F66DF2"/>
    <w:rsid w:val="00F80E40"/>
    <w:rsid w:val="00F8473F"/>
    <w:rsid w:val="00F848D9"/>
    <w:rsid w:val="00FA5069"/>
    <w:rsid w:val="00FA506A"/>
    <w:rsid w:val="00FA5B82"/>
    <w:rsid w:val="00FA639E"/>
    <w:rsid w:val="00FC1FCA"/>
    <w:rsid w:val="00FC25E4"/>
    <w:rsid w:val="00FC4EF7"/>
    <w:rsid w:val="00FD0824"/>
    <w:rsid w:val="00FD119B"/>
    <w:rsid w:val="00FD1EDC"/>
    <w:rsid w:val="00FD21FA"/>
    <w:rsid w:val="00FE1DEE"/>
    <w:rsid w:val="00FE64D0"/>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EA59F46"/>
  <w15:docId w15:val="{D270367B-EB13-4BD0-AAE9-7979FF63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197A"/>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FE64D0"/>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table" w:customStyle="1" w:styleId="TableTGAblue1">
    <w:name w:val="Table TGA blue1"/>
    <w:basedOn w:val="TableNormal"/>
    <w:uiPriority w:val="99"/>
    <w:qFormat/>
    <w:rsid w:val="00E71904"/>
    <w:pPr>
      <w:spacing w:after="0" w:line="240" w:lineRule="auto"/>
      <w:ind w:left="170" w:right="170"/>
    </w:pPr>
    <w:rPr>
      <w:rFonts w:ascii="Cambria" w:eastAsia="Calibri" w:hAnsi="Cambria" w:cs="Times New Roman"/>
      <w:color w:val="000000"/>
      <w:szCs w:val="21"/>
      <w:lang w:eastAsia="en-AU"/>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customStyle="1" w:styleId="Standard">
    <w:name w:val="Standard"/>
    <w:basedOn w:val="Normal"/>
    <w:link w:val="StandardChar"/>
    <w:qFormat/>
    <w:rsid w:val="00964ED9"/>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964ED9"/>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964ED9"/>
    <w:pPr>
      <w:numPr>
        <w:numId w:val="29"/>
      </w:numPr>
      <w:spacing w:after="180"/>
    </w:pPr>
    <w:rPr>
      <w:kern w:val="2"/>
    </w:rPr>
  </w:style>
  <w:style w:type="character" w:customStyle="1" w:styleId="TabletextChar">
    <w:name w:val="Table text Char"/>
    <w:basedOn w:val="StandardChar"/>
    <w:link w:val="Tabletext"/>
    <w:rsid w:val="00964ED9"/>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964ED9"/>
    <w:rPr>
      <w:rFonts w:ascii="Cambria" w:eastAsia="Times New Roman" w:hAnsi="Cambria" w:cs="Times New Roman"/>
      <w:snapToGrid w:val="0"/>
      <w:kern w:val="2"/>
      <w:sz w:val="23"/>
      <w:szCs w:val="24"/>
    </w:rPr>
  </w:style>
  <w:style w:type="paragraph" w:styleId="ListParagraph">
    <w:name w:val="List Paragraph"/>
    <w:basedOn w:val="Normal"/>
    <w:uiPriority w:val="34"/>
    <w:rsid w:val="00EF368C"/>
    <w:pPr>
      <w:ind w:left="720"/>
      <w:contextualSpacing/>
    </w:pPr>
  </w:style>
  <w:style w:type="table" w:customStyle="1" w:styleId="TableGrid1">
    <w:name w:val="Table Grid1"/>
    <w:basedOn w:val="TableNormal"/>
    <w:next w:val="TableGrid"/>
    <w:rsid w:val="00ED44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4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0">
    <w:name w:val="CM10"/>
    <w:basedOn w:val="Default"/>
    <w:next w:val="Default"/>
    <w:uiPriority w:val="99"/>
    <w:rsid w:val="00ED44D4"/>
    <w:pPr>
      <w:spacing w:line="283" w:lineRule="atLeast"/>
    </w:pPr>
    <w:rPr>
      <w:color w:val="auto"/>
    </w:rPr>
  </w:style>
  <w:style w:type="paragraph" w:customStyle="1" w:styleId="CM29">
    <w:name w:val="CM29"/>
    <w:basedOn w:val="Default"/>
    <w:next w:val="Default"/>
    <w:uiPriority w:val="99"/>
    <w:rsid w:val="00ED44D4"/>
    <w:rPr>
      <w:color w:val="auto"/>
    </w:rPr>
  </w:style>
  <w:style w:type="paragraph" w:customStyle="1" w:styleId="CM27">
    <w:name w:val="CM27"/>
    <w:basedOn w:val="Default"/>
    <w:next w:val="Default"/>
    <w:uiPriority w:val="99"/>
    <w:rsid w:val="00E70D40"/>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251">
      <w:bodyDiv w:val="1"/>
      <w:marLeft w:val="0"/>
      <w:marRight w:val="0"/>
      <w:marTop w:val="0"/>
      <w:marBottom w:val="0"/>
      <w:divBdr>
        <w:top w:val="none" w:sz="0" w:space="0" w:color="auto"/>
        <w:left w:val="none" w:sz="0" w:space="0" w:color="auto"/>
        <w:bottom w:val="none" w:sz="0" w:space="0" w:color="auto"/>
        <w:right w:val="none" w:sz="0" w:space="0" w:color="auto"/>
      </w:divBdr>
    </w:div>
    <w:div w:id="17262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microsoft.com/office/2007/relationships/hdphoto" Target="media/hdphoto1.wdp"/><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yperlink" Target="https://www.tga.gov.au"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9964\D19-5975235%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56B37-8AF8-4449-A785-2431B213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D19-5975235  AusPAR - template - streamlined</Template>
  <TotalTime>24</TotalTime>
  <Pages>20</Pages>
  <Words>5396</Words>
  <Characters>30059</Characters>
  <Application>Microsoft Office Word</Application>
  <DocSecurity>0</DocSecurity>
  <Lines>834</Lines>
  <Paragraphs>529</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Polatuzumab vedotin</dc:title>
  <dc:subject>prescription medicines</dc:subject>
  <dc:creator>Therapeutic Goods Administration</dc:creator>
  <cp:keywords>AusPARs</cp:keywords>
  <cp:lastPrinted>2019-08-14T04:30:00Z</cp:lastPrinted>
  <dcterms:created xsi:type="dcterms:W3CDTF">2020-01-02T00:48:00Z</dcterms:created>
  <dcterms:modified xsi:type="dcterms:W3CDTF">2020-01-02T01:12:00Z</dcterms:modified>
  <cp:category/>
</cp:coreProperties>
</file>