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D8277" w14:textId="748498E5" w:rsidR="009050DA" w:rsidRDefault="009050DA" w:rsidP="009050DA">
      <w:pPr>
        <w:tabs>
          <w:tab w:val="left" w:pos="284"/>
        </w:tabs>
        <w:spacing w:after="480"/>
        <w:rPr>
          <w:rFonts w:asciiTheme="majorHAnsi" w:hAnsiTheme="majorHAnsi"/>
        </w:rPr>
      </w:pPr>
      <w:r>
        <w:rPr>
          <w:noProof/>
          <w:lang w:eastAsia="en-AU"/>
        </w:rPr>
        <mc:AlternateContent>
          <mc:Choice Requires="wps">
            <w:drawing>
              <wp:inline distT="0" distB="0" distL="0" distR="0" wp14:anchorId="3112F50F" wp14:editId="3F501485">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3DEF" w14:textId="77777777" w:rsidR="008E534D" w:rsidRPr="00BE2A26" w:rsidRDefault="008E534D" w:rsidP="009050DA">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112F50F"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3i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rn&#10;GCnSAUX3fPDoRg8oD9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CSp3eJ0AgAA/gQAAA4AAAAAAAAAAAAA&#10;AAAALgIAAGRycy9lMm9Eb2MueG1sUEsBAi0AFAAGAAgAAAAhAGP1TgzZAAAAAwEAAA8AAAAAAAAA&#10;AAAAAAAAzgQAAGRycy9kb3ducmV2LnhtbFBLBQYAAAAABAAEAPMAAADUBQAAAAA=&#10;" stroked="f">
                <v:textbox inset="0,0,0,0">
                  <w:txbxContent>
                    <w:p w14:paraId="38213DEF" w14:textId="77777777" w:rsidR="008E534D" w:rsidRPr="00BE2A26" w:rsidRDefault="008E534D" w:rsidP="009050DA">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2" w:history="1">
        <w:r>
          <w:rPr>
            <w:rStyle w:val="Hyperlink"/>
            <w:rFonts w:asciiTheme="majorHAnsi" w:hAnsiTheme="majorHAnsi"/>
          </w:rPr>
          <w:t>https://www.tga.gov.au/reporting-problems</w:t>
        </w:r>
      </w:hyperlink>
      <w:r w:rsidRPr="00375DF3">
        <w:rPr>
          <w:rFonts w:asciiTheme="majorHAnsi" w:hAnsiTheme="majorHAnsi"/>
        </w:rPr>
        <w:t>.</w:t>
      </w:r>
    </w:p>
    <w:p w14:paraId="41C3ED95" w14:textId="77777777" w:rsidR="009D6C63" w:rsidRPr="009D6C63" w:rsidRDefault="009D6C63" w:rsidP="009D6C63">
      <w:pPr>
        <w:rPr>
          <w:b/>
          <w:sz w:val="26"/>
          <w:szCs w:val="26"/>
        </w:rPr>
      </w:pPr>
      <w:r w:rsidRPr="009D6C63">
        <w:rPr>
          <w:b/>
          <w:sz w:val="26"/>
          <w:szCs w:val="26"/>
        </w:rPr>
        <w:t>AUSTRALIAN PRODUCT INFORMATION – POLIVY (polatuzumab vedotin)</w:t>
      </w:r>
    </w:p>
    <w:p w14:paraId="35150932" w14:textId="32A7ADF9" w:rsidR="008F6CF6" w:rsidRPr="0066646B" w:rsidRDefault="008F6CF6" w:rsidP="00CD75CF">
      <w:pPr>
        <w:pStyle w:val="Heading1"/>
        <w:rPr>
          <w:rFonts w:hint="eastAsia"/>
        </w:rPr>
      </w:pPr>
      <w:r w:rsidRPr="0066646B">
        <w:t>1</w:t>
      </w:r>
      <w:r w:rsidRPr="0066646B">
        <w:tab/>
        <w:t>NAME OF THE MEDICINE</w:t>
      </w:r>
    </w:p>
    <w:p w14:paraId="2B0C00C7" w14:textId="35CA19FB" w:rsidR="00A359FD" w:rsidRPr="00391600" w:rsidRDefault="00C20650" w:rsidP="00CD75CF">
      <w:pPr>
        <w:rPr>
          <w:lang w:val="it-IT"/>
        </w:rPr>
      </w:pPr>
      <w:r w:rsidRPr="00391600">
        <w:rPr>
          <w:lang w:val="it-IT"/>
        </w:rPr>
        <w:t>Polatuzumab vedotin</w:t>
      </w:r>
    </w:p>
    <w:p w14:paraId="030E9657" w14:textId="77777777" w:rsidR="008F6CF6" w:rsidRPr="00391600" w:rsidRDefault="008F6CF6" w:rsidP="00CD75CF">
      <w:pPr>
        <w:pStyle w:val="Heading1"/>
        <w:rPr>
          <w:rFonts w:hint="eastAsia"/>
          <w:lang w:val="it-IT"/>
        </w:rPr>
      </w:pPr>
      <w:r w:rsidRPr="00391600">
        <w:rPr>
          <w:lang w:val="it-IT"/>
        </w:rPr>
        <w:t>2</w:t>
      </w:r>
      <w:r w:rsidRPr="00391600">
        <w:rPr>
          <w:lang w:val="it-IT"/>
        </w:rPr>
        <w:tab/>
        <w:t>QUALITATIVE AND QUANTITATIVE COMPOSITION</w:t>
      </w:r>
    </w:p>
    <w:p w14:paraId="1EA702DD" w14:textId="77AB80AF" w:rsidR="00F90BF8" w:rsidRPr="0066646B" w:rsidRDefault="00F90BF8" w:rsidP="00CD75CF">
      <w:r w:rsidRPr="0066646B">
        <w:t xml:space="preserve">Each vial </w:t>
      </w:r>
      <w:r w:rsidR="00832FB2">
        <w:t>is designed to</w:t>
      </w:r>
      <w:r w:rsidR="0095259B">
        <w:t xml:space="preserve"> deliver</w:t>
      </w:r>
      <w:r w:rsidR="0095259B" w:rsidRPr="0066646B">
        <w:t xml:space="preserve"> </w:t>
      </w:r>
      <w:r w:rsidRPr="0066646B">
        <w:t xml:space="preserve">a total of </w:t>
      </w:r>
      <w:r w:rsidR="00C20650">
        <w:t>140 mg of</w:t>
      </w:r>
      <w:r w:rsidR="0095259B">
        <w:t xml:space="preserve"> polatuzumab vedotin</w:t>
      </w:r>
      <w:r w:rsidRPr="0066646B">
        <w:t xml:space="preserve">. </w:t>
      </w:r>
    </w:p>
    <w:p w14:paraId="338A6745" w14:textId="77777777" w:rsidR="00822EEB" w:rsidRPr="0066646B" w:rsidRDefault="00822EEB" w:rsidP="00CD75CF"/>
    <w:p w14:paraId="1DC923B4" w14:textId="40FE24E5" w:rsidR="00854E2E" w:rsidRPr="0066646B" w:rsidRDefault="00A21B69" w:rsidP="00854E2E">
      <w:r w:rsidRPr="00A21B69">
        <w:rPr>
          <w:lang w:val="en-US"/>
        </w:rPr>
        <w:t>Polatuzumab vedotin is a CD79b-targeted antibody-drug conjugate that preferentially binds with high affinity and selectivity to CD79b</w:t>
      </w:r>
      <w:r w:rsidR="00854E2E">
        <w:rPr>
          <w:lang w:val="en-US"/>
        </w:rPr>
        <w:t xml:space="preserve">, </w:t>
      </w:r>
      <w:r w:rsidR="00854E2E" w:rsidRPr="00854E2E">
        <w:rPr>
          <w:lang w:val="en-US"/>
        </w:rPr>
        <w:t>a cell surface component of the B-cell receptor.</w:t>
      </w:r>
    </w:p>
    <w:p w14:paraId="04B30480" w14:textId="77777777" w:rsidR="008B0DB6" w:rsidRPr="0066646B" w:rsidRDefault="008B0DB6" w:rsidP="00CD75CF"/>
    <w:p w14:paraId="07CED672" w14:textId="77777777" w:rsidR="008B0DB6" w:rsidRPr="0066646B" w:rsidRDefault="008B0DB6" w:rsidP="008B0DB6">
      <w:r w:rsidRPr="0066646B">
        <w:rPr>
          <w:szCs w:val="24"/>
        </w:rPr>
        <w:t>For the full list of excipients, see section 6.1.</w:t>
      </w:r>
    </w:p>
    <w:p w14:paraId="62D80866" w14:textId="77777777" w:rsidR="00F90BF8" w:rsidRPr="0066646B" w:rsidRDefault="008F6CF6" w:rsidP="00CD75CF">
      <w:pPr>
        <w:pStyle w:val="Heading1"/>
        <w:rPr>
          <w:rFonts w:hint="eastAsia"/>
        </w:rPr>
      </w:pPr>
      <w:r w:rsidRPr="0066646B">
        <w:t>3</w:t>
      </w:r>
      <w:r w:rsidRPr="0066646B">
        <w:tab/>
        <w:t>PHARMACEUTICAL FORM</w:t>
      </w:r>
      <w:r w:rsidR="00F90BF8" w:rsidRPr="0066646B">
        <w:t xml:space="preserve"> </w:t>
      </w:r>
    </w:p>
    <w:p w14:paraId="61AA2C8B" w14:textId="4C7C8C58" w:rsidR="008F6CF6" w:rsidRDefault="00854E2E" w:rsidP="00CD75CF">
      <w:pPr>
        <w:rPr>
          <w:lang w:val="en-US"/>
        </w:rPr>
      </w:pPr>
      <w:r w:rsidRPr="00854E2E">
        <w:rPr>
          <w:lang w:val="en-US"/>
        </w:rPr>
        <w:t>Powder for concentrate for solution for infusion</w:t>
      </w:r>
      <w:r>
        <w:rPr>
          <w:lang w:val="en-US"/>
        </w:rPr>
        <w:t>.</w:t>
      </w:r>
    </w:p>
    <w:p w14:paraId="1F01CC4F" w14:textId="77777777" w:rsidR="00854E2E" w:rsidRDefault="00854E2E" w:rsidP="00CD75CF">
      <w:pPr>
        <w:rPr>
          <w:lang w:val="en-US"/>
        </w:rPr>
      </w:pPr>
    </w:p>
    <w:p w14:paraId="6120F817" w14:textId="35059776" w:rsidR="00854E2E" w:rsidRPr="0095259B" w:rsidRDefault="00EE6F17" w:rsidP="00CD75CF">
      <w:r>
        <w:rPr>
          <w:lang w:val="en-US"/>
        </w:rPr>
        <w:t>POLIVY</w:t>
      </w:r>
      <w:r w:rsidR="00854E2E" w:rsidRPr="00854E2E">
        <w:rPr>
          <w:lang w:val="en-US"/>
        </w:rPr>
        <w:t xml:space="preserve"> is a preservative-free white t</w:t>
      </w:r>
      <w:r w:rsidR="00F21E1E">
        <w:rPr>
          <w:lang w:val="en-US"/>
        </w:rPr>
        <w:t>o grayish-white lyophilized powder</w:t>
      </w:r>
      <w:r w:rsidR="00854E2E" w:rsidRPr="00854E2E">
        <w:rPr>
          <w:lang w:val="en-US"/>
        </w:rPr>
        <w:t xml:space="preserve"> supplied in single-dose 20 mL vials that deliver 140 mg of polatuzumab vedotin. Upon reconstitution </w:t>
      </w:r>
      <w:r>
        <w:rPr>
          <w:lang w:val="en-US"/>
        </w:rPr>
        <w:t>POLIVY</w:t>
      </w:r>
      <w:r w:rsidR="00854E2E" w:rsidRPr="00854E2E">
        <w:rPr>
          <w:lang w:val="en-US"/>
        </w:rPr>
        <w:t xml:space="preserve"> concentrate contains 20 mg/mL of polatuzumab vedotin for intravenous infusion</w:t>
      </w:r>
      <w:r w:rsidR="0095259B">
        <w:rPr>
          <w:lang w:val="en-US"/>
        </w:rPr>
        <w:t xml:space="preserve"> (refer to section </w:t>
      </w:r>
      <w:r w:rsidR="0095259B" w:rsidRPr="00B6359B">
        <w:rPr>
          <w:i/>
          <w:lang w:val="en-US"/>
        </w:rPr>
        <w:t xml:space="preserve">4.2 </w:t>
      </w:r>
      <w:r w:rsidR="0095259B">
        <w:rPr>
          <w:i/>
          <w:lang w:val="en-US"/>
        </w:rPr>
        <w:t>Dose and method of administration, Method of administration)</w:t>
      </w:r>
      <w:r w:rsidR="0095259B">
        <w:rPr>
          <w:lang w:val="en-US"/>
        </w:rPr>
        <w:t>.</w:t>
      </w:r>
    </w:p>
    <w:p w14:paraId="587BBF64" w14:textId="77777777" w:rsidR="008F6CF6" w:rsidRPr="0066646B" w:rsidRDefault="008F6CF6" w:rsidP="00CD75CF">
      <w:pPr>
        <w:pStyle w:val="Heading1"/>
        <w:rPr>
          <w:rFonts w:hint="eastAsia"/>
        </w:rPr>
      </w:pPr>
      <w:r w:rsidRPr="0066646B">
        <w:t>4</w:t>
      </w:r>
      <w:r w:rsidRPr="0066646B">
        <w:tab/>
        <w:t>CLINICAL PARTICULARS</w:t>
      </w:r>
    </w:p>
    <w:p w14:paraId="1E6A4994" w14:textId="1C8A5621" w:rsidR="008F6CF6" w:rsidRPr="0066646B" w:rsidRDefault="008F6CF6" w:rsidP="00CD75CF">
      <w:pPr>
        <w:pStyle w:val="Heading2"/>
        <w:rPr>
          <w:rFonts w:hint="eastAsia"/>
          <w:lang w:val="en-GB"/>
        </w:rPr>
      </w:pPr>
      <w:r w:rsidRPr="0066646B">
        <w:rPr>
          <w:lang w:val="en-GB"/>
        </w:rPr>
        <w:t>4.1</w:t>
      </w:r>
      <w:r w:rsidR="00B6359B">
        <w:rPr>
          <w:lang w:val="en-GB"/>
        </w:rPr>
        <w:tab/>
        <w:t>THERAPEUTIC INDICATIONS</w:t>
      </w:r>
      <w:r w:rsidR="008B0DB6" w:rsidRPr="0066646B">
        <w:rPr>
          <w:lang w:val="en-GB"/>
        </w:rPr>
        <w:t xml:space="preserve"> </w:t>
      </w:r>
    </w:p>
    <w:p w14:paraId="20B20F1C" w14:textId="32905000" w:rsidR="00D152BB" w:rsidRPr="0066646B" w:rsidRDefault="00EE6F17" w:rsidP="00854E2E">
      <w:pPr>
        <w:rPr>
          <w:lang w:val="en-GB"/>
        </w:rPr>
      </w:pPr>
      <w:r>
        <w:t>POLIVY</w:t>
      </w:r>
      <w:r w:rsidR="00854E2E">
        <w:t xml:space="preserve"> in combination with bendamustine and rituximab is indicated for the treatment of previously treated adult patients with diffuse large B-cell lymphoma who are not candidates for hematopoietic stem cell transplant.</w:t>
      </w:r>
    </w:p>
    <w:p w14:paraId="6E957BF8" w14:textId="2E834218" w:rsidR="008F6CF6" w:rsidRPr="0066646B" w:rsidRDefault="008F6CF6" w:rsidP="00CD75CF">
      <w:pPr>
        <w:pStyle w:val="Heading2"/>
        <w:rPr>
          <w:rFonts w:hint="eastAsia"/>
        </w:rPr>
      </w:pPr>
      <w:r w:rsidRPr="0066646B">
        <w:t>4.2</w:t>
      </w:r>
      <w:r w:rsidRPr="0066646B">
        <w:tab/>
      </w:r>
      <w:r w:rsidR="00B6359B">
        <w:t>DOSE AND METHOD OF ADMINISTRATION</w:t>
      </w:r>
      <w:r w:rsidR="008B0DB6" w:rsidRPr="0066646B">
        <w:t xml:space="preserve"> </w:t>
      </w:r>
    </w:p>
    <w:p w14:paraId="274B7281" w14:textId="77777777" w:rsidR="00FE7BB5" w:rsidRPr="0066646B" w:rsidRDefault="00FE7BB5" w:rsidP="00CD75CF">
      <w:pPr>
        <w:pStyle w:val="Heading3"/>
      </w:pPr>
      <w:r w:rsidRPr="0066646B">
        <w:t xml:space="preserve">General </w:t>
      </w:r>
    </w:p>
    <w:p w14:paraId="7054A4F8" w14:textId="6611DF14" w:rsidR="00B6359B" w:rsidRDefault="00B6359B" w:rsidP="00B6359B">
      <w:pPr>
        <w:rPr>
          <w:lang w:val="en-US"/>
        </w:rPr>
      </w:pPr>
      <w:r w:rsidRPr="00B6359B">
        <w:rPr>
          <w:lang w:val="en-US"/>
        </w:rPr>
        <w:t>Substitution by any other biological medicinal product requires the consent of the prescribing physician.</w:t>
      </w:r>
    </w:p>
    <w:p w14:paraId="56A7FC9F" w14:textId="77777777" w:rsidR="00B6359B" w:rsidRPr="00B6359B" w:rsidRDefault="00B6359B" w:rsidP="00B6359B">
      <w:pPr>
        <w:rPr>
          <w:lang w:val="en-US"/>
        </w:rPr>
      </w:pPr>
    </w:p>
    <w:p w14:paraId="7A49B84C" w14:textId="4583ADBE" w:rsidR="00B6359B" w:rsidRDefault="00B6359B" w:rsidP="00B6359B">
      <w:pPr>
        <w:rPr>
          <w:lang w:val="en-US"/>
        </w:rPr>
      </w:pPr>
      <w:r w:rsidRPr="00B6359B">
        <w:rPr>
          <w:lang w:val="en-US"/>
        </w:rPr>
        <w:t xml:space="preserve">In order to prevent medication errors, it is important to check the vial labels to ensure that the drug being prepared and administered is </w:t>
      </w:r>
      <w:r w:rsidR="00EE6F17">
        <w:rPr>
          <w:lang w:val="en-US"/>
        </w:rPr>
        <w:t>POLIVY</w:t>
      </w:r>
      <w:r w:rsidRPr="00B6359B">
        <w:rPr>
          <w:lang w:val="en-US"/>
        </w:rPr>
        <w:t>.</w:t>
      </w:r>
    </w:p>
    <w:p w14:paraId="68D1ED91" w14:textId="77777777" w:rsidR="00B6359B" w:rsidRPr="00B6359B" w:rsidRDefault="00B6359B" w:rsidP="00B6359B">
      <w:pPr>
        <w:rPr>
          <w:lang w:val="en-US"/>
        </w:rPr>
      </w:pPr>
    </w:p>
    <w:p w14:paraId="793045B3" w14:textId="7A36466B" w:rsidR="00B6359B" w:rsidRDefault="00EE6F17" w:rsidP="00B6359B">
      <w:pPr>
        <w:rPr>
          <w:lang w:val="en-US"/>
        </w:rPr>
      </w:pPr>
      <w:r>
        <w:rPr>
          <w:lang w:val="en-US"/>
        </w:rPr>
        <w:t>POLIVY</w:t>
      </w:r>
      <w:r w:rsidR="00B6359B" w:rsidRPr="00B6359B">
        <w:rPr>
          <w:lang w:val="en-US"/>
        </w:rPr>
        <w:t xml:space="preserve"> therapy should only be administered under the supervision of a healthcare professional experienced in the treatment of cancer patients.</w:t>
      </w:r>
    </w:p>
    <w:p w14:paraId="0D607229" w14:textId="77777777" w:rsidR="00B6359B" w:rsidRPr="00B6359B" w:rsidRDefault="00B6359B" w:rsidP="00B6359B">
      <w:pPr>
        <w:rPr>
          <w:lang w:val="en-US"/>
        </w:rPr>
      </w:pPr>
    </w:p>
    <w:p w14:paraId="4BEEDB3D" w14:textId="03A76C61" w:rsidR="00B6359B" w:rsidRDefault="00EE6F17" w:rsidP="00B6359B">
      <w:pPr>
        <w:rPr>
          <w:lang w:val="en-US"/>
        </w:rPr>
      </w:pPr>
      <w:r>
        <w:rPr>
          <w:lang w:val="en-US"/>
        </w:rPr>
        <w:lastRenderedPageBreak/>
        <w:t>POLIVY</w:t>
      </w:r>
      <w:r w:rsidR="00B6359B" w:rsidRPr="00B6359B">
        <w:rPr>
          <w:lang w:val="en-US"/>
        </w:rPr>
        <w:t xml:space="preserve"> must be reconstituted and diluted using aseptic technique</w:t>
      </w:r>
      <w:r w:rsidR="00F21E1E">
        <w:rPr>
          <w:lang w:val="en-US"/>
        </w:rPr>
        <w:t>s</w:t>
      </w:r>
      <w:r w:rsidR="00B6359B" w:rsidRPr="00B6359B">
        <w:rPr>
          <w:lang w:val="en-US"/>
        </w:rPr>
        <w:t xml:space="preserve"> under the supervision of a healthcare professional.  </w:t>
      </w:r>
      <w:r>
        <w:rPr>
          <w:lang w:val="en-US"/>
        </w:rPr>
        <w:t>POLIVY</w:t>
      </w:r>
      <w:r w:rsidR="00B6359B" w:rsidRPr="00B6359B">
        <w:rPr>
          <w:lang w:val="en-US"/>
        </w:rPr>
        <w:t xml:space="preserve"> should be administered as an intravenous infusion through a dedicated infusion line equipped with a sterile, non-pyrogenic, low-protein binding in-line or add-on filter (0.2 or 0.22 </w:t>
      </w:r>
      <w:r w:rsidR="00B6359B" w:rsidRPr="00B6359B">
        <w:rPr>
          <w:lang w:val="en-US"/>
        </w:rPr>
        <w:sym w:font="Symbol" w:char="F06D"/>
      </w:r>
      <w:r w:rsidR="00B6359B" w:rsidRPr="00B6359B">
        <w:rPr>
          <w:lang w:val="en-US"/>
        </w:rPr>
        <w:t>m pore size) and catheter (see</w:t>
      </w:r>
      <w:r w:rsidR="00B6359B" w:rsidRPr="00B6359B">
        <w:rPr>
          <w:i/>
          <w:lang w:val="en-US"/>
        </w:rPr>
        <w:t xml:space="preserve"> 4.2 </w:t>
      </w:r>
      <w:r w:rsidR="00AD1633">
        <w:rPr>
          <w:i/>
          <w:lang w:val="en-US"/>
        </w:rPr>
        <w:t>Dose and method of administration, Method of administration</w:t>
      </w:r>
      <w:r w:rsidR="00B6359B" w:rsidRPr="00B6359B">
        <w:rPr>
          <w:lang w:val="en-US"/>
        </w:rPr>
        <w:t>).</w:t>
      </w:r>
      <w:r w:rsidR="00B6359B" w:rsidRPr="00B6359B">
        <w:rPr>
          <w:i/>
          <w:lang w:val="en-US"/>
        </w:rPr>
        <w:t xml:space="preserve"> </w:t>
      </w:r>
      <w:r w:rsidR="00B6359B" w:rsidRPr="00B6359B">
        <w:rPr>
          <w:lang w:val="en-US"/>
        </w:rPr>
        <w:t>Do not administer as an IV push or bolus.</w:t>
      </w:r>
    </w:p>
    <w:p w14:paraId="4EE6E3BF" w14:textId="77777777" w:rsidR="00B6359B" w:rsidRPr="00B6359B" w:rsidRDefault="00B6359B" w:rsidP="00B6359B">
      <w:pPr>
        <w:rPr>
          <w:lang w:val="en-US"/>
        </w:rPr>
      </w:pPr>
    </w:p>
    <w:p w14:paraId="4102513F" w14:textId="563836AA" w:rsidR="00FE7BB5" w:rsidRPr="0066646B" w:rsidRDefault="00B6359B" w:rsidP="00B6359B">
      <w:r w:rsidRPr="00B6359B">
        <w:rPr>
          <w:lang w:val="en-US"/>
        </w:rPr>
        <w:t>For information on rituximab or bendamustine, refer to their respective full prescribi</w:t>
      </w:r>
      <w:r w:rsidR="005C4C62">
        <w:rPr>
          <w:lang w:val="en-US"/>
        </w:rPr>
        <w:t>ng information. Refer to Table 1</w:t>
      </w:r>
      <w:r w:rsidRPr="00B6359B">
        <w:rPr>
          <w:lang w:val="en-US"/>
        </w:rPr>
        <w:t xml:space="preserve"> for dose modification recommendations for neutropenia and thrombocytopenia</w:t>
      </w:r>
      <w:r w:rsidR="005C4C62">
        <w:rPr>
          <w:lang w:val="en-US"/>
        </w:rPr>
        <w:t>.</w:t>
      </w:r>
    </w:p>
    <w:p w14:paraId="0DD532E4" w14:textId="62D97485" w:rsidR="00D65E03" w:rsidRDefault="00D65E03" w:rsidP="00CD75CF">
      <w:pPr>
        <w:pStyle w:val="Heading3"/>
      </w:pPr>
      <w:r w:rsidRPr="0066646B">
        <w:t>Dose</w:t>
      </w:r>
    </w:p>
    <w:p w14:paraId="4B57F645" w14:textId="23D6BB3A" w:rsidR="00B6359B" w:rsidRDefault="00B6359B" w:rsidP="00B6359B">
      <w:pPr>
        <w:rPr>
          <w:lang w:val="en-US"/>
        </w:rPr>
      </w:pPr>
      <w:r w:rsidRPr="00B6359B">
        <w:rPr>
          <w:lang w:val="en-US"/>
        </w:rPr>
        <w:t xml:space="preserve">The recommended dose of </w:t>
      </w:r>
      <w:r w:rsidR="00EE6F17">
        <w:rPr>
          <w:lang w:val="en-US"/>
        </w:rPr>
        <w:t>POLIVY</w:t>
      </w:r>
      <w:r w:rsidRPr="00B6359B">
        <w:rPr>
          <w:lang w:val="en-US"/>
        </w:rPr>
        <w:t xml:space="preserve"> is 1.8 mg/kg given as an intravenous infusion every 21 days in combination with bendamustine and rituximab for 6 cycles. </w:t>
      </w:r>
      <w:r w:rsidR="00EE6F17">
        <w:rPr>
          <w:lang w:val="en-US"/>
        </w:rPr>
        <w:t>POLIVY</w:t>
      </w:r>
      <w:r w:rsidRPr="00B6359B">
        <w:rPr>
          <w:lang w:val="en-US"/>
        </w:rPr>
        <w:t>, bendamustine, and rituximab can be administered in any order on Day 1 of each cycle. The recommended dose of bendamustine is 90 mg/m</w:t>
      </w:r>
      <w:r w:rsidRPr="00B6359B">
        <w:rPr>
          <w:vertAlign w:val="superscript"/>
          <w:lang w:val="en-US"/>
        </w:rPr>
        <w:t>2</w:t>
      </w:r>
      <w:r w:rsidRPr="00B6359B">
        <w:rPr>
          <w:lang w:val="en-US"/>
        </w:rPr>
        <w:t xml:space="preserve">/day on Day 1 and 2 when administered with </w:t>
      </w:r>
      <w:r w:rsidR="00EE6F17">
        <w:rPr>
          <w:lang w:val="en-US"/>
        </w:rPr>
        <w:t>POLIVY</w:t>
      </w:r>
      <w:r w:rsidRPr="00B6359B">
        <w:rPr>
          <w:lang w:val="en-US"/>
        </w:rPr>
        <w:t xml:space="preserve"> and rituximab</w:t>
      </w:r>
      <w:r>
        <w:rPr>
          <w:lang w:val="en-US"/>
        </w:rPr>
        <w:t>.</w:t>
      </w:r>
    </w:p>
    <w:p w14:paraId="28B642E7" w14:textId="422D3897" w:rsidR="00B6359B" w:rsidRDefault="00B6359B" w:rsidP="00B6359B"/>
    <w:p w14:paraId="5BE0D01C" w14:textId="56B66F44" w:rsidR="00B6359B" w:rsidRPr="00B6359B" w:rsidRDefault="00B6359B" w:rsidP="00B6359B">
      <w:r w:rsidRPr="00B6359B">
        <w:rPr>
          <w:lang w:val="en-US"/>
        </w:rPr>
        <w:t xml:space="preserve">If not already premedicated, administer premedication with an antihistamine and anti-pyretic to patients prior to administration of </w:t>
      </w:r>
      <w:r w:rsidR="00EE6F17">
        <w:rPr>
          <w:lang w:val="en-US"/>
        </w:rPr>
        <w:t>POLIVY</w:t>
      </w:r>
      <w:r w:rsidRPr="00B6359B">
        <w:rPr>
          <w:lang w:val="en-US"/>
        </w:rPr>
        <w:t xml:space="preserve">. The initial dose of </w:t>
      </w:r>
      <w:r w:rsidR="00EE6F17">
        <w:rPr>
          <w:lang w:val="en-US"/>
        </w:rPr>
        <w:t>POLIVY</w:t>
      </w:r>
      <w:r w:rsidRPr="00B6359B">
        <w:rPr>
          <w:lang w:val="en-US"/>
        </w:rPr>
        <w:t xml:space="preserve"> should be administered as a 90-minute intravenous infusion. Patients should be monitored for infusion-related reactions during the infusion and for at least 90 minutes following completion of the initial dose. If the prior infusion was well tolerated, the subsequent dose of </w:t>
      </w:r>
      <w:r w:rsidR="00EE6F17">
        <w:rPr>
          <w:lang w:val="en-US"/>
        </w:rPr>
        <w:t>POLIVY</w:t>
      </w:r>
      <w:r w:rsidRPr="00B6359B">
        <w:rPr>
          <w:lang w:val="en-US"/>
        </w:rPr>
        <w:t xml:space="preserve"> may be administered as a 30-minute infusion and patients should be monitored during the infusion and for at least 30 minutes after completion of the infusion.</w:t>
      </w:r>
    </w:p>
    <w:p w14:paraId="10F3A5BF" w14:textId="77777777" w:rsidR="00FE7BB5" w:rsidRPr="0066646B" w:rsidRDefault="00FE7BB5" w:rsidP="00CD75CF">
      <w:pPr>
        <w:pStyle w:val="Heading3"/>
      </w:pPr>
      <w:r w:rsidRPr="0066646B">
        <w:t>Duration of Treatment</w:t>
      </w:r>
    </w:p>
    <w:p w14:paraId="6E2A4B47" w14:textId="02886B24" w:rsidR="00FE7BB5" w:rsidRPr="0066646B" w:rsidRDefault="00B6359B" w:rsidP="00CD75CF">
      <w:r>
        <w:t>The recommended duration of treatment is for 6 cycles</w:t>
      </w:r>
      <w:r w:rsidR="003025F1">
        <w:t>.</w:t>
      </w:r>
    </w:p>
    <w:p w14:paraId="6796DA27" w14:textId="580D8734" w:rsidR="00FE7BB5" w:rsidRDefault="00FE7BB5" w:rsidP="00CD75CF">
      <w:pPr>
        <w:pStyle w:val="Heading3"/>
      </w:pPr>
      <w:r w:rsidRPr="0066646B">
        <w:t>Delayed or Missed Doses</w:t>
      </w:r>
    </w:p>
    <w:p w14:paraId="1A08ABC3" w14:textId="2FD76E8D" w:rsidR="00B6359B" w:rsidRPr="00B6359B" w:rsidRDefault="00B6359B" w:rsidP="00B6359B">
      <w:r w:rsidRPr="00B6359B">
        <w:t xml:space="preserve">If a planned dose of </w:t>
      </w:r>
      <w:r w:rsidR="00EE6F17">
        <w:t>POLIVY</w:t>
      </w:r>
      <w:r w:rsidRPr="00B6359B">
        <w:t xml:space="preserve"> is missed, it should be administered as soon as possible and the schedule of administration should be adjusted to maintain a 21-day interval between doses</w:t>
      </w:r>
      <w:r w:rsidR="003025F1">
        <w:t>.</w:t>
      </w:r>
    </w:p>
    <w:p w14:paraId="13B21ADD" w14:textId="2444A583" w:rsidR="00FE7BB5" w:rsidRPr="0066646B" w:rsidRDefault="00FE7BB5" w:rsidP="00CD75CF">
      <w:pPr>
        <w:pStyle w:val="Heading3"/>
      </w:pPr>
      <w:r w:rsidRPr="0066646B">
        <w:t xml:space="preserve">Dose Modifications </w:t>
      </w:r>
    </w:p>
    <w:p w14:paraId="32BD548C" w14:textId="30218331" w:rsidR="00FE7BB5" w:rsidRDefault="00B6359B" w:rsidP="00B6359B">
      <w:r w:rsidRPr="00B6359B">
        <w:t xml:space="preserve">The infusion rate of </w:t>
      </w:r>
      <w:r w:rsidR="00EE6F17">
        <w:t>POLIVY</w:t>
      </w:r>
      <w:r w:rsidRPr="00B6359B">
        <w:t xml:space="preserve"> should be slowed or interrupted if the patient develops an infusion-related reaction. Discontinue </w:t>
      </w:r>
      <w:r w:rsidR="00EE6F17">
        <w:t>POLIVY</w:t>
      </w:r>
      <w:r w:rsidRPr="00B6359B">
        <w:t xml:space="preserve"> immediately and permanently if the patient experiences a life-threatening reaction</w:t>
      </w:r>
      <w:r>
        <w:t>.</w:t>
      </w:r>
    </w:p>
    <w:p w14:paraId="246DB985" w14:textId="336EC129" w:rsidR="00B6359B" w:rsidRDefault="00B6359B" w:rsidP="00B6359B"/>
    <w:p w14:paraId="14353736" w14:textId="4990A888" w:rsidR="00B6359B" w:rsidRDefault="00B6359B" w:rsidP="00B6359B">
      <w:pPr>
        <w:rPr>
          <w:lang w:val="en-US"/>
        </w:rPr>
      </w:pPr>
      <w:r w:rsidRPr="00B6359B">
        <w:rPr>
          <w:lang w:val="en-US"/>
        </w:rPr>
        <w:t>For dose modifications for peripheral neuropathy see Table 1.</w:t>
      </w:r>
    </w:p>
    <w:p w14:paraId="3C480C82" w14:textId="77777777" w:rsidR="00B6359B" w:rsidRPr="00B6359B" w:rsidRDefault="00B6359B" w:rsidP="000107B3">
      <w:pPr>
        <w:jc w:val="left"/>
        <w:rPr>
          <w:lang w:val="en-US"/>
        </w:rPr>
      </w:pPr>
    </w:p>
    <w:p w14:paraId="5893C2DF" w14:textId="10B2C559" w:rsidR="00B6359B" w:rsidRDefault="002B3CE5" w:rsidP="000107B3">
      <w:pPr>
        <w:pStyle w:val="Heading2"/>
        <w:rPr>
          <w:rFonts w:hint="eastAsia"/>
          <w:lang w:val="en-US"/>
        </w:rPr>
      </w:pPr>
      <w:r>
        <w:rPr>
          <w:lang w:val="en-US"/>
        </w:rPr>
        <w:t xml:space="preserve">Table 1 </w:t>
      </w:r>
      <w:r w:rsidR="00EE6F17">
        <w:rPr>
          <w:lang w:val="en-US"/>
        </w:rPr>
        <w:t>POLIVY</w:t>
      </w:r>
      <w:r w:rsidR="00B6359B" w:rsidRPr="00B6359B">
        <w:rPr>
          <w:lang w:val="en-US"/>
        </w:rPr>
        <w:t xml:space="preserve"> dose modifications for Peripheral Neuropathy</w:t>
      </w:r>
      <w:r w:rsidR="001E7497" w:rsidRPr="001E7497">
        <w:rPr>
          <w:lang w:val="en-US"/>
        </w:rPr>
        <w:t>, Infusion-related reactions and Myelosuppression.</w:t>
      </w:r>
      <w:r w:rsidR="00B6359B" w:rsidRPr="00B6359B">
        <w:rPr>
          <w:lang w:val="en-US"/>
        </w:rPr>
        <w:t xml:space="preserve">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6952"/>
      </w:tblGrid>
      <w:tr w:rsidR="00B6359B" w:rsidRPr="00B6359B" w14:paraId="5BC96159" w14:textId="77777777" w:rsidTr="00F03CC1">
        <w:tc>
          <w:tcPr>
            <w:tcW w:w="2043" w:type="dxa"/>
            <w:shd w:val="clear" w:color="auto" w:fill="auto"/>
          </w:tcPr>
          <w:p w14:paraId="37A7BDF4" w14:textId="77777777" w:rsidR="00B6359B" w:rsidRPr="00B6359B" w:rsidRDefault="00B6359B" w:rsidP="000107B3">
            <w:pPr>
              <w:jc w:val="left"/>
              <w:rPr>
                <w:lang w:val="en-US"/>
              </w:rPr>
            </w:pPr>
            <w:r w:rsidRPr="00B6359B">
              <w:rPr>
                <w:lang w:val="en-US"/>
              </w:rPr>
              <w:t>Severity on Day 1 of any cycle</w:t>
            </w:r>
          </w:p>
        </w:tc>
        <w:tc>
          <w:tcPr>
            <w:tcW w:w="6952" w:type="dxa"/>
            <w:shd w:val="clear" w:color="auto" w:fill="auto"/>
          </w:tcPr>
          <w:p w14:paraId="392F046B" w14:textId="77777777" w:rsidR="00B6359B" w:rsidRPr="00B6359B" w:rsidRDefault="00B6359B" w:rsidP="000107B3">
            <w:pPr>
              <w:jc w:val="left"/>
              <w:rPr>
                <w:lang w:val="en-US"/>
              </w:rPr>
            </w:pPr>
            <w:r w:rsidRPr="00B6359B">
              <w:rPr>
                <w:lang w:val="en-US"/>
              </w:rPr>
              <w:t>Dose modification</w:t>
            </w:r>
          </w:p>
        </w:tc>
      </w:tr>
      <w:tr w:rsidR="00B6359B" w:rsidRPr="00B6359B" w14:paraId="6F8DC9BB" w14:textId="77777777" w:rsidTr="00F03CC1">
        <w:trPr>
          <w:trHeight w:val="2303"/>
        </w:trPr>
        <w:tc>
          <w:tcPr>
            <w:tcW w:w="2043" w:type="dxa"/>
            <w:shd w:val="clear" w:color="auto" w:fill="auto"/>
          </w:tcPr>
          <w:p w14:paraId="57A8836C" w14:textId="6198338F" w:rsidR="00B6359B" w:rsidRPr="00B6359B" w:rsidRDefault="00B6359B" w:rsidP="000107B3">
            <w:pPr>
              <w:jc w:val="left"/>
              <w:rPr>
                <w:lang w:val="en-US"/>
              </w:rPr>
            </w:pPr>
            <w:r w:rsidRPr="00B6359B">
              <w:rPr>
                <w:lang w:val="en-US"/>
              </w:rPr>
              <w:lastRenderedPageBreak/>
              <w:t xml:space="preserve">Grade 2-3 </w:t>
            </w:r>
            <w:r w:rsidR="001E7497" w:rsidRPr="001E7497">
              <w:rPr>
                <w:lang w:val="en-US"/>
              </w:rPr>
              <w:t>Peripheral Neuropathy</w:t>
            </w:r>
          </w:p>
        </w:tc>
        <w:tc>
          <w:tcPr>
            <w:tcW w:w="6952" w:type="dxa"/>
            <w:shd w:val="clear" w:color="auto" w:fill="auto"/>
          </w:tcPr>
          <w:p w14:paraId="76C6BC3E" w14:textId="354992F1" w:rsidR="00B6359B" w:rsidRDefault="00B6359B" w:rsidP="000107B3">
            <w:pPr>
              <w:jc w:val="left"/>
              <w:rPr>
                <w:lang w:val="en-US"/>
              </w:rPr>
            </w:pPr>
            <w:r w:rsidRPr="00B6359B">
              <w:rPr>
                <w:lang w:val="en-US"/>
              </w:rPr>
              <w:t xml:space="preserve">Hold </w:t>
            </w:r>
            <w:r w:rsidR="00EE6F17">
              <w:rPr>
                <w:lang w:val="en-US"/>
              </w:rPr>
              <w:t>POLIVY</w:t>
            </w:r>
            <w:r w:rsidRPr="00B6359B">
              <w:rPr>
                <w:lang w:val="en-US"/>
              </w:rPr>
              <w:t xml:space="preserve"> dosing until improvement to ≤ Grade 1. </w:t>
            </w:r>
          </w:p>
          <w:p w14:paraId="1BA88C56" w14:textId="77777777" w:rsidR="000026AD" w:rsidRPr="00B6359B" w:rsidRDefault="000026AD" w:rsidP="000107B3">
            <w:pPr>
              <w:jc w:val="left"/>
              <w:rPr>
                <w:lang w:val="en-US"/>
              </w:rPr>
            </w:pPr>
          </w:p>
          <w:p w14:paraId="413099F3" w14:textId="6296F673" w:rsidR="00B6359B" w:rsidRDefault="00B6359B" w:rsidP="000107B3">
            <w:pPr>
              <w:jc w:val="left"/>
              <w:rPr>
                <w:lang w:val="en-US"/>
              </w:rPr>
            </w:pPr>
            <w:r w:rsidRPr="00B6359B">
              <w:rPr>
                <w:lang w:val="en-US"/>
              </w:rPr>
              <w:t xml:space="preserve">If recovered to Grade ≤1 on or before Day 14, restart </w:t>
            </w:r>
            <w:r w:rsidR="00EE6F17">
              <w:rPr>
                <w:lang w:val="en-US"/>
              </w:rPr>
              <w:t>POLIVY</w:t>
            </w:r>
            <w:r w:rsidRPr="00B6359B">
              <w:rPr>
                <w:lang w:val="en-US"/>
              </w:rPr>
              <w:t xml:space="preserve"> at a permanently reduced dose of 1.4 mg/kg. </w:t>
            </w:r>
          </w:p>
          <w:p w14:paraId="7AEC67F9" w14:textId="77777777" w:rsidR="000026AD" w:rsidRPr="00B6359B" w:rsidRDefault="000026AD" w:rsidP="000107B3">
            <w:pPr>
              <w:jc w:val="left"/>
              <w:rPr>
                <w:lang w:val="en-US"/>
              </w:rPr>
            </w:pPr>
          </w:p>
          <w:p w14:paraId="008EC9D6" w14:textId="54797DE1" w:rsidR="00B6359B" w:rsidRDefault="00B6359B" w:rsidP="000107B3">
            <w:pPr>
              <w:jc w:val="left"/>
              <w:rPr>
                <w:lang w:val="en-US"/>
              </w:rPr>
            </w:pPr>
            <w:r w:rsidRPr="00B6359B">
              <w:rPr>
                <w:lang w:val="en-US"/>
              </w:rPr>
              <w:t xml:space="preserve">If a prior dose reduction to 1.4 mg/kg has occurred, discontinue </w:t>
            </w:r>
            <w:r w:rsidR="00EE6F17">
              <w:rPr>
                <w:lang w:val="en-US"/>
              </w:rPr>
              <w:t>POLIVY</w:t>
            </w:r>
            <w:r w:rsidRPr="00B6359B">
              <w:rPr>
                <w:lang w:val="en-US"/>
              </w:rPr>
              <w:t>.</w:t>
            </w:r>
          </w:p>
          <w:p w14:paraId="5CBA2084" w14:textId="77777777" w:rsidR="000026AD" w:rsidRPr="00B6359B" w:rsidRDefault="000026AD" w:rsidP="000107B3">
            <w:pPr>
              <w:jc w:val="left"/>
              <w:rPr>
                <w:lang w:val="en-US"/>
              </w:rPr>
            </w:pPr>
          </w:p>
          <w:p w14:paraId="00E1BFF5" w14:textId="53DF145A" w:rsidR="00B6359B" w:rsidRPr="00B6359B" w:rsidRDefault="00B6359B" w:rsidP="000107B3">
            <w:pPr>
              <w:jc w:val="left"/>
              <w:rPr>
                <w:lang w:val="en-US"/>
              </w:rPr>
            </w:pPr>
            <w:r w:rsidRPr="00B6359B">
              <w:rPr>
                <w:lang w:val="en-US"/>
              </w:rPr>
              <w:t xml:space="preserve">If not recovered to Grade ≤1 on or before Day 14, discontinue </w:t>
            </w:r>
            <w:r w:rsidR="00EE6F17">
              <w:rPr>
                <w:lang w:val="en-US"/>
              </w:rPr>
              <w:t>POLIVY</w:t>
            </w:r>
            <w:r w:rsidRPr="00B6359B">
              <w:rPr>
                <w:lang w:val="en-US"/>
              </w:rPr>
              <w:t>.</w:t>
            </w:r>
          </w:p>
        </w:tc>
      </w:tr>
      <w:tr w:rsidR="00B6359B" w:rsidRPr="00B6359B" w14:paraId="63BE0297" w14:textId="77777777" w:rsidTr="00F03CC1">
        <w:tc>
          <w:tcPr>
            <w:tcW w:w="2043" w:type="dxa"/>
            <w:shd w:val="clear" w:color="auto" w:fill="auto"/>
          </w:tcPr>
          <w:p w14:paraId="2D810B53" w14:textId="04FEE858" w:rsidR="00B6359B" w:rsidRPr="00B6359B" w:rsidRDefault="00B6359B" w:rsidP="000107B3">
            <w:pPr>
              <w:jc w:val="left"/>
              <w:rPr>
                <w:lang w:val="en-US"/>
              </w:rPr>
            </w:pPr>
            <w:r w:rsidRPr="00B6359B">
              <w:rPr>
                <w:lang w:val="en-US"/>
              </w:rPr>
              <w:t>Grade 4</w:t>
            </w:r>
            <w:r w:rsidR="00AF4BC2">
              <w:rPr>
                <w:lang w:val="en-US"/>
              </w:rPr>
              <w:t xml:space="preserve"> </w:t>
            </w:r>
            <w:r w:rsidR="00AF4BC2" w:rsidRPr="00AF4BC2">
              <w:rPr>
                <w:lang w:val="en-US"/>
              </w:rPr>
              <w:t>Peripheral Neuropathy</w:t>
            </w:r>
          </w:p>
        </w:tc>
        <w:tc>
          <w:tcPr>
            <w:tcW w:w="6952" w:type="dxa"/>
            <w:shd w:val="clear" w:color="auto" w:fill="auto"/>
          </w:tcPr>
          <w:p w14:paraId="4A9C282C" w14:textId="301CA4F3" w:rsidR="00B6359B" w:rsidRPr="00B6359B" w:rsidRDefault="00B6359B" w:rsidP="000107B3">
            <w:pPr>
              <w:jc w:val="left"/>
              <w:rPr>
                <w:lang w:val="en-US"/>
              </w:rPr>
            </w:pPr>
            <w:r w:rsidRPr="00B6359B">
              <w:rPr>
                <w:lang w:val="en-US"/>
              </w:rPr>
              <w:t xml:space="preserve">Discontinue </w:t>
            </w:r>
            <w:r w:rsidR="00EE6F17">
              <w:rPr>
                <w:lang w:val="en-US"/>
              </w:rPr>
              <w:t>POLIVY</w:t>
            </w:r>
            <w:r w:rsidRPr="00B6359B">
              <w:rPr>
                <w:lang w:val="en-US"/>
              </w:rPr>
              <w:t>.</w:t>
            </w:r>
          </w:p>
        </w:tc>
      </w:tr>
      <w:tr w:rsidR="00AF4BC2" w:rsidRPr="000026AD" w14:paraId="5A92562B" w14:textId="77777777" w:rsidTr="00AF4BC2">
        <w:trPr>
          <w:trHeight w:val="494"/>
          <w:tblHeader/>
        </w:trPr>
        <w:tc>
          <w:tcPr>
            <w:tcW w:w="2043" w:type="dxa"/>
            <w:tcBorders>
              <w:top w:val="single" w:sz="4" w:space="0" w:color="auto"/>
              <w:left w:val="single" w:sz="4" w:space="0" w:color="auto"/>
              <w:bottom w:val="single" w:sz="4" w:space="0" w:color="auto"/>
              <w:right w:val="single" w:sz="4" w:space="0" w:color="auto"/>
            </w:tcBorders>
            <w:shd w:val="clear" w:color="auto" w:fill="auto"/>
          </w:tcPr>
          <w:p w14:paraId="0906D523" w14:textId="77777777" w:rsidR="00AF4BC2" w:rsidRPr="00AF4BC2" w:rsidRDefault="00AF4BC2" w:rsidP="00AF4BC2">
            <w:pPr>
              <w:jc w:val="left"/>
              <w:rPr>
                <w:lang w:val="en-US"/>
              </w:rPr>
            </w:pPr>
            <w:r w:rsidRPr="00AF4BC2">
              <w:rPr>
                <w:lang w:val="en-US"/>
              </w:rPr>
              <w:t>Grade 1–3</w:t>
            </w:r>
          </w:p>
          <w:p w14:paraId="662B4B05" w14:textId="77777777" w:rsidR="00AF4BC2" w:rsidRPr="00AF4BC2" w:rsidRDefault="00AF4BC2" w:rsidP="00AF4BC2">
            <w:pPr>
              <w:jc w:val="left"/>
              <w:rPr>
                <w:lang w:val="en-US"/>
              </w:rPr>
            </w:pPr>
            <w:r w:rsidRPr="00AF4BC2">
              <w:rPr>
                <w:lang w:val="en-US"/>
              </w:rPr>
              <w:t>Infusion-Related</w:t>
            </w:r>
          </w:p>
          <w:p w14:paraId="25E9FE92" w14:textId="77777777" w:rsidR="00AF4BC2" w:rsidRPr="000026AD" w:rsidRDefault="00AF4BC2" w:rsidP="001B5ABF">
            <w:pPr>
              <w:jc w:val="left"/>
              <w:rPr>
                <w:lang w:val="en-US"/>
              </w:rPr>
            </w:pPr>
            <w:r w:rsidRPr="00AF4BC2">
              <w:rPr>
                <w:lang w:val="en-US"/>
              </w:rPr>
              <w:t>Reaction</w:t>
            </w:r>
          </w:p>
        </w:tc>
        <w:tc>
          <w:tcPr>
            <w:tcW w:w="6952" w:type="dxa"/>
            <w:tcBorders>
              <w:top w:val="single" w:sz="4" w:space="0" w:color="auto"/>
              <w:left w:val="single" w:sz="4" w:space="0" w:color="auto"/>
              <w:bottom w:val="single" w:sz="4" w:space="0" w:color="auto"/>
              <w:right w:val="single" w:sz="4" w:space="0" w:color="auto"/>
            </w:tcBorders>
            <w:shd w:val="clear" w:color="auto" w:fill="auto"/>
          </w:tcPr>
          <w:p w14:paraId="1CD7F544" w14:textId="5CC719D5" w:rsidR="00AF4BC2" w:rsidRPr="00AF4BC2" w:rsidRDefault="00AF4BC2" w:rsidP="00AF4BC2">
            <w:pPr>
              <w:jc w:val="left"/>
              <w:rPr>
                <w:lang w:val="en-US"/>
              </w:rPr>
            </w:pPr>
            <w:r w:rsidRPr="00AF4BC2">
              <w:rPr>
                <w:lang w:val="en-US"/>
              </w:rPr>
              <w:t xml:space="preserve">Interrupt </w:t>
            </w:r>
            <w:r w:rsidR="00EE6F17">
              <w:rPr>
                <w:lang w:val="en-US"/>
              </w:rPr>
              <w:t>POLIVY</w:t>
            </w:r>
            <w:r w:rsidRPr="00AF4BC2">
              <w:rPr>
                <w:lang w:val="en-US"/>
              </w:rPr>
              <w:t xml:space="preserve"> infusion and give supportive treatment.</w:t>
            </w:r>
          </w:p>
          <w:p w14:paraId="23E8FD75" w14:textId="77777777" w:rsidR="00AF4BC2" w:rsidRPr="00AF4BC2" w:rsidRDefault="00AF4BC2" w:rsidP="00AF4BC2">
            <w:pPr>
              <w:jc w:val="left"/>
              <w:rPr>
                <w:lang w:val="en-US"/>
              </w:rPr>
            </w:pPr>
          </w:p>
          <w:p w14:paraId="3C503D7B" w14:textId="2046BB03" w:rsidR="00AF4BC2" w:rsidRPr="00AF4BC2" w:rsidRDefault="00AF4BC2" w:rsidP="00AF4BC2">
            <w:pPr>
              <w:jc w:val="left"/>
              <w:rPr>
                <w:lang w:val="en-US"/>
              </w:rPr>
            </w:pPr>
            <w:r w:rsidRPr="00AF4BC2">
              <w:rPr>
                <w:lang w:val="en-US"/>
              </w:rPr>
              <w:t xml:space="preserve">For the first instance of Grade 3 wheezing, bronchospasm, or  generalized urticaria, permanently discontinue </w:t>
            </w:r>
            <w:r w:rsidR="00EE6F17">
              <w:rPr>
                <w:lang w:val="en-US"/>
              </w:rPr>
              <w:t>POLIVY</w:t>
            </w:r>
            <w:r w:rsidRPr="00AF4BC2">
              <w:rPr>
                <w:lang w:val="en-US"/>
              </w:rPr>
              <w:t>.</w:t>
            </w:r>
          </w:p>
          <w:p w14:paraId="6D537890" w14:textId="77777777" w:rsidR="00AF4BC2" w:rsidRPr="00AF4BC2" w:rsidRDefault="00AF4BC2" w:rsidP="00AF4BC2">
            <w:pPr>
              <w:jc w:val="left"/>
              <w:rPr>
                <w:lang w:val="en-US"/>
              </w:rPr>
            </w:pPr>
          </w:p>
          <w:p w14:paraId="36452732" w14:textId="7AA04541" w:rsidR="00AF4BC2" w:rsidRPr="00AF4BC2" w:rsidRDefault="00AF4BC2" w:rsidP="00AF4BC2">
            <w:pPr>
              <w:jc w:val="left"/>
              <w:rPr>
                <w:lang w:val="en-US"/>
              </w:rPr>
            </w:pPr>
            <w:r w:rsidRPr="00AF4BC2">
              <w:rPr>
                <w:lang w:val="en-US"/>
              </w:rPr>
              <w:t xml:space="preserve">For recurrent Grade 2 wheezing or urticaria, or for recurrence of any Grade 3 symptoms, permanently discontinue </w:t>
            </w:r>
            <w:r w:rsidR="00EE6F17">
              <w:rPr>
                <w:lang w:val="en-US"/>
              </w:rPr>
              <w:t>POLIVY</w:t>
            </w:r>
            <w:r w:rsidRPr="00AF4BC2">
              <w:rPr>
                <w:lang w:val="en-US"/>
              </w:rPr>
              <w:t>.</w:t>
            </w:r>
          </w:p>
          <w:p w14:paraId="15FD7ECF" w14:textId="77777777" w:rsidR="00AF4BC2" w:rsidRPr="00AF4BC2" w:rsidRDefault="00AF4BC2" w:rsidP="00AF4BC2">
            <w:pPr>
              <w:jc w:val="left"/>
              <w:rPr>
                <w:lang w:val="en-US"/>
              </w:rPr>
            </w:pPr>
          </w:p>
          <w:p w14:paraId="38F69647" w14:textId="77777777" w:rsidR="00AF4BC2" w:rsidRPr="00AF4BC2" w:rsidRDefault="00AF4BC2" w:rsidP="00AF4BC2">
            <w:pPr>
              <w:jc w:val="left"/>
              <w:rPr>
                <w:lang w:val="en-US"/>
              </w:rPr>
            </w:pPr>
            <w:r w:rsidRPr="00AF4BC2">
              <w:rPr>
                <w:lang w:val="en-US"/>
              </w:rPr>
              <w:t>Otherwise, upon complete resolution of symptoms, infusion may be</w:t>
            </w:r>
          </w:p>
          <w:p w14:paraId="66EFFBC8" w14:textId="77777777" w:rsidR="00AF4BC2" w:rsidRPr="00AF4BC2" w:rsidRDefault="00AF4BC2" w:rsidP="00AF4BC2">
            <w:pPr>
              <w:jc w:val="left"/>
              <w:rPr>
                <w:lang w:val="en-US"/>
              </w:rPr>
            </w:pPr>
            <w:r w:rsidRPr="00AF4BC2">
              <w:rPr>
                <w:lang w:val="en-US"/>
              </w:rPr>
              <w:t>resumed at 50% of the rate achieved prior to interruption. In the absence of infusion related symptoms, the rate of infusion may be escalated in increments of 50 mg/hour every 30 minutes.</w:t>
            </w:r>
          </w:p>
          <w:p w14:paraId="1F9B0744" w14:textId="77777777" w:rsidR="00AF4BC2" w:rsidRPr="00AF4BC2" w:rsidRDefault="00AF4BC2" w:rsidP="00AF4BC2">
            <w:pPr>
              <w:jc w:val="left"/>
              <w:rPr>
                <w:lang w:val="en-US"/>
              </w:rPr>
            </w:pPr>
          </w:p>
          <w:p w14:paraId="19728CDA" w14:textId="5A9B4D24" w:rsidR="00AF4BC2" w:rsidRPr="000026AD" w:rsidRDefault="00AF4BC2" w:rsidP="00AF4BC2">
            <w:pPr>
              <w:jc w:val="left"/>
              <w:rPr>
                <w:lang w:val="en-US"/>
              </w:rPr>
            </w:pPr>
            <w:r w:rsidRPr="00AF4BC2">
              <w:rPr>
                <w:lang w:val="en-US"/>
              </w:rPr>
              <w:t xml:space="preserve">For the next cycle, infuse </w:t>
            </w:r>
            <w:r w:rsidR="00EE6F17">
              <w:rPr>
                <w:lang w:val="en-US"/>
              </w:rPr>
              <w:t>POLIVY</w:t>
            </w:r>
            <w:r w:rsidRPr="00AF4BC2">
              <w:rPr>
                <w:lang w:val="en-US"/>
              </w:rPr>
              <w:t xml:space="preserve"> over 90 minutes. If no infusion related reaction occurs, subsequent infusions may be administered over 30 minutes. Administer premedication for all cycles</w:t>
            </w:r>
            <w:r w:rsidR="005C4C62">
              <w:rPr>
                <w:lang w:val="en-US"/>
              </w:rPr>
              <w:t>.</w:t>
            </w:r>
          </w:p>
        </w:tc>
      </w:tr>
      <w:tr w:rsidR="00AF4BC2" w:rsidRPr="00BF4B6A" w14:paraId="51E7BB78" w14:textId="77777777" w:rsidTr="00AF4BC2">
        <w:trPr>
          <w:trHeight w:val="494"/>
          <w:tblHeader/>
        </w:trPr>
        <w:tc>
          <w:tcPr>
            <w:tcW w:w="2043" w:type="dxa"/>
            <w:tcBorders>
              <w:top w:val="single" w:sz="4" w:space="0" w:color="auto"/>
              <w:left w:val="single" w:sz="4" w:space="0" w:color="auto"/>
              <w:bottom w:val="single" w:sz="4" w:space="0" w:color="auto"/>
              <w:right w:val="single" w:sz="4" w:space="0" w:color="auto"/>
            </w:tcBorders>
            <w:shd w:val="clear" w:color="auto" w:fill="auto"/>
          </w:tcPr>
          <w:p w14:paraId="3B009AB2" w14:textId="77777777" w:rsidR="00AF4BC2" w:rsidRPr="00AF4BC2" w:rsidRDefault="00AF4BC2" w:rsidP="00AF4BC2">
            <w:pPr>
              <w:jc w:val="left"/>
              <w:rPr>
                <w:lang w:val="en-US"/>
              </w:rPr>
            </w:pPr>
            <w:r w:rsidRPr="00AF4BC2">
              <w:rPr>
                <w:lang w:val="en-US"/>
              </w:rPr>
              <w:t>Grade 4</w:t>
            </w:r>
          </w:p>
          <w:p w14:paraId="213B67CC" w14:textId="77777777" w:rsidR="00AF4BC2" w:rsidRPr="00AF4BC2" w:rsidRDefault="00AF4BC2" w:rsidP="00AF4BC2">
            <w:pPr>
              <w:jc w:val="left"/>
              <w:rPr>
                <w:lang w:val="en-US"/>
              </w:rPr>
            </w:pPr>
            <w:r w:rsidRPr="00AF4BC2">
              <w:rPr>
                <w:lang w:val="en-US"/>
              </w:rPr>
              <w:t>Infusion-Related</w:t>
            </w:r>
          </w:p>
          <w:p w14:paraId="7F09BB5F" w14:textId="77777777" w:rsidR="00AF4BC2" w:rsidRPr="00AF4BC2" w:rsidRDefault="00AF4BC2" w:rsidP="00AF4BC2">
            <w:pPr>
              <w:jc w:val="left"/>
              <w:rPr>
                <w:lang w:val="en-US"/>
              </w:rPr>
            </w:pPr>
            <w:r w:rsidRPr="00AF4BC2">
              <w:rPr>
                <w:lang w:val="en-US"/>
              </w:rPr>
              <w:t>Reaction</w:t>
            </w:r>
          </w:p>
        </w:tc>
        <w:tc>
          <w:tcPr>
            <w:tcW w:w="6952" w:type="dxa"/>
            <w:tcBorders>
              <w:top w:val="single" w:sz="4" w:space="0" w:color="auto"/>
              <w:left w:val="single" w:sz="4" w:space="0" w:color="auto"/>
              <w:bottom w:val="single" w:sz="4" w:space="0" w:color="auto"/>
              <w:right w:val="single" w:sz="4" w:space="0" w:color="auto"/>
            </w:tcBorders>
            <w:shd w:val="clear" w:color="auto" w:fill="auto"/>
          </w:tcPr>
          <w:p w14:paraId="3366298B" w14:textId="785FB6FF" w:rsidR="00AF4BC2" w:rsidRPr="00AF4BC2" w:rsidRDefault="00AF4BC2" w:rsidP="00AF4BC2">
            <w:pPr>
              <w:jc w:val="left"/>
              <w:rPr>
                <w:lang w:val="en-US"/>
              </w:rPr>
            </w:pPr>
            <w:r w:rsidRPr="00AF4BC2">
              <w:rPr>
                <w:lang w:val="en-US"/>
              </w:rPr>
              <w:t xml:space="preserve">Stop </w:t>
            </w:r>
            <w:r w:rsidR="00EE6F17">
              <w:rPr>
                <w:lang w:val="en-US"/>
              </w:rPr>
              <w:t>POLIVY</w:t>
            </w:r>
            <w:r w:rsidRPr="00AF4BC2">
              <w:rPr>
                <w:lang w:val="en-US"/>
              </w:rPr>
              <w:t xml:space="preserve"> infusion immediately. Give supportive treatment.</w:t>
            </w:r>
          </w:p>
          <w:p w14:paraId="7154810D" w14:textId="0E973F1D" w:rsidR="00AF4BC2" w:rsidRPr="00AF4BC2" w:rsidRDefault="00AF4BC2" w:rsidP="00AF4BC2">
            <w:pPr>
              <w:jc w:val="left"/>
              <w:rPr>
                <w:lang w:val="en-US"/>
              </w:rPr>
            </w:pPr>
            <w:r w:rsidRPr="00AF4BC2">
              <w:rPr>
                <w:lang w:val="en-US"/>
              </w:rPr>
              <w:t xml:space="preserve">Permanently discontinue </w:t>
            </w:r>
            <w:r w:rsidR="00EE6F17">
              <w:rPr>
                <w:lang w:val="en-US"/>
              </w:rPr>
              <w:t>POLIVY</w:t>
            </w:r>
            <w:r w:rsidRPr="00AF4BC2">
              <w:rPr>
                <w:lang w:val="en-US"/>
              </w:rPr>
              <w:t>.</w:t>
            </w:r>
          </w:p>
        </w:tc>
      </w:tr>
      <w:tr w:rsidR="000026AD" w:rsidRPr="000026AD" w14:paraId="527081C0" w14:textId="77777777" w:rsidTr="000107B3">
        <w:trPr>
          <w:trHeight w:hRule="exact" w:val="2818"/>
          <w:tblHeader/>
        </w:trPr>
        <w:tc>
          <w:tcPr>
            <w:tcW w:w="2043" w:type="dxa"/>
            <w:shd w:val="clear" w:color="auto" w:fill="auto"/>
          </w:tcPr>
          <w:p w14:paraId="66022088" w14:textId="0C07B962" w:rsidR="000026AD" w:rsidRPr="000026AD" w:rsidRDefault="000026AD" w:rsidP="000107B3">
            <w:pPr>
              <w:jc w:val="left"/>
              <w:rPr>
                <w:lang w:val="en-US"/>
              </w:rPr>
            </w:pPr>
            <w:r w:rsidRPr="000026AD">
              <w:rPr>
                <w:lang w:val="en-US"/>
              </w:rPr>
              <w:t xml:space="preserve">Grade 3-4 Neutropenia </w:t>
            </w:r>
            <w:r w:rsidR="001B5ABF" w:rsidRPr="001B5ABF">
              <w:rPr>
                <w:vertAlign w:val="superscript"/>
                <w:lang w:val="en-US"/>
              </w:rPr>
              <w:t>a</w:t>
            </w:r>
          </w:p>
          <w:p w14:paraId="7AA6FE02" w14:textId="77777777" w:rsidR="000026AD" w:rsidRPr="000026AD" w:rsidRDefault="000026AD" w:rsidP="000107B3">
            <w:pPr>
              <w:jc w:val="left"/>
              <w:rPr>
                <w:lang w:val="en-US"/>
              </w:rPr>
            </w:pPr>
          </w:p>
          <w:p w14:paraId="736B958C" w14:textId="77777777" w:rsidR="000026AD" w:rsidRPr="000026AD" w:rsidRDefault="000026AD" w:rsidP="000107B3">
            <w:pPr>
              <w:jc w:val="left"/>
              <w:rPr>
                <w:lang w:val="en-US"/>
              </w:rPr>
            </w:pPr>
          </w:p>
          <w:p w14:paraId="015521C3" w14:textId="77777777" w:rsidR="000026AD" w:rsidRPr="000026AD" w:rsidRDefault="000026AD" w:rsidP="000107B3">
            <w:pPr>
              <w:jc w:val="left"/>
              <w:rPr>
                <w:lang w:val="en-US"/>
              </w:rPr>
            </w:pPr>
          </w:p>
          <w:p w14:paraId="39FCD9BB" w14:textId="77777777" w:rsidR="000026AD" w:rsidRPr="000026AD" w:rsidRDefault="000026AD" w:rsidP="000107B3">
            <w:pPr>
              <w:jc w:val="left"/>
              <w:rPr>
                <w:lang w:val="en-US"/>
              </w:rPr>
            </w:pPr>
          </w:p>
          <w:p w14:paraId="3439B500" w14:textId="77777777" w:rsidR="000026AD" w:rsidRPr="000026AD" w:rsidRDefault="000026AD" w:rsidP="000107B3">
            <w:pPr>
              <w:jc w:val="left"/>
              <w:rPr>
                <w:lang w:val="en-US"/>
              </w:rPr>
            </w:pPr>
          </w:p>
          <w:p w14:paraId="24E18CAE" w14:textId="77777777" w:rsidR="000026AD" w:rsidRPr="000026AD" w:rsidRDefault="000026AD" w:rsidP="000107B3">
            <w:pPr>
              <w:jc w:val="left"/>
              <w:rPr>
                <w:lang w:val="en-US"/>
              </w:rPr>
            </w:pPr>
          </w:p>
          <w:p w14:paraId="7BDEB437" w14:textId="77777777" w:rsidR="000026AD" w:rsidRPr="000026AD" w:rsidRDefault="000026AD" w:rsidP="000107B3">
            <w:pPr>
              <w:jc w:val="left"/>
              <w:rPr>
                <w:lang w:val="en-US"/>
              </w:rPr>
            </w:pPr>
          </w:p>
        </w:tc>
        <w:tc>
          <w:tcPr>
            <w:tcW w:w="6952" w:type="dxa"/>
            <w:shd w:val="clear" w:color="auto" w:fill="auto"/>
          </w:tcPr>
          <w:p w14:paraId="29B4AD59" w14:textId="77777777" w:rsidR="000026AD" w:rsidRPr="000026AD" w:rsidRDefault="000026AD" w:rsidP="000107B3">
            <w:pPr>
              <w:jc w:val="left"/>
              <w:rPr>
                <w:lang w:val="en-US"/>
              </w:rPr>
            </w:pPr>
            <w:r w:rsidRPr="000026AD">
              <w:rPr>
                <w:lang w:val="en-US"/>
              </w:rPr>
              <w:t>Hold all treatment until ANC recovers to &gt;1000 </w:t>
            </w:r>
            <w:r w:rsidRPr="000026AD">
              <w:rPr>
                <w:lang w:val="en-US"/>
              </w:rPr>
              <w:sym w:font="Symbol" w:char="F06D"/>
            </w:r>
            <w:r w:rsidRPr="000026AD">
              <w:rPr>
                <w:lang w:val="en-US"/>
              </w:rPr>
              <w:t>L.</w:t>
            </w:r>
          </w:p>
          <w:p w14:paraId="136B037B" w14:textId="77777777" w:rsidR="000026AD" w:rsidRPr="000026AD" w:rsidRDefault="000026AD" w:rsidP="000107B3">
            <w:pPr>
              <w:jc w:val="left"/>
              <w:rPr>
                <w:lang w:val="en-US"/>
              </w:rPr>
            </w:pPr>
            <w:r w:rsidRPr="000026AD">
              <w:rPr>
                <w:lang w:val="en-US"/>
              </w:rPr>
              <w:t xml:space="preserve">  </w:t>
            </w:r>
          </w:p>
          <w:p w14:paraId="0B71387D" w14:textId="77777777" w:rsidR="000026AD" w:rsidRPr="000026AD" w:rsidRDefault="000026AD" w:rsidP="000107B3">
            <w:pPr>
              <w:jc w:val="left"/>
              <w:rPr>
                <w:lang w:val="en-US"/>
              </w:rPr>
            </w:pPr>
            <w:r w:rsidRPr="000026AD">
              <w:rPr>
                <w:lang w:val="en-US"/>
              </w:rPr>
              <w:t>If ANC recovers to &gt;1000 </w:t>
            </w:r>
            <w:r w:rsidRPr="000026AD">
              <w:rPr>
                <w:lang w:val="en-US"/>
              </w:rPr>
              <w:sym w:font="Symbol" w:char="F06D"/>
            </w:r>
            <w:r w:rsidRPr="000026AD">
              <w:rPr>
                <w:lang w:val="en-US"/>
              </w:rPr>
              <w:t xml:space="preserve">L on or before Day 7, resume all treatment without any additional dose reductions. </w:t>
            </w:r>
          </w:p>
          <w:p w14:paraId="1190CCBC" w14:textId="77777777" w:rsidR="000026AD" w:rsidRPr="000026AD" w:rsidRDefault="000026AD" w:rsidP="000107B3">
            <w:pPr>
              <w:jc w:val="left"/>
              <w:rPr>
                <w:lang w:val="en-US"/>
              </w:rPr>
            </w:pPr>
          </w:p>
          <w:p w14:paraId="7B0AFA0C" w14:textId="77777777" w:rsidR="000026AD" w:rsidRPr="000026AD" w:rsidRDefault="000026AD" w:rsidP="000107B3">
            <w:pPr>
              <w:jc w:val="left"/>
              <w:rPr>
                <w:lang w:val="en-US"/>
              </w:rPr>
            </w:pPr>
            <w:r w:rsidRPr="000026AD">
              <w:rPr>
                <w:lang w:val="en-US"/>
              </w:rPr>
              <w:t>If ANC recovers to &gt;1000 </w:t>
            </w:r>
            <w:r w:rsidRPr="000026AD">
              <w:rPr>
                <w:lang w:val="en-US"/>
              </w:rPr>
              <w:sym w:font="Symbol" w:char="F06D"/>
            </w:r>
            <w:r w:rsidRPr="000026AD">
              <w:rPr>
                <w:lang w:val="en-US"/>
              </w:rPr>
              <w:t>L after Day 7:</w:t>
            </w:r>
          </w:p>
          <w:p w14:paraId="6F278F93" w14:textId="77777777" w:rsidR="000026AD" w:rsidRPr="000026AD" w:rsidRDefault="000026AD" w:rsidP="000107B3">
            <w:pPr>
              <w:numPr>
                <w:ilvl w:val="0"/>
                <w:numId w:val="3"/>
              </w:numPr>
              <w:jc w:val="left"/>
              <w:rPr>
                <w:lang w:val="en-US"/>
              </w:rPr>
            </w:pPr>
            <w:r w:rsidRPr="000026AD">
              <w:rPr>
                <w:lang w:val="en-US"/>
              </w:rPr>
              <w:t>restart all treatment, with a dose reduction of bendamustine from 90 mg/m</w:t>
            </w:r>
            <w:r w:rsidRPr="000026AD">
              <w:rPr>
                <w:vertAlign w:val="superscript"/>
                <w:lang w:val="en-US"/>
              </w:rPr>
              <w:t>2</w:t>
            </w:r>
            <w:r w:rsidRPr="000026AD">
              <w:rPr>
                <w:lang w:val="en-US"/>
              </w:rPr>
              <w:t xml:space="preserve"> to 70 mg/m</w:t>
            </w:r>
            <w:r w:rsidRPr="000026AD">
              <w:rPr>
                <w:vertAlign w:val="superscript"/>
                <w:lang w:val="en-US"/>
              </w:rPr>
              <w:t>2</w:t>
            </w:r>
            <w:r w:rsidRPr="000026AD">
              <w:rPr>
                <w:lang w:val="en-US"/>
              </w:rPr>
              <w:t xml:space="preserve"> or 70 mg/m</w:t>
            </w:r>
            <w:r w:rsidRPr="000026AD">
              <w:rPr>
                <w:vertAlign w:val="superscript"/>
                <w:lang w:val="en-US"/>
              </w:rPr>
              <w:t>2</w:t>
            </w:r>
            <w:r w:rsidRPr="000026AD">
              <w:rPr>
                <w:lang w:val="en-US"/>
              </w:rPr>
              <w:t xml:space="preserve"> to 50 mg/m</w:t>
            </w:r>
            <w:r w:rsidRPr="000026AD">
              <w:rPr>
                <w:vertAlign w:val="superscript"/>
                <w:lang w:val="en-US"/>
              </w:rPr>
              <w:t>2</w:t>
            </w:r>
          </w:p>
          <w:p w14:paraId="5BBBE5EC" w14:textId="77777777" w:rsidR="000026AD" w:rsidRPr="000026AD" w:rsidRDefault="000026AD" w:rsidP="000107B3">
            <w:pPr>
              <w:numPr>
                <w:ilvl w:val="0"/>
                <w:numId w:val="3"/>
              </w:numPr>
              <w:jc w:val="left"/>
              <w:rPr>
                <w:lang w:val="en-US"/>
              </w:rPr>
            </w:pPr>
            <w:r w:rsidRPr="000026AD">
              <w:rPr>
                <w:lang w:val="en-US"/>
              </w:rPr>
              <w:t>if a bendamustine dose reduction to 50 mg/m</w:t>
            </w:r>
            <w:r w:rsidRPr="000026AD">
              <w:rPr>
                <w:vertAlign w:val="superscript"/>
                <w:lang w:val="en-US"/>
              </w:rPr>
              <w:t>2</w:t>
            </w:r>
            <w:r w:rsidRPr="000026AD">
              <w:rPr>
                <w:lang w:val="en-US"/>
              </w:rPr>
              <w:t xml:space="preserve"> has already occurred, discontinue all treatment</w:t>
            </w:r>
          </w:p>
        </w:tc>
      </w:tr>
      <w:tr w:rsidR="000026AD" w:rsidRPr="000026AD" w14:paraId="6BBEAC98" w14:textId="77777777" w:rsidTr="000107B3">
        <w:trPr>
          <w:trHeight w:val="2736"/>
          <w:tblHeader/>
        </w:trPr>
        <w:tc>
          <w:tcPr>
            <w:tcW w:w="2043" w:type="dxa"/>
            <w:shd w:val="clear" w:color="auto" w:fill="auto"/>
          </w:tcPr>
          <w:p w14:paraId="412E759F" w14:textId="77777777" w:rsidR="000026AD" w:rsidRPr="000026AD" w:rsidRDefault="000026AD" w:rsidP="000107B3">
            <w:pPr>
              <w:jc w:val="left"/>
              <w:rPr>
                <w:lang w:val="en-US"/>
              </w:rPr>
            </w:pPr>
            <w:r w:rsidRPr="000026AD">
              <w:rPr>
                <w:lang w:val="en-US"/>
              </w:rPr>
              <w:lastRenderedPageBreak/>
              <w:t>Grade 3-4 Thrombocytopenia</w:t>
            </w:r>
          </w:p>
        </w:tc>
        <w:tc>
          <w:tcPr>
            <w:tcW w:w="6952" w:type="dxa"/>
            <w:shd w:val="clear" w:color="auto" w:fill="auto"/>
          </w:tcPr>
          <w:p w14:paraId="2E632A8E" w14:textId="77777777" w:rsidR="000026AD" w:rsidRPr="000026AD" w:rsidRDefault="000026AD" w:rsidP="000107B3">
            <w:pPr>
              <w:jc w:val="left"/>
              <w:rPr>
                <w:lang w:val="en-US"/>
              </w:rPr>
            </w:pPr>
            <w:r w:rsidRPr="000026AD">
              <w:rPr>
                <w:lang w:val="en-US"/>
              </w:rPr>
              <w:t>Hold all treatment until platelets recover to &gt;75,000 </w:t>
            </w:r>
            <w:r w:rsidRPr="000026AD">
              <w:rPr>
                <w:lang w:val="en-US"/>
              </w:rPr>
              <w:sym w:font="Symbol" w:char="F06D"/>
            </w:r>
            <w:r w:rsidRPr="000026AD">
              <w:rPr>
                <w:lang w:val="en-US"/>
              </w:rPr>
              <w:t xml:space="preserve">L. </w:t>
            </w:r>
          </w:p>
          <w:p w14:paraId="2D64629A" w14:textId="77777777" w:rsidR="000026AD" w:rsidRPr="000026AD" w:rsidRDefault="000026AD" w:rsidP="000107B3">
            <w:pPr>
              <w:jc w:val="left"/>
              <w:rPr>
                <w:lang w:val="en-US"/>
              </w:rPr>
            </w:pPr>
          </w:p>
          <w:p w14:paraId="7F277FB0" w14:textId="77777777" w:rsidR="000026AD" w:rsidRPr="000026AD" w:rsidRDefault="000026AD" w:rsidP="000107B3">
            <w:pPr>
              <w:jc w:val="left"/>
              <w:rPr>
                <w:lang w:val="en-US"/>
              </w:rPr>
            </w:pPr>
            <w:r w:rsidRPr="000026AD">
              <w:rPr>
                <w:lang w:val="en-US"/>
              </w:rPr>
              <w:t>If platelets recover to &gt;75,000 </w:t>
            </w:r>
            <w:r w:rsidRPr="000026AD">
              <w:rPr>
                <w:lang w:val="en-US"/>
              </w:rPr>
              <w:sym w:font="Symbol" w:char="F06D"/>
            </w:r>
            <w:r w:rsidRPr="000026AD">
              <w:rPr>
                <w:lang w:val="en-US"/>
              </w:rPr>
              <w:t xml:space="preserve">L on or before Day 7, resume all treatment without any additional dose reductions. </w:t>
            </w:r>
          </w:p>
          <w:p w14:paraId="295A89A9" w14:textId="77777777" w:rsidR="000026AD" w:rsidRPr="000026AD" w:rsidRDefault="000026AD" w:rsidP="000107B3">
            <w:pPr>
              <w:jc w:val="left"/>
              <w:rPr>
                <w:lang w:val="en-US"/>
              </w:rPr>
            </w:pPr>
          </w:p>
          <w:p w14:paraId="115FE2A7" w14:textId="77777777" w:rsidR="000026AD" w:rsidRPr="000026AD" w:rsidRDefault="000026AD" w:rsidP="000107B3">
            <w:pPr>
              <w:jc w:val="left"/>
              <w:rPr>
                <w:lang w:val="en-US"/>
              </w:rPr>
            </w:pPr>
            <w:r w:rsidRPr="000026AD">
              <w:rPr>
                <w:lang w:val="en-US"/>
              </w:rPr>
              <w:t>If platelets recover to &gt;75,000 </w:t>
            </w:r>
            <w:r w:rsidRPr="000026AD">
              <w:rPr>
                <w:lang w:val="en-US"/>
              </w:rPr>
              <w:sym w:font="Symbol" w:char="F06D"/>
            </w:r>
            <w:r w:rsidRPr="000026AD">
              <w:rPr>
                <w:lang w:val="en-US"/>
              </w:rPr>
              <w:t>L after Day 7:</w:t>
            </w:r>
          </w:p>
          <w:p w14:paraId="2686D45F" w14:textId="77777777" w:rsidR="000026AD" w:rsidRPr="000026AD" w:rsidRDefault="000026AD" w:rsidP="000107B3">
            <w:pPr>
              <w:numPr>
                <w:ilvl w:val="0"/>
                <w:numId w:val="3"/>
              </w:numPr>
              <w:jc w:val="left"/>
              <w:rPr>
                <w:lang w:val="en-US"/>
              </w:rPr>
            </w:pPr>
            <w:r w:rsidRPr="000026AD">
              <w:rPr>
                <w:lang w:val="en-US"/>
              </w:rPr>
              <w:t>restart all treatment, with a dose reduction of bendamustine from 90 mg/m</w:t>
            </w:r>
            <w:r w:rsidRPr="000026AD">
              <w:rPr>
                <w:vertAlign w:val="superscript"/>
                <w:lang w:val="en-US"/>
              </w:rPr>
              <w:t>2</w:t>
            </w:r>
            <w:r w:rsidRPr="000026AD">
              <w:rPr>
                <w:lang w:val="en-US"/>
              </w:rPr>
              <w:t xml:space="preserve"> to 70 mg/m</w:t>
            </w:r>
            <w:r w:rsidRPr="000026AD">
              <w:rPr>
                <w:vertAlign w:val="superscript"/>
                <w:lang w:val="en-US"/>
              </w:rPr>
              <w:t>2</w:t>
            </w:r>
            <w:r w:rsidRPr="000026AD">
              <w:rPr>
                <w:lang w:val="en-US"/>
              </w:rPr>
              <w:t xml:space="preserve"> or 70 mg/m</w:t>
            </w:r>
            <w:r w:rsidRPr="000026AD">
              <w:rPr>
                <w:vertAlign w:val="superscript"/>
                <w:lang w:val="en-US"/>
              </w:rPr>
              <w:t>2</w:t>
            </w:r>
            <w:r w:rsidRPr="000026AD">
              <w:rPr>
                <w:lang w:val="en-US"/>
              </w:rPr>
              <w:t xml:space="preserve"> to 50 mg/m</w:t>
            </w:r>
            <w:r w:rsidRPr="000026AD">
              <w:rPr>
                <w:vertAlign w:val="superscript"/>
                <w:lang w:val="en-US"/>
              </w:rPr>
              <w:t>2</w:t>
            </w:r>
          </w:p>
          <w:p w14:paraId="1D8E00BA" w14:textId="77777777" w:rsidR="000026AD" w:rsidRPr="000026AD" w:rsidRDefault="000026AD" w:rsidP="000107B3">
            <w:pPr>
              <w:numPr>
                <w:ilvl w:val="0"/>
                <w:numId w:val="4"/>
              </w:numPr>
              <w:jc w:val="left"/>
              <w:rPr>
                <w:lang w:val="en-US"/>
              </w:rPr>
            </w:pPr>
            <w:r w:rsidRPr="000026AD">
              <w:rPr>
                <w:lang w:val="en-US"/>
              </w:rPr>
              <w:t>if a bendamustine dose reduction to 50 mg/m</w:t>
            </w:r>
            <w:r w:rsidRPr="000026AD">
              <w:rPr>
                <w:vertAlign w:val="superscript"/>
                <w:lang w:val="en-US"/>
              </w:rPr>
              <w:t>2</w:t>
            </w:r>
            <w:r w:rsidRPr="000026AD">
              <w:rPr>
                <w:lang w:val="en-US"/>
              </w:rPr>
              <w:t xml:space="preserve"> has already occurred, discontinue all treatment</w:t>
            </w:r>
          </w:p>
        </w:tc>
      </w:tr>
    </w:tbl>
    <w:p w14:paraId="0F949BB5" w14:textId="0F79ED06" w:rsidR="000026AD" w:rsidRDefault="000026AD" w:rsidP="000107B3">
      <w:pPr>
        <w:jc w:val="left"/>
        <w:rPr>
          <w:lang w:val="en-US"/>
        </w:rPr>
      </w:pPr>
      <w:r w:rsidRPr="000026AD">
        <w:rPr>
          <w:vertAlign w:val="superscript"/>
          <w:lang w:val="en-US"/>
        </w:rPr>
        <w:t>a</w:t>
      </w:r>
      <w:r w:rsidRPr="000026AD">
        <w:rPr>
          <w:lang w:val="en-US"/>
        </w:rPr>
        <w:t>If primary cause is due to lymphoma, the dose of bendamustine may not need to be reduced.</w:t>
      </w:r>
    </w:p>
    <w:p w14:paraId="5386AF0F" w14:textId="4BE3193D" w:rsidR="000026AD" w:rsidRDefault="000026AD" w:rsidP="000107B3">
      <w:pPr>
        <w:jc w:val="left"/>
        <w:rPr>
          <w:lang w:val="en-US"/>
        </w:rPr>
      </w:pPr>
    </w:p>
    <w:p w14:paraId="7EB6BECE" w14:textId="19CAB5A7" w:rsidR="000026AD" w:rsidRPr="000026AD" w:rsidRDefault="000026AD" w:rsidP="000026AD">
      <w:pPr>
        <w:pStyle w:val="Heading3"/>
      </w:pPr>
      <w:r w:rsidRPr="000026AD">
        <w:t xml:space="preserve">Special </w:t>
      </w:r>
      <w:r>
        <w:t>populations</w:t>
      </w:r>
      <w:r w:rsidRPr="000026AD">
        <w:t xml:space="preserve"> </w:t>
      </w:r>
    </w:p>
    <w:p w14:paraId="43C2ECC2" w14:textId="77777777" w:rsidR="000026AD" w:rsidRPr="000026AD" w:rsidRDefault="000026AD" w:rsidP="000026AD"/>
    <w:p w14:paraId="28019523" w14:textId="40ECAA9C" w:rsidR="000026AD" w:rsidRPr="00DE0007" w:rsidRDefault="00D5735F" w:rsidP="000026AD">
      <w:pPr>
        <w:pStyle w:val="Heading4"/>
        <w:rPr>
          <w:u w:val="none"/>
        </w:rPr>
      </w:pPr>
      <w:r w:rsidRPr="00DE0007">
        <w:rPr>
          <w:u w:val="none"/>
        </w:rPr>
        <w:t>P</w:t>
      </w:r>
      <w:r w:rsidR="00273C0F" w:rsidRPr="00DE0007">
        <w:rPr>
          <w:u w:val="none"/>
        </w:rPr>
        <w:t>a</w:t>
      </w:r>
      <w:r w:rsidRPr="00DE0007">
        <w:rPr>
          <w:u w:val="none"/>
        </w:rPr>
        <w:t>ediatric populations</w:t>
      </w:r>
    </w:p>
    <w:p w14:paraId="5FC31E34" w14:textId="4BC3BC5F" w:rsidR="000026AD" w:rsidRDefault="000026AD" w:rsidP="000026AD">
      <w:r w:rsidRPr="000026AD">
        <w:t xml:space="preserve">The safety and efficacy of </w:t>
      </w:r>
      <w:r w:rsidR="00EE6F17">
        <w:t>POLIVY</w:t>
      </w:r>
      <w:r w:rsidRPr="000026AD">
        <w:t xml:space="preserve"> in children and adolescents (&lt;18 years) has not been established</w:t>
      </w:r>
      <w:r w:rsidR="006A3B60">
        <w:t xml:space="preserve"> </w:t>
      </w:r>
      <w:r w:rsidR="006A3B60" w:rsidRPr="000026AD">
        <w:t>(see</w:t>
      </w:r>
      <w:r w:rsidR="006A3B60">
        <w:t xml:space="preserve"> section</w:t>
      </w:r>
      <w:r w:rsidR="006A3B60" w:rsidRPr="000026AD">
        <w:t xml:space="preserve"> </w:t>
      </w:r>
      <w:r w:rsidR="006A3B60">
        <w:rPr>
          <w:i/>
        </w:rPr>
        <w:t>5.2 Pharmacokinetics in special populations</w:t>
      </w:r>
      <w:r w:rsidR="006A3B60" w:rsidRPr="000026AD">
        <w:rPr>
          <w:i/>
        </w:rPr>
        <w:t>)</w:t>
      </w:r>
      <w:r w:rsidRPr="000026AD">
        <w:t>.</w:t>
      </w:r>
    </w:p>
    <w:p w14:paraId="7B80DD0D" w14:textId="77777777" w:rsidR="000026AD" w:rsidRPr="000026AD" w:rsidRDefault="000026AD" w:rsidP="000026AD"/>
    <w:p w14:paraId="5B6A9D76" w14:textId="04CA0EE3" w:rsidR="000026AD" w:rsidRPr="00DE0007" w:rsidRDefault="00D5735F" w:rsidP="000026AD">
      <w:pPr>
        <w:pStyle w:val="Heading4"/>
        <w:rPr>
          <w:u w:val="none"/>
        </w:rPr>
      </w:pPr>
      <w:r w:rsidRPr="00DE0007">
        <w:rPr>
          <w:u w:val="none"/>
        </w:rPr>
        <w:t>Elderly</w:t>
      </w:r>
    </w:p>
    <w:p w14:paraId="1E2FF15E" w14:textId="3EE8E340" w:rsidR="000026AD" w:rsidRPr="000026AD" w:rsidRDefault="000026AD" w:rsidP="000026AD">
      <w:r w:rsidRPr="000026AD">
        <w:t xml:space="preserve">No dose adjustment of </w:t>
      </w:r>
      <w:r w:rsidR="00EE6F17">
        <w:t>POLIVY</w:t>
      </w:r>
      <w:r w:rsidR="00674133">
        <w:t xml:space="preserve"> is required in patients ≥</w:t>
      </w:r>
      <w:r w:rsidRPr="000026AD">
        <w:t>65 years of age (see</w:t>
      </w:r>
      <w:r w:rsidR="00BA2856">
        <w:t xml:space="preserve"> section</w:t>
      </w:r>
      <w:r w:rsidRPr="000026AD">
        <w:t xml:space="preserve"> </w:t>
      </w:r>
      <w:r w:rsidR="00BA2856">
        <w:rPr>
          <w:i/>
        </w:rPr>
        <w:t>5.2 Pharmacokinetics in special populations</w:t>
      </w:r>
      <w:r w:rsidRPr="000026AD">
        <w:rPr>
          <w:i/>
        </w:rPr>
        <w:t>)</w:t>
      </w:r>
      <w:r w:rsidRPr="000026AD">
        <w:t>.</w:t>
      </w:r>
    </w:p>
    <w:p w14:paraId="304B5BF2" w14:textId="77777777" w:rsidR="000026AD" w:rsidRPr="000026AD" w:rsidRDefault="000026AD" w:rsidP="000026AD">
      <w:pPr>
        <w:rPr>
          <w:b/>
        </w:rPr>
      </w:pPr>
    </w:p>
    <w:p w14:paraId="5613209D" w14:textId="77777777" w:rsidR="000026AD" w:rsidRPr="00DE0007" w:rsidRDefault="000026AD" w:rsidP="000026AD">
      <w:pPr>
        <w:pStyle w:val="Heading4"/>
        <w:rPr>
          <w:u w:val="none"/>
        </w:rPr>
      </w:pPr>
      <w:r w:rsidRPr="00DE0007">
        <w:rPr>
          <w:u w:val="none"/>
        </w:rPr>
        <w:t>Renal Impairment</w:t>
      </w:r>
    </w:p>
    <w:p w14:paraId="36D70EBD" w14:textId="0762EE29" w:rsidR="000026AD" w:rsidRDefault="000026AD" w:rsidP="000026AD">
      <w:r w:rsidRPr="000026AD">
        <w:t xml:space="preserve">No dose adjustment of </w:t>
      </w:r>
      <w:r w:rsidR="00EE6F17">
        <w:t>POLIVY</w:t>
      </w:r>
      <w:r w:rsidRPr="000026AD">
        <w:t xml:space="preserve"> is required in patients with creatinine clearance (CrCL) ≥30mL/min. A recommended dose has not been determined for patients with CrCL &lt;30mL/min (see </w:t>
      </w:r>
      <w:r w:rsidR="00BA2856">
        <w:t>section</w:t>
      </w:r>
      <w:r w:rsidR="00BA2856" w:rsidRPr="000026AD">
        <w:t xml:space="preserve"> </w:t>
      </w:r>
      <w:r w:rsidR="00BA2856">
        <w:rPr>
          <w:i/>
        </w:rPr>
        <w:t>5.2 Pharmacokinetics in special populations</w:t>
      </w:r>
      <w:r w:rsidRPr="000026AD">
        <w:t xml:space="preserve">). </w:t>
      </w:r>
    </w:p>
    <w:p w14:paraId="1887800C" w14:textId="77777777" w:rsidR="000026AD" w:rsidRPr="000026AD" w:rsidRDefault="000026AD" w:rsidP="000026AD"/>
    <w:p w14:paraId="735D2B1E" w14:textId="77777777" w:rsidR="000026AD" w:rsidRPr="00DE0007" w:rsidRDefault="000026AD" w:rsidP="007551DC">
      <w:pPr>
        <w:pStyle w:val="Heading4"/>
        <w:rPr>
          <w:u w:val="none"/>
        </w:rPr>
      </w:pPr>
      <w:bookmarkStart w:id="0" w:name="_GoBack"/>
      <w:r w:rsidRPr="00DE0007">
        <w:rPr>
          <w:u w:val="none"/>
        </w:rPr>
        <w:t>Hepatic Impairment</w:t>
      </w:r>
    </w:p>
    <w:bookmarkEnd w:id="0"/>
    <w:p w14:paraId="624C18EB" w14:textId="7957618C" w:rsidR="000026AD" w:rsidRDefault="000026AD" w:rsidP="000026AD">
      <w:r w:rsidRPr="000026AD">
        <w:t xml:space="preserve">No dose adjustment of </w:t>
      </w:r>
      <w:r w:rsidR="00EE6F17">
        <w:t>POLIVY</w:t>
      </w:r>
      <w:r w:rsidRPr="000026AD">
        <w:t xml:space="preserve"> is required for patients with AST or ALT up to 2.5×ULN or total bilirubin up to 1.5×ULN. A recommended dose has not been determined for patients with AST</w:t>
      </w:r>
      <w:r w:rsidR="00674133">
        <w:t xml:space="preserve"> </w:t>
      </w:r>
      <w:r w:rsidRPr="000026AD">
        <w:t>&gt;2.5×ULN or ALT</w:t>
      </w:r>
      <w:r w:rsidR="00674133">
        <w:t xml:space="preserve"> </w:t>
      </w:r>
      <w:r w:rsidRPr="000026AD">
        <w:t>&gt;2.5×ULN, total bilirubin</w:t>
      </w:r>
      <w:r w:rsidR="00674133">
        <w:t xml:space="preserve"> </w:t>
      </w:r>
      <w:r w:rsidRPr="000026AD">
        <w:t>&gt;1.5×ULN, or patients with a liver transplant (see</w:t>
      </w:r>
      <w:r w:rsidR="00BA2856">
        <w:t xml:space="preserve"> section</w:t>
      </w:r>
      <w:r w:rsidRPr="000026AD">
        <w:t xml:space="preserve"> </w:t>
      </w:r>
      <w:r w:rsidR="00BA2856">
        <w:rPr>
          <w:i/>
        </w:rPr>
        <w:t>5.2 Pharmacokinetics in special populations</w:t>
      </w:r>
      <w:r w:rsidRPr="000026AD">
        <w:t>).</w:t>
      </w:r>
    </w:p>
    <w:p w14:paraId="35FFC7A0" w14:textId="77D7E898" w:rsidR="007551DC" w:rsidRDefault="007551DC" w:rsidP="000026AD">
      <w:pPr>
        <w:rPr>
          <w:lang w:val="en-US"/>
        </w:rPr>
      </w:pPr>
    </w:p>
    <w:p w14:paraId="27F372B5" w14:textId="77777777" w:rsidR="007551DC" w:rsidRDefault="007551DC" w:rsidP="007551DC">
      <w:pPr>
        <w:pStyle w:val="Heading3"/>
      </w:pPr>
      <w:r>
        <w:t>Method of Administration</w:t>
      </w:r>
    </w:p>
    <w:p w14:paraId="2686E418" w14:textId="28464314" w:rsidR="005570B5" w:rsidRDefault="00EE6F17" w:rsidP="005570B5">
      <w:pPr>
        <w:rPr>
          <w:lang w:val="en-US"/>
        </w:rPr>
      </w:pPr>
      <w:r>
        <w:rPr>
          <w:lang w:val="en-US"/>
        </w:rPr>
        <w:t>POLIVY</w:t>
      </w:r>
      <w:r w:rsidR="005570B5" w:rsidRPr="005570B5">
        <w:rPr>
          <w:lang w:val="en-US"/>
        </w:rPr>
        <w:t xml:space="preserve"> must be reconstituted using sterile water for injection and diluted into an IV infusion bag containing 0.9% sodium chloride, 0.45% sodium chloride, or 5% dextrose by a healthcare professional prior to administration. </w:t>
      </w:r>
    </w:p>
    <w:p w14:paraId="4425F810" w14:textId="77777777" w:rsidR="005570B5" w:rsidRPr="005570B5" w:rsidRDefault="005570B5" w:rsidP="005570B5">
      <w:pPr>
        <w:rPr>
          <w:lang w:val="en-US"/>
        </w:rPr>
      </w:pPr>
    </w:p>
    <w:p w14:paraId="1FE9431D" w14:textId="2A881CA0" w:rsidR="005570B5" w:rsidRDefault="005570B5" w:rsidP="005570B5">
      <w:pPr>
        <w:rPr>
          <w:lang w:val="en-US"/>
        </w:rPr>
      </w:pPr>
      <w:r w:rsidRPr="005570B5">
        <w:rPr>
          <w:lang w:val="en-US"/>
        </w:rPr>
        <w:t xml:space="preserve">Use aseptic technique for reconstitution and dilution of </w:t>
      </w:r>
      <w:r w:rsidR="00EE6F17">
        <w:rPr>
          <w:lang w:val="en-US"/>
        </w:rPr>
        <w:t>POLIVY</w:t>
      </w:r>
      <w:r w:rsidRPr="005570B5">
        <w:rPr>
          <w:lang w:val="en-US"/>
        </w:rPr>
        <w:t>. Appropriate procedures for the preparation of antineoplastic products should be used.</w:t>
      </w:r>
    </w:p>
    <w:p w14:paraId="2DD8E552" w14:textId="77777777" w:rsidR="005570B5" w:rsidRPr="005570B5" w:rsidRDefault="005570B5" w:rsidP="005570B5">
      <w:pPr>
        <w:rPr>
          <w:lang w:val="en-US"/>
        </w:rPr>
      </w:pPr>
    </w:p>
    <w:p w14:paraId="52C07392" w14:textId="15D69FE4" w:rsidR="005570B5" w:rsidRDefault="005570B5" w:rsidP="005570B5">
      <w:pPr>
        <w:rPr>
          <w:lang w:val="en-US"/>
        </w:rPr>
      </w:pPr>
      <w:r w:rsidRPr="005570B5">
        <w:rPr>
          <w:lang w:val="en-US"/>
        </w:rPr>
        <w:t>The reconstituted product contains no preservative and is intended for single-dose usage only.  Discard any unused portion.</w:t>
      </w:r>
    </w:p>
    <w:p w14:paraId="65C09F21" w14:textId="77777777" w:rsidR="005570B5" w:rsidRPr="005570B5" w:rsidRDefault="005570B5" w:rsidP="005570B5">
      <w:pPr>
        <w:rPr>
          <w:lang w:val="en-US"/>
        </w:rPr>
      </w:pPr>
    </w:p>
    <w:p w14:paraId="3C1E7F2E" w14:textId="42BEEF1B" w:rsidR="005570B5" w:rsidRDefault="005570B5" w:rsidP="005570B5">
      <w:pPr>
        <w:rPr>
          <w:lang w:val="en-US"/>
        </w:rPr>
      </w:pPr>
      <w:r w:rsidRPr="005570B5">
        <w:rPr>
          <w:lang w:val="en-US"/>
        </w:rPr>
        <w:lastRenderedPageBreak/>
        <w:t>A dedicated infusion line equipped with a sterile, non-pyrogenic, low-protein binding in-line or add-on filter (0.2 or 0.22 </w:t>
      </w:r>
      <w:r w:rsidRPr="005570B5">
        <w:rPr>
          <w:lang w:val="en-US"/>
        </w:rPr>
        <w:sym w:font="Symbol" w:char="F06D"/>
      </w:r>
      <w:r w:rsidRPr="005570B5">
        <w:rPr>
          <w:lang w:val="en-US"/>
        </w:rPr>
        <w:t xml:space="preserve">m pore size) and catheter must be used to administer diluted </w:t>
      </w:r>
      <w:r w:rsidR="00EE6F17">
        <w:rPr>
          <w:lang w:val="en-US"/>
        </w:rPr>
        <w:t>POLIVY</w:t>
      </w:r>
      <w:r w:rsidRPr="005570B5">
        <w:rPr>
          <w:lang w:val="en-US"/>
        </w:rPr>
        <w:t>.</w:t>
      </w:r>
    </w:p>
    <w:p w14:paraId="33D9972F" w14:textId="77777777" w:rsidR="005570B5" w:rsidRPr="005570B5" w:rsidRDefault="005570B5" w:rsidP="005570B5">
      <w:pPr>
        <w:rPr>
          <w:lang w:val="en-US"/>
        </w:rPr>
      </w:pPr>
    </w:p>
    <w:p w14:paraId="7901EB10" w14:textId="77777777" w:rsidR="005570B5" w:rsidRPr="005570B5" w:rsidRDefault="005570B5" w:rsidP="005570B5">
      <w:pPr>
        <w:rPr>
          <w:lang w:val="en-US"/>
        </w:rPr>
      </w:pPr>
      <w:r w:rsidRPr="005570B5">
        <w:rPr>
          <w:i/>
          <w:lang w:val="en-US"/>
        </w:rPr>
        <w:t>Reconstitution</w:t>
      </w:r>
    </w:p>
    <w:p w14:paraId="59A3BF78" w14:textId="31E7B580" w:rsidR="005570B5" w:rsidRDefault="005570B5" w:rsidP="00A35B38">
      <w:pPr>
        <w:numPr>
          <w:ilvl w:val="0"/>
          <w:numId w:val="5"/>
        </w:numPr>
        <w:rPr>
          <w:iCs/>
          <w:lang w:val="en-US"/>
        </w:rPr>
      </w:pPr>
      <w:r w:rsidRPr="005570B5">
        <w:rPr>
          <w:iCs/>
          <w:lang w:val="en-US"/>
        </w:rPr>
        <w:t xml:space="preserve">Using a sterile syringe, slowly inject 7.2 mL of sterile water for injection into the 140 mg </w:t>
      </w:r>
      <w:r w:rsidR="00EE6F17">
        <w:rPr>
          <w:iCs/>
          <w:lang w:val="en-US"/>
        </w:rPr>
        <w:t>POLIVY</w:t>
      </w:r>
      <w:r w:rsidRPr="005570B5">
        <w:rPr>
          <w:iCs/>
          <w:lang w:val="en-US"/>
        </w:rPr>
        <w:t xml:space="preserve"> vial to yield a single-dose solution containing 20 mg/mL polatuzumab vedotin. Direct the stream toward the wall of the vial and not directly on the lyophilized cake.</w:t>
      </w:r>
    </w:p>
    <w:p w14:paraId="553D2BF7" w14:textId="77777777" w:rsidR="005570B5" w:rsidRPr="005570B5" w:rsidRDefault="005570B5" w:rsidP="005570B5">
      <w:pPr>
        <w:ind w:left="864"/>
        <w:rPr>
          <w:iCs/>
          <w:lang w:val="en-US"/>
        </w:rPr>
      </w:pPr>
    </w:p>
    <w:p w14:paraId="79F545C4" w14:textId="6D66B352" w:rsidR="005570B5" w:rsidRPr="005570B5" w:rsidRDefault="005570B5" w:rsidP="00A35B38">
      <w:pPr>
        <w:numPr>
          <w:ilvl w:val="0"/>
          <w:numId w:val="5"/>
        </w:numPr>
        <w:rPr>
          <w:iCs/>
          <w:lang w:val="en-US"/>
        </w:rPr>
      </w:pPr>
      <w:r w:rsidRPr="005570B5">
        <w:rPr>
          <w:iCs/>
          <w:lang w:val="en-US"/>
        </w:rPr>
        <w:t xml:space="preserve">Swirl the vial gently until completely dissolved.  </w:t>
      </w:r>
      <w:r w:rsidRPr="005570B5">
        <w:rPr>
          <w:i/>
          <w:iCs/>
          <w:u w:val="single"/>
          <w:lang w:val="en-US"/>
        </w:rPr>
        <w:t>Do not shake</w:t>
      </w:r>
    </w:p>
    <w:p w14:paraId="17FA3AE4" w14:textId="77777777" w:rsidR="005570B5" w:rsidRPr="005570B5" w:rsidRDefault="005570B5" w:rsidP="005570B5">
      <w:pPr>
        <w:ind w:left="864"/>
        <w:rPr>
          <w:iCs/>
          <w:lang w:val="en-US"/>
        </w:rPr>
      </w:pPr>
    </w:p>
    <w:p w14:paraId="518274FA" w14:textId="7984E843" w:rsidR="005570B5" w:rsidRDefault="005570B5" w:rsidP="00A35B38">
      <w:pPr>
        <w:numPr>
          <w:ilvl w:val="0"/>
          <w:numId w:val="5"/>
        </w:numPr>
        <w:rPr>
          <w:iCs/>
          <w:lang w:val="en-US"/>
        </w:rPr>
      </w:pPr>
      <w:r w:rsidRPr="005570B5">
        <w:rPr>
          <w:iCs/>
          <w:lang w:val="en-US"/>
        </w:rPr>
        <w:t xml:space="preserve">Inspect the reconstituted solution for discoloration and particulate matter.  The reconstituted solution should appear colorless to slightly brown, clear to slightly opalescent, and free of visible particulates.  Do not use if the reconstituted solution is discolored, cloudy, or contains visible particulates. </w:t>
      </w:r>
    </w:p>
    <w:p w14:paraId="6F3B088C" w14:textId="77777777" w:rsidR="00C16DFE" w:rsidRDefault="00C16DFE" w:rsidP="005570B5">
      <w:pPr>
        <w:rPr>
          <w:iCs/>
          <w:lang w:val="en-US"/>
        </w:rPr>
      </w:pPr>
    </w:p>
    <w:p w14:paraId="4E9AD1DC" w14:textId="4ACF0A8F" w:rsidR="005570B5" w:rsidRDefault="008F09F5" w:rsidP="005570B5">
      <w:pPr>
        <w:rPr>
          <w:iCs/>
          <w:lang w:val="en-US"/>
        </w:rPr>
      </w:pPr>
      <w:r w:rsidRPr="008F09F5">
        <w:rPr>
          <w:iCs/>
          <w:lang w:val="en-US"/>
        </w:rPr>
        <w:t>To reduce microbiological hazard, the reconstituted solution should be used as soon as practicable after preparation. If storage is necessary, the reconstituted solution is stable for up to 72 hours at 2°C to 8°C and up to 20 hours at room temperature (9°C to 25°C).</w:t>
      </w:r>
    </w:p>
    <w:p w14:paraId="6D1D6B83" w14:textId="77777777" w:rsidR="005570B5" w:rsidRPr="005570B5" w:rsidRDefault="005570B5" w:rsidP="005570B5">
      <w:pPr>
        <w:rPr>
          <w:iCs/>
          <w:lang w:val="en-US"/>
        </w:rPr>
      </w:pPr>
    </w:p>
    <w:p w14:paraId="2471CA01" w14:textId="73B51FD4" w:rsidR="005570B5" w:rsidRDefault="005570B5" w:rsidP="005570B5">
      <w:pPr>
        <w:rPr>
          <w:i/>
          <w:lang w:val="en-US"/>
        </w:rPr>
      </w:pPr>
      <w:r w:rsidRPr="005570B5">
        <w:rPr>
          <w:i/>
          <w:lang w:val="en-US"/>
        </w:rPr>
        <w:t>Dilution</w:t>
      </w:r>
    </w:p>
    <w:p w14:paraId="06930C58" w14:textId="77777777" w:rsidR="005570B5" w:rsidRPr="005570B5" w:rsidRDefault="005570B5" w:rsidP="005570B5">
      <w:pPr>
        <w:rPr>
          <w:lang w:val="en-US"/>
        </w:rPr>
      </w:pPr>
    </w:p>
    <w:p w14:paraId="3C5F3D1D" w14:textId="22C5279C" w:rsidR="005570B5" w:rsidRDefault="005570B5" w:rsidP="00A35B38">
      <w:pPr>
        <w:numPr>
          <w:ilvl w:val="0"/>
          <w:numId w:val="6"/>
        </w:numPr>
        <w:rPr>
          <w:lang w:val="en-US"/>
        </w:rPr>
      </w:pPr>
      <w:r w:rsidRPr="005570B5">
        <w:rPr>
          <w:lang w:val="en-US"/>
        </w:rPr>
        <w:t xml:space="preserve">Polatuzumab vedotin must be diluted to a final concentration of 0.72 – 2.7 mg/mL in an IV infusion bag with a minimum volume of 50mL containing 0.9% sodium chloride, 0.45% sodium chloride, or 5% dextrose. </w:t>
      </w:r>
    </w:p>
    <w:p w14:paraId="008D61C5" w14:textId="77777777" w:rsidR="005570B5" w:rsidRPr="005570B5" w:rsidRDefault="005570B5" w:rsidP="005570B5">
      <w:pPr>
        <w:ind w:left="360"/>
        <w:rPr>
          <w:lang w:val="en-US"/>
        </w:rPr>
      </w:pPr>
    </w:p>
    <w:p w14:paraId="2CB85695" w14:textId="4EFA9460" w:rsidR="005570B5" w:rsidRDefault="005570B5" w:rsidP="00A35B38">
      <w:pPr>
        <w:numPr>
          <w:ilvl w:val="0"/>
          <w:numId w:val="6"/>
        </w:numPr>
        <w:rPr>
          <w:lang w:val="en-US"/>
        </w:rPr>
      </w:pPr>
      <w:r w:rsidRPr="005570B5">
        <w:rPr>
          <w:lang w:val="en-US"/>
        </w:rPr>
        <w:t>Determine the volume of 20 mg/mL reconstituted solution needed based on the required dose:</w:t>
      </w:r>
    </w:p>
    <w:p w14:paraId="0A72DC8C" w14:textId="77777777" w:rsidR="005570B5" w:rsidRDefault="005570B5" w:rsidP="005570B5">
      <w:pPr>
        <w:pStyle w:val="ListParagraph"/>
        <w:rPr>
          <w:lang w:val="en-US"/>
        </w:rPr>
      </w:pPr>
    </w:p>
    <w:tbl>
      <w:tblPr>
        <w:tblStyle w:val="TableGrid"/>
        <w:tblW w:w="0" w:type="auto"/>
        <w:tblInd w:w="720" w:type="dxa"/>
        <w:tblBorders>
          <w:top w:val="nil"/>
          <w:left w:val="nil"/>
          <w:bottom w:val="nil"/>
          <w:right w:val="nil"/>
          <w:insideH w:val="nil"/>
          <w:insideV w:val="nil"/>
        </w:tblBorders>
        <w:tblLook w:val="04A0" w:firstRow="1" w:lastRow="0" w:firstColumn="1" w:lastColumn="0" w:noHBand="0" w:noVBand="1"/>
      </w:tblPr>
      <w:tblGrid>
        <w:gridCol w:w="1316"/>
        <w:gridCol w:w="6388"/>
      </w:tblGrid>
      <w:tr w:rsidR="005570B5" w:rsidRPr="005570B5" w14:paraId="3A35F780" w14:textId="77777777" w:rsidTr="003025F1">
        <w:trPr>
          <w:trHeight w:hRule="exact" w:val="288"/>
        </w:trPr>
        <w:tc>
          <w:tcPr>
            <w:tcW w:w="1316" w:type="dxa"/>
          </w:tcPr>
          <w:p w14:paraId="36DE4BD3" w14:textId="77777777" w:rsidR="005570B5" w:rsidRPr="005570B5" w:rsidRDefault="005570B5" w:rsidP="005570B5">
            <w:pPr>
              <w:rPr>
                <w:lang w:val="en-US"/>
              </w:rPr>
            </w:pPr>
            <w:r w:rsidRPr="005570B5">
              <w:rPr>
                <w:lang w:val="en-US"/>
              </w:rPr>
              <w:t>Volume =</w:t>
            </w:r>
          </w:p>
        </w:tc>
        <w:tc>
          <w:tcPr>
            <w:tcW w:w="6388" w:type="dxa"/>
            <w:tcBorders>
              <w:bottom w:val="single" w:sz="4" w:space="0" w:color="000000"/>
            </w:tcBorders>
          </w:tcPr>
          <w:p w14:paraId="090FB240" w14:textId="03D4F076" w:rsidR="005570B5" w:rsidRPr="005570B5" w:rsidRDefault="00EE6F17" w:rsidP="005570B5">
            <w:pPr>
              <w:rPr>
                <w:lang w:val="en-US"/>
              </w:rPr>
            </w:pPr>
            <w:r>
              <w:rPr>
                <w:lang w:val="en-US"/>
              </w:rPr>
              <w:t>POLIVY</w:t>
            </w:r>
            <w:r w:rsidR="00674133">
              <w:rPr>
                <w:lang w:val="en-US"/>
              </w:rPr>
              <w:t xml:space="preserve"> dose (1.8 or 1.4 mg/kg) </w:t>
            </w:r>
            <w:r w:rsidR="00674133" w:rsidRPr="000026AD">
              <w:t>×</w:t>
            </w:r>
            <w:r w:rsidR="005570B5" w:rsidRPr="005570B5">
              <w:rPr>
                <w:lang w:val="en-US"/>
              </w:rPr>
              <w:t xml:space="preserve"> patient’s weight (kg)</w:t>
            </w:r>
          </w:p>
        </w:tc>
      </w:tr>
      <w:tr w:rsidR="005570B5" w:rsidRPr="005570B5" w14:paraId="07C1EABD" w14:textId="77777777" w:rsidTr="003025F1">
        <w:trPr>
          <w:trHeight w:hRule="exact" w:val="288"/>
        </w:trPr>
        <w:tc>
          <w:tcPr>
            <w:tcW w:w="1316" w:type="dxa"/>
          </w:tcPr>
          <w:p w14:paraId="4364B075" w14:textId="77777777" w:rsidR="005570B5" w:rsidRPr="005570B5" w:rsidRDefault="005570B5" w:rsidP="005570B5">
            <w:pPr>
              <w:rPr>
                <w:lang w:val="en-US"/>
              </w:rPr>
            </w:pPr>
          </w:p>
        </w:tc>
        <w:tc>
          <w:tcPr>
            <w:tcW w:w="6388" w:type="dxa"/>
            <w:tcBorders>
              <w:top w:val="single" w:sz="4" w:space="0" w:color="000000"/>
            </w:tcBorders>
          </w:tcPr>
          <w:p w14:paraId="08D252DF" w14:textId="77777777" w:rsidR="005570B5" w:rsidRPr="005570B5" w:rsidRDefault="005570B5" w:rsidP="005570B5">
            <w:pPr>
              <w:rPr>
                <w:lang w:val="en-US"/>
              </w:rPr>
            </w:pPr>
            <w:r w:rsidRPr="005570B5">
              <w:rPr>
                <w:lang w:val="en-US"/>
              </w:rPr>
              <w:t>Reconstituted vial concentration (20 mg/mL)</w:t>
            </w:r>
          </w:p>
        </w:tc>
      </w:tr>
    </w:tbl>
    <w:p w14:paraId="35571134" w14:textId="77777777" w:rsidR="005570B5" w:rsidRPr="005570B5" w:rsidRDefault="005570B5" w:rsidP="005570B5">
      <w:pPr>
        <w:rPr>
          <w:lang w:val="en-US"/>
        </w:rPr>
      </w:pPr>
    </w:p>
    <w:p w14:paraId="683BC8BC" w14:textId="0F017E98" w:rsidR="005570B5" w:rsidRPr="005570B5" w:rsidRDefault="005570B5" w:rsidP="00C16DFE">
      <w:pPr>
        <w:ind w:left="360"/>
        <w:rPr>
          <w:lang w:val="en-US"/>
        </w:rPr>
      </w:pPr>
    </w:p>
    <w:p w14:paraId="5890D420" w14:textId="47625274" w:rsidR="005570B5" w:rsidRDefault="005570B5" w:rsidP="00A35B38">
      <w:pPr>
        <w:numPr>
          <w:ilvl w:val="0"/>
          <w:numId w:val="6"/>
        </w:numPr>
        <w:rPr>
          <w:lang w:val="en-US"/>
        </w:rPr>
      </w:pPr>
      <w:r w:rsidRPr="005570B5">
        <w:rPr>
          <w:lang w:val="en-US"/>
        </w:rPr>
        <w:t xml:space="preserve">Withdraw the required volume of reconstituted solution from the </w:t>
      </w:r>
      <w:r w:rsidR="00EE6F17">
        <w:rPr>
          <w:lang w:val="en-US"/>
        </w:rPr>
        <w:t>POLIVY</w:t>
      </w:r>
      <w:r w:rsidRPr="005570B5">
        <w:rPr>
          <w:lang w:val="en-US"/>
        </w:rPr>
        <w:t xml:space="preserve"> vial using a sterile syringe and dilute into the IV infusion bag.  Discard any unused portion left in the vial.</w:t>
      </w:r>
    </w:p>
    <w:p w14:paraId="504E662C" w14:textId="77777777" w:rsidR="00C16DFE" w:rsidRDefault="00C16DFE" w:rsidP="00C16DFE">
      <w:pPr>
        <w:pStyle w:val="ListParagraph"/>
        <w:rPr>
          <w:lang w:val="en-US"/>
        </w:rPr>
      </w:pPr>
    </w:p>
    <w:p w14:paraId="4726A4D1" w14:textId="1DA96E32" w:rsidR="005570B5" w:rsidRDefault="005570B5" w:rsidP="00A35B38">
      <w:pPr>
        <w:numPr>
          <w:ilvl w:val="0"/>
          <w:numId w:val="6"/>
        </w:numPr>
        <w:rPr>
          <w:lang w:val="en-US"/>
        </w:rPr>
      </w:pPr>
      <w:r w:rsidRPr="005570B5">
        <w:rPr>
          <w:lang w:val="en-US"/>
        </w:rPr>
        <w:t xml:space="preserve">Gently mix the IV bag by slowly inverting the bag.  </w:t>
      </w:r>
      <w:r w:rsidRPr="005570B5">
        <w:rPr>
          <w:i/>
          <w:u w:val="single"/>
          <w:lang w:val="en-US"/>
        </w:rPr>
        <w:t>Do not shake</w:t>
      </w:r>
      <w:r w:rsidRPr="005570B5">
        <w:rPr>
          <w:lang w:val="en-US"/>
        </w:rPr>
        <w:t>.</w:t>
      </w:r>
    </w:p>
    <w:p w14:paraId="6F304FD6" w14:textId="77777777" w:rsidR="00C16DFE" w:rsidRDefault="00C16DFE" w:rsidP="00C16DFE">
      <w:pPr>
        <w:pStyle w:val="ListParagraph"/>
        <w:rPr>
          <w:lang w:val="en-US"/>
        </w:rPr>
      </w:pPr>
    </w:p>
    <w:p w14:paraId="308DD3EC" w14:textId="5F126A93" w:rsidR="005570B5" w:rsidRDefault="005570B5" w:rsidP="00A35B38">
      <w:pPr>
        <w:numPr>
          <w:ilvl w:val="0"/>
          <w:numId w:val="6"/>
        </w:numPr>
        <w:rPr>
          <w:lang w:val="en-US"/>
        </w:rPr>
      </w:pPr>
      <w:r w:rsidRPr="005570B5">
        <w:rPr>
          <w:lang w:val="en-US"/>
        </w:rPr>
        <w:t xml:space="preserve">Inspect the IV bag for particulates and discard if present. </w:t>
      </w:r>
    </w:p>
    <w:p w14:paraId="683F897F" w14:textId="77777777" w:rsidR="00C16DFE" w:rsidRDefault="00C16DFE" w:rsidP="00C16DFE">
      <w:pPr>
        <w:pStyle w:val="ListParagraph"/>
        <w:rPr>
          <w:lang w:val="en-US"/>
        </w:rPr>
      </w:pPr>
    </w:p>
    <w:p w14:paraId="4C07D116" w14:textId="35FFCF22" w:rsidR="005570B5" w:rsidRPr="005570B5" w:rsidRDefault="005D173D" w:rsidP="005570B5">
      <w:pPr>
        <w:rPr>
          <w:iCs/>
          <w:u w:val="single"/>
          <w:lang w:val="en-US"/>
        </w:rPr>
      </w:pPr>
      <w:r w:rsidRPr="005D173D">
        <w:rPr>
          <w:lang w:val="en-US"/>
        </w:rPr>
        <w:t xml:space="preserve">To reduce microbiological hazard, the prepared solution for infusion should be used as soon as practicable after preparation. </w:t>
      </w:r>
      <w:r w:rsidRPr="005D173D">
        <w:rPr>
          <w:iCs/>
          <w:lang w:val="en-US"/>
        </w:rPr>
        <w:t xml:space="preserve">If storage is necessary, the solution for infusion may be held for the storage times provided in Table </w:t>
      </w:r>
      <w:r w:rsidR="001B5ABF">
        <w:rPr>
          <w:iCs/>
          <w:lang w:val="en-US"/>
        </w:rPr>
        <w:t>2</w:t>
      </w:r>
      <w:r>
        <w:rPr>
          <w:iCs/>
          <w:lang w:val="en-US"/>
        </w:rPr>
        <w:t xml:space="preserve">. </w:t>
      </w:r>
      <w:r w:rsidR="005570B5" w:rsidRPr="005570B5">
        <w:rPr>
          <w:lang w:val="en-US"/>
        </w:rPr>
        <w:t xml:space="preserve">. Discard if storage time exceeds these limits. </w:t>
      </w:r>
      <w:r w:rsidR="005570B5" w:rsidRPr="005570B5">
        <w:rPr>
          <w:i/>
          <w:iCs/>
          <w:u w:val="single"/>
          <w:lang w:val="en-US"/>
        </w:rPr>
        <w:t xml:space="preserve">Do not freeze or expose to direct sunlight </w:t>
      </w:r>
      <w:r w:rsidR="005570B5" w:rsidRPr="005570B5">
        <w:rPr>
          <w:iCs/>
          <w:u w:val="single"/>
          <w:lang w:val="en-US"/>
        </w:rPr>
        <w:t>.</w:t>
      </w:r>
    </w:p>
    <w:p w14:paraId="62ED165A" w14:textId="77777777" w:rsidR="005570B5" w:rsidRPr="005570B5" w:rsidRDefault="005570B5" w:rsidP="005570B5">
      <w:pPr>
        <w:rPr>
          <w:lang w:val="en-US"/>
        </w:rPr>
      </w:pPr>
    </w:p>
    <w:p w14:paraId="3B6FD1B7" w14:textId="77777777" w:rsidR="009D6C63" w:rsidRDefault="009D6C63">
      <w:pPr>
        <w:jc w:val="left"/>
        <w:rPr>
          <w:b/>
          <w:lang w:val="en-US"/>
        </w:rPr>
      </w:pPr>
      <w:r>
        <w:rPr>
          <w:b/>
          <w:lang w:val="en-US"/>
        </w:rPr>
        <w:br w:type="page"/>
      </w:r>
    </w:p>
    <w:p w14:paraId="3C7F60F9" w14:textId="24571290" w:rsidR="005570B5" w:rsidRPr="00C16DFE" w:rsidRDefault="00C16DFE" w:rsidP="005570B5">
      <w:pPr>
        <w:rPr>
          <w:b/>
          <w:lang w:val="en-US"/>
        </w:rPr>
      </w:pPr>
      <w:r w:rsidRPr="00C16DFE">
        <w:rPr>
          <w:b/>
          <w:lang w:val="en-US"/>
        </w:rPr>
        <w:lastRenderedPageBreak/>
        <w:t xml:space="preserve">Table </w:t>
      </w:r>
      <w:r w:rsidR="001B5ABF">
        <w:rPr>
          <w:b/>
          <w:lang w:val="en-US"/>
        </w:rPr>
        <w:t>2</w:t>
      </w:r>
      <w:r w:rsidR="001B5ABF" w:rsidRPr="00C16DFE">
        <w:rPr>
          <w:b/>
          <w:lang w:val="en-US"/>
        </w:rPr>
        <w:t xml:space="preserve"> </w:t>
      </w:r>
      <w:r w:rsidR="005D173D" w:rsidRPr="005D173D">
        <w:rPr>
          <w:b/>
          <w:lang w:val="en-US"/>
        </w:rPr>
        <w:t>Maximum Allowable Storage Times of the Solution for Infusion Prior to Administration</w:t>
      </w:r>
    </w:p>
    <w:p w14:paraId="675BF69A" w14:textId="77777777" w:rsidR="00C16DFE" w:rsidRPr="005570B5" w:rsidRDefault="00C16DFE" w:rsidP="000107B3">
      <w:pPr>
        <w:jc w:val="left"/>
        <w:rPr>
          <w:lang w:val="en-US"/>
        </w:rPr>
      </w:pPr>
    </w:p>
    <w:tbl>
      <w:tblPr>
        <w:tblStyle w:val="TableGrid"/>
        <w:tblW w:w="0" w:type="auto"/>
        <w:tblInd w:w="738" w:type="dxa"/>
        <w:tblLook w:val="04A0" w:firstRow="1" w:lastRow="0" w:firstColumn="1" w:lastColumn="0" w:noHBand="0" w:noVBand="1"/>
      </w:tblPr>
      <w:tblGrid>
        <w:gridCol w:w="2970"/>
        <w:gridCol w:w="4716"/>
      </w:tblGrid>
      <w:tr w:rsidR="005570B5" w:rsidRPr="005570B5" w14:paraId="3B1BEC03" w14:textId="77777777" w:rsidTr="003025F1">
        <w:tc>
          <w:tcPr>
            <w:tcW w:w="2970" w:type="dxa"/>
          </w:tcPr>
          <w:p w14:paraId="7DB807F8" w14:textId="77777777" w:rsidR="005570B5" w:rsidRPr="005570B5" w:rsidRDefault="005570B5" w:rsidP="000107B3">
            <w:pPr>
              <w:jc w:val="left"/>
              <w:rPr>
                <w:lang w:val="en-US"/>
              </w:rPr>
            </w:pPr>
            <w:r w:rsidRPr="005570B5">
              <w:rPr>
                <w:lang w:val="en-US"/>
              </w:rPr>
              <w:t>Diluent used to prepare solution for infusion</w:t>
            </w:r>
          </w:p>
        </w:tc>
        <w:tc>
          <w:tcPr>
            <w:tcW w:w="4716" w:type="dxa"/>
          </w:tcPr>
          <w:p w14:paraId="1816BB4B" w14:textId="77777777" w:rsidR="005570B5" w:rsidRPr="005570B5" w:rsidRDefault="005570B5" w:rsidP="000107B3">
            <w:pPr>
              <w:jc w:val="left"/>
              <w:rPr>
                <w:lang w:val="en-US"/>
              </w:rPr>
            </w:pPr>
            <w:r w:rsidRPr="005570B5">
              <w:rPr>
                <w:lang w:val="en-US"/>
              </w:rPr>
              <w:t xml:space="preserve">Solution for infusion </w:t>
            </w:r>
            <w:r w:rsidRPr="005570B5">
              <w:rPr>
                <w:lang w:val="en-US"/>
              </w:rPr>
              <w:br/>
              <w:t>storage conditions</w:t>
            </w:r>
            <w:r w:rsidRPr="005570B5">
              <w:rPr>
                <w:vertAlign w:val="superscript"/>
                <w:lang w:val="en-US"/>
              </w:rPr>
              <w:t>1</w:t>
            </w:r>
          </w:p>
        </w:tc>
      </w:tr>
      <w:tr w:rsidR="005570B5" w:rsidRPr="005570B5" w14:paraId="72DF8377" w14:textId="77777777" w:rsidTr="003025F1">
        <w:tc>
          <w:tcPr>
            <w:tcW w:w="2970" w:type="dxa"/>
          </w:tcPr>
          <w:p w14:paraId="3939F8AC" w14:textId="77777777" w:rsidR="005570B5" w:rsidRPr="005570B5" w:rsidRDefault="005570B5" w:rsidP="000107B3">
            <w:pPr>
              <w:jc w:val="left"/>
              <w:rPr>
                <w:lang w:val="en-US"/>
              </w:rPr>
            </w:pPr>
            <w:r w:rsidRPr="005570B5">
              <w:rPr>
                <w:lang w:val="en-US"/>
              </w:rPr>
              <w:t>0.9% Sodium Chloride</w:t>
            </w:r>
          </w:p>
        </w:tc>
        <w:tc>
          <w:tcPr>
            <w:tcW w:w="4716" w:type="dxa"/>
          </w:tcPr>
          <w:p w14:paraId="0005A033" w14:textId="77777777" w:rsidR="005570B5" w:rsidRPr="005570B5" w:rsidRDefault="005570B5" w:rsidP="000107B3">
            <w:pPr>
              <w:jc w:val="left"/>
              <w:rPr>
                <w:lang w:val="en-US"/>
              </w:rPr>
            </w:pPr>
            <w:r w:rsidRPr="005570B5">
              <w:rPr>
                <w:lang w:val="en-US"/>
              </w:rPr>
              <w:t xml:space="preserve">Up to 24 hours at 2°C to 8°C or up to 4 hours at room temperature (9°C to 25°C) </w:t>
            </w:r>
          </w:p>
        </w:tc>
      </w:tr>
      <w:tr w:rsidR="005570B5" w:rsidRPr="005570B5" w14:paraId="19CE12B8" w14:textId="77777777" w:rsidTr="003025F1">
        <w:tc>
          <w:tcPr>
            <w:tcW w:w="2970" w:type="dxa"/>
            <w:shd w:val="clear" w:color="auto" w:fill="auto"/>
          </w:tcPr>
          <w:p w14:paraId="03C35C41" w14:textId="77777777" w:rsidR="005570B5" w:rsidRPr="005570B5" w:rsidRDefault="005570B5" w:rsidP="000107B3">
            <w:pPr>
              <w:jc w:val="left"/>
              <w:rPr>
                <w:lang w:val="en-US"/>
              </w:rPr>
            </w:pPr>
            <w:r w:rsidRPr="005570B5">
              <w:rPr>
                <w:lang w:val="en-US"/>
              </w:rPr>
              <w:t>0.45% Sodium Chloride</w:t>
            </w:r>
          </w:p>
        </w:tc>
        <w:tc>
          <w:tcPr>
            <w:tcW w:w="4716" w:type="dxa"/>
          </w:tcPr>
          <w:p w14:paraId="78B6D9CA" w14:textId="534E6274" w:rsidR="005570B5" w:rsidRPr="005570B5" w:rsidRDefault="005570B5" w:rsidP="000107B3">
            <w:pPr>
              <w:jc w:val="left"/>
              <w:rPr>
                <w:lang w:val="en-US"/>
              </w:rPr>
            </w:pPr>
            <w:r w:rsidRPr="005570B5">
              <w:rPr>
                <w:lang w:val="en-US"/>
              </w:rPr>
              <w:t xml:space="preserve">Up to </w:t>
            </w:r>
            <w:r w:rsidR="000235D1" w:rsidRPr="000235D1">
              <w:rPr>
                <w:lang w:val="en-US"/>
              </w:rPr>
              <w:t>36</w:t>
            </w:r>
            <w:r w:rsidRPr="005570B5">
              <w:rPr>
                <w:lang w:val="en-US"/>
              </w:rPr>
              <w:t xml:space="preserve"> hours at 2°C to 8°C or up to 8 hours at room temperature (9°C to 25°C)</w:t>
            </w:r>
          </w:p>
        </w:tc>
      </w:tr>
      <w:tr w:rsidR="005570B5" w:rsidRPr="005570B5" w14:paraId="4FDADF05" w14:textId="77777777" w:rsidTr="003025F1">
        <w:tc>
          <w:tcPr>
            <w:tcW w:w="2970" w:type="dxa"/>
            <w:tcBorders>
              <w:bottom w:val="single" w:sz="4" w:space="0" w:color="auto"/>
            </w:tcBorders>
          </w:tcPr>
          <w:p w14:paraId="11B0EBE5" w14:textId="77777777" w:rsidR="005570B5" w:rsidRPr="005570B5" w:rsidRDefault="005570B5" w:rsidP="000107B3">
            <w:pPr>
              <w:jc w:val="left"/>
              <w:rPr>
                <w:lang w:val="en-US"/>
              </w:rPr>
            </w:pPr>
            <w:r w:rsidRPr="005570B5">
              <w:rPr>
                <w:lang w:val="en-US"/>
              </w:rPr>
              <w:t>5% Dextrose</w:t>
            </w:r>
          </w:p>
        </w:tc>
        <w:tc>
          <w:tcPr>
            <w:tcW w:w="4716" w:type="dxa"/>
            <w:tcBorders>
              <w:bottom w:val="single" w:sz="4" w:space="0" w:color="auto"/>
            </w:tcBorders>
          </w:tcPr>
          <w:p w14:paraId="4B567BDE" w14:textId="77777777" w:rsidR="005570B5" w:rsidRPr="005570B5" w:rsidRDefault="005570B5" w:rsidP="000107B3">
            <w:pPr>
              <w:jc w:val="left"/>
              <w:rPr>
                <w:lang w:val="en-US"/>
              </w:rPr>
            </w:pPr>
            <w:r w:rsidRPr="005570B5">
              <w:rPr>
                <w:lang w:val="en-US"/>
              </w:rPr>
              <w:t>Up to 72 hours at 2°C to 8°C or up to 8 hours at room temperature (9°C to 25°C)</w:t>
            </w:r>
          </w:p>
        </w:tc>
      </w:tr>
      <w:tr w:rsidR="005570B5" w:rsidRPr="005570B5" w14:paraId="1FF4F770" w14:textId="77777777" w:rsidTr="003025F1">
        <w:trPr>
          <w:trHeight w:val="530"/>
        </w:trPr>
        <w:tc>
          <w:tcPr>
            <w:tcW w:w="7686" w:type="dxa"/>
            <w:gridSpan w:val="2"/>
            <w:tcBorders>
              <w:left w:val="nil"/>
              <w:bottom w:val="nil"/>
              <w:right w:val="nil"/>
            </w:tcBorders>
          </w:tcPr>
          <w:p w14:paraId="1AAAA7D3" w14:textId="77777777" w:rsidR="005570B5" w:rsidRPr="005570B5" w:rsidRDefault="005570B5" w:rsidP="000107B3">
            <w:pPr>
              <w:jc w:val="left"/>
              <w:rPr>
                <w:lang w:val="en-US"/>
              </w:rPr>
            </w:pPr>
            <w:r w:rsidRPr="005570B5">
              <w:rPr>
                <w:vertAlign w:val="superscript"/>
                <w:lang w:val="en-US"/>
              </w:rPr>
              <w:t>1</w:t>
            </w:r>
            <w:r w:rsidRPr="005570B5">
              <w:rPr>
                <w:lang w:val="en-US"/>
              </w:rPr>
              <w:t>To ensure product stability, do not exceed specified storage durations.</w:t>
            </w:r>
          </w:p>
        </w:tc>
      </w:tr>
    </w:tbl>
    <w:p w14:paraId="31030575" w14:textId="5992304C" w:rsidR="007551DC" w:rsidRPr="000026AD" w:rsidRDefault="005570B5" w:rsidP="000026AD">
      <w:pPr>
        <w:rPr>
          <w:lang w:val="en-US"/>
        </w:rPr>
      </w:pPr>
      <w:r w:rsidRPr="005570B5">
        <w:rPr>
          <w:lang w:val="en-US"/>
        </w:rPr>
        <w:t xml:space="preserve">Avoid transportation of the prepared solution for infusion as agitation stress can result in aggregation. If the prepared solution for infusion will be transported, remove air from the infusion bag and limit transportation to 30 minutes at 9°C to 25°C or </w:t>
      </w:r>
      <w:r w:rsidR="00E75BF9">
        <w:rPr>
          <w:lang w:val="en-US"/>
        </w:rPr>
        <w:t>12</w:t>
      </w:r>
      <w:r w:rsidR="00E75BF9" w:rsidRPr="005570B5">
        <w:rPr>
          <w:lang w:val="en-US"/>
        </w:rPr>
        <w:t xml:space="preserve"> </w:t>
      </w:r>
      <w:r w:rsidRPr="005570B5">
        <w:rPr>
          <w:lang w:val="en-US"/>
        </w:rPr>
        <w:t>hours at 2°C to 8°C. If air is removed, an infusion set with a vented spike is required to ensure accurate dosing during the infusion.</w:t>
      </w:r>
      <w:r w:rsidR="00E75BF9">
        <w:rPr>
          <w:lang w:val="en-US"/>
        </w:rPr>
        <w:t xml:space="preserve"> </w:t>
      </w:r>
      <w:r w:rsidR="00E75BF9" w:rsidRPr="00E75BF9">
        <w:rPr>
          <w:lang w:val="en-GB"/>
        </w:rPr>
        <w:t>The total storage plus transportation times of the diluted product should not exceed the storage duration specified in Table 3.</w:t>
      </w:r>
    </w:p>
    <w:p w14:paraId="397E7973" w14:textId="77777777" w:rsidR="00A5387F" w:rsidRPr="0066646B" w:rsidRDefault="00A5387F" w:rsidP="00A5387F"/>
    <w:p w14:paraId="0C524F30" w14:textId="2831118D" w:rsidR="00A5387F" w:rsidRPr="0066646B" w:rsidRDefault="00A5387F" w:rsidP="00C86DAD">
      <w:r w:rsidRPr="0066646B">
        <w:t>The product is for single use in one patient only. Discard any residue.</w:t>
      </w:r>
    </w:p>
    <w:p w14:paraId="77C1C4B0" w14:textId="509721F5" w:rsidR="008F6CF6" w:rsidRPr="0066646B" w:rsidRDefault="008F6CF6" w:rsidP="00CD75CF">
      <w:pPr>
        <w:pStyle w:val="Heading2"/>
        <w:rPr>
          <w:rFonts w:hint="eastAsia"/>
          <w:lang w:val="en-GB"/>
        </w:rPr>
      </w:pPr>
      <w:r w:rsidRPr="0066646B">
        <w:rPr>
          <w:lang w:val="en-GB"/>
        </w:rPr>
        <w:t>4.3</w:t>
      </w:r>
      <w:r w:rsidRPr="0066646B">
        <w:rPr>
          <w:lang w:val="en-GB"/>
        </w:rPr>
        <w:tab/>
      </w:r>
      <w:r w:rsidR="002B3CE5">
        <w:rPr>
          <w:lang w:val="en-GB"/>
        </w:rPr>
        <w:t>CONTRAINDICATIONS</w:t>
      </w:r>
    </w:p>
    <w:p w14:paraId="5F09B38D" w14:textId="5853CB45" w:rsidR="00FE7BB5" w:rsidRPr="0066646B" w:rsidRDefault="00EE6F17" w:rsidP="00CD75CF">
      <w:r>
        <w:rPr>
          <w:lang w:val="en-US"/>
        </w:rPr>
        <w:t>POLIVY</w:t>
      </w:r>
      <w:r w:rsidR="002B3CE5" w:rsidRPr="002B3CE5">
        <w:rPr>
          <w:lang w:val="en-US"/>
        </w:rPr>
        <w:t xml:space="preserve"> is contraindicated in patients with a known hypersensitivity to polatuzumab vedotin or any of the excipients</w:t>
      </w:r>
      <w:r w:rsidR="00FE7BB5" w:rsidRPr="0066646B">
        <w:t xml:space="preserve"> </w:t>
      </w:r>
    </w:p>
    <w:p w14:paraId="2CE0599F" w14:textId="0C2F1727" w:rsidR="00FE7BB5" w:rsidRDefault="008F6CF6" w:rsidP="00CD75CF">
      <w:pPr>
        <w:pStyle w:val="Heading2"/>
        <w:rPr>
          <w:rFonts w:hint="eastAsia"/>
          <w:lang w:val="en-GB"/>
        </w:rPr>
      </w:pPr>
      <w:r w:rsidRPr="0066646B">
        <w:rPr>
          <w:lang w:val="en-GB"/>
        </w:rPr>
        <w:t>4.4</w:t>
      </w:r>
      <w:r w:rsidRPr="0066646B">
        <w:rPr>
          <w:lang w:val="en-GB"/>
        </w:rPr>
        <w:tab/>
      </w:r>
      <w:r w:rsidR="00D627B8">
        <w:rPr>
          <w:lang w:val="en-GB"/>
        </w:rPr>
        <w:t>SPECIAL WARNINGS AND PRECAUTIONS FOR USE</w:t>
      </w:r>
    </w:p>
    <w:p w14:paraId="70439A97" w14:textId="43247CB7" w:rsidR="00D627B8" w:rsidRDefault="00D627B8" w:rsidP="00D627B8">
      <w:pPr>
        <w:rPr>
          <w:lang w:val="en-GB"/>
        </w:rPr>
      </w:pPr>
      <w:r w:rsidRPr="00D627B8">
        <w:rPr>
          <w:lang w:val="en-US"/>
        </w:rPr>
        <w:t>In order to improve traceability of biological medicinal products, the trade name and the batch number of the administered product should be clearly recorded (or stated) in the patient file.</w:t>
      </w:r>
    </w:p>
    <w:p w14:paraId="78527ED8" w14:textId="77777777" w:rsidR="00D627B8" w:rsidRPr="00D627B8" w:rsidRDefault="00D627B8" w:rsidP="00D627B8">
      <w:pPr>
        <w:pStyle w:val="Heading3"/>
        <w:rPr>
          <w:lang w:val="en-US"/>
        </w:rPr>
      </w:pPr>
      <w:r w:rsidRPr="00D627B8">
        <w:rPr>
          <w:lang w:val="en-US"/>
        </w:rPr>
        <w:t>Myelosuppression</w:t>
      </w:r>
    </w:p>
    <w:p w14:paraId="0FD91ADC" w14:textId="327AB8B1" w:rsidR="00D627B8" w:rsidRDefault="00D627B8" w:rsidP="00D627B8">
      <w:pPr>
        <w:rPr>
          <w:lang w:val="en-US"/>
        </w:rPr>
      </w:pPr>
      <w:r w:rsidRPr="00D627B8">
        <w:rPr>
          <w:lang w:val="en-US"/>
        </w:rPr>
        <w:t xml:space="preserve">Serious and severe neutropenia and febrile neutropenia have been reported in patients treated with </w:t>
      </w:r>
      <w:r w:rsidR="00EE6F17">
        <w:rPr>
          <w:lang w:val="en-US"/>
        </w:rPr>
        <w:t>POLIVY</w:t>
      </w:r>
      <w:r w:rsidRPr="00D627B8">
        <w:rPr>
          <w:lang w:val="en-US"/>
        </w:rPr>
        <w:t xml:space="preserve"> as early as the first cycle of treatment (see </w:t>
      </w:r>
      <w:r w:rsidR="003025F1" w:rsidRPr="00B24449">
        <w:rPr>
          <w:lang w:val="en-US"/>
        </w:rPr>
        <w:t>section</w:t>
      </w:r>
      <w:r w:rsidR="003025F1">
        <w:rPr>
          <w:i/>
          <w:lang w:val="en-US"/>
        </w:rPr>
        <w:t xml:space="preserve"> 4.8 Adverse</w:t>
      </w:r>
      <w:r w:rsidRPr="00D627B8">
        <w:rPr>
          <w:i/>
          <w:lang w:val="en-US"/>
        </w:rPr>
        <w:t xml:space="preserve"> Effects</w:t>
      </w:r>
      <w:r w:rsidR="000107B3">
        <w:rPr>
          <w:i/>
          <w:lang w:val="en-US"/>
        </w:rPr>
        <w:t xml:space="preserve"> </w:t>
      </w:r>
      <w:r w:rsidR="003025F1">
        <w:rPr>
          <w:i/>
          <w:lang w:val="en-US"/>
        </w:rPr>
        <w:t>(Undesirable effects)</w:t>
      </w:r>
      <w:r w:rsidRPr="00D627B8">
        <w:rPr>
          <w:lang w:val="en-US"/>
        </w:rPr>
        <w:t xml:space="preserve">). Prophylactic G-CSF administration should be considered. Grade 3 or 4 thrombocytopenia or anemia can also occur with </w:t>
      </w:r>
      <w:r w:rsidR="00EE6F17">
        <w:rPr>
          <w:lang w:val="en-US"/>
        </w:rPr>
        <w:t>POLIVY</w:t>
      </w:r>
      <w:r w:rsidRPr="00D627B8">
        <w:rPr>
          <w:lang w:val="en-US"/>
        </w:rPr>
        <w:t xml:space="preserve"> (see </w:t>
      </w:r>
      <w:r w:rsidR="003025F1" w:rsidRPr="00B24449">
        <w:rPr>
          <w:lang w:val="en-US"/>
        </w:rPr>
        <w:t>section</w:t>
      </w:r>
      <w:r w:rsidR="003025F1">
        <w:rPr>
          <w:i/>
          <w:lang w:val="en-US"/>
        </w:rPr>
        <w:t xml:space="preserve"> 4.8 Adverse</w:t>
      </w:r>
      <w:r w:rsidR="003025F1" w:rsidRPr="00D627B8">
        <w:rPr>
          <w:i/>
          <w:lang w:val="en-US"/>
        </w:rPr>
        <w:t xml:space="preserve"> Effects</w:t>
      </w:r>
      <w:r w:rsidR="000107B3">
        <w:rPr>
          <w:i/>
          <w:lang w:val="en-US"/>
        </w:rPr>
        <w:t xml:space="preserve"> </w:t>
      </w:r>
      <w:r w:rsidR="003025F1">
        <w:rPr>
          <w:i/>
          <w:lang w:val="en-US"/>
        </w:rPr>
        <w:t>(Undesirable effects)</w:t>
      </w:r>
      <w:r w:rsidRPr="00D627B8">
        <w:rPr>
          <w:lang w:val="en-US"/>
        </w:rPr>
        <w:t xml:space="preserve">). Complete blood counts should be monitored prior to each dose of </w:t>
      </w:r>
      <w:r w:rsidR="00EE6F17">
        <w:rPr>
          <w:lang w:val="en-US"/>
        </w:rPr>
        <w:t>POLIVY</w:t>
      </w:r>
      <w:r w:rsidRPr="00D627B8">
        <w:rPr>
          <w:lang w:val="en-US"/>
        </w:rPr>
        <w:t xml:space="preserve">. More frequent lab monitoring and/or </w:t>
      </w:r>
      <w:r w:rsidR="00EE6F17">
        <w:rPr>
          <w:lang w:val="en-US"/>
        </w:rPr>
        <w:t>POLIVY</w:t>
      </w:r>
      <w:r w:rsidRPr="00D627B8">
        <w:rPr>
          <w:lang w:val="en-US"/>
        </w:rPr>
        <w:t xml:space="preserve"> delays or discontinuation should be considered in patients with Grade 3 or Grade 4 neutropenia and thrombocytopenia (see </w:t>
      </w:r>
      <w:r w:rsidR="003025F1" w:rsidRPr="00B24449">
        <w:rPr>
          <w:lang w:val="en-US"/>
        </w:rPr>
        <w:t xml:space="preserve">section </w:t>
      </w:r>
      <w:r w:rsidR="00B24449" w:rsidRPr="00B24449">
        <w:rPr>
          <w:i/>
        </w:rPr>
        <w:t>4.2 Dose and method of administration</w:t>
      </w:r>
      <w:r w:rsidRPr="00B24449">
        <w:rPr>
          <w:i/>
          <w:lang w:val="en-US"/>
        </w:rPr>
        <w:t>)</w:t>
      </w:r>
      <w:r w:rsidRPr="00D627B8">
        <w:rPr>
          <w:lang w:val="en-US"/>
        </w:rPr>
        <w:t xml:space="preserve">.  </w:t>
      </w:r>
    </w:p>
    <w:p w14:paraId="16E81D1A" w14:textId="2A2E0EB5" w:rsidR="00D627B8" w:rsidRDefault="00D627B8" w:rsidP="00D627B8">
      <w:pPr>
        <w:pStyle w:val="Heading3"/>
        <w:rPr>
          <w:lang w:val="en-US"/>
        </w:rPr>
      </w:pPr>
      <w:r w:rsidRPr="00D627B8">
        <w:rPr>
          <w:lang w:val="en-US"/>
        </w:rPr>
        <w:t xml:space="preserve">Peripheral Neuropathy </w:t>
      </w:r>
    </w:p>
    <w:p w14:paraId="61B1243E" w14:textId="0BCA7E86" w:rsidR="00D627B8" w:rsidRDefault="00D627B8" w:rsidP="00D627B8">
      <w:pPr>
        <w:rPr>
          <w:lang w:val="en-US"/>
        </w:rPr>
      </w:pPr>
      <w:r w:rsidRPr="00D627B8">
        <w:rPr>
          <w:lang w:val="en-US"/>
        </w:rPr>
        <w:t xml:space="preserve">Peripheral neuropathy has been reported in patients treated with </w:t>
      </w:r>
      <w:r w:rsidR="00EE6F17">
        <w:rPr>
          <w:lang w:val="en-US"/>
        </w:rPr>
        <w:t>POLIVY</w:t>
      </w:r>
      <w:r w:rsidRPr="00D627B8">
        <w:rPr>
          <w:lang w:val="en-US"/>
        </w:rPr>
        <w:t xml:space="preserve"> as early as the first cycle of treatment, and the risk increases with sequential doses (see </w:t>
      </w:r>
      <w:r w:rsidR="00B24449" w:rsidRPr="00B24449">
        <w:rPr>
          <w:lang w:val="en-US"/>
        </w:rPr>
        <w:t>section</w:t>
      </w:r>
      <w:r w:rsidR="00B24449">
        <w:rPr>
          <w:i/>
          <w:lang w:val="en-US"/>
        </w:rPr>
        <w:t xml:space="preserve"> 4.8 Adverse</w:t>
      </w:r>
      <w:r w:rsidR="00B24449" w:rsidRPr="00D627B8">
        <w:rPr>
          <w:i/>
          <w:lang w:val="en-US"/>
        </w:rPr>
        <w:t xml:space="preserve"> Effects</w:t>
      </w:r>
      <w:r w:rsidR="000107B3">
        <w:rPr>
          <w:i/>
          <w:lang w:val="en-US"/>
        </w:rPr>
        <w:t xml:space="preserve"> </w:t>
      </w:r>
      <w:r w:rsidR="00B24449">
        <w:rPr>
          <w:i/>
          <w:lang w:val="en-US"/>
        </w:rPr>
        <w:t>(Undesirable effects)</w:t>
      </w:r>
      <w:r w:rsidRPr="00D627B8">
        <w:rPr>
          <w:lang w:val="en-US"/>
        </w:rPr>
        <w:t xml:space="preserve">). Patients with pre-existing peripheral neuropathy may experience worsening of this condition.  Peripheral neuropathy reported with </w:t>
      </w:r>
      <w:r w:rsidR="00EE6F17">
        <w:rPr>
          <w:lang w:val="en-US"/>
        </w:rPr>
        <w:t>POLIVY</w:t>
      </w:r>
      <w:r w:rsidRPr="00D627B8">
        <w:rPr>
          <w:lang w:val="en-US"/>
        </w:rPr>
        <w:t xml:space="preserve"> treatment is predominantly sensory peripheral neuropathy; however, motor and sensorimotor peripheral neuropathy have also been reported. Patients should be monitored for symptoms of peripheral neuropathy such as hypoesthesia, hyperesthesia, paresthesia, dysesthesia, neuropathic pain, </w:t>
      </w:r>
      <w:r w:rsidRPr="00D627B8">
        <w:rPr>
          <w:lang w:val="en-US"/>
        </w:rPr>
        <w:lastRenderedPageBreak/>
        <w:t xml:space="preserve">burning sensation, weakness, or gait disturbance. Patients experiencing new or worsening peripheral neuropathy may require a delay, dose reduction, or discontinuation of </w:t>
      </w:r>
      <w:r w:rsidR="00EE6F17">
        <w:rPr>
          <w:lang w:val="en-US"/>
        </w:rPr>
        <w:t>POLIVY</w:t>
      </w:r>
      <w:r w:rsidRPr="00D627B8">
        <w:rPr>
          <w:lang w:val="en-US"/>
        </w:rPr>
        <w:t xml:space="preserve"> (see </w:t>
      </w:r>
      <w:r w:rsidR="001124CA" w:rsidRPr="00B24449">
        <w:rPr>
          <w:lang w:val="en-US"/>
        </w:rPr>
        <w:t xml:space="preserve">section </w:t>
      </w:r>
      <w:r w:rsidR="001124CA" w:rsidRPr="00B24449">
        <w:rPr>
          <w:i/>
        </w:rPr>
        <w:t>4.2 Dose and method of administration</w:t>
      </w:r>
      <w:r w:rsidR="00B24449">
        <w:rPr>
          <w:lang w:val="en-US"/>
        </w:rPr>
        <w:t>)</w:t>
      </w:r>
      <w:r w:rsidRPr="00D627B8">
        <w:rPr>
          <w:lang w:val="en-US"/>
        </w:rPr>
        <w:t>.</w:t>
      </w:r>
    </w:p>
    <w:p w14:paraId="63C84865" w14:textId="77777777" w:rsidR="00D627B8" w:rsidRPr="00D627B8" w:rsidRDefault="00D627B8" w:rsidP="00D627B8">
      <w:pPr>
        <w:pStyle w:val="Heading3"/>
        <w:rPr>
          <w:lang w:val="en-US"/>
        </w:rPr>
      </w:pPr>
      <w:r w:rsidRPr="00D627B8">
        <w:rPr>
          <w:lang w:val="en-US"/>
        </w:rPr>
        <w:t xml:space="preserve">Infections  </w:t>
      </w:r>
    </w:p>
    <w:p w14:paraId="158E3DC9" w14:textId="16132D31" w:rsidR="00D627B8" w:rsidRPr="00D627B8" w:rsidRDefault="00D627B8" w:rsidP="00D627B8">
      <w:pPr>
        <w:rPr>
          <w:lang w:val="en-US"/>
        </w:rPr>
      </w:pPr>
      <w:r w:rsidRPr="00D627B8">
        <w:rPr>
          <w:lang w:val="en-US"/>
        </w:rPr>
        <w:t xml:space="preserve">Serious, life threatening, or fatal infections, including opportunistic infections, such as pneumonia (including </w:t>
      </w:r>
      <w:r w:rsidRPr="00D627B8">
        <w:rPr>
          <w:i/>
          <w:lang w:val="en-US"/>
        </w:rPr>
        <w:t>pneumocystis jirovecii</w:t>
      </w:r>
      <w:r w:rsidRPr="00D627B8">
        <w:rPr>
          <w:lang w:val="en-US"/>
        </w:rPr>
        <w:t xml:space="preserve"> and other fungal pneumonia), bacteremia, sepsis, herpes infection, and cytomegalovirus infection have been reported in patients treated with </w:t>
      </w:r>
      <w:r w:rsidR="00EE6F17">
        <w:rPr>
          <w:lang w:val="en-US"/>
        </w:rPr>
        <w:t>POLIVY</w:t>
      </w:r>
      <w:r w:rsidRPr="00D627B8">
        <w:rPr>
          <w:lang w:val="en-US"/>
        </w:rPr>
        <w:t xml:space="preserve"> (see </w:t>
      </w:r>
      <w:r w:rsidR="00B24449" w:rsidRPr="00B24449">
        <w:rPr>
          <w:lang w:val="en-US"/>
        </w:rPr>
        <w:t>section</w:t>
      </w:r>
      <w:r w:rsidR="00B24449">
        <w:rPr>
          <w:i/>
          <w:lang w:val="en-US"/>
        </w:rPr>
        <w:t xml:space="preserve"> 4.8 Adverse</w:t>
      </w:r>
      <w:r w:rsidR="00B24449" w:rsidRPr="00D627B8">
        <w:rPr>
          <w:i/>
          <w:lang w:val="en-US"/>
        </w:rPr>
        <w:t xml:space="preserve"> Effects</w:t>
      </w:r>
      <w:r w:rsidR="000107B3">
        <w:rPr>
          <w:i/>
          <w:lang w:val="en-US"/>
        </w:rPr>
        <w:t xml:space="preserve"> </w:t>
      </w:r>
      <w:r w:rsidR="00B24449">
        <w:rPr>
          <w:i/>
          <w:lang w:val="en-US"/>
        </w:rPr>
        <w:t>(Undesirable effects)</w:t>
      </w:r>
      <w:r w:rsidR="00B24449" w:rsidRPr="00D627B8">
        <w:rPr>
          <w:lang w:val="en-US"/>
        </w:rPr>
        <w:t>)</w:t>
      </w:r>
      <w:r w:rsidRPr="00D627B8">
        <w:rPr>
          <w:lang w:val="en-US"/>
        </w:rPr>
        <w:t xml:space="preserve">.  Patients should be closely monitored during treatment for signs of bacterial, fungal, or viral infections.  Anti-infective prophylaxis should be considered. </w:t>
      </w:r>
      <w:r w:rsidR="00EE6F17">
        <w:rPr>
          <w:lang w:val="en-US"/>
        </w:rPr>
        <w:t>POLIVY</w:t>
      </w:r>
      <w:r w:rsidRPr="00D627B8">
        <w:rPr>
          <w:lang w:val="en-US"/>
        </w:rPr>
        <w:t xml:space="preserve"> and any concomitant chemotherapy should be discontinued in patients who dev</w:t>
      </w:r>
      <w:r w:rsidR="001124CA">
        <w:rPr>
          <w:lang w:val="en-US"/>
        </w:rPr>
        <w:t>elop serious infections</w:t>
      </w:r>
      <w:r w:rsidRPr="00D627B8">
        <w:rPr>
          <w:lang w:val="en-US"/>
        </w:rPr>
        <w:t>.</w:t>
      </w:r>
    </w:p>
    <w:p w14:paraId="479108CF" w14:textId="77777777" w:rsidR="00D627B8" w:rsidRPr="00D627B8" w:rsidRDefault="00D627B8" w:rsidP="00D627B8">
      <w:pPr>
        <w:pStyle w:val="Heading3"/>
        <w:rPr>
          <w:lang w:val="en-US"/>
        </w:rPr>
      </w:pPr>
      <w:r w:rsidRPr="00D627B8">
        <w:rPr>
          <w:lang w:val="en-US"/>
        </w:rPr>
        <w:t>Progressive Multifocal Leukoencephalopathy (PML)</w:t>
      </w:r>
    </w:p>
    <w:p w14:paraId="38CE5D15" w14:textId="7A12576E" w:rsidR="00D627B8" w:rsidRPr="00D627B8" w:rsidRDefault="00D627B8" w:rsidP="00D627B8">
      <w:pPr>
        <w:rPr>
          <w:lang w:val="en-US"/>
        </w:rPr>
      </w:pPr>
      <w:r w:rsidRPr="00D627B8">
        <w:rPr>
          <w:lang w:val="en-US"/>
        </w:rPr>
        <w:t xml:space="preserve">PML has been reported with </w:t>
      </w:r>
      <w:r w:rsidR="00EE6F17">
        <w:rPr>
          <w:lang w:val="en-US"/>
        </w:rPr>
        <w:t>POLIVY</w:t>
      </w:r>
      <w:r w:rsidRPr="00D627B8">
        <w:rPr>
          <w:lang w:val="en-US"/>
        </w:rPr>
        <w:t xml:space="preserve"> treatment (see </w:t>
      </w:r>
      <w:r w:rsidR="001124CA" w:rsidRPr="00B24449">
        <w:rPr>
          <w:lang w:val="en-US"/>
        </w:rPr>
        <w:t>section</w:t>
      </w:r>
      <w:r w:rsidR="001124CA">
        <w:rPr>
          <w:i/>
          <w:lang w:val="en-US"/>
        </w:rPr>
        <w:t xml:space="preserve"> 4.8 Adverse</w:t>
      </w:r>
      <w:r w:rsidR="001124CA" w:rsidRPr="00D627B8">
        <w:rPr>
          <w:i/>
          <w:lang w:val="en-US"/>
        </w:rPr>
        <w:t xml:space="preserve"> Effects</w:t>
      </w:r>
      <w:r w:rsidR="000107B3">
        <w:rPr>
          <w:i/>
          <w:lang w:val="en-US"/>
        </w:rPr>
        <w:t xml:space="preserve"> </w:t>
      </w:r>
      <w:r w:rsidR="001124CA">
        <w:rPr>
          <w:i/>
          <w:lang w:val="en-US"/>
        </w:rPr>
        <w:t>(Undesirable effects)</w:t>
      </w:r>
      <w:r w:rsidRPr="000107B3">
        <w:rPr>
          <w:lang w:val="en-US"/>
        </w:rPr>
        <w:t>)</w:t>
      </w:r>
      <w:r w:rsidRPr="00D627B8">
        <w:rPr>
          <w:lang w:val="en-US"/>
        </w:rPr>
        <w:t xml:space="preserve">. Patients should be monitored closely for new or worsening neurological, cognitive, or behavioral changes suggestive of PML. </w:t>
      </w:r>
      <w:r w:rsidR="00EE6F17">
        <w:rPr>
          <w:lang w:val="en-US"/>
        </w:rPr>
        <w:t>POLIVY</w:t>
      </w:r>
      <w:r w:rsidRPr="00D627B8">
        <w:rPr>
          <w:lang w:val="en-US"/>
        </w:rPr>
        <w:t xml:space="preserve"> and any concomitant chemotherapy should be held if PML is suspected and permanently discontinued if the</w:t>
      </w:r>
      <w:r w:rsidR="001124CA">
        <w:rPr>
          <w:lang w:val="en-US"/>
        </w:rPr>
        <w:t xml:space="preserve"> diagnosis is confirmed</w:t>
      </w:r>
      <w:r w:rsidRPr="00D627B8">
        <w:rPr>
          <w:lang w:val="en-US"/>
        </w:rPr>
        <w:t xml:space="preserve">.   </w:t>
      </w:r>
    </w:p>
    <w:p w14:paraId="255C0D95" w14:textId="77777777" w:rsidR="00D627B8" w:rsidRPr="00D627B8" w:rsidRDefault="00D627B8" w:rsidP="002E76AF">
      <w:pPr>
        <w:pStyle w:val="Heading3"/>
        <w:rPr>
          <w:lang w:val="en-US"/>
        </w:rPr>
      </w:pPr>
      <w:r w:rsidRPr="00D627B8">
        <w:rPr>
          <w:lang w:val="en-US"/>
        </w:rPr>
        <w:t>Tumor Lysis Syndrome</w:t>
      </w:r>
    </w:p>
    <w:p w14:paraId="5781C7A6" w14:textId="1E7C92E8" w:rsidR="00D627B8" w:rsidRDefault="00D627B8" w:rsidP="00D627B8">
      <w:pPr>
        <w:rPr>
          <w:lang w:val="en-US"/>
        </w:rPr>
      </w:pPr>
      <w:r w:rsidRPr="00D627B8">
        <w:rPr>
          <w:lang w:val="en-US"/>
        </w:rPr>
        <w:t xml:space="preserve">Patients with high tumor burden and rapidly proliferative tumor may be at increased risk of tumor lysis syndrome.  Appropriate measures in accordance with local guidelines should be taken prior to treatment with </w:t>
      </w:r>
      <w:r w:rsidR="00EE6F17">
        <w:rPr>
          <w:lang w:val="en-US"/>
        </w:rPr>
        <w:t>POLIVY</w:t>
      </w:r>
      <w:r w:rsidRPr="00D627B8">
        <w:rPr>
          <w:lang w:val="en-US"/>
        </w:rPr>
        <w:t xml:space="preserve">.  Patients should be monitored closely for tumor lysis syndrome during treatment with </w:t>
      </w:r>
      <w:r w:rsidR="00EE6F17">
        <w:rPr>
          <w:lang w:val="en-US"/>
        </w:rPr>
        <w:t>POLIVY</w:t>
      </w:r>
      <w:r w:rsidRPr="00D627B8">
        <w:rPr>
          <w:lang w:val="en-US"/>
        </w:rPr>
        <w:t xml:space="preserve">. </w:t>
      </w:r>
    </w:p>
    <w:p w14:paraId="7D2A3844" w14:textId="77777777" w:rsidR="00391600" w:rsidRDefault="00EE6F17" w:rsidP="00391600">
      <w:pPr>
        <w:pStyle w:val="Heading3"/>
        <w:rPr>
          <w:lang w:val="en-US"/>
        </w:rPr>
      </w:pPr>
      <w:r w:rsidRPr="00EE6F17">
        <w:rPr>
          <w:lang w:val="en-US"/>
        </w:rPr>
        <w:t>Embryofetal toxicity</w:t>
      </w:r>
    </w:p>
    <w:p w14:paraId="0E67174C" w14:textId="62414613" w:rsidR="00D627B8" w:rsidRDefault="00D627B8" w:rsidP="00D627B8">
      <w:pPr>
        <w:rPr>
          <w:lang w:val="en-US"/>
        </w:rPr>
      </w:pPr>
      <w:r w:rsidRPr="00D627B8">
        <w:rPr>
          <w:lang w:val="en-US"/>
        </w:rPr>
        <w:t xml:space="preserve">Based on the mechanism of action and nonclinical studies, </w:t>
      </w:r>
      <w:r w:rsidR="00EE6F17">
        <w:rPr>
          <w:lang w:val="en-US"/>
        </w:rPr>
        <w:t>POLIVY</w:t>
      </w:r>
      <w:r w:rsidRPr="00D627B8">
        <w:rPr>
          <w:lang w:val="en-US"/>
        </w:rPr>
        <w:t xml:space="preserve"> can be harmful to the fetus when administered to a pregnant woman. </w:t>
      </w:r>
      <w:r w:rsidRPr="002E76AF">
        <w:rPr>
          <w:lang w:val="en-US"/>
        </w:rPr>
        <w:t>(see</w:t>
      </w:r>
      <w:r w:rsidR="002E76AF" w:rsidRPr="002E76AF">
        <w:rPr>
          <w:lang w:val="en-US"/>
        </w:rPr>
        <w:t xml:space="preserve"> section </w:t>
      </w:r>
      <w:r w:rsidR="002E76AF" w:rsidRPr="002E76AF">
        <w:rPr>
          <w:i/>
          <w:lang w:val="en-US"/>
        </w:rPr>
        <w:t>4.6 Fertility, Pregnancy and Lactation</w:t>
      </w:r>
      <w:r w:rsidRPr="002E76AF">
        <w:rPr>
          <w:lang w:val="en-US"/>
        </w:rPr>
        <w:t>).</w:t>
      </w:r>
      <w:r w:rsidRPr="00D627B8">
        <w:rPr>
          <w:lang w:val="en-US"/>
        </w:rPr>
        <w:t xml:space="preserve"> Advise a pregnant woman of the risk to the fetus. </w:t>
      </w:r>
    </w:p>
    <w:p w14:paraId="2C4715EF" w14:textId="77777777" w:rsidR="00D627B8" w:rsidRPr="00D627B8" w:rsidRDefault="00D627B8" w:rsidP="00D627B8">
      <w:pPr>
        <w:rPr>
          <w:lang w:val="en-US"/>
        </w:rPr>
      </w:pPr>
    </w:p>
    <w:p w14:paraId="23F589B1" w14:textId="5B562442" w:rsidR="00D627B8" w:rsidRDefault="00D627B8" w:rsidP="002E76AF">
      <w:pPr>
        <w:rPr>
          <w:lang w:val="en-US"/>
        </w:rPr>
      </w:pPr>
      <w:r w:rsidRPr="00D627B8">
        <w:rPr>
          <w:lang w:val="en-US"/>
        </w:rPr>
        <w:t xml:space="preserve">Females of reproductive potential should be advised to use effective contraception during treatment with </w:t>
      </w:r>
      <w:r w:rsidR="00EE6F17">
        <w:rPr>
          <w:lang w:val="en-US"/>
        </w:rPr>
        <w:t>POLIVY</w:t>
      </w:r>
      <w:r w:rsidRPr="00D627B8">
        <w:rPr>
          <w:lang w:val="en-US"/>
        </w:rPr>
        <w:t xml:space="preserve"> and for at least 9 months after the last dose. Male patients with female partners of reproductive potential should be advised to use effective contraception during treatment with </w:t>
      </w:r>
      <w:r w:rsidR="00EE6F17">
        <w:rPr>
          <w:lang w:val="en-US"/>
        </w:rPr>
        <w:t>POLIVY</w:t>
      </w:r>
      <w:r w:rsidRPr="00D627B8">
        <w:rPr>
          <w:lang w:val="en-US"/>
        </w:rPr>
        <w:t xml:space="preserve"> and for at least 6 months after the last dose </w:t>
      </w:r>
      <w:r w:rsidR="002E76AF" w:rsidRPr="002E76AF">
        <w:rPr>
          <w:lang w:val="en-US"/>
        </w:rPr>
        <w:t xml:space="preserve">(see section </w:t>
      </w:r>
      <w:r w:rsidR="002E76AF" w:rsidRPr="002E76AF">
        <w:rPr>
          <w:i/>
          <w:lang w:val="en-US"/>
        </w:rPr>
        <w:t>4.6 Fertility, Pregnancy and Lactation</w:t>
      </w:r>
      <w:r w:rsidR="002E76AF" w:rsidRPr="002E76AF">
        <w:rPr>
          <w:lang w:val="en-US"/>
        </w:rPr>
        <w:t>).</w:t>
      </w:r>
    </w:p>
    <w:p w14:paraId="312733B6" w14:textId="77777777" w:rsidR="002E76AF" w:rsidRPr="00D627B8" w:rsidRDefault="002E76AF" w:rsidP="002E76AF">
      <w:pPr>
        <w:pStyle w:val="Heading3"/>
        <w:rPr>
          <w:lang w:val="en-US"/>
        </w:rPr>
      </w:pPr>
      <w:r w:rsidRPr="00D627B8">
        <w:rPr>
          <w:lang w:val="en-US"/>
        </w:rPr>
        <w:t>Hepatic Toxicity</w:t>
      </w:r>
    </w:p>
    <w:p w14:paraId="74140D6E" w14:textId="12B9F170" w:rsidR="002E76AF" w:rsidRDefault="002E76AF" w:rsidP="002E76AF">
      <w:pPr>
        <w:rPr>
          <w:lang w:val="en-US"/>
        </w:rPr>
      </w:pPr>
      <w:r w:rsidRPr="00D627B8">
        <w:rPr>
          <w:lang w:val="en-US"/>
        </w:rPr>
        <w:t xml:space="preserve">Serious cases of hepatic toxicity that were consistent with hepatocellular injury, including elevations of transaminases and/or bilirubin, have occurred in patients treated with </w:t>
      </w:r>
      <w:r w:rsidR="00EE6F17">
        <w:rPr>
          <w:lang w:val="en-US"/>
        </w:rPr>
        <w:t>POLIVY</w:t>
      </w:r>
      <w:r w:rsidRPr="00D627B8">
        <w:rPr>
          <w:lang w:val="en-US"/>
        </w:rPr>
        <w:t>. Preexisting liver disease, elevated baseline liver enzymes, and concomitant medications may increase the risk.  Liver enzymes and bilirubin level should be monitored.</w:t>
      </w:r>
    </w:p>
    <w:p w14:paraId="7E4C7346" w14:textId="66DF573A" w:rsidR="00D627B8" w:rsidRDefault="00D627B8" w:rsidP="00D627B8">
      <w:pPr>
        <w:pStyle w:val="Heading3"/>
        <w:rPr>
          <w:lang w:val="en-US"/>
        </w:rPr>
      </w:pPr>
      <w:r>
        <w:rPr>
          <w:lang w:val="en-US"/>
        </w:rPr>
        <w:t>Use in hepatic impairment</w:t>
      </w:r>
    </w:p>
    <w:p w14:paraId="21223965" w14:textId="02701A07" w:rsidR="00D627B8" w:rsidRPr="00D627B8" w:rsidRDefault="00D627B8" w:rsidP="00D627B8">
      <w:pPr>
        <w:rPr>
          <w:lang w:val="en-US"/>
        </w:rPr>
      </w:pPr>
      <w:r w:rsidRPr="00D627B8">
        <w:rPr>
          <w:lang w:val="en-US"/>
        </w:rPr>
        <w:t xml:space="preserve">The safety and efficacy of </w:t>
      </w:r>
      <w:r w:rsidR="00EE6F17">
        <w:rPr>
          <w:lang w:val="en-US"/>
        </w:rPr>
        <w:t>POLIVY</w:t>
      </w:r>
      <w:r w:rsidRPr="00D627B8">
        <w:rPr>
          <w:lang w:val="en-US"/>
        </w:rPr>
        <w:t xml:space="preserve"> in patients with AST</w:t>
      </w:r>
      <w:r w:rsidR="00674133">
        <w:rPr>
          <w:lang w:val="en-US"/>
        </w:rPr>
        <w:t xml:space="preserve"> </w:t>
      </w:r>
      <w:r w:rsidRPr="00D627B8">
        <w:rPr>
          <w:lang w:val="en-US"/>
        </w:rPr>
        <w:t>&gt;2.5×ULN, ALT</w:t>
      </w:r>
      <w:r w:rsidR="00674133">
        <w:rPr>
          <w:lang w:val="en-US"/>
        </w:rPr>
        <w:t xml:space="preserve"> </w:t>
      </w:r>
      <w:r w:rsidRPr="00D627B8">
        <w:rPr>
          <w:lang w:val="en-US"/>
        </w:rPr>
        <w:t>&gt;2.5×ULN or total bilirubin</w:t>
      </w:r>
      <w:r w:rsidR="00674133">
        <w:rPr>
          <w:lang w:val="en-US"/>
        </w:rPr>
        <w:t xml:space="preserve"> </w:t>
      </w:r>
      <w:r w:rsidRPr="00D627B8">
        <w:rPr>
          <w:lang w:val="en-US"/>
        </w:rPr>
        <w:t>&gt;1.5×ULN has not been formally studied.  Monitor these patients for adverse events after treatment</w:t>
      </w:r>
      <w:r w:rsidR="00196450">
        <w:rPr>
          <w:lang w:val="en-US"/>
        </w:rPr>
        <w:t xml:space="preserve"> </w:t>
      </w:r>
      <w:r w:rsidR="00196450" w:rsidRPr="0066646B">
        <w:t xml:space="preserve">(see sections </w:t>
      </w:r>
      <w:r w:rsidR="00196450" w:rsidRPr="001124CA">
        <w:rPr>
          <w:i/>
        </w:rPr>
        <w:t>4.2</w:t>
      </w:r>
      <w:r w:rsidR="00196450">
        <w:rPr>
          <w:i/>
        </w:rPr>
        <w:t xml:space="preserve"> Special populations </w:t>
      </w:r>
      <w:r w:rsidR="00196450" w:rsidRPr="001124CA">
        <w:t xml:space="preserve">and </w:t>
      </w:r>
      <w:r w:rsidR="00196450" w:rsidRPr="001124CA">
        <w:rPr>
          <w:i/>
        </w:rPr>
        <w:t>5.2</w:t>
      </w:r>
      <w:r w:rsidR="00196450">
        <w:t xml:space="preserve"> </w:t>
      </w:r>
      <w:r w:rsidR="00196450">
        <w:rPr>
          <w:i/>
        </w:rPr>
        <w:t>Pharmacokinetics in special populations</w:t>
      </w:r>
      <w:r w:rsidR="00196450" w:rsidRPr="0066646B">
        <w:t>)</w:t>
      </w:r>
      <w:r w:rsidR="00196450">
        <w:t>.</w:t>
      </w:r>
    </w:p>
    <w:p w14:paraId="2303592A" w14:textId="67A27467" w:rsidR="008F6CF6" w:rsidRPr="0066646B" w:rsidRDefault="008F6CF6" w:rsidP="00CD75CF">
      <w:pPr>
        <w:pStyle w:val="Heading3"/>
        <w:rPr>
          <w:lang w:val="en-GB"/>
        </w:rPr>
      </w:pPr>
      <w:r w:rsidRPr="0066646B">
        <w:rPr>
          <w:lang w:val="en-GB"/>
        </w:rPr>
        <w:lastRenderedPageBreak/>
        <w:t>Use in renal impairment</w:t>
      </w:r>
    </w:p>
    <w:p w14:paraId="19B1AB98" w14:textId="21A324D5" w:rsidR="00FE7BB5" w:rsidRPr="0066646B" w:rsidRDefault="00D627B8" w:rsidP="00CD75CF">
      <w:r w:rsidRPr="00D627B8">
        <w:rPr>
          <w:lang w:val="en-US"/>
        </w:rPr>
        <w:t xml:space="preserve">The safety and efficacy of </w:t>
      </w:r>
      <w:r w:rsidR="00EE6F17">
        <w:rPr>
          <w:lang w:val="en-US"/>
        </w:rPr>
        <w:t>POLIVY</w:t>
      </w:r>
      <w:r w:rsidRPr="00D627B8">
        <w:rPr>
          <w:lang w:val="en-US"/>
        </w:rPr>
        <w:t xml:space="preserve"> in patients with CrCL &lt;30 mL/min has not been formally studied</w:t>
      </w:r>
      <w:r>
        <w:rPr>
          <w:lang w:val="en-US"/>
        </w:rPr>
        <w:t xml:space="preserve"> </w:t>
      </w:r>
      <w:r w:rsidRPr="0066646B">
        <w:t xml:space="preserve">(see sections </w:t>
      </w:r>
      <w:r w:rsidRPr="001124CA">
        <w:rPr>
          <w:i/>
        </w:rPr>
        <w:t>4.2</w:t>
      </w:r>
      <w:r w:rsidR="001124CA">
        <w:rPr>
          <w:i/>
        </w:rPr>
        <w:t xml:space="preserve"> Special populations </w:t>
      </w:r>
      <w:r w:rsidRPr="001124CA">
        <w:t xml:space="preserve">and </w:t>
      </w:r>
      <w:r w:rsidR="001124CA" w:rsidRPr="001124CA">
        <w:rPr>
          <w:i/>
        </w:rPr>
        <w:t>5.2</w:t>
      </w:r>
      <w:r w:rsidR="001124CA">
        <w:t xml:space="preserve"> </w:t>
      </w:r>
      <w:r w:rsidR="001124CA">
        <w:rPr>
          <w:i/>
        </w:rPr>
        <w:t>Pharmacokinetics in special populations</w:t>
      </w:r>
      <w:r w:rsidRPr="0066646B">
        <w:t>)</w:t>
      </w:r>
      <w:r w:rsidR="00FE7BB5" w:rsidRPr="0066646B">
        <w:t>.</w:t>
      </w:r>
    </w:p>
    <w:p w14:paraId="5280614B" w14:textId="77777777" w:rsidR="008F6CF6" w:rsidRPr="0066646B" w:rsidRDefault="008F6CF6" w:rsidP="00CD75CF">
      <w:pPr>
        <w:pStyle w:val="Heading3"/>
        <w:rPr>
          <w:lang w:val="en-GB"/>
        </w:rPr>
      </w:pPr>
      <w:r w:rsidRPr="0066646B">
        <w:rPr>
          <w:lang w:val="en-GB"/>
        </w:rPr>
        <w:t>Use in the elderly</w:t>
      </w:r>
    </w:p>
    <w:p w14:paraId="5010A8C1" w14:textId="38831073" w:rsidR="00FE7BB5" w:rsidRPr="0066646B" w:rsidRDefault="00D627B8" w:rsidP="00CD75CF">
      <w:pPr>
        <w:rPr>
          <w:bCs/>
        </w:rPr>
      </w:pPr>
      <w:r w:rsidRPr="00D627B8">
        <w:rPr>
          <w:bCs/>
          <w:lang w:val="en-US"/>
        </w:rPr>
        <w:t>No overall differences in safety or efficacy w</w:t>
      </w:r>
      <w:r w:rsidR="00674133">
        <w:rPr>
          <w:bCs/>
          <w:lang w:val="en-US"/>
        </w:rPr>
        <w:t>ere observed between patients ≥</w:t>
      </w:r>
      <w:r w:rsidRPr="00D627B8">
        <w:rPr>
          <w:bCs/>
          <w:lang w:val="en-US"/>
        </w:rPr>
        <w:t xml:space="preserve">65 years of age and younger patients </w:t>
      </w:r>
      <w:r w:rsidR="0050482B" w:rsidRPr="0066646B">
        <w:t>(</w:t>
      </w:r>
      <w:r w:rsidR="001124CA" w:rsidRPr="0066646B">
        <w:t xml:space="preserve">see sections </w:t>
      </w:r>
      <w:r w:rsidR="001124CA" w:rsidRPr="001124CA">
        <w:rPr>
          <w:i/>
        </w:rPr>
        <w:t>4.2</w:t>
      </w:r>
      <w:r w:rsidR="001124CA">
        <w:rPr>
          <w:i/>
        </w:rPr>
        <w:t xml:space="preserve"> Special populations </w:t>
      </w:r>
      <w:r w:rsidR="001124CA" w:rsidRPr="001124CA">
        <w:t xml:space="preserve">and </w:t>
      </w:r>
      <w:r w:rsidR="001124CA" w:rsidRPr="001124CA">
        <w:rPr>
          <w:i/>
        </w:rPr>
        <w:t>5.2</w:t>
      </w:r>
      <w:r w:rsidR="001124CA">
        <w:t xml:space="preserve"> </w:t>
      </w:r>
      <w:r w:rsidR="001124CA">
        <w:rPr>
          <w:i/>
        </w:rPr>
        <w:t>Pharmacokinetics in special populations</w:t>
      </w:r>
      <w:r w:rsidR="0050482B" w:rsidRPr="0066646B">
        <w:t>)</w:t>
      </w:r>
      <w:r w:rsidR="00FE7BB5" w:rsidRPr="0066646B">
        <w:rPr>
          <w:bCs/>
        </w:rPr>
        <w:t xml:space="preserve">. </w:t>
      </w:r>
    </w:p>
    <w:p w14:paraId="22216D90" w14:textId="77777777" w:rsidR="008F6CF6" w:rsidRPr="0066646B" w:rsidRDefault="008F6CF6" w:rsidP="00CD75CF">
      <w:pPr>
        <w:pStyle w:val="Heading3"/>
        <w:rPr>
          <w:lang w:val="en-GB"/>
        </w:rPr>
      </w:pPr>
      <w:r w:rsidRPr="0066646B">
        <w:rPr>
          <w:lang w:val="en-GB"/>
        </w:rPr>
        <w:t>Paediatric use</w:t>
      </w:r>
    </w:p>
    <w:p w14:paraId="2A26D958" w14:textId="1B835759" w:rsidR="00FE7BB5" w:rsidRPr="00EE7ADF" w:rsidRDefault="00FE7BB5" w:rsidP="00CD75CF">
      <w:pPr>
        <w:rPr>
          <w:lang w:val="en-GB"/>
        </w:rPr>
      </w:pPr>
      <w:r w:rsidRPr="0066646B">
        <w:t xml:space="preserve">The safety and efficacy of </w:t>
      </w:r>
      <w:r w:rsidR="00BB41B2">
        <w:t>POLIVY</w:t>
      </w:r>
      <w:r w:rsidRPr="0066646B">
        <w:t xml:space="preserve"> in children and adolescents below 18 years of age has not been established</w:t>
      </w:r>
      <w:r w:rsidR="00196450">
        <w:t xml:space="preserve"> </w:t>
      </w:r>
      <w:r w:rsidR="00196450" w:rsidRPr="0066646B">
        <w:t xml:space="preserve">(see sections </w:t>
      </w:r>
      <w:r w:rsidR="00196450" w:rsidRPr="001124CA">
        <w:rPr>
          <w:i/>
        </w:rPr>
        <w:t>4.2</w:t>
      </w:r>
      <w:r w:rsidR="00196450">
        <w:rPr>
          <w:i/>
        </w:rPr>
        <w:t xml:space="preserve"> Special populations </w:t>
      </w:r>
      <w:r w:rsidR="00196450" w:rsidRPr="001124CA">
        <w:t xml:space="preserve">and </w:t>
      </w:r>
      <w:r w:rsidR="00196450" w:rsidRPr="001124CA">
        <w:rPr>
          <w:i/>
        </w:rPr>
        <w:t>5.2</w:t>
      </w:r>
      <w:r w:rsidR="00196450">
        <w:t xml:space="preserve"> </w:t>
      </w:r>
      <w:r w:rsidR="00196450">
        <w:rPr>
          <w:i/>
        </w:rPr>
        <w:t>Pharmacokinetics in special populations</w:t>
      </w:r>
      <w:r w:rsidR="00196450" w:rsidRPr="0066646B">
        <w:t>)</w:t>
      </w:r>
      <w:r w:rsidRPr="0066646B">
        <w:t>.</w:t>
      </w:r>
    </w:p>
    <w:p w14:paraId="07E48DC3" w14:textId="299435E7" w:rsidR="00BA2856" w:rsidRDefault="00BA2856" w:rsidP="00BA2856">
      <w:pPr>
        <w:rPr>
          <w:lang w:val="en-US"/>
        </w:rPr>
      </w:pPr>
      <w:r w:rsidRPr="00D627B8">
        <w:rPr>
          <w:lang w:val="en-US"/>
        </w:rPr>
        <w:t xml:space="preserve"> </w:t>
      </w:r>
    </w:p>
    <w:p w14:paraId="7774F5B1" w14:textId="1F82DEC5" w:rsidR="008F6CF6" w:rsidRDefault="008F6CF6" w:rsidP="00CD75CF">
      <w:pPr>
        <w:pStyle w:val="Heading3"/>
        <w:rPr>
          <w:lang w:val="en-GB"/>
        </w:rPr>
      </w:pPr>
      <w:r w:rsidRPr="003025F1">
        <w:rPr>
          <w:lang w:val="en-GB"/>
        </w:rPr>
        <w:t>Effects on laboratory tests</w:t>
      </w:r>
    </w:p>
    <w:p w14:paraId="7AA8F1D9" w14:textId="644CCBFA" w:rsidR="003025F1" w:rsidRPr="003025F1" w:rsidRDefault="003025F1" w:rsidP="003025F1">
      <w:pPr>
        <w:rPr>
          <w:lang w:val="en-GB"/>
        </w:rPr>
      </w:pPr>
      <w:r>
        <w:rPr>
          <w:lang w:val="en-GB"/>
        </w:rPr>
        <w:t>No data available</w:t>
      </w:r>
    </w:p>
    <w:p w14:paraId="7AAA49E7" w14:textId="77777777" w:rsidR="00727F70" w:rsidRPr="0066646B" w:rsidRDefault="00727F70" w:rsidP="00727F70">
      <w:pPr>
        <w:pStyle w:val="Heading2"/>
        <w:ind w:left="426" w:hanging="426"/>
        <w:rPr>
          <w:rFonts w:hint="eastAsia"/>
          <w:lang w:val="en-GB"/>
        </w:rPr>
      </w:pPr>
      <w:r w:rsidRPr="0066646B">
        <w:rPr>
          <w:lang w:val="en-GB"/>
        </w:rPr>
        <w:t>4.5</w:t>
      </w:r>
      <w:r w:rsidRPr="0066646B">
        <w:rPr>
          <w:lang w:val="en-GB"/>
        </w:rPr>
        <w:tab/>
        <w:t>INTERACTIONS WITH OTHER MEDICINES AND OTHER FORMS OF INTERACTIONS</w:t>
      </w:r>
    </w:p>
    <w:p w14:paraId="71E20C57" w14:textId="0AC8D241" w:rsidR="00727F70" w:rsidRDefault="00727F70" w:rsidP="00727F70">
      <w:pPr>
        <w:rPr>
          <w:lang w:val="en-US"/>
        </w:rPr>
      </w:pPr>
      <w:r w:rsidRPr="001124CA">
        <w:rPr>
          <w:lang w:val="en-US"/>
        </w:rPr>
        <w:t xml:space="preserve">No dedicated clinical drug-drug interaction studies with </w:t>
      </w:r>
      <w:r w:rsidR="00EE6F17">
        <w:rPr>
          <w:lang w:val="en-US"/>
        </w:rPr>
        <w:t>POLIVY</w:t>
      </w:r>
      <w:r w:rsidRPr="001124CA">
        <w:rPr>
          <w:lang w:val="en-US"/>
        </w:rPr>
        <w:t xml:space="preserve"> in humans have been conducted.</w:t>
      </w:r>
    </w:p>
    <w:p w14:paraId="08005554" w14:textId="77777777" w:rsidR="00727F70" w:rsidRPr="001124CA" w:rsidRDefault="00727F70" w:rsidP="00727F70">
      <w:pPr>
        <w:rPr>
          <w:lang w:val="en-US"/>
        </w:rPr>
      </w:pPr>
    </w:p>
    <w:p w14:paraId="0FD62467" w14:textId="77777777" w:rsidR="00727F70" w:rsidRPr="00DE0007" w:rsidRDefault="00727F70" w:rsidP="00727F70">
      <w:pPr>
        <w:rPr>
          <w:i/>
          <w:lang w:val="en-US"/>
        </w:rPr>
      </w:pPr>
      <w:r w:rsidRPr="00DE0007">
        <w:rPr>
          <w:i/>
          <w:lang w:val="en-US"/>
        </w:rPr>
        <w:t>Drug interactions with co-medications that are CYP3A inhibitors, inducers or substrates</w:t>
      </w:r>
    </w:p>
    <w:p w14:paraId="253F2F54" w14:textId="755EB670" w:rsidR="00727F70" w:rsidRPr="001124CA" w:rsidRDefault="00727F70" w:rsidP="00727F70">
      <w:pPr>
        <w:rPr>
          <w:lang w:val="en-US"/>
        </w:rPr>
      </w:pPr>
      <w:r w:rsidRPr="001124CA">
        <w:rPr>
          <w:lang w:val="en-US"/>
        </w:rPr>
        <w:t>Based on physiological</w:t>
      </w:r>
      <w:r w:rsidR="00EE6F17">
        <w:rPr>
          <w:lang w:val="en-US"/>
        </w:rPr>
        <w:t>ly</w:t>
      </w:r>
      <w:r w:rsidRPr="001124CA">
        <w:rPr>
          <w:lang w:val="en-US"/>
        </w:rPr>
        <w:t>-based pharmacokinetic (PBPK) model simulations of MMAE released from polatuzumab vedotin, strong CYP3A inhibitors (e.g., ketoconazole) may increase the area under the concentration-time curve (AUC) of unconjugated MMAE by 48%.  Monitor patients receiving concomitant strong CYP3A inhibitors more closely for signs of toxicities.  Strong CYP3A inducers (e.g., rifamp</w:t>
      </w:r>
      <w:r w:rsidR="001B5ABF">
        <w:rPr>
          <w:lang w:val="en-US"/>
        </w:rPr>
        <w:t>ic</w:t>
      </w:r>
      <w:r w:rsidRPr="001124CA">
        <w:rPr>
          <w:lang w:val="en-US"/>
        </w:rPr>
        <w:t xml:space="preserve">in) may decrease the AUC of unconjugated MMAE by 49%. </w:t>
      </w:r>
    </w:p>
    <w:p w14:paraId="04076DEE" w14:textId="77777777" w:rsidR="00727F70" w:rsidRDefault="00727F70" w:rsidP="00727F70">
      <w:pPr>
        <w:rPr>
          <w:lang w:val="en-US"/>
        </w:rPr>
      </w:pPr>
    </w:p>
    <w:p w14:paraId="2C10F0B8" w14:textId="047F264E" w:rsidR="00727F70" w:rsidRDefault="00727F70" w:rsidP="00727F70">
      <w:pPr>
        <w:rPr>
          <w:lang w:val="en-US"/>
        </w:rPr>
      </w:pPr>
      <w:r w:rsidRPr="001124CA">
        <w:rPr>
          <w:lang w:val="en-US"/>
        </w:rPr>
        <w:t>Unconjugated MMAE is not predicted to alter the AUC of concomitant drugs that are CYP3A substrates (e.g., midazolam).</w:t>
      </w:r>
    </w:p>
    <w:p w14:paraId="1CED26F3" w14:textId="07C9A3D7" w:rsidR="00EE6F17" w:rsidRDefault="00EE6F17" w:rsidP="00727F70">
      <w:pPr>
        <w:rPr>
          <w:lang w:val="en-US"/>
        </w:rPr>
      </w:pPr>
    </w:p>
    <w:p w14:paraId="4290E361" w14:textId="77777777" w:rsidR="00EE6F17" w:rsidRPr="00DE0007" w:rsidRDefault="00EE6F17" w:rsidP="00EE6F17">
      <w:pPr>
        <w:autoSpaceDE w:val="0"/>
        <w:autoSpaceDN w:val="0"/>
        <w:adjustRightInd w:val="0"/>
        <w:spacing w:after="240" w:line="300" w:lineRule="atLeast"/>
        <w:jc w:val="left"/>
        <w:rPr>
          <w:rFonts w:eastAsia="SimSun"/>
          <w:szCs w:val="24"/>
          <w:lang w:val="en-US" w:eastAsia="en-US"/>
        </w:rPr>
      </w:pPr>
      <w:r w:rsidRPr="00DE0007">
        <w:rPr>
          <w:rFonts w:eastAsia="SimSun"/>
          <w:i/>
          <w:iCs/>
          <w:szCs w:val="24"/>
          <w:lang w:val="en-US" w:eastAsia="en-US"/>
        </w:rPr>
        <w:t xml:space="preserve">Co-administration with other CYP substrates </w:t>
      </w:r>
    </w:p>
    <w:p w14:paraId="4B6FE7A4" w14:textId="49489B50" w:rsidR="00EE6F17" w:rsidRPr="00644242" w:rsidRDefault="00EE6F17" w:rsidP="00EE6F17">
      <w:pPr>
        <w:autoSpaceDE w:val="0"/>
        <w:autoSpaceDN w:val="0"/>
        <w:adjustRightInd w:val="0"/>
        <w:spacing w:after="240" w:line="300" w:lineRule="atLeast"/>
        <w:jc w:val="left"/>
        <w:rPr>
          <w:rFonts w:eastAsia="SimSun"/>
          <w:szCs w:val="24"/>
          <w:lang w:val="en-US" w:eastAsia="en-US"/>
        </w:rPr>
      </w:pPr>
      <w:r w:rsidRPr="00644242">
        <w:rPr>
          <w:rFonts w:eastAsia="SimSun"/>
          <w:iCs/>
          <w:szCs w:val="24"/>
          <w:lang w:val="en-US" w:eastAsia="en-US"/>
        </w:rPr>
        <w:t xml:space="preserve">In vitro </w:t>
      </w:r>
      <w:r w:rsidRPr="00644242">
        <w:rPr>
          <w:rFonts w:eastAsia="SimSun"/>
          <w:szCs w:val="24"/>
          <w:lang w:val="en-US" w:eastAsia="en-US"/>
        </w:rPr>
        <w:t>studies indicated that clinical drug-drug interactions are unlikely to occur as a result of MMAE-mediated inhibition of CYP1A2, CYP2B6, CYP2C8, CYP2C9, CYP2C19 or CYP2D6. MMAE does not induce CYP1A2, CYP2B6 or CYP3A4/5</w:t>
      </w:r>
      <w:r w:rsidR="009239A4" w:rsidRPr="00644242">
        <w:rPr>
          <w:rFonts w:eastAsia="SimSun"/>
          <w:szCs w:val="24"/>
          <w:lang w:val="en-US" w:eastAsia="en-US"/>
        </w:rPr>
        <w:t xml:space="preserve"> </w:t>
      </w:r>
      <w:r w:rsidR="009239A4" w:rsidRPr="00644242">
        <w:rPr>
          <w:rFonts w:eastAsia="SimSun"/>
          <w:i/>
          <w:szCs w:val="24"/>
          <w:lang w:val="en-US" w:eastAsia="en-US"/>
        </w:rPr>
        <w:t>in vitro</w:t>
      </w:r>
      <w:r w:rsidRPr="00644242">
        <w:rPr>
          <w:rFonts w:eastAsia="SimSun"/>
          <w:szCs w:val="24"/>
          <w:lang w:val="en-US" w:eastAsia="en-US"/>
        </w:rPr>
        <w:t>.</w:t>
      </w:r>
    </w:p>
    <w:p w14:paraId="1F164B88" w14:textId="77777777" w:rsidR="00EE6F17" w:rsidRPr="00DE0007" w:rsidRDefault="00EE6F17" w:rsidP="00EE6F17">
      <w:pPr>
        <w:autoSpaceDE w:val="0"/>
        <w:autoSpaceDN w:val="0"/>
        <w:adjustRightInd w:val="0"/>
        <w:spacing w:after="240" w:line="300" w:lineRule="atLeast"/>
        <w:jc w:val="left"/>
        <w:rPr>
          <w:rFonts w:eastAsia="SimSun"/>
          <w:i/>
          <w:iCs/>
          <w:szCs w:val="24"/>
          <w:lang w:val="en-US" w:eastAsia="en-US"/>
        </w:rPr>
      </w:pPr>
      <w:r w:rsidRPr="00DE0007">
        <w:rPr>
          <w:rFonts w:eastAsia="SimSun"/>
          <w:i/>
          <w:iCs/>
          <w:szCs w:val="24"/>
          <w:lang w:val="en-US" w:eastAsia="en-US"/>
        </w:rPr>
        <w:t xml:space="preserve">Co-administration with Drugs that are Substrates of Transporters </w:t>
      </w:r>
    </w:p>
    <w:p w14:paraId="355C68CA" w14:textId="77777777" w:rsidR="00EE6F17" w:rsidRPr="00644242" w:rsidRDefault="00EE6F17" w:rsidP="00EE6F17">
      <w:pPr>
        <w:rPr>
          <w:rFonts w:eastAsia="SimSun"/>
          <w:iCs/>
          <w:szCs w:val="24"/>
          <w:lang w:val="en-US" w:eastAsia="en-US"/>
        </w:rPr>
      </w:pPr>
      <w:r w:rsidRPr="00644242">
        <w:rPr>
          <w:rFonts w:eastAsia="SimSun"/>
          <w:iCs/>
          <w:szCs w:val="24"/>
          <w:lang w:val="en-US" w:eastAsia="en-US"/>
        </w:rPr>
        <w:t xml:space="preserve">In vitro </w:t>
      </w:r>
      <w:r w:rsidRPr="00644242">
        <w:rPr>
          <w:rFonts w:eastAsia="SimSun"/>
          <w:szCs w:val="24"/>
          <w:lang w:val="en-US" w:eastAsia="en-US"/>
        </w:rPr>
        <w:t xml:space="preserve">data indicate that MMAE is a P-gp substrate but does not inhibit P-gp at clinically relevant concentrations. MMAE was not an </w:t>
      </w:r>
      <w:r w:rsidRPr="00644242">
        <w:rPr>
          <w:rFonts w:eastAsia="SimSun"/>
          <w:i/>
          <w:szCs w:val="24"/>
          <w:lang w:val="en-US" w:eastAsia="en-US"/>
        </w:rPr>
        <w:t>in vitro</w:t>
      </w:r>
      <w:r w:rsidRPr="00644242">
        <w:rPr>
          <w:rFonts w:eastAsia="SimSun"/>
          <w:szCs w:val="24"/>
          <w:lang w:val="en-US" w:eastAsia="en-US"/>
        </w:rPr>
        <w:t xml:space="preserve"> substrate or inhibitor for the BCRP, MRP2, OATP1B1, OATP1B3, OAT1, OAT3 or OCT2 transporters</w:t>
      </w:r>
      <w:r w:rsidRPr="00644242">
        <w:rPr>
          <w:rFonts w:eastAsia="SimSun"/>
          <w:iCs/>
          <w:szCs w:val="24"/>
          <w:lang w:val="en-US" w:eastAsia="en-US"/>
        </w:rPr>
        <w:t xml:space="preserve">. </w:t>
      </w:r>
      <w:r w:rsidRPr="00644242">
        <w:rPr>
          <w:rFonts w:eastAsia="SimSun"/>
          <w:szCs w:val="24"/>
          <w:lang w:val="en-US" w:eastAsia="en-US"/>
        </w:rPr>
        <w:t xml:space="preserve">MMAE was also not an </w:t>
      </w:r>
      <w:r w:rsidRPr="00644242">
        <w:rPr>
          <w:rFonts w:eastAsia="SimSun"/>
          <w:i/>
          <w:szCs w:val="24"/>
          <w:lang w:val="en-US" w:eastAsia="en-US"/>
        </w:rPr>
        <w:t>in vitro</w:t>
      </w:r>
      <w:r w:rsidRPr="00644242">
        <w:rPr>
          <w:rFonts w:eastAsia="SimSun"/>
          <w:szCs w:val="24"/>
          <w:lang w:val="en-US" w:eastAsia="en-US"/>
        </w:rPr>
        <w:t xml:space="preserve"> inhibitor of BSEP or OAT1.</w:t>
      </w:r>
    </w:p>
    <w:p w14:paraId="5D9F1B76" w14:textId="77777777" w:rsidR="00EE6F17" w:rsidRDefault="00EE6F17" w:rsidP="00727F70">
      <w:pPr>
        <w:rPr>
          <w:lang w:val="en-US"/>
        </w:rPr>
      </w:pPr>
    </w:p>
    <w:p w14:paraId="20EF9198" w14:textId="77777777" w:rsidR="00727F70" w:rsidRPr="001124CA" w:rsidRDefault="00727F70" w:rsidP="00727F70">
      <w:pPr>
        <w:rPr>
          <w:lang w:val="en-US"/>
        </w:rPr>
      </w:pPr>
    </w:p>
    <w:p w14:paraId="21B14A63" w14:textId="77777777" w:rsidR="00727F70" w:rsidRPr="00DE0007" w:rsidRDefault="00727F70" w:rsidP="00DE0007">
      <w:pPr>
        <w:pageBreakBefore/>
        <w:rPr>
          <w:i/>
          <w:lang w:val="en-US"/>
        </w:rPr>
      </w:pPr>
      <w:r w:rsidRPr="00DE0007">
        <w:rPr>
          <w:i/>
          <w:lang w:val="en-US"/>
        </w:rPr>
        <w:lastRenderedPageBreak/>
        <w:t>Drug interactions of rituximab and bendamustine in combination with polatuzumab vedotin</w:t>
      </w:r>
    </w:p>
    <w:p w14:paraId="297F8D76" w14:textId="5536CE0B" w:rsidR="00727F70" w:rsidRDefault="00727F70" w:rsidP="00727F70">
      <w:pPr>
        <w:rPr>
          <w:lang w:val="en-US"/>
        </w:rPr>
      </w:pPr>
      <w:r w:rsidRPr="001124CA">
        <w:rPr>
          <w:lang w:val="en-US"/>
        </w:rPr>
        <w:t xml:space="preserve">The pharmacokinetics (PK) of rituximab and bendamustine are not affected by co-administration with </w:t>
      </w:r>
      <w:r w:rsidR="00EE6F17">
        <w:rPr>
          <w:lang w:val="en-US"/>
        </w:rPr>
        <w:t>POLIVY</w:t>
      </w:r>
      <w:r w:rsidRPr="001124CA">
        <w:rPr>
          <w:lang w:val="en-US"/>
        </w:rPr>
        <w:t xml:space="preserve">. Concomitant rituximab is associated with increased antibody conjugated MMAE (acMMAE) plasma AUC by 24% and decreased unconjugated MMAE plasma AUC by 37%, based on population PK analysis. No dose adjustment is required. </w:t>
      </w:r>
    </w:p>
    <w:p w14:paraId="1D62A503" w14:textId="77777777" w:rsidR="00727F70" w:rsidRPr="001124CA" w:rsidRDefault="00727F70" w:rsidP="00727F70">
      <w:pPr>
        <w:rPr>
          <w:lang w:val="en-US"/>
        </w:rPr>
      </w:pPr>
    </w:p>
    <w:p w14:paraId="6C611FF5" w14:textId="3F037071" w:rsidR="00727F70" w:rsidRDefault="00727F70" w:rsidP="00727F70">
      <w:r w:rsidRPr="001124CA">
        <w:rPr>
          <w:lang w:val="en-US"/>
        </w:rPr>
        <w:t>Bendamustine does not affect acMMAE and unconjugated MMAE plasma AUC</w:t>
      </w:r>
      <w:r>
        <w:t>.</w:t>
      </w:r>
    </w:p>
    <w:p w14:paraId="01FD7932" w14:textId="7A114797" w:rsidR="007D517A" w:rsidRDefault="007D517A" w:rsidP="00727F70"/>
    <w:p w14:paraId="08FA1D0F" w14:textId="77777777" w:rsidR="007D517A" w:rsidRPr="007D517A" w:rsidRDefault="007D517A" w:rsidP="007D517A">
      <w:pPr>
        <w:pStyle w:val="Heading2"/>
        <w:rPr>
          <w:rFonts w:hint="eastAsia"/>
          <w:lang w:val="en-GB"/>
        </w:rPr>
      </w:pPr>
      <w:r w:rsidRPr="007D517A">
        <w:rPr>
          <w:lang w:val="en-GB"/>
        </w:rPr>
        <w:t>4.6</w:t>
      </w:r>
      <w:r w:rsidRPr="007D517A">
        <w:rPr>
          <w:lang w:val="en-GB"/>
        </w:rPr>
        <w:tab/>
        <w:t xml:space="preserve">FERTILITY, PREGNANCY AND LACTATION </w:t>
      </w:r>
    </w:p>
    <w:p w14:paraId="7E396DAF" w14:textId="77777777" w:rsidR="007D517A" w:rsidRPr="007D517A" w:rsidRDefault="007D517A" w:rsidP="007D517A">
      <w:pPr>
        <w:pStyle w:val="Heading3"/>
        <w:rPr>
          <w:lang w:val="en-GB"/>
        </w:rPr>
      </w:pPr>
      <w:r w:rsidRPr="007D517A">
        <w:rPr>
          <w:lang w:val="en-GB"/>
        </w:rPr>
        <w:t>Effects on fertility</w:t>
      </w:r>
    </w:p>
    <w:p w14:paraId="0A4E9067" w14:textId="77777777" w:rsidR="00EE6F17" w:rsidRPr="00474805" w:rsidRDefault="00EE6F17" w:rsidP="00EE6F17">
      <w:pPr>
        <w:pStyle w:val="Paragraph"/>
        <w:spacing w:after="240"/>
        <w:rPr>
          <w:rFonts w:ascii="Times New Roman" w:hAnsi="Times New Roman"/>
          <w:sz w:val="24"/>
        </w:rPr>
      </w:pPr>
      <w:r w:rsidRPr="00474805">
        <w:rPr>
          <w:rFonts w:ascii="Times New Roman" w:hAnsi="Times New Roman"/>
          <w:sz w:val="24"/>
        </w:rPr>
        <w:t xml:space="preserve">The effects of POLIVY on human male and female fertility have not been studied. However, results from a repeat-dose toxicity study in rats indicate the potential for polatuzumab vedotin to impair male reproductive function and fertility. In the 4-week repeat-dose toxicity study in rats with weekly IV dosing of 2, 6, and 10 mg/kg, dose-dependent testicular seminiferous tubule degeneration with abnormal lumen contents in the epididymis was observed. Findings in the testes and epididymis did not reverse following a 6-week treatment-free period and correlated with decreased testes weight and gross findings of small and/or soft testes at recovery necropsy in males given doses </w:t>
      </w:r>
      <w:r w:rsidRPr="00474805">
        <w:rPr>
          <w:rFonts w:ascii="Times New Roman" w:hAnsi="Times New Roman" w:hint="eastAsia"/>
          <w:sz w:val="24"/>
        </w:rPr>
        <w:t>≥</w:t>
      </w:r>
      <w:r w:rsidRPr="00474805">
        <w:rPr>
          <w:rFonts w:ascii="Times New Roman" w:hAnsi="Times New Roman"/>
          <w:sz w:val="24"/>
        </w:rPr>
        <w:t xml:space="preserve"> 2 mg/kg. A no effect level was not established. Although there were no histological abnormalities in female reproductive organs from animal studies, dedicated fertility studies in female animals were not conducted. MMAE, the main active catabolite of polatuzumab vedotin, has been shown to have aneugenic properties in an </w:t>
      </w:r>
      <w:r w:rsidRPr="00474805">
        <w:rPr>
          <w:rFonts w:ascii="Times New Roman" w:hAnsi="Times New Roman"/>
          <w:i/>
          <w:sz w:val="24"/>
        </w:rPr>
        <w:t>in vivo</w:t>
      </w:r>
      <w:r w:rsidRPr="00474805">
        <w:rPr>
          <w:rFonts w:ascii="Times New Roman" w:hAnsi="Times New Roman"/>
          <w:sz w:val="24"/>
        </w:rPr>
        <w:t xml:space="preserve"> rat bone marrow micronucleus study. These results were consistent with the pharmacological effect of MMAE on the mitotic apparatus (disruption of the microtubule network) in cells. </w:t>
      </w:r>
    </w:p>
    <w:p w14:paraId="1552C29B" w14:textId="77777777" w:rsidR="00EE6F17" w:rsidRDefault="00EE6F17" w:rsidP="00EE6F17">
      <w:pPr>
        <w:rPr>
          <w:szCs w:val="24"/>
        </w:rPr>
      </w:pPr>
      <w:r w:rsidRPr="00474805">
        <w:rPr>
          <w:szCs w:val="24"/>
        </w:rPr>
        <w:t>Therefore, men being treated with POLIVY are advised to have sperm samples frozen and stored before treatment. Men being treated with POLIVY are advised to use effective contraception during treatment with POLIVY and not to father a child during treatment and for up to 6 months following the last dose. Effects on spermatogenesis cannot be excluded after a 6 month treatment-free period.</w:t>
      </w:r>
    </w:p>
    <w:p w14:paraId="03D148C8" w14:textId="3CE33DD5" w:rsidR="007D517A" w:rsidRPr="007D517A" w:rsidRDefault="007D517A" w:rsidP="007D517A"/>
    <w:p w14:paraId="6F0192CC" w14:textId="21EF4B74" w:rsidR="00C54120" w:rsidRPr="0066646B" w:rsidRDefault="008F6CF6" w:rsidP="00F5567B">
      <w:pPr>
        <w:pStyle w:val="Heading3"/>
        <w:rPr>
          <w:lang w:val="en-GB"/>
        </w:rPr>
      </w:pPr>
      <w:r w:rsidRPr="0066646B">
        <w:rPr>
          <w:lang w:val="en-GB"/>
        </w:rPr>
        <w:t xml:space="preserve">Use in pregnancy </w:t>
      </w:r>
      <w:r w:rsidR="00F5567B" w:rsidRPr="0066646B">
        <w:rPr>
          <w:lang w:val="en-GB"/>
        </w:rPr>
        <w:t xml:space="preserve">- </w:t>
      </w:r>
      <w:r w:rsidR="005B26F5">
        <w:rPr>
          <w:lang w:val="en-GB"/>
        </w:rPr>
        <w:t>Category D</w:t>
      </w:r>
    </w:p>
    <w:p w14:paraId="1C7A664B" w14:textId="437A41FE" w:rsidR="00EE6F17" w:rsidRDefault="00EE6F17" w:rsidP="00EE6F17">
      <w:r w:rsidRPr="00503899">
        <w:t xml:space="preserve">There are no adequate or well-controlled studies with POLIVY in pregnant women. However, based on its mechanism of action and findings in animals, POLIVY can cause fetal harm when administered to a pregnant woman. </w:t>
      </w:r>
    </w:p>
    <w:p w14:paraId="444280BE" w14:textId="77777777" w:rsidR="00436AD2" w:rsidRPr="00503899" w:rsidRDefault="00436AD2" w:rsidP="00EE6F17"/>
    <w:p w14:paraId="1EB31DF8" w14:textId="3FBE48B7" w:rsidR="00EE6F17" w:rsidRDefault="00EE6F17" w:rsidP="00EE6F17">
      <w:r w:rsidRPr="00503899">
        <w:t xml:space="preserve">Embryofetal lethality and toxicity were seen in a rat embryofetal development study in which pregnant rats received two IV doses of 0.2 mg/kg MMAE, the main active </w:t>
      </w:r>
      <w:r w:rsidR="00743354">
        <w:t>metabolite</w:t>
      </w:r>
      <w:r w:rsidRPr="00503899">
        <w:t xml:space="preserve"> of polatuzumab vedotin, during the period of organogenesis, and included an increased incidence of post-implantation loss, and an increase in the incidence of fetal malformations </w:t>
      </w:r>
      <w:r w:rsidR="00743354">
        <w:rPr>
          <w:color w:val="FF0000"/>
        </w:rPr>
        <w:t xml:space="preserve">including </w:t>
      </w:r>
      <w:r w:rsidRPr="00503899">
        <w:t>protruding tongue, malro</w:t>
      </w:r>
      <w:r w:rsidR="00743354">
        <w:t>tated hindlimbs, gastroschisis and agnathia</w:t>
      </w:r>
      <w:r w:rsidRPr="00503899">
        <w:t xml:space="preserve">. These adverse embryofetal development effects occurred at exposures less than that expected in patients receiving polatuzumab vedotin. </w:t>
      </w:r>
    </w:p>
    <w:p w14:paraId="58917AF3" w14:textId="77777777" w:rsidR="00EE6F17" w:rsidRPr="00503899" w:rsidRDefault="00EE6F17" w:rsidP="00EE6F17"/>
    <w:p w14:paraId="60269D88" w14:textId="77777777" w:rsidR="00EE6F17" w:rsidRDefault="00EE6F17" w:rsidP="00EE6F17">
      <w:r w:rsidRPr="00503899">
        <w:lastRenderedPageBreak/>
        <w:t xml:space="preserve">POLIVY should not be used during pregnancy unless the benefit to the mother outweighs the potential risks to the fetus. If a pregnant woman needs to be treated she should be clearly advised on the potential risk to the fetus. </w:t>
      </w:r>
    </w:p>
    <w:p w14:paraId="447661C4" w14:textId="77777777" w:rsidR="00EE6F17" w:rsidRDefault="00EE6F17" w:rsidP="00EE6F17"/>
    <w:p w14:paraId="0C91839C" w14:textId="77777777" w:rsidR="00EE6F17" w:rsidRDefault="00EE6F17" w:rsidP="00EE6F17">
      <w:r w:rsidRPr="007D517A">
        <w:rPr>
          <w:lang w:val="en-US"/>
        </w:rPr>
        <w:t xml:space="preserve">Females of reproductive potential should be advised to use effective contraception during treatment with </w:t>
      </w:r>
      <w:r>
        <w:rPr>
          <w:lang w:val="en-US"/>
        </w:rPr>
        <w:t>POLIVY</w:t>
      </w:r>
      <w:r w:rsidRPr="007D517A">
        <w:rPr>
          <w:lang w:val="en-US"/>
        </w:rPr>
        <w:t xml:space="preserve"> and for at least 9 months after the last dose</w:t>
      </w:r>
      <w:r>
        <w:rPr>
          <w:lang w:val="en-US"/>
        </w:rPr>
        <w:t>.</w:t>
      </w:r>
    </w:p>
    <w:p w14:paraId="45729E43" w14:textId="77777777" w:rsidR="00EE6F17" w:rsidRPr="00503899" w:rsidRDefault="00EE6F17" w:rsidP="00EE6F17"/>
    <w:p w14:paraId="2EEA5FE8" w14:textId="77777777" w:rsidR="00EE6F17" w:rsidRDefault="00EE6F17" w:rsidP="00EE6F17">
      <w:r w:rsidRPr="00503899">
        <w:t xml:space="preserve">See the </w:t>
      </w:r>
      <w:r w:rsidRPr="00474805">
        <w:t>‘Effects on</w:t>
      </w:r>
      <w:r w:rsidRPr="00503899">
        <w:t xml:space="preserve"> </w:t>
      </w:r>
      <w:r w:rsidRPr="00474805">
        <w:t>fertility’</w:t>
      </w:r>
      <w:r w:rsidRPr="00503899">
        <w:t xml:space="preserve"> section above pertaining to advice for women whose male partners</w:t>
      </w:r>
      <w:r>
        <w:t xml:space="preserve"> are being treated with POLIVY.</w:t>
      </w:r>
    </w:p>
    <w:p w14:paraId="3725AE94" w14:textId="5A2155C0" w:rsidR="00822EEB" w:rsidRPr="0066646B" w:rsidRDefault="00822EEB" w:rsidP="00EE6F17">
      <w:pPr>
        <w:rPr>
          <w:lang w:val="en-GB"/>
        </w:rPr>
      </w:pPr>
    </w:p>
    <w:p w14:paraId="47AFA31D" w14:textId="1AB6BBD8" w:rsidR="008F6CF6" w:rsidRPr="0066646B" w:rsidRDefault="00FE7BB5" w:rsidP="00CD75CF">
      <w:pPr>
        <w:pStyle w:val="Heading3"/>
        <w:rPr>
          <w:lang w:val="en-GB"/>
        </w:rPr>
      </w:pPr>
      <w:r w:rsidRPr="0066646B">
        <w:rPr>
          <w:lang w:val="en-GB"/>
        </w:rPr>
        <w:t>Use in lactation</w:t>
      </w:r>
    </w:p>
    <w:p w14:paraId="32DE0826" w14:textId="4F0BC06E" w:rsidR="00822EEB" w:rsidRDefault="005B26F5" w:rsidP="00CD75CF">
      <w:pPr>
        <w:rPr>
          <w:lang w:val="en-GB"/>
        </w:rPr>
      </w:pPr>
      <w:r w:rsidRPr="005B26F5">
        <w:rPr>
          <w:lang w:val="en-GB"/>
        </w:rPr>
        <w:t xml:space="preserve">It is not known whether </w:t>
      </w:r>
      <w:r w:rsidRPr="005B26F5">
        <w:rPr>
          <w:lang w:val="en-US"/>
        </w:rPr>
        <w:t>polatuzumab vedotin</w:t>
      </w:r>
      <w:r w:rsidRPr="005B26F5">
        <w:rPr>
          <w:lang w:val="en-GB"/>
        </w:rPr>
        <w:t xml:space="preserve"> </w:t>
      </w:r>
      <w:r w:rsidR="007B1C28" w:rsidRPr="007B1C28">
        <w:rPr>
          <w:lang w:val="en-GB"/>
        </w:rPr>
        <w:t xml:space="preserve">or its metabolites </w:t>
      </w:r>
      <w:r w:rsidR="007B1C28">
        <w:rPr>
          <w:lang w:val="en-GB"/>
        </w:rPr>
        <w:t>are</w:t>
      </w:r>
      <w:r w:rsidRPr="005B26F5">
        <w:rPr>
          <w:lang w:val="en-GB"/>
        </w:rPr>
        <w:t xml:space="preserve"> excreted in human breast milk. No studies have been conducted to assess the impact of </w:t>
      </w:r>
      <w:r w:rsidR="00EE6F17">
        <w:rPr>
          <w:lang w:val="en-US"/>
        </w:rPr>
        <w:t>POLIVY</w:t>
      </w:r>
      <w:r w:rsidRPr="005B26F5">
        <w:rPr>
          <w:lang w:val="en-US"/>
        </w:rPr>
        <w:t xml:space="preserve"> </w:t>
      </w:r>
      <w:r w:rsidRPr="005B26F5">
        <w:rPr>
          <w:lang w:val="en-GB"/>
        </w:rPr>
        <w:t xml:space="preserve">on milk production or its presence in breast milk. Since many drugs are excreted in human milk and because of the potential for serious adverse reactions in breastfeeding infants due to </w:t>
      </w:r>
      <w:r w:rsidR="00EE6F17">
        <w:rPr>
          <w:lang w:val="en-GB"/>
        </w:rPr>
        <w:t>POLIVY</w:t>
      </w:r>
      <w:r w:rsidRPr="005B26F5">
        <w:rPr>
          <w:lang w:val="en-GB"/>
        </w:rPr>
        <w:t xml:space="preserve">, women should discontinue breastfeeding during </w:t>
      </w:r>
      <w:r w:rsidR="00EE6F17">
        <w:rPr>
          <w:lang w:val="en-GB"/>
        </w:rPr>
        <w:t>POLIVY</w:t>
      </w:r>
      <w:r w:rsidRPr="005B26F5">
        <w:rPr>
          <w:lang w:val="en-GB"/>
        </w:rPr>
        <w:t xml:space="preserve"> treatment</w:t>
      </w:r>
      <w:r>
        <w:rPr>
          <w:lang w:val="en-GB"/>
        </w:rPr>
        <w:t>.</w:t>
      </w:r>
    </w:p>
    <w:p w14:paraId="6255BB27" w14:textId="783A6750" w:rsidR="007D517A" w:rsidRDefault="007D517A" w:rsidP="00CD75CF">
      <w:pPr>
        <w:rPr>
          <w:lang w:val="en-GB"/>
        </w:rPr>
      </w:pPr>
    </w:p>
    <w:p w14:paraId="3434EB5D" w14:textId="77777777" w:rsidR="007D517A" w:rsidRPr="007D517A" w:rsidRDefault="007D517A" w:rsidP="007D517A">
      <w:pPr>
        <w:pStyle w:val="Heading3"/>
        <w:rPr>
          <w:lang w:val="en-US"/>
        </w:rPr>
      </w:pPr>
      <w:r w:rsidRPr="007D517A">
        <w:rPr>
          <w:lang w:val="en-US"/>
        </w:rPr>
        <w:t>Contraception</w:t>
      </w:r>
    </w:p>
    <w:p w14:paraId="4D96E3C7" w14:textId="10E2252A" w:rsidR="007D517A" w:rsidRPr="007D517A" w:rsidRDefault="007D517A" w:rsidP="007D517A">
      <w:pPr>
        <w:rPr>
          <w:lang w:val="en-US"/>
        </w:rPr>
      </w:pPr>
      <w:r w:rsidRPr="007D517A">
        <w:rPr>
          <w:lang w:val="en-US"/>
        </w:rPr>
        <w:t xml:space="preserve">Females of reproductive potential should be advised to use effective contraception during treatment with </w:t>
      </w:r>
      <w:r w:rsidR="00EE6F17">
        <w:rPr>
          <w:lang w:val="en-US"/>
        </w:rPr>
        <w:t>POLIVY</w:t>
      </w:r>
      <w:r w:rsidRPr="007D517A">
        <w:rPr>
          <w:lang w:val="en-US"/>
        </w:rPr>
        <w:t xml:space="preserve"> and for at least 9 months after the last dose</w:t>
      </w:r>
      <w:r>
        <w:rPr>
          <w:lang w:val="en-US"/>
        </w:rPr>
        <w:t>.</w:t>
      </w:r>
      <w:r w:rsidRPr="007D517A">
        <w:rPr>
          <w:lang w:val="en-US"/>
        </w:rPr>
        <w:t xml:space="preserve">  </w:t>
      </w:r>
    </w:p>
    <w:p w14:paraId="30AD1D24" w14:textId="41D865F7" w:rsidR="007D517A" w:rsidRPr="007D517A" w:rsidRDefault="007D517A" w:rsidP="007D517A">
      <w:pPr>
        <w:rPr>
          <w:lang w:val="en-US"/>
        </w:rPr>
      </w:pPr>
    </w:p>
    <w:p w14:paraId="739A6E68" w14:textId="4EB870A2" w:rsidR="007D517A" w:rsidRPr="0066646B" w:rsidRDefault="007D517A" w:rsidP="007D517A">
      <w:r w:rsidRPr="007D517A">
        <w:rPr>
          <w:lang w:val="en-US"/>
        </w:rPr>
        <w:t xml:space="preserve">Male patients with female partners of reproductive potential should be advised to use effective contraception during treatment with </w:t>
      </w:r>
      <w:r w:rsidR="00EE6F17">
        <w:rPr>
          <w:lang w:val="en-US"/>
        </w:rPr>
        <w:t>POLIVY</w:t>
      </w:r>
      <w:r w:rsidRPr="007D517A">
        <w:rPr>
          <w:lang w:val="en-US"/>
        </w:rPr>
        <w:t xml:space="preserve"> and for at lea</w:t>
      </w:r>
      <w:r>
        <w:rPr>
          <w:lang w:val="en-US"/>
        </w:rPr>
        <w:t>st 6 months after the last dose</w:t>
      </w:r>
      <w:r w:rsidR="001346D2">
        <w:rPr>
          <w:lang w:val="en-US"/>
        </w:rPr>
        <w:t>.</w:t>
      </w:r>
    </w:p>
    <w:p w14:paraId="38115E6F" w14:textId="4B4427B7" w:rsidR="008F6CF6" w:rsidRPr="0066646B" w:rsidRDefault="007D517A" w:rsidP="00CD75CF">
      <w:pPr>
        <w:pStyle w:val="Heading2"/>
        <w:rPr>
          <w:rFonts w:hint="eastAsia"/>
          <w:lang w:val="en-GB"/>
        </w:rPr>
      </w:pPr>
      <w:r w:rsidRPr="0066646B">
        <w:rPr>
          <w:lang w:val="en-GB"/>
        </w:rPr>
        <w:t>4.7</w:t>
      </w:r>
      <w:r w:rsidRPr="0066646B">
        <w:rPr>
          <w:lang w:val="en-GB"/>
        </w:rPr>
        <w:tab/>
        <w:t xml:space="preserve">EFFECTS ON ABILITY TO DRIVE AND USE MACHINES </w:t>
      </w:r>
    </w:p>
    <w:p w14:paraId="42DF6519" w14:textId="03B30A2D" w:rsidR="00822EEB" w:rsidRPr="00F91C07" w:rsidRDefault="00EE6F17" w:rsidP="00F91C07">
      <w:r>
        <w:rPr>
          <w:lang w:val="en-US"/>
        </w:rPr>
        <w:t>POLIVY</w:t>
      </w:r>
      <w:r w:rsidR="00F91C07" w:rsidRPr="00F91C07">
        <w:rPr>
          <w:lang w:val="en-US"/>
        </w:rPr>
        <w:t xml:space="preserve"> may have a minor influence on the ability to drive and use machines. </w:t>
      </w:r>
      <w:r w:rsidR="00F91C07">
        <w:rPr>
          <w:lang w:val="en-US"/>
        </w:rPr>
        <w:t xml:space="preserve"> </w:t>
      </w:r>
      <w:r w:rsidR="00F91C07" w:rsidRPr="00F91C07">
        <w:rPr>
          <w:lang w:val="en-US"/>
        </w:rPr>
        <w:t xml:space="preserve">Infusion related reactions, peripheral neuropathy, fatigue, and dizziness may occur during treatment with </w:t>
      </w:r>
      <w:r>
        <w:rPr>
          <w:lang w:val="en-US"/>
        </w:rPr>
        <w:t>POLIVY</w:t>
      </w:r>
      <w:r w:rsidR="00F91C07">
        <w:rPr>
          <w:lang w:val="en-US"/>
        </w:rPr>
        <w:t xml:space="preserve"> (see section </w:t>
      </w:r>
      <w:r w:rsidR="00F91C07">
        <w:rPr>
          <w:i/>
          <w:lang w:val="en-US"/>
        </w:rPr>
        <w:t xml:space="preserve">4.4 Special warnings and precautions for use </w:t>
      </w:r>
      <w:r w:rsidR="00F91C07">
        <w:rPr>
          <w:lang w:val="en-US"/>
        </w:rPr>
        <w:t xml:space="preserve">and </w:t>
      </w:r>
      <w:r w:rsidR="00F91C07">
        <w:rPr>
          <w:i/>
          <w:lang w:val="en-US"/>
        </w:rPr>
        <w:t>4.8 Adverse effects (Undesirable effects)</w:t>
      </w:r>
      <w:r w:rsidR="00F91C07">
        <w:rPr>
          <w:lang w:val="en-US"/>
        </w:rPr>
        <w:t>)</w:t>
      </w:r>
      <w:r w:rsidR="001346D2">
        <w:rPr>
          <w:lang w:val="en-US"/>
        </w:rPr>
        <w:t>.</w:t>
      </w:r>
    </w:p>
    <w:p w14:paraId="0D60AC6F" w14:textId="15C1441B" w:rsidR="008F6CF6" w:rsidRDefault="00501D5E" w:rsidP="00CD75CF">
      <w:pPr>
        <w:pStyle w:val="Heading2"/>
        <w:rPr>
          <w:rFonts w:hint="eastAsia"/>
          <w:lang w:val="en-GB"/>
        </w:rPr>
      </w:pPr>
      <w:r w:rsidRPr="0066646B">
        <w:rPr>
          <w:lang w:val="en-GB"/>
        </w:rPr>
        <w:t>4.8</w:t>
      </w:r>
      <w:r w:rsidRPr="0066646B">
        <w:rPr>
          <w:lang w:val="en-GB"/>
        </w:rPr>
        <w:tab/>
        <w:t xml:space="preserve">ADVERSE EFFECTS (UNDESIRABLE EFFECTS) </w:t>
      </w:r>
    </w:p>
    <w:p w14:paraId="6BB8A065" w14:textId="60155526" w:rsidR="00F91C07" w:rsidRPr="00A47D6B" w:rsidRDefault="00F91C07" w:rsidP="00501D5E">
      <w:pPr>
        <w:pStyle w:val="Heading3"/>
        <w:rPr>
          <w:lang w:val="en-GB"/>
        </w:rPr>
      </w:pPr>
      <w:r w:rsidRPr="00A47D6B">
        <w:rPr>
          <w:lang w:val="en-GB"/>
        </w:rPr>
        <w:t xml:space="preserve">Clinical Trials </w:t>
      </w:r>
    </w:p>
    <w:p w14:paraId="2D706EF8" w14:textId="77777777" w:rsidR="00F91C07" w:rsidRPr="00F91C07" w:rsidRDefault="00F91C07" w:rsidP="00F91C07">
      <w:pPr>
        <w:rPr>
          <w:lang w:val="en-GB"/>
        </w:rPr>
      </w:pPr>
    </w:p>
    <w:p w14:paraId="67F5C27F" w14:textId="1773A20F" w:rsidR="00F91C07" w:rsidRDefault="00F91C07" w:rsidP="00F91C07">
      <w:pPr>
        <w:rPr>
          <w:lang w:val="en-GB"/>
        </w:rPr>
      </w:pPr>
      <w:r w:rsidRPr="00F91C07">
        <w:rPr>
          <w:lang w:val="en-GB"/>
        </w:rPr>
        <w:t xml:space="preserve">For the clinical development program of </w:t>
      </w:r>
      <w:r w:rsidR="00EE6F17">
        <w:rPr>
          <w:lang w:val="en-GB"/>
        </w:rPr>
        <w:t>POLIVY</w:t>
      </w:r>
      <w:r w:rsidRPr="00F91C07">
        <w:rPr>
          <w:lang w:val="en-GB"/>
        </w:rPr>
        <w:t xml:space="preserve"> as a whole, an estimated total of 588 pa</w:t>
      </w:r>
      <w:r w:rsidR="00464E4E">
        <w:rPr>
          <w:lang w:val="en-GB"/>
        </w:rPr>
        <w:t xml:space="preserve">tients have received </w:t>
      </w:r>
      <w:r w:rsidR="00EE6F17">
        <w:rPr>
          <w:lang w:val="en-GB"/>
        </w:rPr>
        <w:t>POLIVY</w:t>
      </w:r>
      <w:r w:rsidRPr="00F91C07">
        <w:rPr>
          <w:lang w:val="en-GB"/>
        </w:rPr>
        <w:t xml:space="preserve">. The adverse drug reactions (ADRs) described in this section were identified during treatment and follow-up of previously treated diffuse large B-cell lymphoma (DLBCL) patients from the pivotal clinical trial GO29365. This includes run-in phase patients (n=6) and randomized patients (n=39) who received </w:t>
      </w:r>
      <w:r w:rsidR="00EE6F17">
        <w:rPr>
          <w:lang w:val="en-GB"/>
        </w:rPr>
        <w:t>POLIVY</w:t>
      </w:r>
      <w:r w:rsidRPr="00F91C07">
        <w:rPr>
          <w:lang w:val="en-GB"/>
        </w:rPr>
        <w:t xml:space="preserve"> in combination with bendamustine and rituximab (BR) compared to randomized patients (</w:t>
      </w:r>
      <w:r w:rsidR="00A47D6B">
        <w:rPr>
          <w:lang w:val="en-GB"/>
        </w:rPr>
        <w:t>n=39) who received BR alone</w:t>
      </w:r>
      <w:r w:rsidRPr="00F91C07">
        <w:rPr>
          <w:lang w:val="en-GB"/>
        </w:rPr>
        <w:t xml:space="preserve">. Randomized patients in the </w:t>
      </w:r>
      <w:r w:rsidR="00EE6F17">
        <w:rPr>
          <w:lang w:val="en-GB"/>
        </w:rPr>
        <w:t>POLIVY</w:t>
      </w:r>
      <w:r w:rsidRPr="00F91C07">
        <w:rPr>
          <w:lang w:val="en-GB"/>
        </w:rPr>
        <w:t xml:space="preserve"> treatment arm received a median of 5 cycles of treatment while randomized patients in the comparator arm received a median of 3 cycl</w:t>
      </w:r>
      <w:r w:rsidR="00A47D6B">
        <w:rPr>
          <w:lang w:val="en-GB"/>
        </w:rPr>
        <w:t>es of treatment.</w:t>
      </w:r>
    </w:p>
    <w:p w14:paraId="673F7B16" w14:textId="17237A88" w:rsidR="008249CF" w:rsidRDefault="008249CF" w:rsidP="00F91C07">
      <w:pPr>
        <w:rPr>
          <w:lang w:val="en-GB"/>
        </w:rPr>
      </w:pPr>
    </w:p>
    <w:p w14:paraId="577F0A2B" w14:textId="4F066F3B" w:rsidR="008249CF" w:rsidRPr="008249CF" w:rsidRDefault="008249CF" w:rsidP="008249CF">
      <w:pPr>
        <w:rPr>
          <w:lang w:val="en-US"/>
        </w:rPr>
      </w:pPr>
      <w:r w:rsidRPr="008249CF">
        <w:rPr>
          <w:lang w:val="en-US"/>
        </w:rPr>
        <w:t xml:space="preserve">The most frequently-reported (≥30%) ADRs in patients treated with </w:t>
      </w:r>
      <w:r w:rsidR="00EE6F17">
        <w:rPr>
          <w:lang w:val="en-US"/>
        </w:rPr>
        <w:t>POLIVY</w:t>
      </w:r>
      <w:r w:rsidRPr="008249CF">
        <w:rPr>
          <w:lang w:val="en-US"/>
        </w:rPr>
        <w:t xml:space="preserve"> in combination with BR were anemia, thrombocytopenia, neutropenia, fatigue, diarrhea, nausea, and pyrexia. Serious adverse events were reported in 64.4% of </w:t>
      </w:r>
      <w:r w:rsidR="00EE6F17">
        <w:rPr>
          <w:lang w:val="en-US"/>
        </w:rPr>
        <w:t>POLIVY</w:t>
      </w:r>
      <w:r w:rsidRPr="008249CF">
        <w:rPr>
          <w:lang w:val="en-US"/>
        </w:rPr>
        <w:t xml:space="preserve"> plus BR treated patients which </w:t>
      </w:r>
      <w:r w:rsidRPr="008249CF">
        <w:rPr>
          <w:lang w:val="en-US"/>
        </w:rPr>
        <w:lastRenderedPageBreak/>
        <w:t xml:space="preserve">included febrile neutropenia (11.1%), pyrexia (8.9%), pneumonia (8.9%), anemia (4.4%), duodenal ulcer hemorrhage (4.4%), sepsis (4.4%), and thrombocytopenia (4.4%) [36].  </w:t>
      </w:r>
    </w:p>
    <w:p w14:paraId="745D7C98" w14:textId="77777777" w:rsidR="000107B3" w:rsidRDefault="000107B3" w:rsidP="008249CF">
      <w:pPr>
        <w:rPr>
          <w:lang w:val="en-US"/>
        </w:rPr>
      </w:pPr>
    </w:p>
    <w:p w14:paraId="47207E2F" w14:textId="14935CD8" w:rsidR="008249CF" w:rsidRDefault="008249CF" w:rsidP="008249CF">
      <w:pPr>
        <w:rPr>
          <w:lang w:val="en-GB"/>
        </w:rPr>
      </w:pPr>
      <w:r w:rsidRPr="008249CF">
        <w:rPr>
          <w:lang w:val="en-US"/>
        </w:rPr>
        <w:t>ADRs leading to treatment regimen discontinuation in &gt;5% of patients were thrombocytopenia (8.9%) and neutropenia (6.7%).</w:t>
      </w:r>
    </w:p>
    <w:p w14:paraId="103003CC" w14:textId="77777777" w:rsidR="00F91C07" w:rsidRPr="00F91C07" w:rsidRDefault="00F91C07" w:rsidP="00F91C07">
      <w:pPr>
        <w:rPr>
          <w:lang w:val="en-GB"/>
        </w:rPr>
      </w:pPr>
    </w:p>
    <w:p w14:paraId="754EB1A7" w14:textId="0C334185" w:rsidR="00B9340C" w:rsidRDefault="00B9340C" w:rsidP="00CD75CF">
      <w:r w:rsidRPr="0066646B">
        <w:t>The following categories of frequency have been used: very common (≥1/10), common (≥1/100 to &lt;1/10), uncommon (≥1/1,000 to &lt;1/100), rare (≥1/10,000 to &lt;1/1000), very rare (&lt;1/10,000).</w:t>
      </w:r>
    </w:p>
    <w:p w14:paraId="52F0C4BE" w14:textId="3B1AC9A2" w:rsidR="008249CF" w:rsidRDefault="00DF3085" w:rsidP="00DF3085">
      <w:pPr>
        <w:rPr>
          <w:b/>
        </w:rPr>
      </w:pPr>
      <w:bookmarkStart w:id="1" w:name="_Ref467843207"/>
      <w:r w:rsidRPr="00050A94">
        <w:rPr>
          <w:b/>
        </w:rPr>
        <w:t>Table</w:t>
      </w:r>
      <w:bookmarkEnd w:id="1"/>
      <w:r w:rsidR="00050A94" w:rsidRPr="00050A94">
        <w:rPr>
          <w:b/>
        </w:rPr>
        <w:t xml:space="preserve"> </w:t>
      </w:r>
      <w:r w:rsidR="001B5ABF">
        <w:rPr>
          <w:b/>
        </w:rPr>
        <w:t>3</w:t>
      </w:r>
      <w:r w:rsidR="001B5ABF" w:rsidRPr="00050A94">
        <w:rPr>
          <w:b/>
        </w:rPr>
        <w:t xml:space="preserve"> </w:t>
      </w:r>
      <w:r w:rsidRPr="00050A94">
        <w:rPr>
          <w:b/>
        </w:rPr>
        <w:t xml:space="preserve">Summary of adverse drug reactions occurring in previously treated DLBCL patients treated with </w:t>
      </w:r>
      <w:r w:rsidR="00EE6F17">
        <w:rPr>
          <w:b/>
        </w:rPr>
        <w:t>POLIVY</w:t>
      </w:r>
      <w:r w:rsidRPr="00050A94">
        <w:rPr>
          <w:b/>
        </w:rPr>
        <w:t xml:space="preserve"> in combination with BR</w:t>
      </w:r>
    </w:p>
    <w:p w14:paraId="592963BF" w14:textId="77777777" w:rsidR="00050A94" w:rsidRDefault="00050A94" w:rsidP="00DF3085">
      <w:pPr>
        <w:rPr>
          <w:b/>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166"/>
        <w:gridCol w:w="1136"/>
        <w:gridCol w:w="1408"/>
        <w:gridCol w:w="1177"/>
        <w:gridCol w:w="1211"/>
        <w:gridCol w:w="182"/>
        <w:gridCol w:w="1219"/>
      </w:tblGrid>
      <w:tr w:rsidR="006513FE" w:rsidRPr="001C2219" w14:paraId="42391E42" w14:textId="3B9C031C" w:rsidTr="003E122C">
        <w:trPr>
          <w:trHeight w:val="886"/>
          <w:tblHeader/>
        </w:trPr>
        <w:tc>
          <w:tcPr>
            <w:tcW w:w="1006" w:type="pct"/>
            <w:vMerge w:val="restart"/>
            <w:shd w:val="clear" w:color="auto" w:fill="auto"/>
          </w:tcPr>
          <w:p w14:paraId="709A25D8" w14:textId="1ED99247" w:rsidR="001C2219" w:rsidRPr="001C2219" w:rsidRDefault="001C2219" w:rsidP="006513FE">
            <w:pPr>
              <w:jc w:val="left"/>
              <w:rPr>
                <w:bCs/>
                <w:sz w:val="22"/>
                <w:lang w:val="en-US"/>
              </w:rPr>
            </w:pPr>
            <w:r w:rsidRPr="001C2219">
              <w:rPr>
                <w:b/>
                <w:bCs/>
                <w:sz w:val="22"/>
              </w:rPr>
              <w:t>System Order Class/</w:t>
            </w:r>
            <w:r w:rsidRPr="001C2219">
              <w:rPr>
                <w:b/>
                <w:bCs/>
                <w:sz w:val="22"/>
              </w:rPr>
              <w:br/>
              <w:t>ADR (MedDRA Preferred Term)</w:t>
            </w:r>
            <w:r w:rsidRPr="001C2219">
              <w:rPr>
                <w:bCs/>
                <w:sz w:val="22"/>
                <w:lang w:val="en-US"/>
              </w:rPr>
              <w:t xml:space="preserve"> </w:t>
            </w:r>
          </w:p>
        </w:tc>
        <w:tc>
          <w:tcPr>
            <w:tcW w:w="1226" w:type="pct"/>
            <w:gridSpan w:val="2"/>
            <w:shd w:val="clear" w:color="auto" w:fill="auto"/>
          </w:tcPr>
          <w:p w14:paraId="64AAC0D5" w14:textId="47DF698A" w:rsidR="001C2219" w:rsidRPr="001C2219" w:rsidRDefault="00EE6F17" w:rsidP="00810CDF">
            <w:pPr>
              <w:jc w:val="center"/>
              <w:rPr>
                <w:b/>
                <w:sz w:val="22"/>
                <w:lang w:val="it-IT"/>
              </w:rPr>
            </w:pPr>
            <w:r>
              <w:rPr>
                <w:b/>
                <w:sz w:val="22"/>
                <w:lang w:val="it-IT"/>
              </w:rPr>
              <w:t>POLIVY</w:t>
            </w:r>
            <w:r w:rsidR="001C2219" w:rsidRPr="001C2219">
              <w:rPr>
                <w:b/>
                <w:sz w:val="22"/>
                <w:lang w:val="it-IT"/>
              </w:rPr>
              <w:t xml:space="preserve"> + bendamustine + rituximab</w:t>
            </w:r>
          </w:p>
          <w:p w14:paraId="05B4A4D7" w14:textId="77777777" w:rsidR="001C2219" w:rsidRPr="001C2219" w:rsidRDefault="001C2219" w:rsidP="00810CDF">
            <w:pPr>
              <w:jc w:val="center"/>
              <w:rPr>
                <w:b/>
                <w:sz w:val="22"/>
                <w:lang w:val="it-IT"/>
              </w:rPr>
            </w:pPr>
            <w:r w:rsidRPr="001C2219">
              <w:rPr>
                <w:b/>
                <w:sz w:val="22"/>
                <w:lang w:val="it-IT"/>
              </w:rPr>
              <w:t>N = 45</w:t>
            </w:r>
          </w:p>
        </w:tc>
        <w:tc>
          <w:tcPr>
            <w:tcW w:w="750" w:type="pct"/>
            <w:vMerge w:val="restart"/>
          </w:tcPr>
          <w:p w14:paraId="67753505" w14:textId="5198ED7B" w:rsidR="001C2219" w:rsidRPr="001C2219" w:rsidRDefault="001C2219" w:rsidP="00E57542">
            <w:pPr>
              <w:jc w:val="center"/>
              <w:rPr>
                <w:b/>
                <w:bCs/>
                <w:sz w:val="22"/>
                <w:lang w:val="en-US"/>
              </w:rPr>
            </w:pPr>
            <w:r w:rsidRPr="001C2219">
              <w:rPr>
                <w:b/>
                <w:bCs/>
                <w:sz w:val="22"/>
                <w:lang w:val="en-US"/>
              </w:rPr>
              <w:t>Frequency (all grades)</w:t>
            </w:r>
          </w:p>
        </w:tc>
        <w:tc>
          <w:tcPr>
            <w:tcW w:w="1272" w:type="pct"/>
            <w:gridSpan w:val="2"/>
            <w:shd w:val="clear" w:color="auto" w:fill="auto"/>
          </w:tcPr>
          <w:p w14:paraId="7E249070" w14:textId="10BA90B8" w:rsidR="001C2219" w:rsidRPr="001C2219" w:rsidRDefault="001C2219" w:rsidP="00810CDF">
            <w:pPr>
              <w:jc w:val="center"/>
              <w:rPr>
                <w:b/>
                <w:bCs/>
                <w:sz w:val="22"/>
                <w:lang w:val="en-US"/>
              </w:rPr>
            </w:pPr>
            <w:r w:rsidRPr="001C2219">
              <w:rPr>
                <w:b/>
                <w:bCs/>
                <w:sz w:val="22"/>
                <w:lang w:val="en-US"/>
              </w:rPr>
              <w:t>Bendamustine + rituximab</w:t>
            </w:r>
          </w:p>
          <w:p w14:paraId="57BBCB56" w14:textId="604EA228" w:rsidR="001C2219" w:rsidRPr="001C2219" w:rsidRDefault="001C2219" w:rsidP="00810CDF">
            <w:pPr>
              <w:jc w:val="center"/>
              <w:rPr>
                <w:b/>
                <w:bCs/>
                <w:sz w:val="22"/>
                <w:lang w:val="en-US"/>
              </w:rPr>
            </w:pPr>
            <w:r w:rsidRPr="001C2219">
              <w:rPr>
                <w:b/>
                <w:bCs/>
                <w:sz w:val="22"/>
                <w:lang w:val="en-US"/>
              </w:rPr>
              <w:t>N=39</w:t>
            </w:r>
          </w:p>
          <w:p w14:paraId="5A747F01" w14:textId="77777777" w:rsidR="001C2219" w:rsidRPr="001C2219" w:rsidRDefault="001C2219" w:rsidP="00810CDF">
            <w:pPr>
              <w:jc w:val="center"/>
              <w:rPr>
                <w:b/>
                <w:bCs/>
                <w:sz w:val="22"/>
                <w:lang w:val="en-US"/>
              </w:rPr>
            </w:pPr>
          </w:p>
        </w:tc>
        <w:tc>
          <w:tcPr>
            <w:tcW w:w="746" w:type="pct"/>
            <w:gridSpan w:val="2"/>
            <w:vMerge w:val="restart"/>
          </w:tcPr>
          <w:p w14:paraId="0E113E7D" w14:textId="77777777" w:rsidR="001C2219" w:rsidRDefault="001C2219" w:rsidP="00810CDF">
            <w:pPr>
              <w:jc w:val="left"/>
              <w:rPr>
                <w:b/>
                <w:bCs/>
                <w:sz w:val="22"/>
                <w:lang w:val="en-US"/>
              </w:rPr>
            </w:pPr>
            <w:r w:rsidRPr="001C2219">
              <w:rPr>
                <w:b/>
                <w:bCs/>
                <w:sz w:val="22"/>
                <w:lang w:val="en-US"/>
              </w:rPr>
              <w:t xml:space="preserve">Frequency </w:t>
            </w:r>
          </w:p>
          <w:p w14:paraId="6B3016F2" w14:textId="6F7C4934" w:rsidR="001C2219" w:rsidRPr="001C2219" w:rsidRDefault="001C2219" w:rsidP="00810CDF">
            <w:pPr>
              <w:jc w:val="left"/>
              <w:rPr>
                <w:b/>
                <w:bCs/>
                <w:sz w:val="22"/>
                <w:lang w:val="en-US"/>
              </w:rPr>
            </w:pPr>
            <w:r w:rsidRPr="001C2219">
              <w:rPr>
                <w:b/>
                <w:bCs/>
                <w:sz w:val="22"/>
                <w:lang w:val="en-US"/>
              </w:rPr>
              <w:t>(all grades)</w:t>
            </w:r>
          </w:p>
        </w:tc>
      </w:tr>
      <w:tr w:rsidR="006513FE" w:rsidRPr="001C2219" w14:paraId="0ACE8979" w14:textId="2EED3096" w:rsidTr="003E122C">
        <w:trPr>
          <w:trHeight w:val="906"/>
        </w:trPr>
        <w:tc>
          <w:tcPr>
            <w:tcW w:w="1006" w:type="pct"/>
            <w:vMerge/>
            <w:tcBorders>
              <w:bottom w:val="single" w:sz="4" w:space="0" w:color="auto"/>
            </w:tcBorders>
            <w:shd w:val="clear" w:color="auto" w:fill="auto"/>
          </w:tcPr>
          <w:p w14:paraId="244A9C1A" w14:textId="08964A2D" w:rsidR="001C2219" w:rsidRPr="001C2219" w:rsidRDefault="001C2219" w:rsidP="00050A94">
            <w:pPr>
              <w:rPr>
                <w:bCs/>
                <w:sz w:val="22"/>
                <w:lang w:val="en-US"/>
              </w:rPr>
            </w:pPr>
          </w:p>
        </w:tc>
        <w:tc>
          <w:tcPr>
            <w:tcW w:w="621" w:type="pct"/>
            <w:tcBorders>
              <w:bottom w:val="single" w:sz="4" w:space="0" w:color="auto"/>
            </w:tcBorders>
            <w:shd w:val="clear" w:color="auto" w:fill="auto"/>
          </w:tcPr>
          <w:p w14:paraId="5EFADE3B" w14:textId="54C2125D" w:rsidR="001C2219" w:rsidRPr="001C2219" w:rsidRDefault="001C2219" w:rsidP="00810CDF">
            <w:pPr>
              <w:jc w:val="center"/>
              <w:rPr>
                <w:bCs/>
                <w:sz w:val="21"/>
                <w:szCs w:val="21"/>
                <w:lang w:val="en-US"/>
              </w:rPr>
            </w:pPr>
            <w:r w:rsidRPr="001C2219">
              <w:rPr>
                <w:bCs/>
                <w:sz w:val="21"/>
                <w:szCs w:val="21"/>
                <w:lang w:val="en-US"/>
              </w:rPr>
              <w:t>All grades (%)</w:t>
            </w:r>
          </w:p>
        </w:tc>
        <w:tc>
          <w:tcPr>
            <w:tcW w:w="604" w:type="pct"/>
            <w:tcBorders>
              <w:bottom w:val="single" w:sz="4" w:space="0" w:color="auto"/>
            </w:tcBorders>
            <w:shd w:val="clear" w:color="auto" w:fill="auto"/>
          </w:tcPr>
          <w:p w14:paraId="592C71CC" w14:textId="77777777" w:rsidR="001C2219" w:rsidRPr="001C2219" w:rsidRDefault="001C2219" w:rsidP="00810CDF">
            <w:pPr>
              <w:jc w:val="center"/>
              <w:rPr>
                <w:bCs/>
                <w:sz w:val="21"/>
                <w:szCs w:val="21"/>
                <w:lang w:val="en-US"/>
              </w:rPr>
            </w:pPr>
            <w:r w:rsidRPr="001C2219">
              <w:rPr>
                <w:bCs/>
                <w:sz w:val="21"/>
                <w:szCs w:val="21"/>
                <w:lang w:val="en-US"/>
              </w:rPr>
              <w:t>Grades 3-4 (%)</w:t>
            </w:r>
          </w:p>
        </w:tc>
        <w:tc>
          <w:tcPr>
            <w:tcW w:w="750" w:type="pct"/>
            <w:vMerge/>
            <w:tcBorders>
              <w:bottom w:val="single" w:sz="4" w:space="0" w:color="auto"/>
            </w:tcBorders>
          </w:tcPr>
          <w:p w14:paraId="425E8BEB" w14:textId="237EC6AF" w:rsidR="001C2219" w:rsidRPr="001C2219" w:rsidRDefault="001C2219" w:rsidP="00E57542">
            <w:pPr>
              <w:jc w:val="center"/>
              <w:rPr>
                <w:bCs/>
                <w:sz w:val="21"/>
                <w:szCs w:val="21"/>
                <w:lang w:val="en-US"/>
              </w:rPr>
            </w:pPr>
          </w:p>
        </w:tc>
        <w:tc>
          <w:tcPr>
            <w:tcW w:w="627" w:type="pct"/>
            <w:tcBorders>
              <w:bottom w:val="single" w:sz="4" w:space="0" w:color="auto"/>
            </w:tcBorders>
            <w:shd w:val="clear" w:color="auto" w:fill="auto"/>
          </w:tcPr>
          <w:p w14:paraId="0EAC2E22" w14:textId="46E74A4F" w:rsidR="001C2219" w:rsidRPr="001C2219" w:rsidRDefault="001C2219" w:rsidP="001C2219">
            <w:pPr>
              <w:jc w:val="center"/>
              <w:rPr>
                <w:bCs/>
                <w:sz w:val="21"/>
                <w:szCs w:val="21"/>
                <w:lang w:val="en-US"/>
              </w:rPr>
            </w:pPr>
            <w:r w:rsidRPr="001C2219">
              <w:rPr>
                <w:bCs/>
                <w:sz w:val="21"/>
                <w:szCs w:val="21"/>
                <w:lang w:val="en-US"/>
              </w:rPr>
              <w:t>All grades (%)</w:t>
            </w:r>
          </w:p>
        </w:tc>
        <w:tc>
          <w:tcPr>
            <w:tcW w:w="645" w:type="pct"/>
            <w:tcBorders>
              <w:bottom w:val="single" w:sz="4" w:space="0" w:color="auto"/>
            </w:tcBorders>
            <w:shd w:val="clear" w:color="auto" w:fill="auto"/>
          </w:tcPr>
          <w:p w14:paraId="7E7287BE" w14:textId="77777777" w:rsidR="001C2219" w:rsidRPr="001C2219" w:rsidRDefault="001C2219" w:rsidP="00810CDF">
            <w:pPr>
              <w:jc w:val="center"/>
              <w:rPr>
                <w:bCs/>
                <w:sz w:val="21"/>
                <w:szCs w:val="21"/>
                <w:lang w:val="en-US"/>
              </w:rPr>
            </w:pPr>
            <w:r w:rsidRPr="001C2219">
              <w:rPr>
                <w:bCs/>
                <w:sz w:val="21"/>
                <w:szCs w:val="21"/>
                <w:lang w:val="en-US"/>
              </w:rPr>
              <w:t>Grades 3-4 (%)</w:t>
            </w:r>
          </w:p>
        </w:tc>
        <w:tc>
          <w:tcPr>
            <w:tcW w:w="746" w:type="pct"/>
            <w:gridSpan w:val="2"/>
            <w:vMerge/>
            <w:tcBorders>
              <w:bottom w:val="single" w:sz="4" w:space="0" w:color="auto"/>
            </w:tcBorders>
          </w:tcPr>
          <w:p w14:paraId="5C6DA8E8" w14:textId="77777777" w:rsidR="001C2219" w:rsidRPr="001C2219" w:rsidRDefault="001C2219" w:rsidP="00810CDF">
            <w:pPr>
              <w:jc w:val="left"/>
              <w:rPr>
                <w:b/>
                <w:bCs/>
                <w:sz w:val="22"/>
                <w:lang w:val="en-US"/>
              </w:rPr>
            </w:pPr>
          </w:p>
        </w:tc>
      </w:tr>
      <w:tr w:rsidR="00E57542" w:rsidRPr="001C2219" w14:paraId="3A2304A1" w14:textId="75F5B1E2" w:rsidTr="003E122C">
        <w:tc>
          <w:tcPr>
            <w:tcW w:w="4351" w:type="pct"/>
            <w:gridSpan w:val="7"/>
            <w:tcBorders>
              <w:bottom w:val="nil"/>
              <w:right w:val="nil"/>
            </w:tcBorders>
          </w:tcPr>
          <w:p w14:paraId="307CADC4" w14:textId="2FD8974F" w:rsidR="00E57542" w:rsidRPr="001C2219" w:rsidRDefault="00E57542" w:rsidP="00810CDF">
            <w:pPr>
              <w:jc w:val="left"/>
              <w:rPr>
                <w:b/>
                <w:sz w:val="22"/>
                <w:lang w:val="en-US"/>
              </w:rPr>
            </w:pPr>
            <w:r w:rsidRPr="001C2219">
              <w:rPr>
                <w:b/>
                <w:bCs/>
                <w:sz w:val="22"/>
                <w:lang w:val="en-US"/>
              </w:rPr>
              <w:t>Infections and Infestations</w:t>
            </w:r>
          </w:p>
        </w:tc>
        <w:tc>
          <w:tcPr>
            <w:tcW w:w="649" w:type="pct"/>
            <w:tcBorders>
              <w:left w:val="nil"/>
              <w:bottom w:val="nil"/>
            </w:tcBorders>
          </w:tcPr>
          <w:p w14:paraId="6DB610A0" w14:textId="77777777" w:rsidR="00E57542" w:rsidRPr="001C2219" w:rsidRDefault="00E57542" w:rsidP="00A23876">
            <w:pPr>
              <w:jc w:val="center"/>
              <w:rPr>
                <w:b/>
                <w:bCs/>
                <w:sz w:val="22"/>
                <w:lang w:val="en-US"/>
              </w:rPr>
            </w:pPr>
          </w:p>
        </w:tc>
      </w:tr>
      <w:tr w:rsidR="006513FE" w:rsidRPr="001C2219" w14:paraId="60FF49D6" w14:textId="7CA8CF1F" w:rsidTr="003E122C">
        <w:tc>
          <w:tcPr>
            <w:tcW w:w="1006" w:type="pct"/>
            <w:tcBorders>
              <w:top w:val="nil"/>
              <w:bottom w:val="single" w:sz="4" w:space="0" w:color="auto"/>
              <w:right w:val="nil"/>
            </w:tcBorders>
            <w:shd w:val="clear" w:color="auto" w:fill="auto"/>
          </w:tcPr>
          <w:p w14:paraId="6C7578D1" w14:textId="77777777" w:rsidR="00E57542" w:rsidRPr="001C2219" w:rsidRDefault="00E57542" w:rsidP="00E57542">
            <w:pPr>
              <w:rPr>
                <w:bCs/>
                <w:sz w:val="22"/>
                <w:lang w:val="en-US"/>
              </w:rPr>
            </w:pPr>
            <w:r w:rsidRPr="001C2219">
              <w:rPr>
                <w:bCs/>
                <w:sz w:val="22"/>
                <w:lang w:val="en-US"/>
              </w:rPr>
              <w:t>Pneumonia</w:t>
            </w:r>
            <w:r w:rsidRPr="001C2219">
              <w:rPr>
                <w:bCs/>
                <w:sz w:val="22"/>
                <w:vertAlign w:val="superscript"/>
                <w:lang w:val="en-US"/>
              </w:rPr>
              <w:t>a</w:t>
            </w:r>
          </w:p>
        </w:tc>
        <w:tc>
          <w:tcPr>
            <w:tcW w:w="621" w:type="pct"/>
            <w:tcBorders>
              <w:top w:val="nil"/>
              <w:left w:val="nil"/>
              <w:bottom w:val="single" w:sz="4" w:space="0" w:color="auto"/>
              <w:right w:val="nil"/>
            </w:tcBorders>
            <w:shd w:val="clear" w:color="auto" w:fill="auto"/>
          </w:tcPr>
          <w:p w14:paraId="71A8CC14" w14:textId="77777777" w:rsidR="00E57542" w:rsidRPr="001C2219" w:rsidRDefault="00E57542" w:rsidP="00810CDF">
            <w:pPr>
              <w:jc w:val="center"/>
              <w:rPr>
                <w:sz w:val="22"/>
                <w:lang w:val="en-US"/>
              </w:rPr>
            </w:pPr>
            <w:r w:rsidRPr="001C2219">
              <w:rPr>
                <w:sz w:val="22"/>
                <w:lang w:val="en-US"/>
              </w:rPr>
              <w:t>15.6</w:t>
            </w:r>
          </w:p>
        </w:tc>
        <w:tc>
          <w:tcPr>
            <w:tcW w:w="604" w:type="pct"/>
            <w:tcBorders>
              <w:top w:val="nil"/>
              <w:left w:val="nil"/>
              <w:bottom w:val="single" w:sz="4" w:space="0" w:color="auto"/>
              <w:right w:val="nil"/>
            </w:tcBorders>
            <w:shd w:val="clear" w:color="auto" w:fill="auto"/>
          </w:tcPr>
          <w:p w14:paraId="73AA19AB" w14:textId="77777777" w:rsidR="00E57542" w:rsidRPr="001C2219" w:rsidRDefault="00E57542" w:rsidP="00810CDF">
            <w:pPr>
              <w:jc w:val="center"/>
              <w:rPr>
                <w:sz w:val="22"/>
                <w:lang w:val="en-US"/>
              </w:rPr>
            </w:pPr>
            <w:r w:rsidRPr="001C2219">
              <w:rPr>
                <w:sz w:val="22"/>
                <w:lang w:val="en-US"/>
              </w:rPr>
              <w:t>6.7</w:t>
            </w:r>
          </w:p>
        </w:tc>
        <w:tc>
          <w:tcPr>
            <w:tcW w:w="750" w:type="pct"/>
            <w:tcBorders>
              <w:top w:val="nil"/>
              <w:left w:val="nil"/>
              <w:bottom w:val="single" w:sz="4" w:space="0" w:color="auto"/>
              <w:right w:val="nil"/>
            </w:tcBorders>
          </w:tcPr>
          <w:p w14:paraId="53446E13" w14:textId="6A79FD92" w:rsidR="00E57542" w:rsidRPr="001C2219" w:rsidRDefault="00A23876" w:rsidP="00E57542">
            <w:pPr>
              <w:jc w:val="center"/>
              <w:rPr>
                <w:sz w:val="22"/>
                <w:lang w:val="en-US"/>
              </w:rPr>
            </w:pPr>
            <w:r>
              <w:rPr>
                <w:sz w:val="22"/>
                <w:lang w:val="en-US"/>
              </w:rPr>
              <w:t>Very common</w:t>
            </w:r>
          </w:p>
        </w:tc>
        <w:tc>
          <w:tcPr>
            <w:tcW w:w="627" w:type="pct"/>
            <w:tcBorders>
              <w:top w:val="nil"/>
              <w:left w:val="nil"/>
              <w:bottom w:val="single" w:sz="4" w:space="0" w:color="auto"/>
              <w:right w:val="nil"/>
            </w:tcBorders>
            <w:shd w:val="clear" w:color="auto" w:fill="auto"/>
          </w:tcPr>
          <w:p w14:paraId="5FA79F71" w14:textId="4DEE8A82" w:rsidR="00E57542" w:rsidRPr="001C2219" w:rsidRDefault="00E57542" w:rsidP="00810CDF">
            <w:pPr>
              <w:jc w:val="center"/>
              <w:rPr>
                <w:sz w:val="22"/>
                <w:lang w:val="en-US"/>
              </w:rPr>
            </w:pPr>
            <w:r w:rsidRPr="001C2219">
              <w:rPr>
                <w:sz w:val="22"/>
                <w:lang w:val="en-US"/>
              </w:rPr>
              <w:t>10.3</w:t>
            </w:r>
          </w:p>
        </w:tc>
        <w:tc>
          <w:tcPr>
            <w:tcW w:w="645" w:type="pct"/>
            <w:tcBorders>
              <w:top w:val="nil"/>
              <w:left w:val="nil"/>
              <w:bottom w:val="single" w:sz="4" w:space="0" w:color="auto"/>
              <w:right w:val="nil"/>
            </w:tcBorders>
          </w:tcPr>
          <w:p w14:paraId="3C9CA8AA" w14:textId="77777777" w:rsidR="00E57542" w:rsidRPr="001C2219" w:rsidRDefault="00E57542" w:rsidP="00810CDF">
            <w:pPr>
              <w:jc w:val="center"/>
              <w:rPr>
                <w:sz w:val="22"/>
                <w:lang w:val="en-US"/>
              </w:rPr>
            </w:pPr>
            <w:r w:rsidRPr="001C2219">
              <w:rPr>
                <w:sz w:val="22"/>
                <w:lang w:val="en-US"/>
              </w:rPr>
              <w:t>0</w:t>
            </w:r>
          </w:p>
        </w:tc>
        <w:tc>
          <w:tcPr>
            <w:tcW w:w="746" w:type="pct"/>
            <w:gridSpan w:val="2"/>
            <w:tcBorders>
              <w:top w:val="nil"/>
              <w:left w:val="nil"/>
              <w:bottom w:val="single" w:sz="4" w:space="0" w:color="auto"/>
            </w:tcBorders>
          </w:tcPr>
          <w:p w14:paraId="731EC1FC" w14:textId="5AE7CDC9" w:rsidR="00E57542" w:rsidRPr="001C2219" w:rsidRDefault="00A23876" w:rsidP="00A23876">
            <w:pPr>
              <w:jc w:val="center"/>
              <w:rPr>
                <w:sz w:val="22"/>
                <w:lang w:val="en-US"/>
              </w:rPr>
            </w:pPr>
            <w:r>
              <w:rPr>
                <w:sz w:val="22"/>
                <w:lang w:val="en-US"/>
              </w:rPr>
              <w:t>Very common</w:t>
            </w:r>
          </w:p>
        </w:tc>
      </w:tr>
      <w:tr w:rsidR="00E57542" w:rsidRPr="001C2219" w14:paraId="41EA64EA" w14:textId="7E04C5C6" w:rsidTr="003E122C">
        <w:tc>
          <w:tcPr>
            <w:tcW w:w="4351" w:type="pct"/>
            <w:gridSpan w:val="7"/>
            <w:tcBorders>
              <w:bottom w:val="nil"/>
              <w:right w:val="nil"/>
            </w:tcBorders>
          </w:tcPr>
          <w:p w14:paraId="3CC08CE8" w14:textId="1140DB54" w:rsidR="00E57542" w:rsidRPr="001C2219" w:rsidRDefault="00E57542" w:rsidP="00810CDF">
            <w:pPr>
              <w:jc w:val="left"/>
              <w:rPr>
                <w:b/>
                <w:sz w:val="22"/>
                <w:lang w:val="en-US"/>
              </w:rPr>
            </w:pPr>
            <w:r w:rsidRPr="001C2219">
              <w:rPr>
                <w:b/>
                <w:sz w:val="22"/>
                <w:lang w:val="en-US"/>
              </w:rPr>
              <w:t>Blood and Lymphatic System Disorders</w:t>
            </w:r>
          </w:p>
        </w:tc>
        <w:tc>
          <w:tcPr>
            <w:tcW w:w="649" w:type="pct"/>
            <w:tcBorders>
              <w:left w:val="nil"/>
              <w:bottom w:val="nil"/>
            </w:tcBorders>
          </w:tcPr>
          <w:p w14:paraId="1824260F" w14:textId="77777777" w:rsidR="00E57542" w:rsidRPr="001C2219" w:rsidRDefault="00E57542" w:rsidP="00A23876">
            <w:pPr>
              <w:jc w:val="center"/>
              <w:rPr>
                <w:b/>
                <w:sz w:val="22"/>
                <w:lang w:val="en-US"/>
              </w:rPr>
            </w:pPr>
          </w:p>
        </w:tc>
      </w:tr>
      <w:tr w:rsidR="006513FE" w:rsidRPr="001C2219" w14:paraId="351CB990" w14:textId="3DD4BAEE" w:rsidTr="003E122C">
        <w:tc>
          <w:tcPr>
            <w:tcW w:w="1006" w:type="pct"/>
            <w:tcBorders>
              <w:top w:val="nil"/>
              <w:bottom w:val="nil"/>
              <w:right w:val="nil"/>
            </w:tcBorders>
            <w:shd w:val="clear" w:color="auto" w:fill="auto"/>
          </w:tcPr>
          <w:p w14:paraId="582E4D88" w14:textId="17FB41D1" w:rsidR="00A23876" w:rsidRPr="001C2219" w:rsidRDefault="00A23876" w:rsidP="00A23876">
            <w:pPr>
              <w:rPr>
                <w:sz w:val="22"/>
                <w:lang w:val="en-US"/>
              </w:rPr>
            </w:pPr>
            <w:r w:rsidRPr="001C2219">
              <w:rPr>
                <w:sz w:val="22"/>
                <w:lang w:val="en-US"/>
              </w:rPr>
              <w:t>An</w:t>
            </w:r>
            <w:r w:rsidR="008E534D">
              <w:rPr>
                <w:sz w:val="22"/>
                <w:lang w:val="en-US"/>
              </w:rPr>
              <w:t>a</w:t>
            </w:r>
            <w:r w:rsidRPr="001C2219">
              <w:rPr>
                <w:sz w:val="22"/>
                <w:lang w:val="en-US"/>
              </w:rPr>
              <w:t>emia</w:t>
            </w:r>
          </w:p>
        </w:tc>
        <w:tc>
          <w:tcPr>
            <w:tcW w:w="621" w:type="pct"/>
            <w:tcBorders>
              <w:top w:val="nil"/>
              <w:left w:val="nil"/>
              <w:bottom w:val="nil"/>
              <w:right w:val="nil"/>
            </w:tcBorders>
            <w:shd w:val="clear" w:color="auto" w:fill="auto"/>
          </w:tcPr>
          <w:p w14:paraId="03614329" w14:textId="77777777" w:rsidR="00A23876" w:rsidRPr="001C2219" w:rsidRDefault="00A23876" w:rsidP="00A23876">
            <w:pPr>
              <w:jc w:val="center"/>
              <w:rPr>
                <w:sz w:val="22"/>
                <w:lang w:val="en-US"/>
              </w:rPr>
            </w:pPr>
            <w:r w:rsidRPr="001C2219">
              <w:rPr>
                <w:sz w:val="22"/>
                <w:lang w:val="en-US"/>
              </w:rPr>
              <w:t>46.7</w:t>
            </w:r>
          </w:p>
        </w:tc>
        <w:tc>
          <w:tcPr>
            <w:tcW w:w="604" w:type="pct"/>
            <w:tcBorders>
              <w:top w:val="nil"/>
              <w:left w:val="nil"/>
              <w:bottom w:val="nil"/>
              <w:right w:val="nil"/>
            </w:tcBorders>
            <w:shd w:val="clear" w:color="auto" w:fill="auto"/>
          </w:tcPr>
          <w:p w14:paraId="455A2CD3" w14:textId="77777777" w:rsidR="00A23876" w:rsidRPr="001C2219" w:rsidRDefault="00A23876" w:rsidP="00A23876">
            <w:pPr>
              <w:jc w:val="center"/>
              <w:rPr>
                <w:sz w:val="22"/>
                <w:lang w:val="en-US"/>
              </w:rPr>
            </w:pPr>
            <w:r w:rsidRPr="001C2219">
              <w:rPr>
                <w:sz w:val="22"/>
                <w:lang w:val="en-US"/>
              </w:rPr>
              <w:t>24.4</w:t>
            </w:r>
          </w:p>
        </w:tc>
        <w:tc>
          <w:tcPr>
            <w:tcW w:w="750" w:type="pct"/>
            <w:tcBorders>
              <w:top w:val="nil"/>
              <w:left w:val="nil"/>
              <w:bottom w:val="nil"/>
              <w:right w:val="nil"/>
            </w:tcBorders>
          </w:tcPr>
          <w:p w14:paraId="0E5C7D4E" w14:textId="66EFCE34" w:rsidR="00A23876" w:rsidRPr="001C2219" w:rsidRDefault="00A23876" w:rsidP="00A23876">
            <w:pPr>
              <w:jc w:val="center"/>
              <w:rPr>
                <w:sz w:val="22"/>
                <w:lang w:val="en-US"/>
              </w:rPr>
            </w:pPr>
            <w:r>
              <w:rPr>
                <w:sz w:val="22"/>
                <w:lang w:val="en-US"/>
              </w:rPr>
              <w:t>Very common</w:t>
            </w:r>
          </w:p>
        </w:tc>
        <w:tc>
          <w:tcPr>
            <w:tcW w:w="627" w:type="pct"/>
            <w:tcBorders>
              <w:top w:val="nil"/>
              <w:left w:val="nil"/>
              <w:bottom w:val="nil"/>
              <w:right w:val="nil"/>
            </w:tcBorders>
            <w:shd w:val="clear" w:color="auto" w:fill="auto"/>
          </w:tcPr>
          <w:p w14:paraId="2F766595" w14:textId="56C63E9A" w:rsidR="00A23876" w:rsidRPr="001C2219" w:rsidRDefault="00A23876" w:rsidP="00A23876">
            <w:pPr>
              <w:jc w:val="center"/>
              <w:rPr>
                <w:sz w:val="22"/>
                <w:lang w:val="en-US"/>
              </w:rPr>
            </w:pPr>
            <w:r w:rsidRPr="001C2219">
              <w:rPr>
                <w:sz w:val="22"/>
                <w:lang w:val="en-US"/>
              </w:rPr>
              <w:t>25.6</w:t>
            </w:r>
          </w:p>
        </w:tc>
        <w:tc>
          <w:tcPr>
            <w:tcW w:w="645" w:type="pct"/>
            <w:tcBorders>
              <w:top w:val="nil"/>
              <w:left w:val="nil"/>
              <w:bottom w:val="nil"/>
              <w:right w:val="nil"/>
            </w:tcBorders>
          </w:tcPr>
          <w:p w14:paraId="6C23D12E" w14:textId="77777777" w:rsidR="00A23876" w:rsidRPr="001C2219" w:rsidRDefault="00A23876" w:rsidP="00A23876">
            <w:pPr>
              <w:jc w:val="center"/>
              <w:rPr>
                <w:sz w:val="22"/>
                <w:lang w:val="en-US"/>
              </w:rPr>
            </w:pPr>
            <w:r w:rsidRPr="001C2219">
              <w:rPr>
                <w:sz w:val="22"/>
                <w:lang w:val="en-US"/>
              </w:rPr>
              <w:t>17.9</w:t>
            </w:r>
          </w:p>
        </w:tc>
        <w:tc>
          <w:tcPr>
            <w:tcW w:w="746" w:type="pct"/>
            <w:gridSpan w:val="2"/>
            <w:tcBorders>
              <w:top w:val="nil"/>
              <w:left w:val="nil"/>
              <w:bottom w:val="nil"/>
            </w:tcBorders>
          </w:tcPr>
          <w:p w14:paraId="2514201E" w14:textId="33ACC988" w:rsidR="00A23876" w:rsidRPr="001C2219" w:rsidRDefault="00A23876" w:rsidP="00A23876">
            <w:pPr>
              <w:jc w:val="center"/>
              <w:rPr>
                <w:sz w:val="22"/>
                <w:lang w:val="en-US"/>
              </w:rPr>
            </w:pPr>
            <w:r w:rsidRPr="00513379">
              <w:rPr>
                <w:sz w:val="22"/>
                <w:lang w:val="en-US"/>
              </w:rPr>
              <w:t>Very common</w:t>
            </w:r>
          </w:p>
        </w:tc>
      </w:tr>
      <w:tr w:rsidR="006513FE" w:rsidRPr="001C2219" w14:paraId="1DF177E6" w14:textId="1020E8B5" w:rsidTr="003E122C">
        <w:tc>
          <w:tcPr>
            <w:tcW w:w="1006" w:type="pct"/>
            <w:tcBorders>
              <w:top w:val="nil"/>
              <w:bottom w:val="nil"/>
              <w:right w:val="nil"/>
            </w:tcBorders>
            <w:shd w:val="clear" w:color="auto" w:fill="auto"/>
          </w:tcPr>
          <w:p w14:paraId="2A0799DD" w14:textId="77777777" w:rsidR="00A23876" w:rsidRPr="001C2219" w:rsidRDefault="00A23876" w:rsidP="00A23876">
            <w:pPr>
              <w:rPr>
                <w:sz w:val="22"/>
                <w:lang w:val="en-US"/>
              </w:rPr>
            </w:pPr>
            <w:r w:rsidRPr="001C2219">
              <w:rPr>
                <w:sz w:val="22"/>
                <w:lang w:val="en-US"/>
              </w:rPr>
              <w:t>Neutropenia</w:t>
            </w:r>
          </w:p>
        </w:tc>
        <w:tc>
          <w:tcPr>
            <w:tcW w:w="621" w:type="pct"/>
            <w:tcBorders>
              <w:top w:val="nil"/>
              <w:left w:val="nil"/>
              <w:bottom w:val="nil"/>
              <w:right w:val="nil"/>
            </w:tcBorders>
            <w:shd w:val="clear" w:color="auto" w:fill="auto"/>
          </w:tcPr>
          <w:p w14:paraId="00A670E1" w14:textId="77777777" w:rsidR="00A23876" w:rsidRPr="001C2219" w:rsidRDefault="00A23876" w:rsidP="00A23876">
            <w:pPr>
              <w:jc w:val="center"/>
              <w:rPr>
                <w:sz w:val="22"/>
                <w:lang w:val="en-US"/>
              </w:rPr>
            </w:pPr>
            <w:r w:rsidRPr="001C2219">
              <w:rPr>
                <w:sz w:val="22"/>
                <w:lang w:val="en-US"/>
              </w:rPr>
              <w:t>46.7</w:t>
            </w:r>
          </w:p>
        </w:tc>
        <w:tc>
          <w:tcPr>
            <w:tcW w:w="604" w:type="pct"/>
            <w:tcBorders>
              <w:top w:val="nil"/>
              <w:left w:val="nil"/>
              <w:bottom w:val="nil"/>
              <w:right w:val="nil"/>
            </w:tcBorders>
            <w:shd w:val="clear" w:color="auto" w:fill="auto"/>
          </w:tcPr>
          <w:p w14:paraId="0C45270E" w14:textId="77777777" w:rsidR="00A23876" w:rsidRPr="001C2219" w:rsidRDefault="00A23876" w:rsidP="00A23876">
            <w:pPr>
              <w:jc w:val="center"/>
              <w:rPr>
                <w:sz w:val="22"/>
                <w:lang w:val="en-US"/>
              </w:rPr>
            </w:pPr>
            <w:r w:rsidRPr="001C2219">
              <w:rPr>
                <w:sz w:val="22"/>
                <w:lang w:val="en-US"/>
              </w:rPr>
              <w:t>40.0</w:t>
            </w:r>
          </w:p>
        </w:tc>
        <w:tc>
          <w:tcPr>
            <w:tcW w:w="750" w:type="pct"/>
            <w:tcBorders>
              <w:top w:val="nil"/>
              <w:left w:val="nil"/>
              <w:bottom w:val="nil"/>
              <w:right w:val="nil"/>
            </w:tcBorders>
          </w:tcPr>
          <w:p w14:paraId="62CC62CD" w14:textId="10335036" w:rsidR="00A23876" w:rsidRPr="001C2219" w:rsidRDefault="00A23876" w:rsidP="00A23876">
            <w:pPr>
              <w:jc w:val="center"/>
              <w:rPr>
                <w:sz w:val="22"/>
                <w:lang w:val="en-US"/>
              </w:rPr>
            </w:pPr>
            <w:r>
              <w:rPr>
                <w:sz w:val="22"/>
                <w:lang w:val="en-US"/>
              </w:rPr>
              <w:t>Very common</w:t>
            </w:r>
          </w:p>
        </w:tc>
        <w:tc>
          <w:tcPr>
            <w:tcW w:w="627" w:type="pct"/>
            <w:tcBorders>
              <w:top w:val="nil"/>
              <w:left w:val="nil"/>
              <w:bottom w:val="nil"/>
              <w:right w:val="nil"/>
            </w:tcBorders>
            <w:shd w:val="clear" w:color="auto" w:fill="auto"/>
          </w:tcPr>
          <w:p w14:paraId="53F80A38" w14:textId="0D3FC745" w:rsidR="00A23876" w:rsidRPr="001C2219" w:rsidRDefault="00A23876" w:rsidP="00A23876">
            <w:pPr>
              <w:jc w:val="center"/>
              <w:rPr>
                <w:sz w:val="22"/>
                <w:lang w:val="en-US"/>
              </w:rPr>
            </w:pPr>
            <w:r w:rsidRPr="001C2219">
              <w:rPr>
                <w:sz w:val="22"/>
                <w:lang w:val="en-US"/>
              </w:rPr>
              <w:t>38.5</w:t>
            </w:r>
          </w:p>
        </w:tc>
        <w:tc>
          <w:tcPr>
            <w:tcW w:w="645" w:type="pct"/>
            <w:tcBorders>
              <w:top w:val="nil"/>
              <w:left w:val="nil"/>
              <w:bottom w:val="nil"/>
              <w:right w:val="nil"/>
            </w:tcBorders>
          </w:tcPr>
          <w:p w14:paraId="6DACEC48" w14:textId="77777777" w:rsidR="00A23876" w:rsidRPr="001C2219" w:rsidRDefault="00A23876" w:rsidP="00A23876">
            <w:pPr>
              <w:jc w:val="center"/>
              <w:rPr>
                <w:sz w:val="22"/>
                <w:lang w:val="en-US"/>
              </w:rPr>
            </w:pPr>
            <w:r w:rsidRPr="001C2219">
              <w:rPr>
                <w:sz w:val="22"/>
                <w:lang w:val="en-US"/>
              </w:rPr>
              <w:t>33.3</w:t>
            </w:r>
          </w:p>
        </w:tc>
        <w:tc>
          <w:tcPr>
            <w:tcW w:w="746" w:type="pct"/>
            <w:gridSpan w:val="2"/>
            <w:tcBorders>
              <w:top w:val="nil"/>
              <w:left w:val="nil"/>
              <w:bottom w:val="nil"/>
            </w:tcBorders>
          </w:tcPr>
          <w:p w14:paraId="598C1802" w14:textId="06BC445F" w:rsidR="00A23876" w:rsidRPr="001C2219" w:rsidRDefault="00A23876" w:rsidP="00A23876">
            <w:pPr>
              <w:jc w:val="center"/>
              <w:rPr>
                <w:sz w:val="22"/>
                <w:lang w:val="en-US"/>
              </w:rPr>
            </w:pPr>
            <w:r w:rsidRPr="00513379">
              <w:rPr>
                <w:sz w:val="22"/>
                <w:lang w:val="en-US"/>
              </w:rPr>
              <w:t>Very common</w:t>
            </w:r>
          </w:p>
        </w:tc>
      </w:tr>
      <w:tr w:rsidR="006513FE" w:rsidRPr="001C2219" w14:paraId="39878F3C" w14:textId="6E81DDAA" w:rsidTr="003E122C">
        <w:tc>
          <w:tcPr>
            <w:tcW w:w="1006" w:type="pct"/>
            <w:tcBorders>
              <w:top w:val="nil"/>
              <w:bottom w:val="nil"/>
              <w:right w:val="nil"/>
            </w:tcBorders>
            <w:shd w:val="clear" w:color="auto" w:fill="auto"/>
          </w:tcPr>
          <w:p w14:paraId="53918234" w14:textId="77777777" w:rsidR="00A23876" w:rsidRPr="001C2219" w:rsidRDefault="00A23876" w:rsidP="00A23876">
            <w:pPr>
              <w:rPr>
                <w:sz w:val="22"/>
                <w:lang w:val="en-US"/>
              </w:rPr>
            </w:pPr>
            <w:r w:rsidRPr="001C2219">
              <w:rPr>
                <w:sz w:val="22"/>
                <w:lang w:val="en-US"/>
              </w:rPr>
              <w:t>Thrombocytopenia</w:t>
            </w:r>
          </w:p>
        </w:tc>
        <w:tc>
          <w:tcPr>
            <w:tcW w:w="621" w:type="pct"/>
            <w:tcBorders>
              <w:top w:val="nil"/>
              <w:left w:val="nil"/>
              <w:bottom w:val="nil"/>
              <w:right w:val="nil"/>
            </w:tcBorders>
            <w:shd w:val="clear" w:color="auto" w:fill="auto"/>
          </w:tcPr>
          <w:p w14:paraId="103CE1F4" w14:textId="77777777" w:rsidR="00A23876" w:rsidRPr="001C2219" w:rsidRDefault="00A23876" w:rsidP="00A23876">
            <w:pPr>
              <w:jc w:val="center"/>
              <w:rPr>
                <w:sz w:val="22"/>
                <w:lang w:val="en-US"/>
              </w:rPr>
            </w:pPr>
            <w:r w:rsidRPr="001C2219">
              <w:rPr>
                <w:sz w:val="22"/>
                <w:lang w:val="en-US"/>
              </w:rPr>
              <w:t>46.7</w:t>
            </w:r>
          </w:p>
        </w:tc>
        <w:tc>
          <w:tcPr>
            <w:tcW w:w="604" w:type="pct"/>
            <w:tcBorders>
              <w:top w:val="nil"/>
              <w:left w:val="nil"/>
              <w:bottom w:val="nil"/>
              <w:right w:val="nil"/>
            </w:tcBorders>
            <w:shd w:val="clear" w:color="auto" w:fill="auto"/>
          </w:tcPr>
          <w:p w14:paraId="0AB5180C" w14:textId="77777777" w:rsidR="00A23876" w:rsidRPr="001C2219" w:rsidRDefault="00A23876" w:rsidP="00A23876">
            <w:pPr>
              <w:jc w:val="center"/>
              <w:rPr>
                <w:sz w:val="22"/>
                <w:lang w:val="en-US"/>
              </w:rPr>
            </w:pPr>
            <w:r w:rsidRPr="001C2219">
              <w:rPr>
                <w:sz w:val="22"/>
                <w:lang w:val="en-US"/>
              </w:rPr>
              <w:t>37.8</w:t>
            </w:r>
          </w:p>
        </w:tc>
        <w:tc>
          <w:tcPr>
            <w:tcW w:w="750" w:type="pct"/>
            <w:tcBorders>
              <w:top w:val="nil"/>
              <w:left w:val="nil"/>
              <w:bottom w:val="nil"/>
              <w:right w:val="nil"/>
            </w:tcBorders>
          </w:tcPr>
          <w:p w14:paraId="0BCF8CA9" w14:textId="5FCF7138" w:rsidR="00A23876" w:rsidRPr="001C2219" w:rsidRDefault="00A23876" w:rsidP="00A23876">
            <w:pPr>
              <w:jc w:val="center"/>
              <w:rPr>
                <w:sz w:val="22"/>
                <w:lang w:val="en-US"/>
              </w:rPr>
            </w:pPr>
            <w:r>
              <w:rPr>
                <w:sz w:val="22"/>
                <w:lang w:val="en-US"/>
              </w:rPr>
              <w:t>Very common</w:t>
            </w:r>
          </w:p>
        </w:tc>
        <w:tc>
          <w:tcPr>
            <w:tcW w:w="627" w:type="pct"/>
            <w:tcBorders>
              <w:top w:val="nil"/>
              <w:left w:val="nil"/>
              <w:bottom w:val="nil"/>
              <w:right w:val="nil"/>
            </w:tcBorders>
            <w:shd w:val="clear" w:color="auto" w:fill="auto"/>
          </w:tcPr>
          <w:p w14:paraId="606845FF" w14:textId="55F75047" w:rsidR="00A23876" w:rsidRPr="001C2219" w:rsidRDefault="00A23876" w:rsidP="00A23876">
            <w:pPr>
              <w:jc w:val="center"/>
              <w:rPr>
                <w:sz w:val="22"/>
                <w:lang w:val="en-US"/>
              </w:rPr>
            </w:pPr>
            <w:r w:rsidRPr="001C2219">
              <w:rPr>
                <w:sz w:val="22"/>
                <w:lang w:val="en-US"/>
              </w:rPr>
              <w:t>28.2</w:t>
            </w:r>
          </w:p>
        </w:tc>
        <w:tc>
          <w:tcPr>
            <w:tcW w:w="645" w:type="pct"/>
            <w:tcBorders>
              <w:top w:val="nil"/>
              <w:left w:val="nil"/>
              <w:bottom w:val="nil"/>
              <w:right w:val="nil"/>
            </w:tcBorders>
          </w:tcPr>
          <w:p w14:paraId="1B5225F9" w14:textId="77777777" w:rsidR="00A23876" w:rsidRPr="001C2219" w:rsidRDefault="00A23876" w:rsidP="00A23876">
            <w:pPr>
              <w:jc w:val="center"/>
              <w:rPr>
                <w:sz w:val="22"/>
                <w:lang w:val="en-US"/>
              </w:rPr>
            </w:pPr>
            <w:r w:rsidRPr="001C2219">
              <w:rPr>
                <w:sz w:val="22"/>
                <w:lang w:val="en-US"/>
              </w:rPr>
              <w:t>23.1</w:t>
            </w:r>
          </w:p>
        </w:tc>
        <w:tc>
          <w:tcPr>
            <w:tcW w:w="746" w:type="pct"/>
            <w:gridSpan w:val="2"/>
            <w:tcBorders>
              <w:top w:val="nil"/>
              <w:left w:val="nil"/>
              <w:bottom w:val="nil"/>
            </w:tcBorders>
          </w:tcPr>
          <w:p w14:paraId="0721B3E7" w14:textId="7F979B71" w:rsidR="00A23876" w:rsidRPr="001C2219" w:rsidRDefault="00A23876" w:rsidP="00A23876">
            <w:pPr>
              <w:jc w:val="center"/>
              <w:rPr>
                <w:sz w:val="22"/>
                <w:lang w:val="en-US"/>
              </w:rPr>
            </w:pPr>
            <w:r w:rsidRPr="00513379">
              <w:rPr>
                <w:sz w:val="22"/>
                <w:lang w:val="en-US"/>
              </w:rPr>
              <w:t>Very common</w:t>
            </w:r>
          </w:p>
        </w:tc>
      </w:tr>
      <w:tr w:rsidR="006513FE" w:rsidRPr="001C2219" w14:paraId="4EAE19CD" w14:textId="32FF632F" w:rsidTr="003E122C">
        <w:tc>
          <w:tcPr>
            <w:tcW w:w="1006" w:type="pct"/>
            <w:tcBorders>
              <w:top w:val="nil"/>
              <w:bottom w:val="nil"/>
              <w:right w:val="nil"/>
            </w:tcBorders>
            <w:shd w:val="clear" w:color="auto" w:fill="auto"/>
          </w:tcPr>
          <w:p w14:paraId="208EB91B" w14:textId="6DFCD5A8" w:rsidR="00A23876" w:rsidRPr="001C2219" w:rsidRDefault="008E534D" w:rsidP="00A23876">
            <w:pPr>
              <w:rPr>
                <w:sz w:val="22"/>
                <w:lang w:val="en-US"/>
              </w:rPr>
            </w:pPr>
            <w:r>
              <w:rPr>
                <w:sz w:val="22"/>
                <w:lang w:val="en-US"/>
              </w:rPr>
              <w:t>Febrile N</w:t>
            </w:r>
            <w:r w:rsidR="00A23876" w:rsidRPr="001C2219">
              <w:rPr>
                <w:sz w:val="22"/>
                <w:lang w:val="en-US"/>
              </w:rPr>
              <w:t>eutropenia</w:t>
            </w:r>
          </w:p>
        </w:tc>
        <w:tc>
          <w:tcPr>
            <w:tcW w:w="621" w:type="pct"/>
            <w:tcBorders>
              <w:top w:val="nil"/>
              <w:left w:val="nil"/>
              <w:bottom w:val="nil"/>
              <w:right w:val="nil"/>
            </w:tcBorders>
            <w:shd w:val="clear" w:color="auto" w:fill="auto"/>
          </w:tcPr>
          <w:p w14:paraId="1E5FFF27" w14:textId="77777777" w:rsidR="00A23876" w:rsidRPr="001C2219" w:rsidRDefault="00A23876" w:rsidP="00A23876">
            <w:pPr>
              <w:jc w:val="center"/>
              <w:rPr>
                <w:sz w:val="22"/>
                <w:lang w:val="en-US"/>
              </w:rPr>
            </w:pPr>
            <w:r w:rsidRPr="001C2219">
              <w:rPr>
                <w:sz w:val="22"/>
                <w:lang w:val="en-US"/>
              </w:rPr>
              <w:t>11.1</w:t>
            </w:r>
          </w:p>
        </w:tc>
        <w:tc>
          <w:tcPr>
            <w:tcW w:w="604" w:type="pct"/>
            <w:tcBorders>
              <w:top w:val="nil"/>
              <w:left w:val="nil"/>
              <w:bottom w:val="nil"/>
              <w:right w:val="nil"/>
            </w:tcBorders>
            <w:shd w:val="clear" w:color="auto" w:fill="auto"/>
          </w:tcPr>
          <w:p w14:paraId="63CC3370" w14:textId="77777777" w:rsidR="00A23876" w:rsidRPr="001C2219" w:rsidRDefault="00A23876" w:rsidP="00A23876">
            <w:pPr>
              <w:jc w:val="center"/>
              <w:rPr>
                <w:sz w:val="22"/>
                <w:lang w:val="en-US"/>
              </w:rPr>
            </w:pPr>
            <w:r w:rsidRPr="001C2219">
              <w:rPr>
                <w:sz w:val="22"/>
                <w:lang w:val="en-US"/>
              </w:rPr>
              <w:t>11.1</w:t>
            </w:r>
          </w:p>
        </w:tc>
        <w:tc>
          <w:tcPr>
            <w:tcW w:w="750" w:type="pct"/>
            <w:tcBorders>
              <w:top w:val="nil"/>
              <w:left w:val="nil"/>
              <w:bottom w:val="nil"/>
              <w:right w:val="nil"/>
            </w:tcBorders>
          </w:tcPr>
          <w:p w14:paraId="13A5FA7E" w14:textId="740C427A" w:rsidR="00A23876" w:rsidRPr="001C2219" w:rsidRDefault="00A23876" w:rsidP="00A23876">
            <w:pPr>
              <w:jc w:val="center"/>
              <w:rPr>
                <w:sz w:val="22"/>
                <w:lang w:val="en-US"/>
              </w:rPr>
            </w:pPr>
            <w:r>
              <w:rPr>
                <w:sz w:val="22"/>
                <w:lang w:val="en-US"/>
              </w:rPr>
              <w:t>Very common</w:t>
            </w:r>
          </w:p>
        </w:tc>
        <w:tc>
          <w:tcPr>
            <w:tcW w:w="627" w:type="pct"/>
            <w:tcBorders>
              <w:top w:val="nil"/>
              <w:left w:val="nil"/>
              <w:bottom w:val="nil"/>
              <w:right w:val="nil"/>
            </w:tcBorders>
            <w:shd w:val="clear" w:color="auto" w:fill="auto"/>
          </w:tcPr>
          <w:p w14:paraId="2BDE3957" w14:textId="3453F335" w:rsidR="00A23876" w:rsidRPr="001C2219" w:rsidRDefault="00A23876" w:rsidP="00A23876">
            <w:pPr>
              <w:jc w:val="center"/>
              <w:rPr>
                <w:sz w:val="22"/>
                <w:lang w:val="en-US"/>
              </w:rPr>
            </w:pPr>
            <w:r w:rsidRPr="001C2219">
              <w:rPr>
                <w:sz w:val="22"/>
                <w:lang w:val="en-US"/>
              </w:rPr>
              <w:t>12.8</w:t>
            </w:r>
          </w:p>
        </w:tc>
        <w:tc>
          <w:tcPr>
            <w:tcW w:w="645" w:type="pct"/>
            <w:tcBorders>
              <w:top w:val="nil"/>
              <w:left w:val="nil"/>
              <w:bottom w:val="nil"/>
              <w:right w:val="nil"/>
            </w:tcBorders>
          </w:tcPr>
          <w:p w14:paraId="074A766E" w14:textId="77777777" w:rsidR="00A23876" w:rsidRPr="001C2219" w:rsidRDefault="00A23876" w:rsidP="00A23876">
            <w:pPr>
              <w:jc w:val="center"/>
              <w:rPr>
                <w:sz w:val="22"/>
                <w:lang w:val="en-US"/>
              </w:rPr>
            </w:pPr>
            <w:r w:rsidRPr="001C2219">
              <w:rPr>
                <w:sz w:val="22"/>
                <w:lang w:val="en-US"/>
              </w:rPr>
              <w:t>12.8</w:t>
            </w:r>
          </w:p>
        </w:tc>
        <w:tc>
          <w:tcPr>
            <w:tcW w:w="746" w:type="pct"/>
            <w:gridSpan w:val="2"/>
            <w:tcBorders>
              <w:top w:val="nil"/>
              <w:left w:val="nil"/>
              <w:bottom w:val="nil"/>
            </w:tcBorders>
          </w:tcPr>
          <w:p w14:paraId="0A8CD9BE" w14:textId="76334152" w:rsidR="00A23876" w:rsidRPr="001C2219" w:rsidRDefault="00A23876" w:rsidP="00A23876">
            <w:pPr>
              <w:jc w:val="center"/>
              <w:rPr>
                <w:sz w:val="22"/>
                <w:lang w:val="en-US"/>
              </w:rPr>
            </w:pPr>
            <w:r w:rsidRPr="00513379">
              <w:rPr>
                <w:sz w:val="22"/>
                <w:lang w:val="en-US"/>
              </w:rPr>
              <w:t>Very common</w:t>
            </w:r>
          </w:p>
        </w:tc>
      </w:tr>
      <w:tr w:rsidR="008E534D" w:rsidRPr="001C2219" w14:paraId="18B5DFEB" w14:textId="77777777" w:rsidTr="003E122C">
        <w:tc>
          <w:tcPr>
            <w:tcW w:w="1006" w:type="pct"/>
            <w:tcBorders>
              <w:top w:val="nil"/>
              <w:bottom w:val="nil"/>
              <w:right w:val="nil"/>
            </w:tcBorders>
            <w:shd w:val="clear" w:color="auto" w:fill="auto"/>
          </w:tcPr>
          <w:p w14:paraId="3BF7C6A7" w14:textId="77777777" w:rsidR="008E534D" w:rsidRPr="001C2219" w:rsidRDefault="008E534D" w:rsidP="00A23876">
            <w:pPr>
              <w:rPr>
                <w:sz w:val="22"/>
                <w:lang w:val="en-US"/>
              </w:rPr>
            </w:pPr>
          </w:p>
        </w:tc>
        <w:tc>
          <w:tcPr>
            <w:tcW w:w="621" w:type="pct"/>
            <w:tcBorders>
              <w:top w:val="nil"/>
              <w:left w:val="nil"/>
              <w:bottom w:val="nil"/>
              <w:right w:val="nil"/>
            </w:tcBorders>
            <w:shd w:val="clear" w:color="auto" w:fill="auto"/>
          </w:tcPr>
          <w:p w14:paraId="2B8CD4CD" w14:textId="77777777" w:rsidR="008E534D" w:rsidRPr="001C2219" w:rsidRDefault="008E534D" w:rsidP="00A23876">
            <w:pPr>
              <w:jc w:val="center"/>
              <w:rPr>
                <w:sz w:val="22"/>
                <w:lang w:val="en-US"/>
              </w:rPr>
            </w:pPr>
          </w:p>
        </w:tc>
        <w:tc>
          <w:tcPr>
            <w:tcW w:w="604" w:type="pct"/>
            <w:tcBorders>
              <w:top w:val="nil"/>
              <w:left w:val="nil"/>
              <w:bottom w:val="nil"/>
              <w:right w:val="nil"/>
            </w:tcBorders>
            <w:shd w:val="clear" w:color="auto" w:fill="auto"/>
          </w:tcPr>
          <w:p w14:paraId="54CC9809" w14:textId="77777777" w:rsidR="008E534D" w:rsidRPr="001C2219" w:rsidRDefault="008E534D" w:rsidP="00A23876">
            <w:pPr>
              <w:jc w:val="center"/>
              <w:rPr>
                <w:sz w:val="22"/>
                <w:lang w:val="en-US"/>
              </w:rPr>
            </w:pPr>
          </w:p>
        </w:tc>
        <w:tc>
          <w:tcPr>
            <w:tcW w:w="750" w:type="pct"/>
            <w:tcBorders>
              <w:top w:val="nil"/>
              <w:left w:val="nil"/>
              <w:bottom w:val="nil"/>
              <w:right w:val="nil"/>
            </w:tcBorders>
          </w:tcPr>
          <w:p w14:paraId="47F169C2" w14:textId="77777777" w:rsidR="008E534D" w:rsidRDefault="008E534D" w:rsidP="00A23876">
            <w:pPr>
              <w:jc w:val="center"/>
              <w:rPr>
                <w:sz w:val="22"/>
                <w:lang w:val="en-US"/>
              </w:rPr>
            </w:pPr>
          </w:p>
        </w:tc>
        <w:tc>
          <w:tcPr>
            <w:tcW w:w="627" w:type="pct"/>
            <w:tcBorders>
              <w:top w:val="nil"/>
              <w:left w:val="nil"/>
              <w:bottom w:val="nil"/>
              <w:right w:val="nil"/>
            </w:tcBorders>
            <w:shd w:val="clear" w:color="auto" w:fill="auto"/>
          </w:tcPr>
          <w:p w14:paraId="1373252D" w14:textId="77777777" w:rsidR="008E534D" w:rsidRPr="001C2219" w:rsidRDefault="008E534D" w:rsidP="00A23876">
            <w:pPr>
              <w:jc w:val="center"/>
              <w:rPr>
                <w:sz w:val="22"/>
                <w:lang w:val="en-US"/>
              </w:rPr>
            </w:pPr>
          </w:p>
        </w:tc>
        <w:tc>
          <w:tcPr>
            <w:tcW w:w="645" w:type="pct"/>
            <w:tcBorders>
              <w:top w:val="nil"/>
              <w:left w:val="nil"/>
              <w:bottom w:val="nil"/>
              <w:right w:val="nil"/>
            </w:tcBorders>
          </w:tcPr>
          <w:p w14:paraId="4365DFD4" w14:textId="77777777" w:rsidR="008E534D" w:rsidRPr="001C2219" w:rsidRDefault="008E534D" w:rsidP="00A23876">
            <w:pPr>
              <w:jc w:val="center"/>
              <w:rPr>
                <w:sz w:val="22"/>
                <w:lang w:val="en-US"/>
              </w:rPr>
            </w:pPr>
          </w:p>
        </w:tc>
        <w:tc>
          <w:tcPr>
            <w:tcW w:w="746" w:type="pct"/>
            <w:gridSpan w:val="2"/>
            <w:tcBorders>
              <w:top w:val="nil"/>
              <w:left w:val="nil"/>
              <w:bottom w:val="nil"/>
            </w:tcBorders>
          </w:tcPr>
          <w:p w14:paraId="36488F80" w14:textId="77777777" w:rsidR="008E534D" w:rsidRPr="00513379" w:rsidRDefault="008E534D" w:rsidP="00A23876">
            <w:pPr>
              <w:jc w:val="center"/>
              <w:rPr>
                <w:sz w:val="22"/>
                <w:lang w:val="en-US"/>
              </w:rPr>
            </w:pPr>
          </w:p>
        </w:tc>
      </w:tr>
      <w:tr w:rsidR="006513FE" w:rsidRPr="001C2219" w14:paraId="554D31AB" w14:textId="588A156E" w:rsidTr="003E122C">
        <w:tc>
          <w:tcPr>
            <w:tcW w:w="1006" w:type="pct"/>
            <w:tcBorders>
              <w:top w:val="nil"/>
              <w:bottom w:val="nil"/>
              <w:right w:val="nil"/>
            </w:tcBorders>
            <w:shd w:val="clear" w:color="auto" w:fill="auto"/>
          </w:tcPr>
          <w:p w14:paraId="08209E06" w14:textId="77777777" w:rsidR="00A23876" w:rsidRPr="001C2219" w:rsidRDefault="00A23876" w:rsidP="00A23876">
            <w:pPr>
              <w:rPr>
                <w:sz w:val="22"/>
                <w:lang w:val="en-US"/>
              </w:rPr>
            </w:pPr>
            <w:r w:rsidRPr="001C2219">
              <w:rPr>
                <w:sz w:val="22"/>
                <w:lang w:val="en-US"/>
              </w:rPr>
              <w:t>Leukopenia</w:t>
            </w:r>
          </w:p>
        </w:tc>
        <w:tc>
          <w:tcPr>
            <w:tcW w:w="621" w:type="pct"/>
            <w:tcBorders>
              <w:top w:val="nil"/>
              <w:left w:val="nil"/>
              <w:bottom w:val="nil"/>
              <w:right w:val="nil"/>
            </w:tcBorders>
            <w:shd w:val="clear" w:color="auto" w:fill="auto"/>
          </w:tcPr>
          <w:p w14:paraId="665B09C5" w14:textId="77777777" w:rsidR="00A23876" w:rsidRPr="001C2219" w:rsidRDefault="00A23876" w:rsidP="00A23876">
            <w:pPr>
              <w:jc w:val="center"/>
              <w:rPr>
                <w:sz w:val="22"/>
                <w:lang w:val="en-US"/>
              </w:rPr>
            </w:pPr>
            <w:r w:rsidRPr="001C2219">
              <w:rPr>
                <w:sz w:val="22"/>
                <w:lang w:val="en-US"/>
              </w:rPr>
              <w:t>11.1</w:t>
            </w:r>
          </w:p>
        </w:tc>
        <w:tc>
          <w:tcPr>
            <w:tcW w:w="604" w:type="pct"/>
            <w:tcBorders>
              <w:top w:val="nil"/>
              <w:left w:val="nil"/>
              <w:bottom w:val="nil"/>
              <w:right w:val="nil"/>
            </w:tcBorders>
            <w:shd w:val="clear" w:color="auto" w:fill="auto"/>
          </w:tcPr>
          <w:p w14:paraId="4D92B03E" w14:textId="77777777" w:rsidR="00A23876" w:rsidRPr="001C2219" w:rsidRDefault="00A23876" w:rsidP="00A23876">
            <w:pPr>
              <w:jc w:val="center"/>
              <w:rPr>
                <w:sz w:val="22"/>
                <w:lang w:val="en-US"/>
              </w:rPr>
            </w:pPr>
            <w:r w:rsidRPr="001C2219">
              <w:rPr>
                <w:sz w:val="22"/>
                <w:lang w:val="en-US"/>
              </w:rPr>
              <w:t>6.7</w:t>
            </w:r>
          </w:p>
        </w:tc>
        <w:tc>
          <w:tcPr>
            <w:tcW w:w="750" w:type="pct"/>
            <w:tcBorders>
              <w:top w:val="nil"/>
              <w:left w:val="nil"/>
              <w:bottom w:val="nil"/>
              <w:right w:val="nil"/>
            </w:tcBorders>
          </w:tcPr>
          <w:p w14:paraId="25D82E29" w14:textId="2F5B730B" w:rsidR="00A23876" w:rsidRPr="001C2219" w:rsidRDefault="00A23876" w:rsidP="00A23876">
            <w:pPr>
              <w:jc w:val="center"/>
              <w:rPr>
                <w:sz w:val="22"/>
                <w:lang w:val="en-US"/>
              </w:rPr>
            </w:pPr>
            <w:r>
              <w:rPr>
                <w:sz w:val="22"/>
                <w:lang w:val="en-US"/>
              </w:rPr>
              <w:t>Very common</w:t>
            </w:r>
          </w:p>
        </w:tc>
        <w:tc>
          <w:tcPr>
            <w:tcW w:w="627" w:type="pct"/>
            <w:tcBorders>
              <w:top w:val="nil"/>
              <w:left w:val="nil"/>
              <w:bottom w:val="nil"/>
              <w:right w:val="nil"/>
            </w:tcBorders>
            <w:shd w:val="clear" w:color="auto" w:fill="auto"/>
          </w:tcPr>
          <w:p w14:paraId="0F802706" w14:textId="61877D20" w:rsidR="00A23876" w:rsidRPr="001C2219" w:rsidRDefault="00A23876" w:rsidP="00A23876">
            <w:pPr>
              <w:jc w:val="center"/>
              <w:rPr>
                <w:sz w:val="22"/>
                <w:lang w:val="en-US"/>
              </w:rPr>
            </w:pPr>
            <w:r w:rsidRPr="001C2219">
              <w:rPr>
                <w:sz w:val="22"/>
                <w:lang w:val="en-US"/>
              </w:rPr>
              <w:t>12.8</w:t>
            </w:r>
          </w:p>
        </w:tc>
        <w:tc>
          <w:tcPr>
            <w:tcW w:w="645" w:type="pct"/>
            <w:tcBorders>
              <w:top w:val="nil"/>
              <w:left w:val="nil"/>
              <w:bottom w:val="nil"/>
              <w:right w:val="nil"/>
            </w:tcBorders>
          </w:tcPr>
          <w:p w14:paraId="4265C541" w14:textId="77777777" w:rsidR="00A23876" w:rsidRPr="001C2219" w:rsidRDefault="00A23876" w:rsidP="00A23876">
            <w:pPr>
              <w:jc w:val="center"/>
              <w:rPr>
                <w:sz w:val="22"/>
                <w:lang w:val="en-US"/>
              </w:rPr>
            </w:pPr>
            <w:r w:rsidRPr="001C2219">
              <w:rPr>
                <w:sz w:val="22"/>
                <w:lang w:val="en-US"/>
              </w:rPr>
              <w:t>7.7</w:t>
            </w:r>
          </w:p>
        </w:tc>
        <w:tc>
          <w:tcPr>
            <w:tcW w:w="746" w:type="pct"/>
            <w:gridSpan w:val="2"/>
            <w:tcBorders>
              <w:top w:val="nil"/>
              <w:left w:val="nil"/>
              <w:bottom w:val="nil"/>
            </w:tcBorders>
          </w:tcPr>
          <w:p w14:paraId="4464FAC5" w14:textId="275DEFFC" w:rsidR="00A23876" w:rsidRPr="001C2219" w:rsidRDefault="00A23876" w:rsidP="00A23876">
            <w:pPr>
              <w:jc w:val="center"/>
              <w:rPr>
                <w:sz w:val="22"/>
                <w:lang w:val="en-US"/>
              </w:rPr>
            </w:pPr>
            <w:r w:rsidRPr="00513379">
              <w:rPr>
                <w:sz w:val="22"/>
                <w:lang w:val="en-US"/>
              </w:rPr>
              <w:t>Very common</w:t>
            </w:r>
          </w:p>
        </w:tc>
      </w:tr>
      <w:tr w:rsidR="006513FE" w:rsidRPr="001C2219" w14:paraId="48768E92" w14:textId="70F5414A" w:rsidTr="003E122C">
        <w:tc>
          <w:tcPr>
            <w:tcW w:w="1006" w:type="pct"/>
            <w:tcBorders>
              <w:top w:val="nil"/>
              <w:bottom w:val="single" w:sz="4" w:space="0" w:color="auto"/>
              <w:right w:val="nil"/>
            </w:tcBorders>
            <w:shd w:val="clear" w:color="auto" w:fill="auto"/>
          </w:tcPr>
          <w:p w14:paraId="0D774BE9" w14:textId="77777777" w:rsidR="00E57542" w:rsidRPr="001C2219" w:rsidRDefault="00E57542" w:rsidP="00E57542">
            <w:pPr>
              <w:rPr>
                <w:sz w:val="22"/>
                <w:lang w:val="en-US"/>
              </w:rPr>
            </w:pPr>
            <w:r w:rsidRPr="001C2219">
              <w:rPr>
                <w:sz w:val="22"/>
                <w:lang w:val="en-US"/>
              </w:rPr>
              <w:t>Lymphopenia</w:t>
            </w:r>
          </w:p>
        </w:tc>
        <w:tc>
          <w:tcPr>
            <w:tcW w:w="621" w:type="pct"/>
            <w:tcBorders>
              <w:top w:val="nil"/>
              <w:left w:val="nil"/>
              <w:bottom w:val="single" w:sz="4" w:space="0" w:color="auto"/>
              <w:right w:val="nil"/>
            </w:tcBorders>
            <w:shd w:val="clear" w:color="auto" w:fill="auto"/>
          </w:tcPr>
          <w:p w14:paraId="34A7D481" w14:textId="77777777" w:rsidR="00E57542" w:rsidRPr="001C2219" w:rsidRDefault="00E57542" w:rsidP="00810CDF">
            <w:pPr>
              <w:jc w:val="center"/>
              <w:rPr>
                <w:sz w:val="22"/>
                <w:lang w:val="en-US"/>
              </w:rPr>
            </w:pPr>
            <w:r w:rsidRPr="001C2219">
              <w:rPr>
                <w:sz w:val="22"/>
                <w:lang w:val="en-US"/>
              </w:rPr>
              <w:t>11.1</w:t>
            </w:r>
          </w:p>
        </w:tc>
        <w:tc>
          <w:tcPr>
            <w:tcW w:w="604" w:type="pct"/>
            <w:tcBorders>
              <w:top w:val="nil"/>
              <w:left w:val="nil"/>
              <w:bottom w:val="single" w:sz="4" w:space="0" w:color="auto"/>
              <w:right w:val="nil"/>
            </w:tcBorders>
            <w:shd w:val="clear" w:color="auto" w:fill="auto"/>
          </w:tcPr>
          <w:p w14:paraId="25902ECF" w14:textId="77777777" w:rsidR="00E57542" w:rsidRPr="001C2219" w:rsidRDefault="00E57542" w:rsidP="00810CDF">
            <w:pPr>
              <w:jc w:val="center"/>
              <w:rPr>
                <w:sz w:val="22"/>
                <w:lang w:val="en-US"/>
              </w:rPr>
            </w:pPr>
            <w:r w:rsidRPr="001C2219">
              <w:rPr>
                <w:sz w:val="22"/>
                <w:lang w:val="en-US"/>
              </w:rPr>
              <w:t>11.1</w:t>
            </w:r>
          </w:p>
        </w:tc>
        <w:tc>
          <w:tcPr>
            <w:tcW w:w="750" w:type="pct"/>
            <w:tcBorders>
              <w:top w:val="nil"/>
              <w:left w:val="nil"/>
              <w:bottom w:val="single" w:sz="4" w:space="0" w:color="auto"/>
              <w:right w:val="nil"/>
            </w:tcBorders>
          </w:tcPr>
          <w:p w14:paraId="6347BB0E" w14:textId="6C9B7B43" w:rsidR="00E57542" w:rsidRPr="001C2219" w:rsidRDefault="00A23876" w:rsidP="00E57542">
            <w:pPr>
              <w:jc w:val="center"/>
              <w:rPr>
                <w:sz w:val="22"/>
                <w:lang w:val="en-US"/>
              </w:rPr>
            </w:pPr>
            <w:r>
              <w:rPr>
                <w:sz w:val="22"/>
                <w:lang w:val="en-US"/>
              </w:rPr>
              <w:t>Very common</w:t>
            </w:r>
          </w:p>
        </w:tc>
        <w:tc>
          <w:tcPr>
            <w:tcW w:w="627" w:type="pct"/>
            <w:tcBorders>
              <w:top w:val="nil"/>
              <w:left w:val="nil"/>
              <w:bottom w:val="single" w:sz="4" w:space="0" w:color="auto"/>
              <w:right w:val="nil"/>
            </w:tcBorders>
            <w:shd w:val="clear" w:color="auto" w:fill="auto"/>
          </w:tcPr>
          <w:p w14:paraId="27607BCA" w14:textId="716FA632" w:rsidR="00E57542" w:rsidRPr="001C2219" w:rsidRDefault="00E57542" w:rsidP="00810CDF">
            <w:pPr>
              <w:jc w:val="center"/>
              <w:rPr>
                <w:sz w:val="22"/>
                <w:lang w:val="en-US"/>
              </w:rPr>
            </w:pPr>
            <w:r w:rsidRPr="001C2219">
              <w:rPr>
                <w:sz w:val="22"/>
                <w:lang w:val="en-US"/>
              </w:rPr>
              <w:t>0</w:t>
            </w:r>
          </w:p>
        </w:tc>
        <w:tc>
          <w:tcPr>
            <w:tcW w:w="645" w:type="pct"/>
            <w:tcBorders>
              <w:top w:val="nil"/>
              <w:left w:val="nil"/>
              <w:bottom w:val="single" w:sz="4" w:space="0" w:color="auto"/>
              <w:right w:val="nil"/>
            </w:tcBorders>
          </w:tcPr>
          <w:p w14:paraId="3B79BDE3" w14:textId="77777777" w:rsidR="00E57542" w:rsidRPr="001C2219" w:rsidRDefault="00E57542" w:rsidP="00810CDF">
            <w:pPr>
              <w:jc w:val="center"/>
              <w:rPr>
                <w:sz w:val="22"/>
                <w:lang w:val="en-US"/>
              </w:rPr>
            </w:pPr>
            <w:r w:rsidRPr="001C2219">
              <w:rPr>
                <w:sz w:val="22"/>
                <w:lang w:val="en-US"/>
              </w:rPr>
              <w:t>0</w:t>
            </w:r>
          </w:p>
        </w:tc>
        <w:tc>
          <w:tcPr>
            <w:tcW w:w="746" w:type="pct"/>
            <w:gridSpan w:val="2"/>
            <w:tcBorders>
              <w:top w:val="nil"/>
              <w:left w:val="nil"/>
              <w:bottom w:val="single" w:sz="4" w:space="0" w:color="auto"/>
            </w:tcBorders>
          </w:tcPr>
          <w:p w14:paraId="0BD6990A" w14:textId="00EEF8B2" w:rsidR="00E57542" w:rsidRPr="001C2219" w:rsidRDefault="00A23876" w:rsidP="00A23876">
            <w:pPr>
              <w:jc w:val="center"/>
              <w:rPr>
                <w:sz w:val="22"/>
                <w:lang w:val="en-US"/>
              </w:rPr>
            </w:pPr>
            <w:r>
              <w:rPr>
                <w:sz w:val="22"/>
                <w:lang w:val="en-US"/>
              </w:rPr>
              <w:t>Rare</w:t>
            </w:r>
          </w:p>
        </w:tc>
      </w:tr>
      <w:tr w:rsidR="00E57542" w:rsidRPr="001C2219" w14:paraId="7EA97E82" w14:textId="42B9D080" w:rsidTr="003E122C">
        <w:tc>
          <w:tcPr>
            <w:tcW w:w="4351" w:type="pct"/>
            <w:gridSpan w:val="7"/>
            <w:tcBorders>
              <w:bottom w:val="nil"/>
              <w:right w:val="nil"/>
            </w:tcBorders>
          </w:tcPr>
          <w:p w14:paraId="07486078" w14:textId="6EB4F758" w:rsidR="00E57542" w:rsidRPr="001C2219" w:rsidRDefault="00E57542" w:rsidP="00810CDF">
            <w:pPr>
              <w:jc w:val="left"/>
              <w:rPr>
                <w:b/>
                <w:sz w:val="22"/>
                <w:lang w:val="en-US"/>
              </w:rPr>
            </w:pPr>
            <w:r w:rsidRPr="001C2219">
              <w:rPr>
                <w:b/>
                <w:sz w:val="22"/>
                <w:lang w:val="en-US"/>
              </w:rPr>
              <w:t>Metabolism and Nutrition Disorders</w:t>
            </w:r>
          </w:p>
        </w:tc>
        <w:tc>
          <w:tcPr>
            <w:tcW w:w="649" w:type="pct"/>
            <w:tcBorders>
              <w:left w:val="nil"/>
              <w:bottom w:val="nil"/>
            </w:tcBorders>
          </w:tcPr>
          <w:p w14:paraId="6D809D5B" w14:textId="77777777" w:rsidR="00E57542" w:rsidRPr="001C2219" w:rsidRDefault="00E57542" w:rsidP="00A23876">
            <w:pPr>
              <w:jc w:val="center"/>
              <w:rPr>
                <w:b/>
                <w:sz w:val="22"/>
                <w:lang w:val="en-US"/>
              </w:rPr>
            </w:pPr>
          </w:p>
        </w:tc>
      </w:tr>
      <w:tr w:rsidR="006513FE" w:rsidRPr="001C2219" w14:paraId="40B1963D" w14:textId="7A21AA9C" w:rsidTr="003E122C">
        <w:tc>
          <w:tcPr>
            <w:tcW w:w="1006" w:type="pct"/>
            <w:tcBorders>
              <w:top w:val="nil"/>
              <w:bottom w:val="nil"/>
              <w:right w:val="nil"/>
            </w:tcBorders>
            <w:shd w:val="clear" w:color="auto" w:fill="auto"/>
          </w:tcPr>
          <w:p w14:paraId="476733CB" w14:textId="77777777" w:rsidR="000A3835" w:rsidRPr="001C2219" w:rsidRDefault="000A3835" w:rsidP="000A3835">
            <w:pPr>
              <w:rPr>
                <w:bCs/>
                <w:sz w:val="22"/>
                <w:lang w:val="en-US"/>
              </w:rPr>
            </w:pPr>
            <w:r w:rsidRPr="001C2219">
              <w:rPr>
                <w:bCs/>
                <w:sz w:val="22"/>
                <w:lang w:val="en-US"/>
              </w:rPr>
              <w:t>Decreased appetite</w:t>
            </w:r>
          </w:p>
        </w:tc>
        <w:tc>
          <w:tcPr>
            <w:tcW w:w="621" w:type="pct"/>
            <w:tcBorders>
              <w:top w:val="nil"/>
              <w:left w:val="nil"/>
              <w:bottom w:val="nil"/>
              <w:right w:val="nil"/>
            </w:tcBorders>
            <w:shd w:val="clear" w:color="auto" w:fill="auto"/>
          </w:tcPr>
          <w:p w14:paraId="5D3AC23E" w14:textId="77777777" w:rsidR="000A3835" w:rsidRPr="001C2219" w:rsidRDefault="000A3835" w:rsidP="000A3835">
            <w:pPr>
              <w:jc w:val="center"/>
              <w:rPr>
                <w:sz w:val="22"/>
                <w:lang w:val="en-US"/>
              </w:rPr>
            </w:pPr>
            <w:r w:rsidRPr="001C2219">
              <w:rPr>
                <w:sz w:val="22"/>
                <w:lang w:val="en-US"/>
              </w:rPr>
              <w:t>26.7</w:t>
            </w:r>
          </w:p>
        </w:tc>
        <w:tc>
          <w:tcPr>
            <w:tcW w:w="604" w:type="pct"/>
            <w:tcBorders>
              <w:top w:val="nil"/>
              <w:left w:val="nil"/>
              <w:bottom w:val="nil"/>
              <w:right w:val="nil"/>
            </w:tcBorders>
            <w:shd w:val="clear" w:color="auto" w:fill="auto"/>
          </w:tcPr>
          <w:p w14:paraId="323ABA03" w14:textId="77777777" w:rsidR="000A3835" w:rsidRPr="001C2219" w:rsidRDefault="000A3835" w:rsidP="000A3835">
            <w:pPr>
              <w:jc w:val="center"/>
              <w:rPr>
                <w:sz w:val="22"/>
                <w:lang w:val="en-US"/>
              </w:rPr>
            </w:pPr>
            <w:r w:rsidRPr="001C2219">
              <w:rPr>
                <w:sz w:val="22"/>
                <w:lang w:val="en-US"/>
              </w:rPr>
              <w:t>2.2</w:t>
            </w:r>
          </w:p>
        </w:tc>
        <w:tc>
          <w:tcPr>
            <w:tcW w:w="750" w:type="pct"/>
            <w:tcBorders>
              <w:top w:val="nil"/>
              <w:left w:val="nil"/>
              <w:bottom w:val="nil"/>
              <w:right w:val="nil"/>
            </w:tcBorders>
          </w:tcPr>
          <w:p w14:paraId="20C9A334" w14:textId="381E12E9" w:rsidR="000A3835" w:rsidRPr="001C2219" w:rsidRDefault="000A3835" w:rsidP="000A3835">
            <w:pPr>
              <w:jc w:val="center"/>
              <w:rPr>
                <w:sz w:val="22"/>
                <w:lang w:val="en-US"/>
              </w:rPr>
            </w:pPr>
            <w:r w:rsidRPr="00943030">
              <w:rPr>
                <w:sz w:val="22"/>
                <w:lang w:val="en-US"/>
              </w:rPr>
              <w:t>Very common</w:t>
            </w:r>
          </w:p>
        </w:tc>
        <w:tc>
          <w:tcPr>
            <w:tcW w:w="627" w:type="pct"/>
            <w:tcBorders>
              <w:top w:val="nil"/>
              <w:left w:val="nil"/>
              <w:bottom w:val="nil"/>
              <w:right w:val="nil"/>
            </w:tcBorders>
            <w:shd w:val="clear" w:color="auto" w:fill="auto"/>
          </w:tcPr>
          <w:p w14:paraId="11FED7BD" w14:textId="3DDB4A99" w:rsidR="000A3835" w:rsidRPr="001C2219" w:rsidRDefault="000A3835" w:rsidP="000A3835">
            <w:pPr>
              <w:jc w:val="center"/>
              <w:rPr>
                <w:sz w:val="22"/>
                <w:lang w:val="en-US"/>
              </w:rPr>
            </w:pPr>
            <w:r w:rsidRPr="001C2219">
              <w:rPr>
                <w:sz w:val="22"/>
                <w:lang w:val="en-US"/>
              </w:rPr>
              <w:t>20.5</w:t>
            </w:r>
          </w:p>
        </w:tc>
        <w:tc>
          <w:tcPr>
            <w:tcW w:w="645" w:type="pct"/>
            <w:tcBorders>
              <w:top w:val="nil"/>
              <w:left w:val="nil"/>
              <w:bottom w:val="nil"/>
              <w:right w:val="nil"/>
            </w:tcBorders>
          </w:tcPr>
          <w:p w14:paraId="78A72E8C" w14:textId="77777777" w:rsidR="000A3835" w:rsidRPr="001C2219" w:rsidRDefault="000A3835" w:rsidP="000A3835">
            <w:pPr>
              <w:jc w:val="center"/>
              <w:rPr>
                <w:sz w:val="22"/>
                <w:lang w:val="en-US"/>
              </w:rPr>
            </w:pPr>
            <w:r w:rsidRPr="001C2219">
              <w:rPr>
                <w:sz w:val="22"/>
                <w:lang w:val="en-US"/>
              </w:rPr>
              <w:t>0</w:t>
            </w:r>
          </w:p>
        </w:tc>
        <w:tc>
          <w:tcPr>
            <w:tcW w:w="746" w:type="pct"/>
            <w:gridSpan w:val="2"/>
            <w:tcBorders>
              <w:top w:val="nil"/>
              <w:left w:val="nil"/>
              <w:bottom w:val="nil"/>
            </w:tcBorders>
          </w:tcPr>
          <w:p w14:paraId="789B1AEE" w14:textId="0D54F4AD" w:rsidR="000A3835" w:rsidRPr="001C2219" w:rsidRDefault="000A3835" w:rsidP="000A3835">
            <w:pPr>
              <w:jc w:val="center"/>
              <w:rPr>
                <w:sz w:val="22"/>
                <w:lang w:val="en-US"/>
              </w:rPr>
            </w:pPr>
            <w:r>
              <w:rPr>
                <w:sz w:val="22"/>
                <w:lang w:val="en-US"/>
              </w:rPr>
              <w:t>Very common</w:t>
            </w:r>
          </w:p>
        </w:tc>
      </w:tr>
      <w:tr w:rsidR="006513FE" w:rsidRPr="001C2219" w14:paraId="43C19E29" w14:textId="71650AD4" w:rsidTr="003E122C">
        <w:tc>
          <w:tcPr>
            <w:tcW w:w="1006" w:type="pct"/>
            <w:tcBorders>
              <w:top w:val="nil"/>
              <w:bottom w:val="nil"/>
              <w:right w:val="nil"/>
            </w:tcBorders>
            <w:shd w:val="clear" w:color="auto" w:fill="auto"/>
          </w:tcPr>
          <w:p w14:paraId="77DD72DB" w14:textId="77777777" w:rsidR="000A3835" w:rsidRPr="001C2219" w:rsidRDefault="000A3835" w:rsidP="000A3835">
            <w:pPr>
              <w:rPr>
                <w:bCs/>
                <w:sz w:val="22"/>
                <w:lang w:val="en-US"/>
              </w:rPr>
            </w:pPr>
            <w:r w:rsidRPr="001C2219">
              <w:rPr>
                <w:bCs/>
                <w:sz w:val="22"/>
                <w:lang w:val="en-US"/>
              </w:rPr>
              <w:t>Hypokalemia</w:t>
            </w:r>
          </w:p>
        </w:tc>
        <w:tc>
          <w:tcPr>
            <w:tcW w:w="621" w:type="pct"/>
            <w:tcBorders>
              <w:top w:val="nil"/>
              <w:left w:val="nil"/>
              <w:bottom w:val="nil"/>
              <w:right w:val="nil"/>
            </w:tcBorders>
            <w:shd w:val="clear" w:color="auto" w:fill="auto"/>
          </w:tcPr>
          <w:p w14:paraId="058C2D74" w14:textId="77777777" w:rsidR="000A3835" w:rsidRPr="001C2219" w:rsidRDefault="000A3835" w:rsidP="000A3835">
            <w:pPr>
              <w:jc w:val="center"/>
              <w:rPr>
                <w:sz w:val="22"/>
                <w:lang w:val="en-US"/>
              </w:rPr>
            </w:pPr>
            <w:r w:rsidRPr="001C2219">
              <w:rPr>
                <w:sz w:val="22"/>
                <w:lang w:val="en-US"/>
              </w:rPr>
              <w:t>15.6</w:t>
            </w:r>
          </w:p>
        </w:tc>
        <w:tc>
          <w:tcPr>
            <w:tcW w:w="604" w:type="pct"/>
            <w:tcBorders>
              <w:top w:val="nil"/>
              <w:left w:val="nil"/>
              <w:bottom w:val="nil"/>
              <w:right w:val="nil"/>
            </w:tcBorders>
            <w:shd w:val="clear" w:color="auto" w:fill="auto"/>
          </w:tcPr>
          <w:p w14:paraId="6DB87236" w14:textId="77777777" w:rsidR="000A3835" w:rsidRPr="001C2219" w:rsidRDefault="000A3835" w:rsidP="000A3835">
            <w:pPr>
              <w:jc w:val="center"/>
              <w:rPr>
                <w:sz w:val="22"/>
                <w:lang w:val="en-US"/>
              </w:rPr>
            </w:pPr>
            <w:r w:rsidRPr="001C2219">
              <w:rPr>
                <w:sz w:val="22"/>
                <w:lang w:val="en-US"/>
              </w:rPr>
              <w:t>6.7</w:t>
            </w:r>
          </w:p>
        </w:tc>
        <w:tc>
          <w:tcPr>
            <w:tcW w:w="750" w:type="pct"/>
            <w:tcBorders>
              <w:top w:val="nil"/>
              <w:left w:val="nil"/>
              <w:bottom w:val="nil"/>
              <w:right w:val="nil"/>
            </w:tcBorders>
          </w:tcPr>
          <w:p w14:paraId="38FEF9BF" w14:textId="74C8463D" w:rsidR="000A3835" w:rsidRPr="001C2219" w:rsidRDefault="000A3835" w:rsidP="000A3835">
            <w:pPr>
              <w:jc w:val="center"/>
              <w:rPr>
                <w:sz w:val="22"/>
                <w:lang w:val="en-US"/>
              </w:rPr>
            </w:pPr>
            <w:r w:rsidRPr="00943030">
              <w:rPr>
                <w:sz w:val="22"/>
                <w:lang w:val="en-US"/>
              </w:rPr>
              <w:t>Very common</w:t>
            </w:r>
          </w:p>
        </w:tc>
        <w:tc>
          <w:tcPr>
            <w:tcW w:w="627" w:type="pct"/>
            <w:tcBorders>
              <w:top w:val="nil"/>
              <w:left w:val="nil"/>
              <w:bottom w:val="nil"/>
              <w:right w:val="nil"/>
            </w:tcBorders>
            <w:shd w:val="clear" w:color="auto" w:fill="auto"/>
          </w:tcPr>
          <w:p w14:paraId="58026EDD" w14:textId="7286D0A3" w:rsidR="000A3835" w:rsidRPr="001C2219" w:rsidRDefault="000A3835" w:rsidP="000A3835">
            <w:pPr>
              <w:jc w:val="center"/>
              <w:rPr>
                <w:sz w:val="22"/>
                <w:lang w:val="en-US"/>
              </w:rPr>
            </w:pPr>
            <w:r w:rsidRPr="001C2219">
              <w:rPr>
                <w:sz w:val="22"/>
                <w:lang w:val="en-US"/>
              </w:rPr>
              <w:t>7.7</w:t>
            </w:r>
          </w:p>
        </w:tc>
        <w:tc>
          <w:tcPr>
            <w:tcW w:w="645" w:type="pct"/>
            <w:tcBorders>
              <w:top w:val="nil"/>
              <w:left w:val="nil"/>
              <w:bottom w:val="nil"/>
              <w:right w:val="nil"/>
            </w:tcBorders>
          </w:tcPr>
          <w:p w14:paraId="7063E7D4" w14:textId="77777777" w:rsidR="000A3835" w:rsidRPr="001C2219" w:rsidRDefault="000A3835" w:rsidP="000A3835">
            <w:pPr>
              <w:jc w:val="center"/>
              <w:rPr>
                <w:sz w:val="22"/>
                <w:lang w:val="en-US"/>
              </w:rPr>
            </w:pPr>
            <w:r w:rsidRPr="001C2219">
              <w:rPr>
                <w:sz w:val="22"/>
                <w:lang w:val="en-US"/>
              </w:rPr>
              <w:t>2.6</w:t>
            </w:r>
          </w:p>
        </w:tc>
        <w:tc>
          <w:tcPr>
            <w:tcW w:w="746" w:type="pct"/>
            <w:gridSpan w:val="2"/>
            <w:tcBorders>
              <w:top w:val="nil"/>
              <w:left w:val="nil"/>
              <w:bottom w:val="nil"/>
            </w:tcBorders>
          </w:tcPr>
          <w:p w14:paraId="4C5D5649" w14:textId="7A46BF19" w:rsidR="000A3835" w:rsidRPr="001C2219" w:rsidRDefault="000A3835" w:rsidP="000A3835">
            <w:pPr>
              <w:jc w:val="center"/>
              <w:rPr>
                <w:sz w:val="22"/>
                <w:lang w:val="en-US"/>
              </w:rPr>
            </w:pPr>
            <w:r>
              <w:rPr>
                <w:sz w:val="22"/>
                <w:lang w:val="en-US"/>
              </w:rPr>
              <w:t>Common</w:t>
            </w:r>
          </w:p>
        </w:tc>
      </w:tr>
      <w:tr w:rsidR="006513FE" w:rsidRPr="001C2219" w14:paraId="0EDEFEB6" w14:textId="33C3FE52" w:rsidTr="003E122C">
        <w:tc>
          <w:tcPr>
            <w:tcW w:w="1006" w:type="pct"/>
            <w:tcBorders>
              <w:top w:val="nil"/>
              <w:bottom w:val="nil"/>
              <w:right w:val="nil"/>
            </w:tcBorders>
            <w:shd w:val="clear" w:color="auto" w:fill="auto"/>
          </w:tcPr>
          <w:p w14:paraId="75DD6554" w14:textId="77777777" w:rsidR="000A3835" w:rsidRPr="001C2219" w:rsidRDefault="000A3835" w:rsidP="000A3835">
            <w:pPr>
              <w:rPr>
                <w:bCs/>
                <w:sz w:val="22"/>
                <w:lang w:val="en-US"/>
              </w:rPr>
            </w:pPr>
            <w:r w:rsidRPr="001C2219">
              <w:rPr>
                <w:bCs/>
                <w:sz w:val="22"/>
                <w:lang w:val="en-US"/>
              </w:rPr>
              <w:t>Hypoalbuminemia</w:t>
            </w:r>
          </w:p>
        </w:tc>
        <w:tc>
          <w:tcPr>
            <w:tcW w:w="621" w:type="pct"/>
            <w:tcBorders>
              <w:top w:val="nil"/>
              <w:left w:val="nil"/>
              <w:bottom w:val="nil"/>
              <w:right w:val="nil"/>
            </w:tcBorders>
            <w:shd w:val="clear" w:color="auto" w:fill="auto"/>
          </w:tcPr>
          <w:p w14:paraId="498550EF" w14:textId="77777777" w:rsidR="000A3835" w:rsidRPr="001C2219" w:rsidRDefault="000A3835" w:rsidP="000A3835">
            <w:pPr>
              <w:jc w:val="center"/>
              <w:rPr>
                <w:sz w:val="22"/>
                <w:lang w:val="en-US"/>
              </w:rPr>
            </w:pPr>
            <w:r w:rsidRPr="001C2219">
              <w:rPr>
                <w:sz w:val="22"/>
                <w:lang w:val="en-US"/>
              </w:rPr>
              <w:t>13.3</w:t>
            </w:r>
          </w:p>
        </w:tc>
        <w:tc>
          <w:tcPr>
            <w:tcW w:w="604" w:type="pct"/>
            <w:tcBorders>
              <w:top w:val="nil"/>
              <w:left w:val="nil"/>
              <w:bottom w:val="nil"/>
              <w:right w:val="nil"/>
            </w:tcBorders>
            <w:shd w:val="clear" w:color="auto" w:fill="auto"/>
          </w:tcPr>
          <w:p w14:paraId="1A7EBFC3" w14:textId="77777777" w:rsidR="000A3835" w:rsidRPr="001C2219" w:rsidRDefault="000A3835" w:rsidP="000A3835">
            <w:pPr>
              <w:jc w:val="center"/>
              <w:rPr>
                <w:sz w:val="22"/>
                <w:lang w:val="en-US"/>
              </w:rPr>
            </w:pPr>
            <w:r w:rsidRPr="001C2219">
              <w:rPr>
                <w:sz w:val="22"/>
                <w:lang w:val="en-US"/>
              </w:rPr>
              <w:t>2.2</w:t>
            </w:r>
          </w:p>
        </w:tc>
        <w:tc>
          <w:tcPr>
            <w:tcW w:w="750" w:type="pct"/>
            <w:tcBorders>
              <w:top w:val="nil"/>
              <w:left w:val="nil"/>
              <w:bottom w:val="nil"/>
              <w:right w:val="nil"/>
            </w:tcBorders>
          </w:tcPr>
          <w:p w14:paraId="6581FFFC" w14:textId="423B8AF2" w:rsidR="000A3835" w:rsidRPr="001C2219" w:rsidRDefault="000A3835" w:rsidP="000A3835">
            <w:pPr>
              <w:jc w:val="center"/>
              <w:rPr>
                <w:sz w:val="22"/>
                <w:lang w:val="en-US"/>
              </w:rPr>
            </w:pPr>
            <w:r w:rsidRPr="00943030">
              <w:rPr>
                <w:sz w:val="22"/>
                <w:lang w:val="en-US"/>
              </w:rPr>
              <w:t>Very common</w:t>
            </w:r>
          </w:p>
        </w:tc>
        <w:tc>
          <w:tcPr>
            <w:tcW w:w="627" w:type="pct"/>
            <w:tcBorders>
              <w:top w:val="nil"/>
              <w:left w:val="nil"/>
              <w:bottom w:val="nil"/>
              <w:right w:val="nil"/>
            </w:tcBorders>
            <w:shd w:val="clear" w:color="auto" w:fill="auto"/>
          </w:tcPr>
          <w:p w14:paraId="0B8F54A4" w14:textId="28BFEA08" w:rsidR="000A3835" w:rsidRPr="001C2219" w:rsidRDefault="000A3835" w:rsidP="000A3835">
            <w:pPr>
              <w:jc w:val="center"/>
              <w:rPr>
                <w:sz w:val="22"/>
                <w:lang w:val="en-US"/>
              </w:rPr>
            </w:pPr>
            <w:r w:rsidRPr="001C2219">
              <w:rPr>
                <w:sz w:val="22"/>
                <w:lang w:val="en-US"/>
              </w:rPr>
              <w:t>5.1</w:t>
            </w:r>
          </w:p>
        </w:tc>
        <w:tc>
          <w:tcPr>
            <w:tcW w:w="645" w:type="pct"/>
            <w:tcBorders>
              <w:top w:val="nil"/>
              <w:left w:val="nil"/>
              <w:bottom w:val="nil"/>
              <w:right w:val="nil"/>
            </w:tcBorders>
          </w:tcPr>
          <w:p w14:paraId="14AEBEEB" w14:textId="77777777" w:rsidR="000A3835" w:rsidRPr="001C2219" w:rsidRDefault="000A3835" w:rsidP="000A3835">
            <w:pPr>
              <w:jc w:val="center"/>
              <w:rPr>
                <w:sz w:val="22"/>
                <w:lang w:val="en-US"/>
              </w:rPr>
            </w:pPr>
            <w:r w:rsidRPr="001C2219">
              <w:rPr>
                <w:sz w:val="22"/>
                <w:lang w:val="en-US"/>
              </w:rPr>
              <w:t>0</w:t>
            </w:r>
          </w:p>
        </w:tc>
        <w:tc>
          <w:tcPr>
            <w:tcW w:w="746" w:type="pct"/>
            <w:gridSpan w:val="2"/>
            <w:tcBorders>
              <w:top w:val="nil"/>
              <w:left w:val="nil"/>
              <w:bottom w:val="nil"/>
            </w:tcBorders>
          </w:tcPr>
          <w:p w14:paraId="0100546D" w14:textId="59FE8181" w:rsidR="000A3835" w:rsidRPr="001C2219" w:rsidRDefault="000A3835" w:rsidP="000A3835">
            <w:pPr>
              <w:jc w:val="center"/>
              <w:rPr>
                <w:sz w:val="22"/>
                <w:lang w:val="en-US"/>
              </w:rPr>
            </w:pPr>
            <w:r>
              <w:rPr>
                <w:sz w:val="22"/>
                <w:lang w:val="en-US"/>
              </w:rPr>
              <w:t>Common</w:t>
            </w:r>
          </w:p>
        </w:tc>
      </w:tr>
      <w:tr w:rsidR="006513FE" w:rsidRPr="001C2219" w14:paraId="4204BA03" w14:textId="04B39BC3" w:rsidTr="003E122C">
        <w:tc>
          <w:tcPr>
            <w:tcW w:w="1006" w:type="pct"/>
            <w:tcBorders>
              <w:top w:val="nil"/>
              <w:bottom w:val="single" w:sz="4" w:space="0" w:color="auto"/>
              <w:right w:val="nil"/>
            </w:tcBorders>
            <w:shd w:val="clear" w:color="auto" w:fill="auto"/>
          </w:tcPr>
          <w:p w14:paraId="1BDE4E95" w14:textId="77777777" w:rsidR="000A3835" w:rsidRPr="001C2219" w:rsidRDefault="000A3835" w:rsidP="000A3835">
            <w:pPr>
              <w:rPr>
                <w:bCs/>
                <w:sz w:val="22"/>
                <w:lang w:val="en-US"/>
              </w:rPr>
            </w:pPr>
            <w:r w:rsidRPr="001C2219">
              <w:rPr>
                <w:bCs/>
                <w:sz w:val="22"/>
                <w:lang w:val="en-US"/>
              </w:rPr>
              <w:t>Hypocalcemia</w:t>
            </w:r>
          </w:p>
        </w:tc>
        <w:tc>
          <w:tcPr>
            <w:tcW w:w="621" w:type="pct"/>
            <w:tcBorders>
              <w:top w:val="nil"/>
              <w:left w:val="nil"/>
              <w:bottom w:val="single" w:sz="4" w:space="0" w:color="auto"/>
              <w:right w:val="nil"/>
            </w:tcBorders>
            <w:shd w:val="clear" w:color="auto" w:fill="auto"/>
          </w:tcPr>
          <w:p w14:paraId="3A796207" w14:textId="77777777" w:rsidR="000A3835" w:rsidRPr="001C2219" w:rsidRDefault="000A3835" w:rsidP="000A3835">
            <w:pPr>
              <w:jc w:val="center"/>
              <w:rPr>
                <w:sz w:val="22"/>
                <w:lang w:val="en-US"/>
              </w:rPr>
            </w:pPr>
            <w:r w:rsidRPr="001C2219">
              <w:rPr>
                <w:sz w:val="22"/>
                <w:lang w:val="en-US"/>
              </w:rPr>
              <w:t>11.1</w:t>
            </w:r>
          </w:p>
        </w:tc>
        <w:tc>
          <w:tcPr>
            <w:tcW w:w="604" w:type="pct"/>
            <w:tcBorders>
              <w:top w:val="nil"/>
              <w:left w:val="nil"/>
              <w:bottom w:val="single" w:sz="4" w:space="0" w:color="auto"/>
              <w:right w:val="nil"/>
            </w:tcBorders>
            <w:shd w:val="clear" w:color="auto" w:fill="auto"/>
          </w:tcPr>
          <w:p w14:paraId="5DB26D59" w14:textId="77777777" w:rsidR="000A3835" w:rsidRPr="001C2219" w:rsidRDefault="000A3835" w:rsidP="000A3835">
            <w:pPr>
              <w:jc w:val="center"/>
              <w:rPr>
                <w:sz w:val="22"/>
                <w:lang w:val="en-US"/>
              </w:rPr>
            </w:pPr>
            <w:r w:rsidRPr="001C2219">
              <w:rPr>
                <w:sz w:val="22"/>
                <w:lang w:val="en-US"/>
              </w:rPr>
              <w:t>2.2</w:t>
            </w:r>
          </w:p>
        </w:tc>
        <w:tc>
          <w:tcPr>
            <w:tcW w:w="750" w:type="pct"/>
            <w:tcBorders>
              <w:top w:val="nil"/>
              <w:left w:val="nil"/>
              <w:bottom w:val="single" w:sz="4" w:space="0" w:color="auto"/>
              <w:right w:val="nil"/>
            </w:tcBorders>
          </w:tcPr>
          <w:p w14:paraId="6D26A760" w14:textId="014E3844" w:rsidR="000A3835" w:rsidRPr="001C2219" w:rsidRDefault="000A3835" w:rsidP="000A3835">
            <w:pPr>
              <w:jc w:val="center"/>
              <w:rPr>
                <w:sz w:val="22"/>
                <w:lang w:val="en-US"/>
              </w:rPr>
            </w:pPr>
            <w:r w:rsidRPr="00943030">
              <w:rPr>
                <w:sz w:val="22"/>
                <w:lang w:val="en-US"/>
              </w:rPr>
              <w:t>Very common</w:t>
            </w:r>
          </w:p>
        </w:tc>
        <w:tc>
          <w:tcPr>
            <w:tcW w:w="627" w:type="pct"/>
            <w:tcBorders>
              <w:top w:val="nil"/>
              <w:left w:val="nil"/>
              <w:bottom w:val="single" w:sz="4" w:space="0" w:color="auto"/>
              <w:right w:val="nil"/>
            </w:tcBorders>
            <w:shd w:val="clear" w:color="auto" w:fill="auto"/>
          </w:tcPr>
          <w:p w14:paraId="2119E220" w14:textId="47464089" w:rsidR="000A3835" w:rsidRPr="001C2219" w:rsidRDefault="000A3835" w:rsidP="000A3835">
            <w:pPr>
              <w:jc w:val="center"/>
              <w:rPr>
                <w:sz w:val="22"/>
                <w:lang w:val="en-US"/>
              </w:rPr>
            </w:pPr>
            <w:r w:rsidRPr="001C2219">
              <w:rPr>
                <w:sz w:val="22"/>
                <w:lang w:val="en-US"/>
              </w:rPr>
              <w:t>2.6</w:t>
            </w:r>
          </w:p>
        </w:tc>
        <w:tc>
          <w:tcPr>
            <w:tcW w:w="645" w:type="pct"/>
            <w:tcBorders>
              <w:top w:val="nil"/>
              <w:left w:val="nil"/>
              <w:bottom w:val="single" w:sz="4" w:space="0" w:color="auto"/>
              <w:right w:val="nil"/>
            </w:tcBorders>
          </w:tcPr>
          <w:p w14:paraId="7904A396" w14:textId="77777777" w:rsidR="000A3835" w:rsidRPr="001C2219" w:rsidRDefault="000A3835" w:rsidP="000A3835">
            <w:pPr>
              <w:jc w:val="center"/>
              <w:rPr>
                <w:sz w:val="22"/>
                <w:lang w:val="en-US"/>
              </w:rPr>
            </w:pPr>
            <w:r w:rsidRPr="001C2219">
              <w:rPr>
                <w:sz w:val="22"/>
                <w:lang w:val="en-US"/>
              </w:rPr>
              <w:t>0</w:t>
            </w:r>
          </w:p>
        </w:tc>
        <w:tc>
          <w:tcPr>
            <w:tcW w:w="746" w:type="pct"/>
            <w:gridSpan w:val="2"/>
            <w:tcBorders>
              <w:top w:val="nil"/>
              <w:left w:val="nil"/>
              <w:bottom w:val="single" w:sz="4" w:space="0" w:color="auto"/>
            </w:tcBorders>
          </w:tcPr>
          <w:p w14:paraId="796B4A39" w14:textId="20735739" w:rsidR="000A3835" w:rsidRPr="001C2219" w:rsidRDefault="000A3835" w:rsidP="000A3835">
            <w:pPr>
              <w:jc w:val="center"/>
              <w:rPr>
                <w:sz w:val="22"/>
                <w:lang w:val="en-US"/>
              </w:rPr>
            </w:pPr>
            <w:r>
              <w:rPr>
                <w:sz w:val="22"/>
                <w:lang w:val="en-US"/>
              </w:rPr>
              <w:t>Common</w:t>
            </w:r>
          </w:p>
        </w:tc>
      </w:tr>
      <w:tr w:rsidR="00810CDF" w:rsidRPr="001C2219" w14:paraId="0110253E" w14:textId="240B75DC" w:rsidTr="006513FE">
        <w:tc>
          <w:tcPr>
            <w:tcW w:w="5000" w:type="pct"/>
            <w:gridSpan w:val="8"/>
            <w:tcBorders>
              <w:bottom w:val="nil"/>
            </w:tcBorders>
          </w:tcPr>
          <w:p w14:paraId="66B54AF7" w14:textId="2CE94C22" w:rsidR="00810CDF" w:rsidRPr="001C2219" w:rsidRDefault="00810CDF" w:rsidP="00810CDF">
            <w:pPr>
              <w:jc w:val="left"/>
              <w:rPr>
                <w:b/>
                <w:sz w:val="22"/>
                <w:lang w:val="en-US"/>
              </w:rPr>
            </w:pPr>
            <w:r w:rsidRPr="001C2219">
              <w:rPr>
                <w:b/>
                <w:sz w:val="22"/>
                <w:lang w:val="en-US"/>
              </w:rPr>
              <w:t>Nervous System Disorders</w:t>
            </w:r>
          </w:p>
        </w:tc>
      </w:tr>
      <w:tr w:rsidR="006513FE" w:rsidRPr="001C2219" w14:paraId="5CD1A1CC" w14:textId="5409E1F6" w:rsidTr="003E122C">
        <w:tc>
          <w:tcPr>
            <w:tcW w:w="1006" w:type="pct"/>
            <w:tcBorders>
              <w:top w:val="nil"/>
              <w:bottom w:val="nil"/>
              <w:right w:val="nil"/>
            </w:tcBorders>
            <w:shd w:val="clear" w:color="auto" w:fill="auto"/>
          </w:tcPr>
          <w:p w14:paraId="63715E5D" w14:textId="77777777" w:rsidR="000A3835" w:rsidRPr="001C2219" w:rsidRDefault="000A3835" w:rsidP="000A3835">
            <w:pPr>
              <w:rPr>
                <w:bCs/>
                <w:sz w:val="22"/>
                <w:lang w:val="en-US"/>
              </w:rPr>
            </w:pPr>
            <w:r w:rsidRPr="001C2219">
              <w:rPr>
                <w:bCs/>
                <w:sz w:val="22"/>
                <w:lang w:val="en-US"/>
              </w:rPr>
              <w:t>Neuropathy Peripheral</w:t>
            </w:r>
          </w:p>
        </w:tc>
        <w:tc>
          <w:tcPr>
            <w:tcW w:w="621" w:type="pct"/>
            <w:tcBorders>
              <w:top w:val="nil"/>
              <w:left w:val="nil"/>
              <w:bottom w:val="nil"/>
              <w:right w:val="nil"/>
            </w:tcBorders>
            <w:shd w:val="clear" w:color="auto" w:fill="auto"/>
          </w:tcPr>
          <w:p w14:paraId="0F3E0163" w14:textId="77777777" w:rsidR="000A3835" w:rsidRPr="001C2219" w:rsidRDefault="000A3835" w:rsidP="000A3835">
            <w:pPr>
              <w:jc w:val="center"/>
              <w:rPr>
                <w:sz w:val="22"/>
                <w:lang w:val="en-US"/>
              </w:rPr>
            </w:pPr>
            <w:r w:rsidRPr="001C2219">
              <w:rPr>
                <w:sz w:val="22"/>
                <w:lang w:val="en-US"/>
              </w:rPr>
              <w:t>20.0</w:t>
            </w:r>
          </w:p>
        </w:tc>
        <w:tc>
          <w:tcPr>
            <w:tcW w:w="604" w:type="pct"/>
            <w:tcBorders>
              <w:top w:val="nil"/>
              <w:left w:val="nil"/>
              <w:bottom w:val="nil"/>
              <w:right w:val="nil"/>
            </w:tcBorders>
            <w:shd w:val="clear" w:color="auto" w:fill="auto"/>
          </w:tcPr>
          <w:p w14:paraId="58C7EB9C" w14:textId="77777777" w:rsidR="000A3835" w:rsidRPr="001C2219" w:rsidRDefault="000A3835" w:rsidP="000A3835">
            <w:pPr>
              <w:jc w:val="center"/>
              <w:rPr>
                <w:sz w:val="22"/>
                <w:lang w:val="en-US"/>
              </w:rPr>
            </w:pPr>
            <w:r w:rsidRPr="001C2219">
              <w:rPr>
                <w:sz w:val="22"/>
                <w:lang w:val="en-US"/>
              </w:rPr>
              <w:t>0</w:t>
            </w:r>
          </w:p>
        </w:tc>
        <w:tc>
          <w:tcPr>
            <w:tcW w:w="750" w:type="pct"/>
            <w:tcBorders>
              <w:top w:val="nil"/>
              <w:left w:val="nil"/>
              <w:bottom w:val="nil"/>
              <w:right w:val="nil"/>
            </w:tcBorders>
          </w:tcPr>
          <w:p w14:paraId="560E143B" w14:textId="014D3F77" w:rsidR="000A3835" w:rsidRPr="001C2219" w:rsidRDefault="000A3835" w:rsidP="000A3835">
            <w:pPr>
              <w:jc w:val="center"/>
              <w:rPr>
                <w:sz w:val="22"/>
                <w:lang w:val="en-US"/>
              </w:rPr>
            </w:pPr>
            <w:r w:rsidRPr="00023FD9">
              <w:rPr>
                <w:sz w:val="22"/>
                <w:lang w:val="en-US"/>
              </w:rPr>
              <w:t>Very common</w:t>
            </w:r>
          </w:p>
        </w:tc>
        <w:tc>
          <w:tcPr>
            <w:tcW w:w="627" w:type="pct"/>
            <w:tcBorders>
              <w:top w:val="nil"/>
              <w:left w:val="nil"/>
              <w:bottom w:val="nil"/>
              <w:right w:val="nil"/>
            </w:tcBorders>
            <w:shd w:val="clear" w:color="auto" w:fill="auto"/>
          </w:tcPr>
          <w:p w14:paraId="08A6A5CE" w14:textId="27BB4335" w:rsidR="000A3835" w:rsidRPr="001C2219" w:rsidRDefault="000A3835" w:rsidP="000A3835">
            <w:pPr>
              <w:jc w:val="center"/>
              <w:rPr>
                <w:sz w:val="22"/>
                <w:lang w:val="en-US"/>
              </w:rPr>
            </w:pPr>
            <w:r w:rsidRPr="001C2219">
              <w:rPr>
                <w:sz w:val="22"/>
                <w:lang w:val="en-US"/>
              </w:rPr>
              <w:t>2.6</w:t>
            </w:r>
          </w:p>
        </w:tc>
        <w:tc>
          <w:tcPr>
            <w:tcW w:w="645" w:type="pct"/>
            <w:tcBorders>
              <w:top w:val="nil"/>
              <w:left w:val="nil"/>
              <w:bottom w:val="nil"/>
              <w:right w:val="nil"/>
            </w:tcBorders>
          </w:tcPr>
          <w:p w14:paraId="7C33730D" w14:textId="77777777" w:rsidR="000A3835" w:rsidRPr="001C2219" w:rsidRDefault="000A3835" w:rsidP="000A3835">
            <w:pPr>
              <w:jc w:val="center"/>
              <w:rPr>
                <w:sz w:val="22"/>
                <w:lang w:val="en-US"/>
              </w:rPr>
            </w:pPr>
            <w:r w:rsidRPr="001C2219">
              <w:rPr>
                <w:sz w:val="22"/>
                <w:lang w:val="en-US"/>
              </w:rPr>
              <w:t>0</w:t>
            </w:r>
          </w:p>
        </w:tc>
        <w:tc>
          <w:tcPr>
            <w:tcW w:w="746" w:type="pct"/>
            <w:gridSpan w:val="2"/>
            <w:tcBorders>
              <w:top w:val="nil"/>
              <w:left w:val="nil"/>
              <w:bottom w:val="nil"/>
            </w:tcBorders>
          </w:tcPr>
          <w:p w14:paraId="1A2E7A5A" w14:textId="79A02276" w:rsidR="000A3835" w:rsidRPr="001C2219" w:rsidRDefault="000A3835" w:rsidP="000A3835">
            <w:pPr>
              <w:jc w:val="center"/>
              <w:rPr>
                <w:sz w:val="22"/>
                <w:lang w:val="en-US"/>
              </w:rPr>
            </w:pPr>
            <w:r>
              <w:rPr>
                <w:sz w:val="22"/>
                <w:lang w:val="en-US"/>
              </w:rPr>
              <w:t>Common</w:t>
            </w:r>
          </w:p>
        </w:tc>
      </w:tr>
      <w:tr w:rsidR="00644242" w:rsidRPr="001C2219" w14:paraId="4399A1F3" w14:textId="77777777" w:rsidTr="003E122C">
        <w:tc>
          <w:tcPr>
            <w:tcW w:w="1006" w:type="pct"/>
            <w:tcBorders>
              <w:top w:val="nil"/>
              <w:bottom w:val="nil"/>
              <w:right w:val="nil"/>
            </w:tcBorders>
            <w:shd w:val="clear" w:color="auto" w:fill="auto"/>
          </w:tcPr>
          <w:p w14:paraId="62C0BAB6" w14:textId="77777777" w:rsidR="00644242" w:rsidRPr="001C2219" w:rsidRDefault="00644242" w:rsidP="000A3835">
            <w:pPr>
              <w:rPr>
                <w:bCs/>
                <w:sz w:val="22"/>
                <w:lang w:val="en-US"/>
              </w:rPr>
            </w:pPr>
          </w:p>
        </w:tc>
        <w:tc>
          <w:tcPr>
            <w:tcW w:w="621" w:type="pct"/>
            <w:tcBorders>
              <w:top w:val="nil"/>
              <w:left w:val="nil"/>
              <w:bottom w:val="nil"/>
              <w:right w:val="nil"/>
            </w:tcBorders>
            <w:shd w:val="clear" w:color="auto" w:fill="auto"/>
          </w:tcPr>
          <w:p w14:paraId="16C7C5BD" w14:textId="77777777" w:rsidR="00644242" w:rsidRPr="001C2219" w:rsidRDefault="00644242" w:rsidP="000A3835">
            <w:pPr>
              <w:jc w:val="center"/>
              <w:rPr>
                <w:sz w:val="22"/>
                <w:lang w:val="en-US"/>
              </w:rPr>
            </w:pPr>
          </w:p>
        </w:tc>
        <w:tc>
          <w:tcPr>
            <w:tcW w:w="604" w:type="pct"/>
            <w:tcBorders>
              <w:top w:val="nil"/>
              <w:left w:val="nil"/>
              <w:bottom w:val="nil"/>
              <w:right w:val="nil"/>
            </w:tcBorders>
            <w:shd w:val="clear" w:color="auto" w:fill="auto"/>
          </w:tcPr>
          <w:p w14:paraId="08F9B38A" w14:textId="77777777" w:rsidR="00644242" w:rsidRPr="001C2219" w:rsidRDefault="00644242" w:rsidP="000A3835">
            <w:pPr>
              <w:jc w:val="center"/>
              <w:rPr>
                <w:sz w:val="22"/>
                <w:lang w:val="en-US"/>
              </w:rPr>
            </w:pPr>
          </w:p>
        </w:tc>
        <w:tc>
          <w:tcPr>
            <w:tcW w:w="750" w:type="pct"/>
            <w:tcBorders>
              <w:top w:val="nil"/>
              <w:left w:val="nil"/>
              <w:bottom w:val="nil"/>
              <w:right w:val="nil"/>
            </w:tcBorders>
          </w:tcPr>
          <w:p w14:paraId="6E695A5F" w14:textId="77777777" w:rsidR="00644242" w:rsidRPr="00023FD9" w:rsidRDefault="00644242" w:rsidP="000A3835">
            <w:pPr>
              <w:jc w:val="center"/>
              <w:rPr>
                <w:sz w:val="22"/>
                <w:lang w:val="en-US"/>
              </w:rPr>
            </w:pPr>
          </w:p>
        </w:tc>
        <w:tc>
          <w:tcPr>
            <w:tcW w:w="627" w:type="pct"/>
            <w:tcBorders>
              <w:top w:val="nil"/>
              <w:left w:val="nil"/>
              <w:bottom w:val="nil"/>
              <w:right w:val="nil"/>
            </w:tcBorders>
            <w:shd w:val="clear" w:color="auto" w:fill="auto"/>
          </w:tcPr>
          <w:p w14:paraId="5ABCD2EA" w14:textId="77777777" w:rsidR="00644242" w:rsidRPr="001C2219" w:rsidRDefault="00644242" w:rsidP="000A3835">
            <w:pPr>
              <w:jc w:val="center"/>
              <w:rPr>
                <w:sz w:val="22"/>
                <w:lang w:val="en-US"/>
              </w:rPr>
            </w:pPr>
          </w:p>
        </w:tc>
        <w:tc>
          <w:tcPr>
            <w:tcW w:w="645" w:type="pct"/>
            <w:tcBorders>
              <w:top w:val="nil"/>
              <w:left w:val="nil"/>
              <w:bottom w:val="nil"/>
              <w:right w:val="nil"/>
            </w:tcBorders>
          </w:tcPr>
          <w:p w14:paraId="18F44423" w14:textId="77777777" w:rsidR="00644242" w:rsidRPr="001C2219" w:rsidRDefault="00644242" w:rsidP="000A3835">
            <w:pPr>
              <w:jc w:val="center"/>
              <w:rPr>
                <w:sz w:val="22"/>
                <w:lang w:val="en-US"/>
              </w:rPr>
            </w:pPr>
          </w:p>
        </w:tc>
        <w:tc>
          <w:tcPr>
            <w:tcW w:w="746" w:type="pct"/>
            <w:gridSpan w:val="2"/>
            <w:tcBorders>
              <w:top w:val="nil"/>
              <w:left w:val="nil"/>
              <w:bottom w:val="nil"/>
            </w:tcBorders>
          </w:tcPr>
          <w:p w14:paraId="6DE6A01E" w14:textId="77777777" w:rsidR="00644242" w:rsidRDefault="00644242" w:rsidP="000A3835">
            <w:pPr>
              <w:jc w:val="center"/>
              <w:rPr>
                <w:sz w:val="22"/>
                <w:lang w:val="en-US"/>
              </w:rPr>
            </w:pPr>
          </w:p>
        </w:tc>
      </w:tr>
      <w:tr w:rsidR="006513FE" w:rsidRPr="001C2219" w14:paraId="0FCC5191" w14:textId="04189C53" w:rsidTr="003E122C">
        <w:tc>
          <w:tcPr>
            <w:tcW w:w="1006" w:type="pct"/>
            <w:tcBorders>
              <w:top w:val="nil"/>
              <w:bottom w:val="nil"/>
              <w:right w:val="nil"/>
            </w:tcBorders>
            <w:shd w:val="clear" w:color="auto" w:fill="auto"/>
          </w:tcPr>
          <w:p w14:paraId="7138F47C" w14:textId="77777777" w:rsidR="000A3835" w:rsidRPr="001C2219" w:rsidRDefault="000A3835" w:rsidP="000A3835">
            <w:pPr>
              <w:rPr>
                <w:bCs/>
                <w:sz w:val="22"/>
                <w:lang w:val="en-US"/>
              </w:rPr>
            </w:pPr>
            <w:r w:rsidRPr="001C2219">
              <w:rPr>
                <w:bCs/>
                <w:sz w:val="22"/>
                <w:lang w:val="en-US"/>
              </w:rPr>
              <w:t>Dizziness</w:t>
            </w:r>
          </w:p>
        </w:tc>
        <w:tc>
          <w:tcPr>
            <w:tcW w:w="621" w:type="pct"/>
            <w:tcBorders>
              <w:top w:val="nil"/>
              <w:left w:val="nil"/>
              <w:bottom w:val="nil"/>
              <w:right w:val="nil"/>
            </w:tcBorders>
            <w:shd w:val="clear" w:color="auto" w:fill="auto"/>
          </w:tcPr>
          <w:p w14:paraId="31083009" w14:textId="77777777" w:rsidR="000A3835" w:rsidRPr="001C2219" w:rsidRDefault="000A3835" w:rsidP="000A3835">
            <w:pPr>
              <w:jc w:val="center"/>
              <w:rPr>
                <w:sz w:val="22"/>
                <w:lang w:val="en-US"/>
              </w:rPr>
            </w:pPr>
            <w:r w:rsidRPr="001C2219">
              <w:rPr>
                <w:sz w:val="22"/>
                <w:lang w:val="en-US"/>
              </w:rPr>
              <w:t>13.3</w:t>
            </w:r>
          </w:p>
        </w:tc>
        <w:tc>
          <w:tcPr>
            <w:tcW w:w="604" w:type="pct"/>
            <w:tcBorders>
              <w:top w:val="nil"/>
              <w:left w:val="nil"/>
              <w:bottom w:val="nil"/>
              <w:right w:val="nil"/>
            </w:tcBorders>
            <w:shd w:val="clear" w:color="auto" w:fill="auto"/>
          </w:tcPr>
          <w:p w14:paraId="22278DD5" w14:textId="77777777" w:rsidR="000A3835" w:rsidRPr="001C2219" w:rsidRDefault="000A3835" w:rsidP="000A3835">
            <w:pPr>
              <w:jc w:val="center"/>
              <w:rPr>
                <w:sz w:val="22"/>
                <w:lang w:val="en-US"/>
              </w:rPr>
            </w:pPr>
            <w:r w:rsidRPr="001C2219">
              <w:rPr>
                <w:sz w:val="22"/>
                <w:lang w:val="en-US"/>
              </w:rPr>
              <w:t>0</w:t>
            </w:r>
          </w:p>
        </w:tc>
        <w:tc>
          <w:tcPr>
            <w:tcW w:w="750" w:type="pct"/>
            <w:tcBorders>
              <w:top w:val="nil"/>
              <w:left w:val="nil"/>
              <w:bottom w:val="nil"/>
              <w:right w:val="nil"/>
            </w:tcBorders>
          </w:tcPr>
          <w:p w14:paraId="0D1E83F3" w14:textId="0B8878E6" w:rsidR="000A3835" w:rsidRPr="001C2219" w:rsidRDefault="000A3835" w:rsidP="000A3835">
            <w:pPr>
              <w:jc w:val="center"/>
              <w:rPr>
                <w:sz w:val="22"/>
                <w:lang w:val="en-US"/>
              </w:rPr>
            </w:pPr>
            <w:r w:rsidRPr="00023FD9">
              <w:rPr>
                <w:sz w:val="22"/>
                <w:lang w:val="en-US"/>
              </w:rPr>
              <w:t>Very common</w:t>
            </w:r>
          </w:p>
        </w:tc>
        <w:tc>
          <w:tcPr>
            <w:tcW w:w="627" w:type="pct"/>
            <w:tcBorders>
              <w:top w:val="nil"/>
              <w:left w:val="nil"/>
              <w:bottom w:val="nil"/>
              <w:right w:val="nil"/>
            </w:tcBorders>
            <w:shd w:val="clear" w:color="auto" w:fill="auto"/>
          </w:tcPr>
          <w:p w14:paraId="6278DF92" w14:textId="752AFC50" w:rsidR="000A3835" w:rsidRPr="001C2219" w:rsidRDefault="000A3835" w:rsidP="000A3835">
            <w:pPr>
              <w:jc w:val="center"/>
              <w:rPr>
                <w:sz w:val="22"/>
                <w:lang w:val="en-US"/>
              </w:rPr>
            </w:pPr>
            <w:r w:rsidRPr="001C2219">
              <w:rPr>
                <w:sz w:val="22"/>
                <w:lang w:val="en-US"/>
              </w:rPr>
              <w:t>7.7</w:t>
            </w:r>
          </w:p>
        </w:tc>
        <w:tc>
          <w:tcPr>
            <w:tcW w:w="645" w:type="pct"/>
            <w:tcBorders>
              <w:top w:val="nil"/>
              <w:left w:val="nil"/>
              <w:bottom w:val="nil"/>
              <w:right w:val="nil"/>
            </w:tcBorders>
          </w:tcPr>
          <w:p w14:paraId="5225D0E9" w14:textId="77777777" w:rsidR="000A3835" w:rsidRPr="001C2219" w:rsidRDefault="000A3835" w:rsidP="000A3835">
            <w:pPr>
              <w:jc w:val="center"/>
              <w:rPr>
                <w:sz w:val="22"/>
                <w:lang w:val="en-US"/>
              </w:rPr>
            </w:pPr>
            <w:r w:rsidRPr="001C2219">
              <w:rPr>
                <w:sz w:val="22"/>
                <w:lang w:val="en-US"/>
              </w:rPr>
              <w:t>0</w:t>
            </w:r>
          </w:p>
        </w:tc>
        <w:tc>
          <w:tcPr>
            <w:tcW w:w="746" w:type="pct"/>
            <w:gridSpan w:val="2"/>
            <w:tcBorders>
              <w:top w:val="nil"/>
              <w:left w:val="nil"/>
              <w:bottom w:val="nil"/>
            </w:tcBorders>
          </w:tcPr>
          <w:p w14:paraId="3F31D686" w14:textId="2EFFE00F" w:rsidR="000A3835" w:rsidRPr="001C2219" w:rsidRDefault="000A3835" w:rsidP="000A3835">
            <w:pPr>
              <w:jc w:val="center"/>
              <w:rPr>
                <w:sz w:val="22"/>
                <w:lang w:val="en-US"/>
              </w:rPr>
            </w:pPr>
            <w:r>
              <w:rPr>
                <w:sz w:val="22"/>
                <w:lang w:val="en-US"/>
              </w:rPr>
              <w:t>Common</w:t>
            </w:r>
          </w:p>
        </w:tc>
      </w:tr>
      <w:tr w:rsidR="006513FE" w:rsidRPr="001C2219" w14:paraId="2FAEC255" w14:textId="75FF9942" w:rsidTr="003E122C">
        <w:tc>
          <w:tcPr>
            <w:tcW w:w="1006" w:type="pct"/>
            <w:tcBorders>
              <w:top w:val="nil"/>
              <w:bottom w:val="single" w:sz="4" w:space="0" w:color="auto"/>
              <w:right w:val="nil"/>
            </w:tcBorders>
            <w:shd w:val="clear" w:color="auto" w:fill="auto"/>
          </w:tcPr>
          <w:p w14:paraId="2C61CFC4" w14:textId="77777777" w:rsidR="000A3835" w:rsidRPr="001C2219" w:rsidRDefault="000A3835" w:rsidP="000A3835">
            <w:pPr>
              <w:rPr>
                <w:bCs/>
                <w:sz w:val="22"/>
                <w:lang w:val="en-US"/>
              </w:rPr>
            </w:pPr>
            <w:r w:rsidRPr="001C2219">
              <w:rPr>
                <w:bCs/>
                <w:sz w:val="22"/>
                <w:lang w:val="en-US"/>
              </w:rPr>
              <w:t>Peripheral Sensory neuropathy</w:t>
            </w:r>
          </w:p>
        </w:tc>
        <w:tc>
          <w:tcPr>
            <w:tcW w:w="621" w:type="pct"/>
            <w:tcBorders>
              <w:top w:val="nil"/>
              <w:left w:val="nil"/>
              <w:bottom w:val="single" w:sz="4" w:space="0" w:color="auto"/>
              <w:right w:val="nil"/>
            </w:tcBorders>
            <w:shd w:val="clear" w:color="auto" w:fill="auto"/>
          </w:tcPr>
          <w:p w14:paraId="3F6C4C7F" w14:textId="77777777" w:rsidR="000A3835" w:rsidRPr="001C2219" w:rsidRDefault="000A3835" w:rsidP="000A3835">
            <w:pPr>
              <w:jc w:val="center"/>
              <w:rPr>
                <w:sz w:val="22"/>
                <w:lang w:val="en-US"/>
              </w:rPr>
            </w:pPr>
            <w:r w:rsidRPr="001C2219">
              <w:rPr>
                <w:sz w:val="22"/>
                <w:lang w:val="en-US"/>
              </w:rPr>
              <w:t>13.3</w:t>
            </w:r>
          </w:p>
        </w:tc>
        <w:tc>
          <w:tcPr>
            <w:tcW w:w="604" w:type="pct"/>
            <w:tcBorders>
              <w:top w:val="nil"/>
              <w:left w:val="nil"/>
              <w:bottom w:val="single" w:sz="4" w:space="0" w:color="auto"/>
              <w:right w:val="nil"/>
            </w:tcBorders>
            <w:shd w:val="clear" w:color="auto" w:fill="auto"/>
          </w:tcPr>
          <w:p w14:paraId="38BF8A1D" w14:textId="77777777" w:rsidR="000A3835" w:rsidRPr="001C2219" w:rsidRDefault="000A3835" w:rsidP="000A3835">
            <w:pPr>
              <w:jc w:val="center"/>
              <w:rPr>
                <w:sz w:val="22"/>
                <w:lang w:val="en-US"/>
              </w:rPr>
            </w:pPr>
            <w:r w:rsidRPr="001C2219">
              <w:rPr>
                <w:sz w:val="22"/>
                <w:lang w:val="en-US"/>
              </w:rPr>
              <w:t>0</w:t>
            </w:r>
          </w:p>
        </w:tc>
        <w:tc>
          <w:tcPr>
            <w:tcW w:w="750" w:type="pct"/>
            <w:tcBorders>
              <w:top w:val="nil"/>
              <w:left w:val="nil"/>
              <w:bottom w:val="single" w:sz="4" w:space="0" w:color="auto"/>
              <w:right w:val="nil"/>
            </w:tcBorders>
          </w:tcPr>
          <w:p w14:paraId="565A2907" w14:textId="0D92B9AB" w:rsidR="000A3835" w:rsidRPr="001C2219" w:rsidRDefault="000A3835" w:rsidP="000A3835">
            <w:pPr>
              <w:jc w:val="center"/>
              <w:rPr>
                <w:sz w:val="22"/>
                <w:lang w:val="en-US"/>
              </w:rPr>
            </w:pPr>
            <w:r w:rsidRPr="00023FD9">
              <w:rPr>
                <w:sz w:val="22"/>
                <w:lang w:val="en-US"/>
              </w:rPr>
              <w:t>Very common</w:t>
            </w:r>
          </w:p>
        </w:tc>
        <w:tc>
          <w:tcPr>
            <w:tcW w:w="627" w:type="pct"/>
            <w:tcBorders>
              <w:top w:val="nil"/>
              <w:left w:val="nil"/>
              <w:bottom w:val="single" w:sz="4" w:space="0" w:color="auto"/>
              <w:right w:val="nil"/>
            </w:tcBorders>
            <w:shd w:val="clear" w:color="auto" w:fill="auto"/>
          </w:tcPr>
          <w:p w14:paraId="27225C8B" w14:textId="66B8B08E" w:rsidR="000A3835" w:rsidRPr="001C2219" w:rsidRDefault="000A3835" w:rsidP="000A3835">
            <w:pPr>
              <w:jc w:val="center"/>
              <w:rPr>
                <w:sz w:val="22"/>
                <w:lang w:val="en-US"/>
              </w:rPr>
            </w:pPr>
            <w:r w:rsidRPr="001C2219">
              <w:rPr>
                <w:sz w:val="22"/>
                <w:lang w:val="en-US"/>
              </w:rPr>
              <w:t>0</w:t>
            </w:r>
          </w:p>
        </w:tc>
        <w:tc>
          <w:tcPr>
            <w:tcW w:w="645" w:type="pct"/>
            <w:tcBorders>
              <w:top w:val="nil"/>
              <w:left w:val="nil"/>
              <w:bottom w:val="single" w:sz="4" w:space="0" w:color="auto"/>
              <w:right w:val="nil"/>
            </w:tcBorders>
          </w:tcPr>
          <w:p w14:paraId="6C450A73" w14:textId="77777777" w:rsidR="000A3835" w:rsidRPr="001C2219" w:rsidRDefault="000A3835" w:rsidP="000A3835">
            <w:pPr>
              <w:jc w:val="center"/>
              <w:rPr>
                <w:sz w:val="22"/>
                <w:lang w:val="en-US"/>
              </w:rPr>
            </w:pPr>
            <w:r w:rsidRPr="001C2219">
              <w:rPr>
                <w:sz w:val="22"/>
                <w:lang w:val="en-US"/>
              </w:rPr>
              <w:t>0</w:t>
            </w:r>
          </w:p>
        </w:tc>
        <w:tc>
          <w:tcPr>
            <w:tcW w:w="746" w:type="pct"/>
            <w:gridSpan w:val="2"/>
            <w:tcBorders>
              <w:top w:val="nil"/>
              <w:left w:val="nil"/>
              <w:bottom w:val="single" w:sz="4" w:space="0" w:color="auto"/>
            </w:tcBorders>
          </w:tcPr>
          <w:p w14:paraId="69A77D39" w14:textId="36A3A370" w:rsidR="000A3835" w:rsidRPr="001C2219" w:rsidRDefault="000A3835" w:rsidP="000A3835">
            <w:pPr>
              <w:jc w:val="center"/>
              <w:rPr>
                <w:sz w:val="22"/>
                <w:lang w:val="en-US"/>
              </w:rPr>
            </w:pPr>
            <w:r>
              <w:rPr>
                <w:sz w:val="22"/>
                <w:lang w:val="en-US"/>
              </w:rPr>
              <w:t>Rare</w:t>
            </w:r>
          </w:p>
        </w:tc>
      </w:tr>
      <w:tr w:rsidR="00810CDF" w:rsidRPr="001C2219" w14:paraId="71CF4408" w14:textId="597BE479" w:rsidTr="00644242">
        <w:tc>
          <w:tcPr>
            <w:tcW w:w="5000" w:type="pct"/>
            <w:gridSpan w:val="8"/>
            <w:tcBorders>
              <w:bottom w:val="nil"/>
            </w:tcBorders>
          </w:tcPr>
          <w:p w14:paraId="00F8DDF6" w14:textId="13745991" w:rsidR="00810CDF" w:rsidRPr="001C2219" w:rsidRDefault="00810CDF" w:rsidP="00810CDF">
            <w:pPr>
              <w:jc w:val="left"/>
              <w:rPr>
                <w:b/>
                <w:sz w:val="22"/>
                <w:lang w:val="en-US"/>
              </w:rPr>
            </w:pPr>
            <w:r w:rsidRPr="001C2219">
              <w:rPr>
                <w:b/>
                <w:sz w:val="22"/>
                <w:lang w:val="en-US"/>
              </w:rPr>
              <w:lastRenderedPageBreak/>
              <w:t>Respiratory, Thoracic and Mediastinal Disorders</w:t>
            </w:r>
          </w:p>
        </w:tc>
      </w:tr>
      <w:tr w:rsidR="006513FE" w:rsidRPr="001C2219" w14:paraId="066C1D1A" w14:textId="6667DE56" w:rsidTr="003E122C">
        <w:tc>
          <w:tcPr>
            <w:tcW w:w="1006" w:type="pct"/>
            <w:tcBorders>
              <w:top w:val="nil"/>
              <w:bottom w:val="single" w:sz="4" w:space="0" w:color="auto"/>
              <w:right w:val="nil"/>
            </w:tcBorders>
            <w:shd w:val="clear" w:color="auto" w:fill="auto"/>
          </w:tcPr>
          <w:p w14:paraId="3771E277" w14:textId="77777777" w:rsidR="00E57542" w:rsidRPr="001C2219" w:rsidRDefault="00E57542" w:rsidP="009B06EB">
            <w:pPr>
              <w:jc w:val="left"/>
              <w:rPr>
                <w:bCs/>
                <w:sz w:val="22"/>
                <w:lang w:val="en-US"/>
              </w:rPr>
            </w:pPr>
            <w:r w:rsidRPr="001C2219">
              <w:rPr>
                <w:bCs/>
                <w:sz w:val="22"/>
                <w:lang w:val="en-US"/>
              </w:rPr>
              <w:t>Cough</w:t>
            </w:r>
          </w:p>
        </w:tc>
        <w:tc>
          <w:tcPr>
            <w:tcW w:w="621" w:type="pct"/>
            <w:tcBorders>
              <w:top w:val="nil"/>
              <w:left w:val="nil"/>
              <w:bottom w:val="single" w:sz="4" w:space="0" w:color="auto"/>
              <w:right w:val="nil"/>
            </w:tcBorders>
            <w:shd w:val="clear" w:color="auto" w:fill="auto"/>
          </w:tcPr>
          <w:p w14:paraId="2709B6F0" w14:textId="77777777" w:rsidR="00E57542" w:rsidRPr="001C2219" w:rsidRDefault="00E57542" w:rsidP="00810CDF">
            <w:pPr>
              <w:jc w:val="center"/>
              <w:rPr>
                <w:sz w:val="22"/>
                <w:lang w:val="en-US"/>
              </w:rPr>
            </w:pPr>
            <w:r w:rsidRPr="001C2219">
              <w:rPr>
                <w:sz w:val="22"/>
                <w:lang w:val="en-US"/>
              </w:rPr>
              <w:t>15.6</w:t>
            </w:r>
          </w:p>
        </w:tc>
        <w:tc>
          <w:tcPr>
            <w:tcW w:w="604" w:type="pct"/>
            <w:tcBorders>
              <w:top w:val="nil"/>
              <w:left w:val="nil"/>
              <w:bottom w:val="single" w:sz="4" w:space="0" w:color="auto"/>
              <w:right w:val="nil"/>
            </w:tcBorders>
            <w:shd w:val="clear" w:color="auto" w:fill="auto"/>
          </w:tcPr>
          <w:p w14:paraId="3ABBE882" w14:textId="77777777" w:rsidR="00E57542" w:rsidRPr="001C2219" w:rsidRDefault="00E57542" w:rsidP="00810CDF">
            <w:pPr>
              <w:jc w:val="center"/>
              <w:rPr>
                <w:sz w:val="22"/>
                <w:lang w:val="en-US"/>
              </w:rPr>
            </w:pPr>
            <w:r w:rsidRPr="001C2219">
              <w:rPr>
                <w:sz w:val="22"/>
                <w:lang w:val="en-US"/>
              </w:rPr>
              <w:t>0</w:t>
            </w:r>
          </w:p>
        </w:tc>
        <w:tc>
          <w:tcPr>
            <w:tcW w:w="750" w:type="pct"/>
            <w:tcBorders>
              <w:top w:val="nil"/>
              <w:left w:val="nil"/>
              <w:bottom w:val="single" w:sz="4" w:space="0" w:color="auto"/>
              <w:right w:val="nil"/>
            </w:tcBorders>
          </w:tcPr>
          <w:p w14:paraId="20E864FF" w14:textId="18B5780E" w:rsidR="00E57542" w:rsidRPr="001C2219" w:rsidRDefault="000A3835" w:rsidP="00810CDF">
            <w:pPr>
              <w:jc w:val="center"/>
              <w:rPr>
                <w:sz w:val="22"/>
                <w:lang w:val="en-US"/>
              </w:rPr>
            </w:pPr>
            <w:r>
              <w:rPr>
                <w:sz w:val="22"/>
                <w:lang w:val="en-US"/>
              </w:rPr>
              <w:t>Very common</w:t>
            </w:r>
          </w:p>
        </w:tc>
        <w:tc>
          <w:tcPr>
            <w:tcW w:w="627" w:type="pct"/>
            <w:tcBorders>
              <w:top w:val="nil"/>
              <w:left w:val="nil"/>
              <w:bottom w:val="single" w:sz="4" w:space="0" w:color="auto"/>
              <w:right w:val="nil"/>
            </w:tcBorders>
            <w:shd w:val="clear" w:color="auto" w:fill="auto"/>
          </w:tcPr>
          <w:p w14:paraId="55D39C77" w14:textId="6B4A6A99" w:rsidR="00E57542" w:rsidRPr="001C2219" w:rsidRDefault="00E57542" w:rsidP="00810CDF">
            <w:pPr>
              <w:jc w:val="center"/>
              <w:rPr>
                <w:sz w:val="22"/>
                <w:lang w:val="en-US"/>
              </w:rPr>
            </w:pPr>
            <w:r w:rsidRPr="001C2219">
              <w:rPr>
                <w:sz w:val="22"/>
                <w:lang w:val="en-US"/>
              </w:rPr>
              <w:t>20.5</w:t>
            </w:r>
          </w:p>
        </w:tc>
        <w:tc>
          <w:tcPr>
            <w:tcW w:w="645" w:type="pct"/>
            <w:tcBorders>
              <w:top w:val="nil"/>
              <w:left w:val="nil"/>
              <w:bottom w:val="single" w:sz="4" w:space="0" w:color="auto"/>
              <w:right w:val="nil"/>
            </w:tcBorders>
          </w:tcPr>
          <w:p w14:paraId="322667E2" w14:textId="77777777" w:rsidR="00E57542" w:rsidRPr="001C2219" w:rsidRDefault="00E57542" w:rsidP="00810CDF">
            <w:pPr>
              <w:jc w:val="center"/>
              <w:rPr>
                <w:sz w:val="22"/>
                <w:lang w:val="en-US"/>
              </w:rPr>
            </w:pPr>
            <w:r w:rsidRPr="001C2219">
              <w:rPr>
                <w:sz w:val="22"/>
                <w:lang w:val="en-US"/>
              </w:rPr>
              <w:t>0</w:t>
            </w:r>
          </w:p>
        </w:tc>
        <w:tc>
          <w:tcPr>
            <w:tcW w:w="746" w:type="pct"/>
            <w:gridSpan w:val="2"/>
            <w:tcBorders>
              <w:top w:val="nil"/>
              <w:left w:val="nil"/>
              <w:bottom w:val="single" w:sz="4" w:space="0" w:color="auto"/>
            </w:tcBorders>
          </w:tcPr>
          <w:p w14:paraId="39C97D62" w14:textId="63D0B9B5" w:rsidR="00E57542" w:rsidRPr="001C2219" w:rsidRDefault="000A3835" w:rsidP="00A23876">
            <w:pPr>
              <w:jc w:val="center"/>
              <w:rPr>
                <w:sz w:val="22"/>
                <w:lang w:val="en-US"/>
              </w:rPr>
            </w:pPr>
            <w:r>
              <w:rPr>
                <w:sz w:val="22"/>
                <w:lang w:val="en-US"/>
              </w:rPr>
              <w:t>Very common</w:t>
            </w:r>
          </w:p>
        </w:tc>
      </w:tr>
      <w:tr w:rsidR="00A35B38" w:rsidRPr="001C2219" w14:paraId="63E2A59F" w14:textId="01DBEC60" w:rsidTr="00F03CC1">
        <w:tc>
          <w:tcPr>
            <w:tcW w:w="5000" w:type="pct"/>
            <w:gridSpan w:val="8"/>
            <w:tcBorders>
              <w:bottom w:val="nil"/>
            </w:tcBorders>
          </w:tcPr>
          <w:p w14:paraId="6D07D532" w14:textId="418043D5" w:rsidR="00A35B38" w:rsidRPr="001C2219" w:rsidRDefault="00A35B38" w:rsidP="00810CDF">
            <w:pPr>
              <w:jc w:val="left"/>
              <w:rPr>
                <w:b/>
                <w:bCs/>
                <w:sz w:val="22"/>
                <w:lang w:val="en-US"/>
              </w:rPr>
            </w:pPr>
            <w:r w:rsidRPr="001C2219">
              <w:rPr>
                <w:b/>
                <w:bCs/>
                <w:sz w:val="22"/>
                <w:lang w:val="en-US"/>
              </w:rPr>
              <w:t>Gastrointestinal Disorders</w:t>
            </w:r>
          </w:p>
        </w:tc>
      </w:tr>
      <w:tr w:rsidR="006513FE" w:rsidRPr="001C2219" w14:paraId="666954AA" w14:textId="608AD374" w:rsidTr="003E122C">
        <w:tc>
          <w:tcPr>
            <w:tcW w:w="1006" w:type="pct"/>
            <w:tcBorders>
              <w:top w:val="nil"/>
              <w:bottom w:val="nil"/>
              <w:right w:val="nil"/>
            </w:tcBorders>
            <w:shd w:val="clear" w:color="auto" w:fill="auto"/>
          </w:tcPr>
          <w:p w14:paraId="08F8C292" w14:textId="77777777" w:rsidR="000A3835" w:rsidRPr="001C2219" w:rsidRDefault="000A3835" w:rsidP="000A3835">
            <w:pPr>
              <w:rPr>
                <w:sz w:val="22"/>
                <w:lang w:val="en-US"/>
              </w:rPr>
            </w:pPr>
            <w:r w:rsidRPr="001C2219">
              <w:rPr>
                <w:sz w:val="22"/>
                <w:lang w:val="en-US"/>
              </w:rPr>
              <w:t>Diarrhea</w:t>
            </w:r>
          </w:p>
        </w:tc>
        <w:tc>
          <w:tcPr>
            <w:tcW w:w="621" w:type="pct"/>
            <w:tcBorders>
              <w:top w:val="nil"/>
              <w:left w:val="nil"/>
              <w:bottom w:val="nil"/>
              <w:right w:val="nil"/>
            </w:tcBorders>
            <w:shd w:val="clear" w:color="auto" w:fill="auto"/>
          </w:tcPr>
          <w:p w14:paraId="4A4D0D8A" w14:textId="77777777" w:rsidR="000A3835" w:rsidRPr="001C2219" w:rsidRDefault="000A3835" w:rsidP="000A3835">
            <w:pPr>
              <w:jc w:val="center"/>
              <w:rPr>
                <w:sz w:val="22"/>
                <w:lang w:val="en-US"/>
              </w:rPr>
            </w:pPr>
            <w:r w:rsidRPr="001C2219">
              <w:rPr>
                <w:sz w:val="22"/>
                <w:lang w:val="en-US"/>
              </w:rPr>
              <w:t>37.8</w:t>
            </w:r>
          </w:p>
        </w:tc>
        <w:tc>
          <w:tcPr>
            <w:tcW w:w="604" w:type="pct"/>
            <w:tcBorders>
              <w:top w:val="nil"/>
              <w:left w:val="nil"/>
              <w:bottom w:val="nil"/>
              <w:right w:val="nil"/>
            </w:tcBorders>
            <w:shd w:val="clear" w:color="auto" w:fill="auto"/>
          </w:tcPr>
          <w:p w14:paraId="090D514F" w14:textId="77777777" w:rsidR="000A3835" w:rsidRPr="001C2219" w:rsidRDefault="000A3835" w:rsidP="000A3835">
            <w:pPr>
              <w:jc w:val="center"/>
              <w:rPr>
                <w:sz w:val="22"/>
                <w:lang w:val="en-US"/>
              </w:rPr>
            </w:pPr>
            <w:r w:rsidRPr="001C2219">
              <w:rPr>
                <w:sz w:val="22"/>
                <w:lang w:val="en-US"/>
              </w:rPr>
              <w:t>4.4</w:t>
            </w:r>
          </w:p>
        </w:tc>
        <w:tc>
          <w:tcPr>
            <w:tcW w:w="750" w:type="pct"/>
            <w:tcBorders>
              <w:top w:val="nil"/>
              <w:left w:val="nil"/>
              <w:bottom w:val="nil"/>
              <w:right w:val="nil"/>
            </w:tcBorders>
          </w:tcPr>
          <w:p w14:paraId="01849BDE" w14:textId="2F67CC26" w:rsidR="000A3835" w:rsidRPr="001C2219" w:rsidRDefault="000A3835" w:rsidP="000A3835">
            <w:pPr>
              <w:jc w:val="center"/>
              <w:rPr>
                <w:sz w:val="22"/>
                <w:lang w:val="en-US"/>
              </w:rPr>
            </w:pPr>
            <w:r w:rsidRPr="00DC2317">
              <w:rPr>
                <w:sz w:val="22"/>
                <w:lang w:val="en-US"/>
              </w:rPr>
              <w:t>Very common</w:t>
            </w:r>
          </w:p>
        </w:tc>
        <w:tc>
          <w:tcPr>
            <w:tcW w:w="627" w:type="pct"/>
            <w:tcBorders>
              <w:top w:val="nil"/>
              <w:left w:val="nil"/>
              <w:bottom w:val="nil"/>
              <w:right w:val="nil"/>
            </w:tcBorders>
            <w:shd w:val="clear" w:color="auto" w:fill="auto"/>
          </w:tcPr>
          <w:p w14:paraId="5EF505EF" w14:textId="3410BF38" w:rsidR="000A3835" w:rsidRPr="001C2219" w:rsidRDefault="000A3835" w:rsidP="000A3835">
            <w:pPr>
              <w:jc w:val="center"/>
              <w:rPr>
                <w:sz w:val="22"/>
                <w:lang w:val="en-US"/>
              </w:rPr>
            </w:pPr>
            <w:r w:rsidRPr="001C2219">
              <w:rPr>
                <w:sz w:val="22"/>
                <w:lang w:val="en-US"/>
              </w:rPr>
              <w:t>28.2</w:t>
            </w:r>
          </w:p>
        </w:tc>
        <w:tc>
          <w:tcPr>
            <w:tcW w:w="645" w:type="pct"/>
            <w:tcBorders>
              <w:top w:val="nil"/>
              <w:left w:val="nil"/>
              <w:bottom w:val="nil"/>
              <w:right w:val="nil"/>
            </w:tcBorders>
          </w:tcPr>
          <w:p w14:paraId="78F1918A" w14:textId="77777777" w:rsidR="000A3835" w:rsidRPr="001C2219" w:rsidRDefault="000A3835" w:rsidP="000A3835">
            <w:pPr>
              <w:jc w:val="center"/>
              <w:rPr>
                <w:sz w:val="22"/>
                <w:lang w:val="en-US"/>
              </w:rPr>
            </w:pPr>
            <w:r w:rsidRPr="001C2219">
              <w:rPr>
                <w:sz w:val="22"/>
                <w:lang w:val="en-US"/>
              </w:rPr>
              <w:t>5.1</w:t>
            </w:r>
          </w:p>
        </w:tc>
        <w:tc>
          <w:tcPr>
            <w:tcW w:w="746" w:type="pct"/>
            <w:gridSpan w:val="2"/>
            <w:tcBorders>
              <w:top w:val="nil"/>
              <w:left w:val="nil"/>
              <w:bottom w:val="nil"/>
            </w:tcBorders>
          </w:tcPr>
          <w:p w14:paraId="48DEF676" w14:textId="5867727E" w:rsidR="000A3835" w:rsidRPr="001C2219" w:rsidRDefault="000A3835" w:rsidP="000A3835">
            <w:pPr>
              <w:jc w:val="center"/>
              <w:rPr>
                <w:sz w:val="22"/>
                <w:lang w:val="en-US"/>
              </w:rPr>
            </w:pPr>
            <w:r w:rsidRPr="007744B9">
              <w:rPr>
                <w:sz w:val="22"/>
                <w:lang w:val="en-US"/>
              </w:rPr>
              <w:t>Very common</w:t>
            </w:r>
          </w:p>
        </w:tc>
      </w:tr>
      <w:tr w:rsidR="006513FE" w:rsidRPr="001C2219" w14:paraId="0F2F2C32" w14:textId="2CA1E73B" w:rsidTr="003E122C">
        <w:tc>
          <w:tcPr>
            <w:tcW w:w="1006" w:type="pct"/>
            <w:tcBorders>
              <w:top w:val="nil"/>
              <w:bottom w:val="nil"/>
              <w:right w:val="nil"/>
            </w:tcBorders>
            <w:shd w:val="clear" w:color="auto" w:fill="auto"/>
          </w:tcPr>
          <w:p w14:paraId="71E1EF92" w14:textId="77777777" w:rsidR="000A3835" w:rsidRPr="001C2219" w:rsidRDefault="000A3835" w:rsidP="000A3835">
            <w:pPr>
              <w:rPr>
                <w:sz w:val="22"/>
                <w:lang w:val="en-US"/>
              </w:rPr>
            </w:pPr>
            <w:r w:rsidRPr="001C2219">
              <w:rPr>
                <w:sz w:val="22"/>
                <w:lang w:val="en-US"/>
              </w:rPr>
              <w:t>Nausea</w:t>
            </w:r>
          </w:p>
        </w:tc>
        <w:tc>
          <w:tcPr>
            <w:tcW w:w="621" w:type="pct"/>
            <w:tcBorders>
              <w:top w:val="nil"/>
              <w:left w:val="nil"/>
              <w:bottom w:val="nil"/>
              <w:right w:val="nil"/>
            </w:tcBorders>
            <w:shd w:val="clear" w:color="auto" w:fill="auto"/>
          </w:tcPr>
          <w:p w14:paraId="03B0B0E0" w14:textId="77777777" w:rsidR="000A3835" w:rsidRPr="001C2219" w:rsidRDefault="000A3835" w:rsidP="000A3835">
            <w:pPr>
              <w:jc w:val="center"/>
              <w:rPr>
                <w:sz w:val="22"/>
                <w:lang w:val="en-US"/>
              </w:rPr>
            </w:pPr>
            <w:r w:rsidRPr="001C2219">
              <w:rPr>
                <w:sz w:val="22"/>
                <w:lang w:val="en-US"/>
              </w:rPr>
              <w:t>33.3</w:t>
            </w:r>
          </w:p>
        </w:tc>
        <w:tc>
          <w:tcPr>
            <w:tcW w:w="604" w:type="pct"/>
            <w:tcBorders>
              <w:top w:val="nil"/>
              <w:left w:val="nil"/>
              <w:bottom w:val="nil"/>
              <w:right w:val="nil"/>
            </w:tcBorders>
            <w:shd w:val="clear" w:color="auto" w:fill="auto"/>
          </w:tcPr>
          <w:p w14:paraId="2C7E262B" w14:textId="77777777" w:rsidR="000A3835" w:rsidRPr="001C2219" w:rsidRDefault="000A3835" w:rsidP="000A3835">
            <w:pPr>
              <w:jc w:val="center"/>
              <w:rPr>
                <w:sz w:val="22"/>
                <w:lang w:val="en-US"/>
              </w:rPr>
            </w:pPr>
            <w:r w:rsidRPr="001C2219">
              <w:rPr>
                <w:sz w:val="22"/>
                <w:lang w:val="en-US"/>
              </w:rPr>
              <w:t>0</w:t>
            </w:r>
          </w:p>
        </w:tc>
        <w:tc>
          <w:tcPr>
            <w:tcW w:w="750" w:type="pct"/>
            <w:tcBorders>
              <w:top w:val="nil"/>
              <w:left w:val="nil"/>
              <w:bottom w:val="nil"/>
              <w:right w:val="nil"/>
            </w:tcBorders>
          </w:tcPr>
          <w:p w14:paraId="09806F8B" w14:textId="3C0FA180" w:rsidR="000A3835" w:rsidRPr="001C2219" w:rsidRDefault="000A3835" w:rsidP="000A3835">
            <w:pPr>
              <w:jc w:val="center"/>
              <w:rPr>
                <w:sz w:val="22"/>
                <w:lang w:val="en-US"/>
              </w:rPr>
            </w:pPr>
            <w:r w:rsidRPr="00DC2317">
              <w:rPr>
                <w:sz w:val="22"/>
                <w:lang w:val="en-US"/>
              </w:rPr>
              <w:t>Very common</w:t>
            </w:r>
          </w:p>
        </w:tc>
        <w:tc>
          <w:tcPr>
            <w:tcW w:w="627" w:type="pct"/>
            <w:tcBorders>
              <w:top w:val="nil"/>
              <w:left w:val="nil"/>
              <w:bottom w:val="nil"/>
              <w:right w:val="nil"/>
            </w:tcBorders>
            <w:shd w:val="clear" w:color="auto" w:fill="auto"/>
          </w:tcPr>
          <w:p w14:paraId="7E8AFA36" w14:textId="575C42ED" w:rsidR="000A3835" w:rsidRPr="001C2219" w:rsidRDefault="000A3835" w:rsidP="000A3835">
            <w:pPr>
              <w:jc w:val="center"/>
              <w:rPr>
                <w:sz w:val="22"/>
                <w:lang w:val="en-US"/>
              </w:rPr>
            </w:pPr>
            <w:r w:rsidRPr="001C2219">
              <w:rPr>
                <w:sz w:val="22"/>
                <w:lang w:val="en-US"/>
              </w:rPr>
              <w:t>41.0</w:t>
            </w:r>
          </w:p>
        </w:tc>
        <w:tc>
          <w:tcPr>
            <w:tcW w:w="645" w:type="pct"/>
            <w:tcBorders>
              <w:top w:val="nil"/>
              <w:left w:val="nil"/>
              <w:bottom w:val="nil"/>
              <w:right w:val="nil"/>
            </w:tcBorders>
          </w:tcPr>
          <w:p w14:paraId="34ADEB78" w14:textId="77777777" w:rsidR="000A3835" w:rsidRPr="001C2219" w:rsidRDefault="000A3835" w:rsidP="000A3835">
            <w:pPr>
              <w:jc w:val="center"/>
              <w:rPr>
                <w:sz w:val="22"/>
                <w:lang w:val="en-US"/>
              </w:rPr>
            </w:pPr>
            <w:r w:rsidRPr="001C2219">
              <w:rPr>
                <w:sz w:val="22"/>
                <w:lang w:val="en-US"/>
              </w:rPr>
              <w:t>0</w:t>
            </w:r>
          </w:p>
        </w:tc>
        <w:tc>
          <w:tcPr>
            <w:tcW w:w="746" w:type="pct"/>
            <w:gridSpan w:val="2"/>
            <w:tcBorders>
              <w:top w:val="nil"/>
              <w:left w:val="nil"/>
              <w:bottom w:val="nil"/>
            </w:tcBorders>
          </w:tcPr>
          <w:p w14:paraId="5A309E85" w14:textId="13A023E4" w:rsidR="000A3835" w:rsidRPr="001C2219" w:rsidRDefault="000A3835" w:rsidP="000A3835">
            <w:pPr>
              <w:jc w:val="center"/>
              <w:rPr>
                <w:sz w:val="22"/>
                <w:lang w:val="en-US"/>
              </w:rPr>
            </w:pPr>
            <w:r w:rsidRPr="007744B9">
              <w:rPr>
                <w:sz w:val="22"/>
                <w:lang w:val="en-US"/>
              </w:rPr>
              <w:t>Very common</w:t>
            </w:r>
          </w:p>
        </w:tc>
      </w:tr>
      <w:tr w:rsidR="006513FE" w:rsidRPr="001C2219" w14:paraId="543BE261" w14:textId="163E373A" w:rsidTr="003E122C">
        <w:tc>
          <w:tcPr>
            <w:tcW w:w="1006" w:type="pct"/>
            <w:tcBorders>
              <w:top w:val="nil"/>
              <w:bottom w:val="nil"/>
              <w:right w:val="nil"/>
            </w:tcBorders>
            <w:shd w:val="clear" w:color="auto" w:fill="auto"/>
          </w:tcPr>
          <w:p w14:paraId="1FBF2639" w14:textId="77777777" w:rsidR="000A3835" w:rsidRPr="001C2219" w:rsidRDefault="000A3835" w:rsidP="000A3835">
            <w:pPr>
              <w:rPr>
                <w:sz w:val="22"/>
                <w:lang w:val="en-US"/>
              </w:rPr>
            </w:pPr>
            <w:r w:rsidRPr="001C2219">
              <w:rPr>
                <w:sz w:val="22"/>
                <w:lang w:val="en-US"/>
              </w:rPr>
              <w:t>Constipation</w:t>
            </w:r>
          </w:p>
        </w:tc>
        <w:tc>
          <w:tcPr>
            <w:tcW w:w="621" w:type="pct"/>
            <w:tcBorders>
              <w:top w:val="nil"/>
              <w:left w:val="nil"/>
              <w:bottom w:val="nil"/>
              <w:right w:val="nil"/>
            </w:tcBorders>
            <w:shd w:val="clear" w:color="auto" w:fill="auto"/>
          </w:tcPr>
          <w:p w14:paraId="032A2B0F" w14:textId="77777777" w:rsidR="000A3835" w:rsidRPr="001C2219" w:rsidRDefault="000A3835" w:rsidP="000A3835">
            <w:pPr>
              <w:jc w:val="center"/>
              <w:rPr>
                <w:sz w:val="22"/>
                <w:lang w:val="en-US"/>
              </w:rPr>
            </w:pPr>
            <w:r w:rsidRPr="001C2219">
              <w:rPr>
                <w:sz w:val="22"/>
                <w:lang w:val="en-US"/>
              </w:rPr>
              <w:t>17.8</w:t>
            </w:r>
          </w:p>
        </w:tc>
        <w:tc>
          <w:tcPr>
            <w:tcW w:w="604" w:type="pct"/>
            <w:tcBorders>
              <w:top w:val="nil"/>
              <w:left w:val="nil"/>
              <w:bottom w:val="nil"/>
              <w:right w:val="nil"/>
            </w:tcBorders>
            <w:shd w:val="clear" w:color="auto" w:fill="auto"/>
          </w:tcPr>
          <w:p w14:paraId="03C28378" w14:textId="77777777" w:rsidR="000A3835" w:rsidRPr="001C2219" w:rsidRDefault="000A3835" w:rsidP="000A3835">
            <w:pPr>
              <w:jc w:val="center"/>
              <w:rPr>
                <w:sz w:val="22"/>
                <w:lang w:val="en-US"/>
              </w:rPr>
            </w:pPr>
            <w:r w:rsidRPr="001C2219">
              <w:rPr>
                <w:sz w:val="22"/>
                <w:lang w:val="en-US"/>
              </w:rPr>
              <w:t>0</w:t>
            </w:r>
          </w:p>
        </w:tc>
        <w:tc>
          <w:tcPr>
            <w:tcW w:w="750" w:type="pct"/>
            <w:tcBorders>
              <w:top w:val="nil"/>
              <w:left w:val="nil"/>
              <w:bottom w:val="nil"/>
              <w:right w:val="nil"/>
            </w:tcBorders>
          </w:tcPr>
          <w:p w14:paraId="0AF1E016" w14:textId="3EB38138" w:rsidR="000A3835" w:rsidRPr="001C2219" w:rsidRDefault="000A3835" w:rsidP="000A3835">
            <w:pPr>
              <w:jc w:val="center"/>
              <w:rPr>
                <w:sz w:val="22"/>
                <w:lang w:val="en-US"/>
              </w:rPr>
            </w:pPr>
            <w:r w:rsidRPr="00DC2317">
              <w:rPr>
                <w:sz w:val="22"/>
                <w:lang w:val="en-US"/>
              </w:rPr>
              <w:t>Very common</w:t>
            </w:r>
          </w:p>
        </w:tc>
        <w:tc>
          <w:tcPr>
            <w:tcW w:w="627" w:type="pct"/>
            <w:tcBorders>
              <w:top w:val="nil"/>
              <w:left w:val="nil"/>
              <w:bottom w:val="nil"/>
              <w:right w:val="nil"/>
            </w:tcBorders>
            <w:shd w:val="clear" w:color="auto" w:fill="auto"/>
          </w:tcPr>
          <w:p w14:paraId="583A3BBB" w14:textId="1F43E697" w:rsidR="000A3835" w:rsidRPr="001C2219" w:rsidRDefault="000A3835" w:rsidP="000A3835">
            <w:pPr>
              <w:jc w:val="center"/>
              <w:rPr>
                <w:sz w:val="22"/>
                <w:lang w:val="en-US"/>
              </w:rPr>
            </w:pPr>
            <w:r w:rsidRPr="001C2219">
              <w:rPr>
                <w:sz w:val="22"/>
                <w:lang w:val="en-US"/>
              </w:rPr>
              <w:t>20.5</w:t>
            </w:r>
          </w:p>
        </w:tc>
        <w:tc>
          <w:tcPr>
            <w:tcW w:w="645" w:type="pct"/>
            <w:tcBorders>
              <w:top w:val="nil"/>
              <w:left w:val="nil"/>
              <w:bottom w:val="nil"/>
              <w:right w:val="nil"/>
            </w:tcBorders>
          </w:tcPr>
          <w:p w14:paraId="4D125B0D" w14:textId="77777777" w:rsidR="000A3835" w:rsidRPr="001C2219" w:rsidRDefault="000A3835" w:rsidP="000A3835">
            <w:pPr>
              <w:jc w:val="center"/>
              <w:rPr>
                <w:sz w:val="22"/>
                <w:lang w:val="en-US"/>
              </w:rPr>
            </w:pPr>
            <w:r w:rsidRPr="001C2219">
              <w:rPr>
                <w:sz w:val="22"/>
                <w:lang w:val="en-US"/>
              </w:rPr>
              <w:t>2.6</w:t>
            </w:r>
          </w:p>
        </w:tc>
        <w:tc>
          <w:tcPr>
            <w:tcW w:w="746" w:type="pct"/>
            <w:gridSpan w:val="2"/>
            <w:tcBorders>
              <w:top w:val="nil"/>
              <w:left w:val="nil"/>
              <w:bottom w:val="nil"/>
            </w:tcBorders>
          </w:tcPr>
          <w:p w14:paraId="6BD9568D" w14:textId="018DACB0" w:rsidR="000A3835" w:rsidRPr="001C2219" w:rsidRDefault="000A3835" w:rsidP="000A3835">
            <w:pPr>
              <w:jc w:val="center"/>
              <w:rPr>
                <w:sz w:val="22"/>
                <w:lang w:val="en-US"/>
              </w:rPr>
            </w:pPr>
            <w:r w:rsidRPr="007744B9">
              <w:rPr>
                <w:sz w:val="22"/>
                <w:lang w:val="en-US"/>
              </w:rPr>
              <w:t>Very common</w:t>
            </w:r>
          </w:p>
        </w:tc>
      </w:tr>
      <w:tr w:rsidR="006513FE" w:rsidRPr="001C2219" w14:paraId="08873142" w14:textId="0BDA5F0E" w:rsidTr="003E122C">
        <w:tc>
          <w:tcPr>
            <w:tcW w:w="1006" w:type="pct"/>
            <w:tcBorders>
              <w:top w:val="nil"/>
              <w:bottom w:val="nil"/>
              <w:right w:val="nil"/>
            </w:tcBorders>
            <w:shd w:val="clear" w:color="auto" w:fill="auto"/>
          </w:tcPr>
          <w:p w14:paraId="18688938" w14:textId="77777777" w:rsidR="000A3835" w:rsidRPr="001C2219" w:rsidRDefault="000A3835" w:rsidP="000A3835">
            <w:pPr>
              <w:rPr>
                <w:sz w:val="22"/>
                <w:lang w:val="en-US"/>
              </w:rPr>
            </w:pPr>
            <w:r w:rsidRPr="001C2219">
              <w:rPr>
                <w:sz w:val="22"/>
                <w:lang w:val="en-US"/>
              </w:rPr>
              <w:t>Vomiting</w:t>
            </w:r>
          </w:p>
        </w:tc>
        <w:tc>
          <w:tcPr>
            <w:tcW w:w="621" w:type="pct"/>
            <w:tcBorders>
              <w:top w:val="nil"/>
              <w:left w:val="nil"/>
              <w:bottom w:val="nil"/>
              <w:right w:val="nil"/>
            </w:tcBorders>
            <w:shd w:val="clear" w:color="auto" w:fill="auto"/>
          </w:tcPr>
          <w:p w14:paraId="7D64E4FC" w14:textId="77777777" w:rsidR="000A3835" w:rsidRPr="001C2219" w:rsidRDefault="000A3835" w:rsidP="000A3835">
            <w:pPr>
              <w:jc w:val="center"/>
              <w:rPr>
                <w:sz w:val="22"/>
                <w:lang w:val="en-US"/>
              </w:rPr>
            </w:pPr>
            <w:r w:rsidRPr="001C2219">
              <w:rPr>
                <w:sz w:val="22"/>
                <w:lang w:val="en-US"/>
              </w:rPr>
              <w:t>17.8</w:t>
            </w:r>
          </w:p>
        </w:tc>
        <w:tc>
          <w:tcPr>
            <w:tcW w:w="604" w:type="pct"/>
            <w:tcBorders>
              <w:top w:val="nil"/>
              <w:left w:val="nil"/>
              <w:bottom w:val="nil"/>
              <w:right w:val="nil"/>
            </w:tcBorders>
            <w:shd w:val="clear" w:color="auto" w:fill="auto"/>
          </w:tcPr>
          <w:p w14:paraId="22B187DE" w14:textId="77777777" w:rsidR="000A3835" w:rsidRPr="001C2219" w:rsidRDefault="000A3835" w:rsidP="000A3835">
            <w:pPr>
              <w:jc w:val="center"/>
              <w:rPr>
                <w:sz w:val="22"/>
                <w:lang w:val="en-US"/>
              </w:rPr>
            </w:pPr>
            <w:r w:rsidRPr="001C2219">
              <w:rPr>
                <w:sz w:val="22"/>
                <w:lang w:val="en-US"/>
              </w:rPr>
              <w:t>2.2</w:t>
            </w:r>
          </w:p>
        </w:tc>
        <w:tc>
          <w:tcPr>
            <w:tcW w:w="750" w:type="pct"/>
            <w:tcBorders>
              <w:top w:val="nil"/>
              <w:left w:val="nil"/>
              <w:bottom w:val="nil"/>
              <w:right w:val="nil"/>
            </w:tcBorders>
          </w:tcPr>
          <w:p w14:paraId="1C0299E5" w14:textId="07711365" w:rsidR="000A3835" w:rsidRPr="001C2219" w:rsidRDefault="000A3835" w:rsidP="000A3835">
            <w:pPr>
              <w:jc w:val="center"/>
              <w:rPr>
                <w:sz w:val="22"/>
                <w:lang w:val="en-US"/>
              </w:rPr>
            </w:pPr>
            <w:r w:rsidRPr="00DC2317">
              <w:rPr>
                <w:sz w:val="22"/>
                <w:lang w:val="en-US"/>
              </w:rPr>
              <w:t>Very common</w:t>
            </w:r>
          </w:p>
        </w:tc>
        <w:tc>
          <w:tcPr>
            <w:tcW w:w="627" w:type="pct"/>
            <w:tcBorders>
              <w:top w:val="nil"/>
              <w:left w:val="nil"/>
              <w:bottom w:val="nil"/>
              <w:right w:val="nil"/>
            </w:tcBorders>
            <w:shd w:val="clear" w:color="auto" w:fill="auto"/>
          </w:tcPr>
          <w:p w14:paraId="0FB60DEB" w14:textId="7C2E6C6D" w:rsidR="000A3835" w:rsidRPr="001C2219" w:rsidRDefault="000A3835" w:rsidP="000A3835">
            <w:pPr>
              <w:jc w:val="center"/>
              <w:rPr>
                <w:sz w:val="22"/>
                <w:lang w:val="en-US"/>
              </w:rPr>
            </w:pPr>
            <w:r w:rsidRPr="001C2219">
              <w:rPr>
                <w:sz w:val="22"/>
                <w:lang w:val="en-US"/>
              </w:rPr>
              <w:t>12.8</w:t>
            </w:r>
          </w:p>
        </w:tc>
        <w:tc>
          <w:tcPr>
            <w:tcW w:w="645" w:type="pct"/>
            <w:tcBorders>
              <w:top w:val="nil"/>
              <w:left w:val="nil"/>
              <w:bottom w:val="nil"/>
              <w:right w:val="nil"/>
            </w:tcBorders>
          </w:tcPr>
          <w:p w14:paraId="5640A1AC" w14:textId="77777777" w:rsidR="000A3835" w:rsidRPr="001C2219" w:rsidRDefault="000A3835" w:rsidP="000A3835">
            <w:pPr>
              <w:jc w:val="center"/>
              <w:rPr>
                <w:sz w:val="22"/>
                <w:lang w:val="en-US"/>
              </w:rPr>
            </w:pPr>
            <w:r w:rsidRPr="001C2219">
              <w:rPr>
                <w:sz w:val="22"/>
                <w:lang w:val="en-US"/>
              </w:rPr>
              <w:t>0</w:t>
            </w:r>
          </w:p>
        </w:tc>
        <w:tc>
          <w:tcPr>
            <w:tcW w:w="746" w:type="pct"/>
            <w:gridSpan w:val="2"/>
            <w:tcBorders>
              <w:top w:val="nil"/>
              <w:left w:val="nil"/>
              <w:bottom w:val="nil"/>
            </w:tcBorders>
          </w:tcPr>
          <w:p w14:paraId="537D4B11" w14:textId="33267AA9" w:rsidR="000A3835" w:rsidRPr="001C2219" w:rsidRDefault="000A3835" w:rsidP="000A3835">
            <w:pPr>
              <w:jc w:val="center"/>
              <w:rPr>
                <w:sz w:val="22"/>
                <w:lang w:val="en-US"/>
              </w:rPr>
            </w:pPr>
            <w:r w:rsidRPr="007744B9">
              <w:rPr>
                <w:sz w:val="22"/>
                <w:lang w:val="en-US"/>
              </w:rPr>
              <w:t>Very common</w:t>
            </w:r>
          </w:p>
        </w:tc>
      </w:tr>
      <w:tr w:rsidR="006513FE" w:rsidRPr="001C2219" w14:paraId="0C86FE71" w14:textId="08B5A0BF" w:rsidTr="003E122C">
        <w:tc>
          <w:tcPr>
            <w:tcW w:w="1006" w:type="pct"/>
            <w:tcBorders>
              <w:top w:val="nil"/>
              <w:bottom w:val="nil"/>
              <w:right w:val="nil"/>
            </w:tcBorders>
            <w:shd w:val="clear" w:color="auto" w:fill="auto"/>
          </w:tcPr>
          <w:p w14:paraId="4579686C" w14:textId="77777777" w:rsidR="000A3835" w:rsidRPr="001C2219" w:rsidRDefault="000A3835" w:rsidP="000A3835">
            <w:pPr>
              <w:rPr>
                <w:sz w:val="22"/>
                <w:lang w:val="en-US"/>
              </w:rPr>
            </w:pPr>
            <w:r w:rsidRPr="001C2219">
              <w:rPr>
                <w:sz w:val="22"/>
                <w:lang w:val="en-US"/>
              </w:rPr>
              <w:t>Abdominal Pain</w:t>
            </w:r>
          </w:p>
        </w:tc>
        <w:tc>
          <w:tcPr>
            <w:tcW w:w="621" w:type="pct"/>
            <w:tcBorders>
              <w:top w:val="nil"/>
              <w:left w:val="nil"/>
              <w:bottom w:val="nil"/>
              <w:right w:val="nil"/>
            </w:tcBorders>
            <w:shd w:val="clear" w:color="auto" w:fill="auto"/>
          </w:tcPr>
          <w:p w14:paraId="5DA7E0F5" w14:textId="77777777" w:rsidR="000A3835" w:rsidRPr="001C2219" w:rsidRDefault="000A3835" w:rsidP="000A3835">
            <w:pPr>
              <w:jc w:val="center"/>
              <w:rPr>
                <w:sz w:val="22"/>
                <w:lang w:val="en-US"/>
              </w:rPr>
            </w:pPr>
            <w:r w:rsidRPr="001C2219">
              <w:rPr>
                <w:sz w:val="22"/>
                <w:lang w:val="en-US"/>
              </w:rPr>
              <w:t>11.1</w:t>
            </w:r>
          </w:p>
        </w:tc>
        <w:tc>
          <w:tcPr>
            <w:tcW w:w="604" w:type="pct"/>
            <w:tcBorders>
              <w:top w:val="nil"/>
              <w:left w:val="nil"/>
              <w:bottom w:val="nil"/>
              <w:right w:val="nil"/>
            </w:tcBorders>
            <w:shd w:val="clear" w:color="auto" w:fill="auto"/>
          </w:tcPr>
          <w:p w14:paraId="0C6DFC29" w14:textId="77777777" w:rsidR="000A3835" w:rsidRPr="001C2219" w:rsidRDefault="000A3835" w:rsidP="000A3835">
            <w:pPr>
              <w:jc w:val="center"/>
              <w:rPr>
                <w:sz w:val="22"/>
                <w:lang w:val="en-US"/>
              </w:rPr>
            </w:pPr>
            <w:r w:rsidRPr="001C2219">
              <w:rPr>
                <w:sz w:val="22"/>
                <w:lang w:val="en-US"/>
              </w:rPr>
              <w:t>4.4</w:t>
            </w:r>
          </w:p>
        </w:tc>
        <w:tc>
          <w:tcPr>
            <w:tcW w:w="750" w:type="pct"/>
            <w:tcBorders>
              <w:top w:val="nil"/>
              <w:left w:val="nil"/>
              <w:bottom w:val="nil"/>
              <w:right w:val="nil"/>
            </w:tcBorders>
          </w:tcPr>
          <w:p w14:paraId="0827EBE6" w14:textId="6072DDE6" w:rsidR="000A3835" w:rsidRPr="001C2219" w:rsidRDefault="000A3835" w:rsidP="000A3835">
            <w:pPr>
              <w:jc w:val="center"/>
              <w:rPr>
                <w:sz w:val="22"/>
                <w:lang w:val="en-US"/>
              </w:rPr>
            </w:pPr>
            <w:r w:rsidRPr="00251DEE">
              <w:rPr>
                <w:sz w:val="22"/>
                <w:lang w:val="en-US"/>
              </w:rPr>
              <w:t>Very common</w:t>
            </w:r>
          </w:p>
        </w:tc>
        <w:tc>
          <w:tcPr>
            <w:tcW w:w="627" w:type="pct"/>
            <w:tcBorders>
              <w:top w:val="nil"/>
              <w:left w:val="nil"/>
              <w:bottom w:val="nil"/>
              <w:right w:val="nil"/>
            </w:tcBorders>
            <w:shd w:val="clear" w:color="auto" w:fill="auto"/>
          </w:tcPr>
          <w:p w14:paraId="726F6C9C" w14:textId="2AD6A941" w:rsidR="000A3835" w:rsidRPr="001C2219" w:rsidRDefault="000A3835" w:rsidP="000A3835">
            <w:pPr>
              <w:jc w:val="center"/>
              <w:rPr>
                <w:sz w:val="22"/>
                <w:lang w:val="en-US"/>
              </w:rPr>
            </w:pPr>
            <w:r w:rsidRPr="001C2219">
              <w:rPr>
                <w:sz w:val="22"/>
                <w:lang w:val="en-US"/>
              </w:rPr>
              <w:t>10.3</w:t>
            </w:r>
          </w:p>
        </w:tc>
        <w:tc>
          <w:tcPr>
            <w:tcW w:w="645" w:type="pct"/>
            <w:tcBorders>
              <w:top w:val="nil"/>
              <w:left w:val="nil"/>
              <w:bottom w:val="nil"/>
              <w:right w:val="nil"/>
            </w:tcBorders>
          </w:tcPr>
          <w:p w14:paraId="37A693F5" w14:textId="77777777" w:rsidR="000A3835" w:rsidRPr="001C2219" w:rsidRDefault="000A3835" w:rsidP="000A3835">
            <w:pPr>
              <w:jc w:val="center"/>
              <w:rPr>
                <w:sz w:val="22"/>
                <w:lang w:val="en-US"/>
              </w:rPr>
            </w:pPr>
            <w:r w:rsidRPr="001C2219">
              <w:rPr>
                <w:sz w:val="22"/>
                <w:lang w:val="en-US"/>
              </w:rPr>
              <w:t>2.6</w:t>
            </w:r>
          </w:p>
        </w:tc>
        <w:tc>
          <w:tcPr>
            <w:tcW w:w="746" w:type="pct"/>
            <w:gridSpan w:val="2"/>
            <w:tcBorders>
              <w:top w:val="nil"/>
              <w:left w:val="nil"/>
              <w:bottom w:val="nil"/>
            </w:tcBorders>
          </w:tcPr>
          <w:p w14:paraId="3AE4837F" w14:textId="663C6B01" w:rsidR="000A3835" w:rsidRPr="001C2219" w:rsidRDefault="000A3835" w:rsidP="000A3835">
            <w:pPr>
              <w:jc w:val="center"/>
              <w:rPr>
                <w:sz w:val="22"/>
                <w:lang w:val="en-US"/>
              </w:rPr>
            </w:pPr>
            <w:r w:rsidRPr="007744B9">
              <w:rPr>
                <w:sz w:val="22"/>
                <w:lang w:val="en-US"/>
              </w:rPr>
              <w:t>Very common</w:t>
            </w:r>
          </w:p>
        </w:tc>
      </w:tr>
      <w:tr w:rsidR="006513FE" w:rsidRPr="001C2219" w14:paraId="40BAC9EF" w14:textId="6B957D3F" w:rsidTr="003E122C">
        <w:tc>
          <w:tcPr>
            <w:tcW w:w="1006" w:type="pct"/>
            <w:tcBorders>
              <w:top w:val="nil"/>
              <w:bottom w:val="single" w:sz="4" w:space="0" w:color="auto"/>
              <w:right w:val="nil"/>
            </w:tcBorders>
            <w:shd w:val="clear" w:color="auto" w:fill="auto"/>
          </w:tcPr>
          <w:p w14:paraId="31DBDFC3" w14:textId="77777777" w:rsidR="000A3835" w:rsidRPr="001C2219" w:rsidRDefault="000A3835" w:rsidP="000A3835">
            <w:pPr>
              <w:rPr>
                <w:sz w:val="22"/>
                <w:lang w:val="en-US"/>
              </w:rPr>
            </w:pPr>
            <w:r w:rsidRPr="001C2219">
              <w:rPr>
                <w:sz w:val="22"/>
                <w:lang w:val="en-US"/>
              </w:rPr>
              <w:t>Abdominal Pain Upper</w:t>
            </w:r>
          </w:p>
        </w:tc>
        <w:tc>
          <w:tcPr>
            <w:tcW w:w="621" w:type="pct"/>
            <w:tcBorders>
              <w:top w:val="nil"/>
              <w:left w:val="nil"/>
              <w:bottom w:val="single" w:sz="4" w:space="0" w:color="auto"/>
              <w:right w:val="nil"/>
            </w:tcBorders>
            <w:shd w:val="clear" w:color="auto" w:fill="auto"/>
          </w:tcPr>
          <w:p w14:paraId="5B2403D8" w14:textId="77777777" w:rsidR="000A3835" w:rsidRPr="001C2219" w:rsidRDefault="000A3835" w:rsidP="000A3835">
            <w:pPr>
              <w:jc w:val="center"/>
              <w:rPr>
                <w:sz w:val="22"/>
                <w:lang w:val="en-US"/>
              </w:rPr>
            </w:pPr>
            <w:r w:rsidRPr="001C2219">
              <w:rPr>
                <w:sz w:val="22"/>
                <w:lang w:val="en-US"/>
              </w:rPr>
              <w:t>11.1</w:t>
            </w:r>
          </w:p>
        </w:tc>
        <w:tc>
          <w:tcPr>
            <w:tcW w:w="604" w:type="pct"/>
            <w:tcBorders>
              <w:top w:val="nil"/>
              <w:left w:val="nil"/>
              <w:bottom w:val="single" w:sz="4" w:space="0" w:color="auto"/>
              <w:right w:val="nil"/>
            </w:tcBorders>
            <w:shd w:val="clear" w:color="auto" w:fill="auto"/>
          </w:tcPr>
          <w:p w14:paraId="0FB464AA" w14:textId="77777777" w:rsidR="000A3835" w:rsidRPr="001C2219" w:rsidRDefault="000A3835" w:rsidP="000A3835">
            <w:pPr>
              <w:jc w:val="center"/>
              <w:rPr>
                <w:sz w:val="22"/>
                <w:lang w:val="en-US"/>
              </w:rPr>
            </w:pPr>
            <w:r w:rsidRPr="001C2219">
              <w:rPr>
                <w:sz w:val="22"/>
                <w:lang w:val="en-US"/>
              </w:rPr>
              <w:t>2.2</w:t>
            </w:r>
          </w:p>
        </w:tc>
        <w:tc>
          <w:tcPr>
            <w:tcW w:w="750" w:type="pct"/>
            <w:tcBorders>
              <w:top w:val="nil"/>
              <w:left w:val="nil"/>
              <w:bottom w:val="single" w:sz="4" w:space="0" w:color="auto"/>
              <w:right w:val="nil"/>
            </w:tcBorders>
          </w:tcPr>
          <w:p w14:paraId="2E5DFE1E" w14:textId="31B7B37F" w:rsidR="000A3835" w:rsidRPr="001C2219" w:rsidRDefault="000A3835" w:rsidP="000A3835">
            <w:pPr>
              <w:jc w:val="center"/>
              <w:rPr>
                <w:sz w:val="22"/>
                <w:lang w:val="en-US"/>
              </w:rPr>
            </w:pPr>
            <w:r w:rsidRPr="00251DEE">
              <w:rPr>
                <w:sz w:val="22"/>
                <w:lang w:val="en-US"/>
              </w:rPr>
              <w:t>Very common</w:t>
            </w:r>
          </w:p>
        </w:tc>
        <w:tc>
          <w:tcPr>
            <w:tcW w:w="627" w:type="pct"/>
            <w:tcBorders>
              <w:top w:val="nil"/>
              <w:left w:val="nil"/>
              <w:bottom w:val="single" w:sz="4" w:space="0" w:color="auto"/>
              <w:right w:val="nil"/>
            </w:tcBorders>
            <w:shd w:val="clear" w:color="auto" w:fill="auto"/>
          </w:tcPr>
          <w:p w14:paraId="16869684" w14:textId="7E917C64" w:rsidR="000A3835" w:rsidRPr="001C2219" w:rsidRDefault="000A3835" w:rsidP="000A3835">
            <w:pPr>
              <w:jc w:val="center"/>
              <w:rPr>
                <w:sz w:val="22"/>
                <w:lang w:val="en-US"/>
              </w:rPr>
            </w:pPr>
            <w:r w:rsidRPr="001C2219">
              <w:rPr>
                <w:sz w:val="22"/>
                <w:lang w:val="en-US"/>
              </w:rPr>
              <w:t>5.1</w:t>
            </w:r>
          </w:p>
        </w:tc>
        <w:tc>
          <w:tcPr>
            <w:tcW w:w="645" w:type="pct"/>
            <w:tcBorders>
              <w:top w:val="nil"/>
              <w:left w:val="nil"/>
              <w:bottom w:val="single" w:sz="4" w:space="0" w:color="auto"/>
              <w:right w:val="nil"/>
            </w:tcBorders>
          </w:tcPr>
          <w:p w14:paraId="444907BD" w14:textId="77777777" w:rsidR="000A3835" w:rsidRPr="001C2219" w:rsidRDefault="000A3835" w:rsidP="000A3835">
            <w:pPr>
              <w:jc w:val="center"/>
              <w:rPr>
                <w:sz w:val="22"/>
                <w:lang w:val="en-US"/>
              </w:rPr>
            </w:pPr>
            <w:r w:rsidRPr="001C2219">
              <w:rPr>
                <w:sz w:val="22"/>
                <w:lang w:val="en-US"/>
              </w:rPr>
              <w:t>0</w:t>
            </w:r>
          </w:p>
        </w:tc>
        <w:tc>
          <w:tcPr>
            <w:tcW w:w="746" w:type="pct"/>
            <w:gridSpan w:val="2"/>
            <w:tcBorders>
              <w:top w:val="nil"/>
              <w:left w:val="nil"/>
              <w:bottom w:val="single" w:sz="4" w:space="0" w:color="auto"/>
            </w:tcBorders>
          </w:tcPr>
          <w:p w14:paraId="60F2B91E" w14:textId="0F5946FF" w:rsidR="000A3835" w:rsidRPr="001C2219" w:rsidRDefault="000A3835" w:rsidP="000A3835">
            <w:pPr>
              <w:jc w:val="center"/>
              <w:rPr>
                <w:sz w:val="22"/>
                <w:lang w:val="en-US"/>
              </w:rPr>
            </w:pPr>
            <w:r>
              <w:rPr>
                <w:sz w:val="22"/>
                <w:lang w:val="en-US"/>
              </w:rPr>
              <w:t>Common</w:t>
            </w:r>
          </w:p>
        </w:tc>
      </w:tr>
      <w:tr w:rsidR="00A35B38" w:rsidRPr="001C2219" w14:paraId="6211E17A" w14:textId="5AB4AF01" w:rsidTr="00F03CC1">
        <w:tc>
          <w:tcPr>
            <w:tcW w:w="5000" w:type="pct"/>
            <w:gridSpan w:val="8"/>
            <w:tcBorders>
              <w:bottom w:val="nil"/>
            </w:tcBorders>
          </w:tcPr>
          <w:p w14:paraId="60AAA3E9" w14:textId="5A645C1C" w:rsidR="00A35B38" w:rsidRPr="001C2219" w:rsidRDefault="00A35B38" w:rsidP="00810CDF">
            <w:pPr>
              <w:jc w:val="left"/>
              <w:rPr>
                <w:b/>
                <w:sz w:val="22"/>
                <w:lang w:val="en-US"/>
              </w:rPr>
            </w:pPr>
            <w:r w:rsidRPr="001C2219">
              <w:rPr>
                <w:b/>
                <w:sz w:val="22"/>
                <w:lang w:val="en-US"/>
              </w:rPr>
              <w:t>Skin and Subcutaneous Tissue Disorders</w:t>
            </w:r>
          </w:p>
        </w:tc>
      </w:tr>
      <w:tr w:rsidR="006513FE" w:rsidRPr="001C2219" w14:paraId="6310FE30" w14:textId="0D5F06BA" w:rsidTr="003E122C">
        <w:tc>
          <w:tcPr>
            <w:tcW w:w="1006" w:type="pct"/>
            <w:tcBorders>
              <w:top w:val="nil"/>
              <w:bottom w:val="single" w:sz="4" w:space="0" w:color="auto"/>
              <w:right w:val="nil"/>
            </w:tcBorders>
            <w:shd w:val="clear" w:color="auto" w:fill="auto"/>
          </w:tcPr>
          <w:p w14:paraId="6303E2FB" w14:textId="77777777" w:rsidR="00E57542" w:rsidRPr="001C2219" w:rsidRDefault="00E57542" w:rsidP="00E57542">
            <w:pPr>
              <w:rPr>
                <w:bCs/>
                <w:sz w:val="22"/>
                <w:lang w:val="en-US"/>
              </w:rPr>
            </w:pPr>
            <w:r w:rsidRPr="001C2219">
              <w:rPr>
                <w:bCs/>
                <w:sz w:val="22"/>
                <w:lang w:val="en-US"/>
              </w:rPr>
              <w:t>Pruritis</w:t>
            </w:r>
          </w:p>
        </w:tc>
        <w:tc>
          <w:tcPr>
            <w:tcW w:w="621" w:type="pct"/>
            <w:tcBorders>
              <w:top w:val="nil"/>
              <w:left w:val="nil"/>
              <w:bottom w:val="single" w:sz="4" w:space="0" w:color="auto"/>
              <w:right w:val="nil"/>
            </w:tcBorders>
            <w:shd w:val="clear" w:color="auto" w:fill="auto"/>
          </w:tcPr>
          <w:p w14:paraId="272792F9" w14:textId="77777777" w:rsidR="00E57542" w:rsidRPr="001C2219" w:rsidRDefault="00E57542" w:rsidP="00810CDF">
            <w:pPr>
              <w:jc w:val="center"/>
              <w:rPr>
                <w:sz w:val="22"/>
                <w:lang w:val="en-US"/>
              </w:rPr>
            </w:pPr>
            <w:r w:rsidRPr="001C2219">
              <w:rPr>
                <w:sz w:val="22"/>
                <w:lang w:val="en-US"/>
              </w:rPr>
              <w:t>13.3</w:t>
            </w:r>
          </w:p>
        </w:tc>
        <w:tc>
          <w:tcPr>
            <w:tcW w:w="604" w:type="pct"/>
            <w:tcBorders>
              <w:top w:val="nil"/>
              <w:left w:val="nil"/>
              <w:bottom w:val="single" w:sz="4" w:space="0" w:color="auto"/>
              <w:right w:val="nil"/>
            </w:tcBorders>
            <w:shd w:val="clear" w:color="auto" w:fill="auto"/>
          </w:tcPr>
          <w:p w14:paraId="343E217D" w14:textId="77777777" w:rsidR="00E57542" w:rsidRPr="001C2219" w:rsidRDefault="00E57542" w:rsidP="00810CDF">
            <w:pPr>
              <w:jc w:val="center"/>
              <w:rPr>
                <w:sz w:val="22"/>
                <w:lang w:val="en-US"/>
              </w:rPr>
            </w:pPr>
            <w:r w:rsidRPr="001C2219">
              <w:rPr>
                <w:sz w:val="22"/>
                <w:lang w:val="en-US"/>
              </w:rPr>
              <w:t>0</w:t>
            </w:r>
          </w:p>
        </w:tc>
        <w:tc>
          <w:tcPr>
            <w:tcW w:w="750" w:type="pct"/>
            <w:tcBorders>
              <w:top w:val="nil"/>
              <w:left w:val="nil"/>
              <w:bottom w:val="single" w:sz="4" w:space="0" w:color="auto"/>
              <w:right w:val="nil"/>
            </w:tcBorders>
          </w:tcPr>
          <w:p w14:paraId="4C330D70" w14:textId="267A3713" w:rsidR="00E57542" w:rsidRPr="001C2219" w:rsidRDefault="006513FE" w:rsidP="00E57542">
            <w:pPr>
              <w:jc w:val="center"/>
              <w:rPr>
                <w:sz w:val="22"/>
                <w:lang w:val="en-US"/>
              </w:rPr>
            </w:pPr>
            <w:r>
              <w:rPr>
                <w:sz w:val="22"/>
                <w:lang w:val="en-US"/>
              </w:rPr>
              <w:t>Very common</w:t>
            </w:r>
          </w:p>
        </w:tc>
        <w:tc>
          <w:tcPr>
            <w:tcW w:w="627" w:type="pct"/>
            <w:tcBorders>
              <w:top w:val="nil"/>
              <w:left w:val="nil"/>
              <w:bottom w:val="single" w:sz="4" w:space="0" w:color="auto"/>
              <w:right w:val="nil"/>
            </w:tcBorders>
            <w:shd w:val="clear" w:color="auto" w:fill="auto"/>
          </w:tcPr>
          <w:p w14:paraId="4E9799BE" w14:textId="52561A12" w:rsidR="00E57542" w:rsidRPr="001C2219" w:rsidRDefault="00E57542" w:rsidP="00810CDF">
            <w:pPr>
              <w:jc w:val="center"/>
              <w:rPr>
                <w:sz w:val="22"/>
                <w:lang w:val="en-US"/>
              </w:rPr>
            </w:pPr>
            <w:r w:rsidRPr="001C2219">
              <w:rPr>
                <w:sz w:val="22"/>
                <w:lang w:val="en-US"/>
              </w:rPr>
              <w:t>10.3</w:t>
            </w:r>
          </w:p>
        </w:tc>
        <w:tc>
          <w:tcPr>
            <w:tcW w:w="645" w:type="pct"/>
            <w:tcBorders>
              <w:top w:val="nil"/>
              <w:left w:val="nil"/>
              <w:bottom w:val="single" w:sz="4" w:space="0" w:color="auto"/>
              <w:right w:val="nil"/>
            </w:tcBorders>
          </w:tcPr>
          <w:p w14:paraId="28F1E5FE" w14:textId="77777777" w:rsidR="00E57542" w:rsidRPr="001C2219" w:rsidRDefault="00E57542" w:rsidP="00810CDF">
            <w:pPr>
              <w:jc w:val="center"/>
              <w:rPr>
                <w:sz w:val="22"/>
                <w:lang w:val="en-US"/>
              </w:rPr>
            </w:pPr>
            <w:r w:rsidRPr="001C2219">
              <w:rPr>
                <w:sz w:val="22"/>
                <w:lang w:val="en-US"/>
              </w:rPr>
              <w:t>2.6</w:t>
            </w:r>
          </w:p>
        </w:tc>
        <w:tc>
          <w:tcPr>
            <w:tcW w:w="746" w:type="pct"/>
            <w:gridSpan w:val="2"/>
            <w:tcBorders>
              <w:top w:val="nil"/>
              <w:left w:val="nil"/>
              <w:bottom w:val="single" w:sz="4" w:space="0" w:color="auto"/>
            </w:tcBorders>
          </w:tcPr>
          <w:p w14:paraId="1191C253" w14:textId="0AF0A07C" w:rsidR="00E57542" w:rsidRPr="001C2219" w:rsidRDefault="006513FE" w:rsidP="00A23876">
            <w:pPr>
              <w:jc w:val="center"/>
              <w:rPr>
                <w:sz w:val="22"/>
                <w:lang w:val="en-US"/>
              </w:rPr>
            </w:pPr>
            <w:r>
              <w:rPr>
                <w:sz w:val="22"/>
                <w:lang w:val="en-US"/>
              </w:rPr>
              <w:t>Very common</w:t>
            </w:r>
          </w:p>
        </w:tc>
      </w:tr>
      <w:tr w:rsidR="00A35B38" w:rsidRPr="001C2219" w14:paraId="44BE95D9" w14:textId="1FD898D6" w:rsidTr="00F03CC1">
        <w:tc>
          <w:tcPr>
            <w:tcW w:w="5000" w:type="pct"/>
            <w:gridSpan w:val="8"/>
            <w:tcBorders>
              <w:bottom w:val="nil"/>
            </w:tcBorders>
          </w:tcPr>
          <w:p w14:paraId="536C0370" w14:textId="5CCB0559" w:rsidR="00A35B38" w:rsidRPr="001C2219" w:rsidRDefault="00A35B38" w:rsidP="00810CDF">
            <w:pPr>
              <w:jc w:val="left"/>
              <w:rPr>
                <w:b/>
                <w:bCs/>
                <w:sz w:val="22"/>
                <w:lang w:val="en-US"/>
              </w:rPr>
            </w:pPr>
            <w:r w:rsidRPr="001C2219">
              <w:rPr>
                <w:b/>
                <w:bCs/>
                <w:sz w:val="22"/>
                <w:lang w:val="en-US"/>
              </w:rPr>
              <w:t>General Disorders and Administration Site Conditions</w:t>
            </w:r>
          </w:p>
        </w:tc>
      </w:tr>
      <w:tr w:rsidR="006513FE" w:rsidRPr="001C2219" w14:paraId="5EAFCBB3" w14:textId="71CCB447" w:rsidTr="003E122C">
        <w:tc>
          <w:tcPr>
            <w:tcW w:w="1006" w:type="pct"/>
            <w:tcBorders>
              <w:top w:val="nil"/>
              <w:bottom w:val="nil"/>
              <w:right w:val="nil"/>
            </w:tcBorders>
            <w:shd w:val="clear" w:color="auto" w:fill="auto"/>
          </w:tcPr>
          <w:p w14:paraId="5E877CE6" w14:textId="77777777" w:rsidR="006513FE" w:rsidRPr="001C2219" w:rsidRDefault="006513FE" w:rsidP="006513FE">
            <w:pPr>
              <w:rPr>
                <w:sz w:val="22"/>
                <w:lang w:val="en-US"/>
              </w:rPr>
            </w:pPr>
            <w:r w:rsidRPr="001C2219">
              <w:rPr>
                <w:sz w:val="22"/>
                <w:lang w:val="en-US"/>
              </w:rPr>
              <w:t>Fatigue</w:t>
            </w:r>
          </w:p>
        </w:tc>
        <w:tc>
          <w:tcPr>
            <w:tcW w:w="621" w:type="pct"/>
            <w:tcBorders>
              <w:top w:val="nil"/>
              <w:left w:val="nil"/>
              <w:bottom w:val="nil"/>
              <w:right w:val="nil"/>
            </w:tcBorders>
            <w:shd w:val="clear" w:color="auto" w:fill="auto"/>
          </w:tcPr>
          <w:p w14:paraId="0ECF5FF2" w14:textId="77777777" w:rsidR="006513FE" w:rsidRPr="001C2219" w:rsidRDefault="006513FE" w:rsidP="006513FE">
            <w:pPr>
              <w:jc w:val="center"/>
              <w:rPr>
                <w:sz w:val="22"/>
                <w:lang w:val="en-US"/>
              </w:rPr>
            </w:pPr>
            <w:r w:rsidRPr="001C2219">
              <w:rPr>
                <w:sz w:val="22"/>
                <w:lang w:val="en-US"/>
              </w:rPr>
              <w:t>40.0</w:t>
            </w:r>
          </w:p>
        </w:tc>
        <w:tc>
          <w:tcPr>
            <w:tcW w:w="604" w:type="pct"/>
            <w:tcBorders>
              <w:top w:val="nil"/>
              <w:left w:val="nil"/>
              <w:bottom w:val="nil"/>
              <w:right w:val="nil"/>
            </w:tcBorders>
            <w:shd w:val="clear" w:color="auto" w:fill="auto"/>
          </w:tcPr>
          <w:p w14:paraId="44A078F7" w14:textId="77777777" w:rsidR="006513FE" w:rsidRPr="001C2219" w:rsidRDefault="006513FE" w:rsidP="006513FE">
            <w:pPr>
              <w:jc w:val="center"/>
              <w:rPr>
                <w:sz w:val="22"/>
                <w:lang w:val="en-US"/>
              </w:rPr>
            </w:pPr>
            <w:r w:rsidRPr="001C2219">
              <w:rPr>
                <w:sz w:val="22"/>
                <w:lang w:val="en-US"/>
              </w:rPr>
              <w:t>4.4</w:t>
            </w:r>
          </w:p>
        </w:tc>
        <w:tc>
          <w:tcPr>
            <w:tcW w:w="750" w:type="pct"/>
            <w:tcBorders>
              <w:top w:val="nil"/>
              <w:left w:val="nil"/>
              <w:bottom w:val="nil"/>
              <w:right w:val="nil"/>
            </w:tcBorders>
          </w:tcPr>
          <w:p w14:paraId="23381C0F" w14:textId="03C40871" w:rsidR="006513FE" w:rsidRPr="001C2219" w:rsidRDefault="006513FE" w:rsidP="006513FE">
            <w:pPr>
              <w:jc w:val="center"/>
              <w:rPr>
                <w:sz w:val="22"/>
                <w:lang w:val="en-US"/>
              </w:rPr>
            </w:pPr>
            <w:r w:rsidRPr="00AD5A08">
              <w:rPr>
                <w:sz w:val="22"/>
                <w:lang w:val="en-US"/>
              </w:rPr>
              <w:t>Very common</w:t>
            </w:r>
          </w:p>
        </w:tc>
        <w:tc>
          <w:tcPr>
            <w:tcW w:w="627" w:type="pct"/>
            <w:tcBorders>
              <w:top w:val="nil"/>
              <w:left w:val="nil"/>
              <w:bottom w:val="nil"/>
              <w:right w:val="nil"/>
            </w:tcBorders>
            <w:shd w:val="clear" w:color="auto" w:fill="auto"/>
          </w:tcPr>
          <w:p w14:paraId="5B4D8275" w14:textId="76C5F43F" w:rsidR="006513FE" w:rsidRPr="001C2219" w:rsidRDefault="006513FE" w:rsidP="006513FE">
            <w:pPr>
              <w:jc w:val="center"/>
              <w:rPr>
                <w:sz w:val="22"/>
                <w:lang w:val="en-US"/>
              </w:rPr>
            </w:pPr>
            <w:r w:rsidRPr="001C2219">
              <w:rPr>
                <w:sz w:val="22"/>
                <w:lang w:val="en-US"/>
              </w:rPr>
              <w:t>35.9</w:t>
            </w:r>
          </w:p>
        </w:tc>
        <w:tc>
          <w:tcPr>
            <w:tcW w:w="645" w:type="pct"/>
            <w:tcBorders>
              <w:top w:val="nil"/>
              <w:left w:val="nil"/>
              <w:bottom w:val="nil"/>
              <w:right w:val="nil"/>
            </w:tcBorders>
          </w:tcPr>
          <w:p w14:paraId="47929D77" w14:textId="77777777" w:rsidR="006513FE" w:rsidRPr="001C2219" w:rsidRDefault="006513FE" w:rsidP="006513FE">
            <w:pPr>
              <w:jc w:val="center"/>
              <w:rPr>
                <w:sz w:val="22"/>
                <w:lang w:val="en-US"/>
              </w:rPr>
            </w:pPr>
            <w:r w:rsidRPr="001C2219">
              <w:rPr>
                <w:sz w:val="22"/>
                <w:lang w:val="en-US"/>
              </w:rPr>
              <w:t>2.6</w:t>
            </w:r>
          </w:p>
        </w:tc>
        <w:tc>
          <w:tcPr>
            <w:tcW w:w="746" w:type="pct"/>
            <w:gridSpan w:val="2"/>
            <w:tcBorders>
              <w:top w:val="nil"/>
              <w:left w:val="nil"/>
              <w:bottom w:val="nil"/>
            </w:tcBorders>
          </w:tcPr>
          <w:p w14:paraId="552D0AC4" w14:textId="0047F9E3" w:rsidR="006513FE" w:rsidRPr="001C2219" w:rsidRDefault="006513FE" w:rsidP="006513FE">
            <w:pPr>
              <w:jc w:val="center"/>
              <w:rPr>
                <w:sz w:val="22"/>
                <w:lang w:val="en-US"/>
              </w:rPr>
            </w:pPr>
            <w:r w:rsidRPr="005E5305">
              <w:rPr>
                <w:sz w:val="22"/>
                <w:lang w:val="en-US"/>
              </w:rPr>
              <w:t>Very common</w:t>
            </w:r>
          </w:p>
        </w:tc>
      </w:tr>
      <w:tr w:rsidR="006513FE" w:rsidRPr="001C2219" w14:paraId="7DAE1E40" w14:textId="3C02EE86" w:rsidTr="003E122C">
        <w:tc>
          <w:tcPr>
            <w:tcW w:w="1006" w:type="pct"/>
            <w:tcBorders>
              <w:top w:val="nil"/>
              <w:bottom w:val="nil"/>
              <w:right w:val="nil"/>
            </w:tcBorders>
            <w:shd w:val="clear" w:color="auto" w:fill="auto"/>
          </w:tcPr>
          <w:p w14:paraId="19267A55" w14:textId="77777777" w:rsidR="006513FE" w:rsidRPr="001C2219" w:rsidRDefault="006513FE" w:rsidP="006513FE">
            <w:pPr>
              <w:rPr>
                <w:sz w:val="22"/>
                <w:lang w:val="en-US"/>
              </w:rPr>
            </w:pPr>
            <w:r w:rsidRPr="001C2219">
              <w:rPr>
                <w:sz w:val="22"/>
                <w:lang w:val="en-US"/>
              </w:rPr>
              <w:t>Pyrexia</w:t>
            </w:r>
          </w:p>
        </w:tc>
        <w:tc>
          <w:tcPr>
            <w:tcW w:w="621" w:type="pct"/>
            <w:tcBorders>
              <w:top w:val="nil"/>
              <w:left w:val="nil"/>
              <w:bottom w:val="nil"/>
              <w:right w:val="nil"/>
            </w:tcBorders>
            <w:shd w:val="clear" w:color="auto" w:fill="auto"/>
          </w:tcPr>
          <w:p w14:paraId="742FBC5C" w14:textId="339C520F" w:rsidR="006513FE" w:rsidRPr="001C2219" w:rsidRDefault="006513FE" w:rsidP="006513FE">
            <w:pPr>
              <w:jc w:val="center"/>
              <w:rPr>
                <w:sz w:val="22"/>
                <w:lang w:val="en-US"/>
              </w:rPr>
            </w:pPr>
            <w:r w:rsidRPr="001C2219">
              <w:rPr>
                <w:sz w:val="22"/>
                <w:lang w:val="en-US"/>
              </w:rPr>
              <w:t>33.3</w:t>
            </w:r>
          </w:p>
        </w:tc>
        <w:tc>
          <w:tcPr>
            <w:tcW w:w="604" w:type="pct"/>
            <w:tcBorders>
              <w:top w:val="nil"/>
              <w:left w:val="nil"/>
              <w:bottom w:val="nil"/>
              <w:right w:val="nil"/>
            </w:tcBorders>
            <w:shd w:val="clear" w:color="auto" w:fill="auto"/>
          </w:tcPr>
          <w:p w14:paraId="6659F913" w14:textId="77777777" w:rsidR="006513FE" w:rsidRPr="001C2219" w:rsidRDefault="006513FE" w:rsidP="006513FE">
            <w:pPr>
              <w:jc w:val="center"/>
              <w:rPr>
                <w:sz w:val="22"/>
                <w:lang w:val="en-US"/>
              </w:rPr>
            </w:pPr>
            <w:r w:rsidRPr="001C2219">
              <w:rPr>
                <w:sz w:val="22"/>
                <w:lang w:val="en-US"/>
              </w:rPr>
              <w:t>2.2</w:t>
            </w:r>
          </w:p>
        </w:tc>
        <w:tc>
          <w:tcPr>
            <w:tcW w:w="750" w:type="pct"/>
            <w:tcBorders>
              <w:top w:val="nil"/>
              <w:left w:val="nil"/>
              <w:bottom w:val="nil"/>
              <w:right w:val="nil"/>
            </w:tcBorders>
          </w:tcPr>
          <w:p w14:paraId="232C8EC4" w14:textId="1284917F" w:rsidR="006513FE" w:rsidRPr="001C2219" w:rsidRDefault="006513FE" w:rsidP="006513FE">
            <w:pPr>
              <w:jc w:val="center"/>
              <w:rPr>
                <w:sz w:val="22"/>
                <w:lang w:val="en-US"/>
              </w:rPr>
            </w:pPr>
            <w:r w:rsidRPr="00AD5A08">
              <w:rPr>
                <w:sz w:val="22"/>
                <w:lang w:val="en-US"/>
              </w:rPr>
              <w:t>Very common</w:t>
            </w:r>
          </w:p>
        </w:tc>
        <w:tc>
          <w:tcPr>
            <w:tcW w:w="627" w:type="pct"/>
            <w:tcBorders>
              <w:top w:val="nil"/>
              <w:left w:val="nil"/>
              <w:bottom w:val="nil"/>
              <w:right w:val="nil"/>
            </w:tcBorders>
            <w:shd w:val="clear" w:color="auto" w:fill="auto"/>
          </w:tcPr>
          <w:p w14:paraId="24B53E39" w14:textId="3A993900" w:rsidR="006513FE" w:rsidRPr="001C2219" w:rsidRDefault="006513FE" w:rsidP="006513FE">
            <w:pPr>
              <w:jc w:val="center"/>
              <w:rPr>
                <w:sz w:val="22"/>
                <w:lang w:val="en-US"/>
              </w:rPr>
            </w:pPr>
            <w:r w:rsidRPr="001C2219">
              <w:rPr>
                <w:sz w:val="22"/>
                <w:lang w:val="en-US"/>
              </w:rPr>
              <w:t>23.1</w:t>
            </w:r>
          </w:p>
        </w:tc>
        <w:tc>
          <w:tcPr>
            <w:tcW w:w="645" w:type="pct"/>
            <w:tcBorders>
              <w:top w:val="nil"/>
              <w:left w:val="nil"/>
              <w:bottom w:val="nil"/>
              <w:right w:val="nil"/>
            </w:tcBorders>
          </w:tcPr>
          <w:p w14:paraId="5820CEE5" w14:textId="77777777" w:rsidR="006513FE" w:rsidRPr="001C2219" w:rsidRDefault="006513FE" w:rsidP="006513FE">
            <w:pPr>
              <w:jc w:val="center"/>
              <w:rPr>
                <w:sz w:val="22"/>
                <w:lang w:val="en-US"/>
              </w:rPr>
            </w:pPr>
            <w:r w:rsidRPr="001C2219">
              <w:rPr>
                <w:sz w:val="22"/>
                <w:lang w:val="en-US"/>
              </w:rPr>
              <w:t>0</w:t>
            </w:r>
          </w:p>
        </w:tc>
        <w:tc>
          <w:tcPr>
            <w:tcW w:w="746" w:type="pct"/>
            <w:gridSpan w:val="2"/>
            <w:tcBorders>
              <w:top w:val="nil"/>
              <w:left w:val="nil"/>
              <w:bottom w:val="nil"/>
            </w:tcBorders>
          </w:tcPr>
          <w:p w14:paraId="5785650B" w14:textId="644A3BA0" w:rsidR="006513FE" w:rsidRPr="001C2219" w:rsidRDefault="006513FE" w:rsidP="006513FE">
            <w:pPr>
              <w:jc w:val="center"/>
              <w:rPr>
                <w:sz w:val="22"/>
                <w:lang w:val="en-US"/>
              </w:rPr>
            </w:pPr>
            <w:r w:rsidRPr="005E5305">
              <w:rPr>
                <w:sz w:val="22"/>
                <w:lang w:val="en-US"/>
              </w:rPr>
              <w:t>Very common</w:t>
            </w:r>
          </w:p>
        </w:tc>
      </w:tr>
      <w:tr w:rsidR="006513FE" w:rsidRPr="001C2219" w14:paraId="3D6F3E23" w14:textId="33823316" w:rsidTr="003E122C">
        <w:tc>
          <w:tcPr>
            <w:tcW w:w="1006" w:type="pct"/>
            <w:tcBorders>
              <w:top w:val="nil"/>
              <w:bottom w:val="nil"/>
              <w:right w:val="nil"/>
            </w:tcBorders>
            <w:shd w:val="clear" w:color="auto" w:fill="auto"/>
          </w:tcPr>
          <w:p w14:paraId="1BCB6F25" w14:textId="77777777" w:rsidR="006513FE" w:rsidRPr="001C2219" w:rsidRDefault="006513FE" w:rsidP="006513FE">
            <w:pPr>
              <w:rPr>
                <w:sz w:val="22"/>
                <w:lang w:val="en-US"/>
              </w:rPr>
            </w:pPr>
            <w:r w:rsidRPr="001C2219">
              <w:rPr>
                <w:sz w:val="22"/>
                <w:lang w:val="en-US"/>
              </w:rPr>
              <w:t>Asthenia</w:t>
            </w:r>
          </w:p>
        </w:tc>
        <w:tc>
          <w:tcPr>
            <w:tcW w:w="621" w:type="pct"/>
            <w:tcBorders>
              <w:top w:val="nil"/>
              <w:left w:val="nil"/>
              <w:bottom w:val="nil"/>
              <w:right w:val="nil"/>
            </w:tcBorders>
            <w:shd w:val="clear" w:color="auto" w:fill="auto"/>
          </w:tcPr>
          <w:p w14:paraId="66739583" w14:textId="77777777" w:rsidR="006513FE" w:rsidRPr="001C2219" w:rsidRDefault="006513FE" w:rsidP="006513FE">
            <w:pPr>
              <w:jc w:val="center"/>
              <w:rPr>
                <w:sz w:val="22"/>
                <w:lang w:val="en-US"/>
              </w:rPr>
            </w:pPr>
            <w:r w:rsidRPr="001C2219">
              <w:rPr>
                <w:sz w:val="22"/>
                <w:lang w:val="en-US"/>
              </w:rPr>
              <w:t>11.1</w:t>
            </w:r>
          </w:p>
        </w:tc>
        <w:tc>
          <w:tcPr>
            <w:tcW w:w="604" w:type="pct"/>
            <w:tcBorders>
              <w:top w:val="nil"/>
              <w:left w:val="nil"/>
              <w:bottom w:val="nil"/>
              <w:right w:val="nil"/>
            </w:tcBorders>
            <w:shd w:val="clear" w:color="auto" w:fill="auto"/>
          </w:tcPr>
          <w:p w14:paraId="7B3BAFD5" w14:textId="77777777" w:rsidR="006513FE" w:rsidRPr="001C2219" w:rsidRDefault="006513FE" w:rsidP="006513FE">
            <w:pPr>
              <w:jc w:val="center"/>
              <w:rPr>
                <w:sz w:val="22"/>
                <w:lang w:val="en-US"/>
              </w:rPr>
            </w:pPr>
            <w:r w:rsidRPr="001C2219">
              <w:rPr>
                <w:sz w:val="22"/>
                <w:lang w:val="en-US"/>
              </w:rPr>
              <w:t>0</w:t>
            </w:r>
          </w:p>
        </w:tc>
        <w:tc>
          <w:tcPr>
            <w:tcW w:w="750" w:type="pct"/>
            <w:tcBorders>
              <w:top w:val="nil"/>
              <w:left w:val="nil"/>
              <w:bottom w:val="nil"/>
              <w:right w:val="nil"/>
            </w:tcBorders>
          </w:tcPr>
          <w:p w14:paraId="306804CB" w14:textId="02CE82B1" w:rsidR="006513FE" w:rsidRPr="001C2219" w:rsidRDefault="006513FE" w:rsidP="006513FE">
            <w:pPr>
              <w:jc w:val="center"/>
              <w:rPr>
                <w:sz w:val="22"/>
                <w:lang w:val="en-US"/>
              </w:rPr>
            </w:pPr>
            <w:r w:rsidRPr="00AD5A08">
              <w:rPr>
                <w:sz w:val="22"/>
                <w:lang w:val="en-US"/>
              </w:rPr>
              <w:t>Very common</w:t>
            </w:r>
          </w:p>
        </w:tc>
        <w:tc>
          <w:tcPr>
            <w:tcW w:w="627" w:type="pct"/>
            <w:tcBorders>
              <w:top w:val="nil"/>
              <w:left w:val="nil"/>
              <w:bottom w:val="nil"/>
              <w:right w:val="nil"/>
            </w:tcBorders>
            <w:shd w:val="clear" w:color="auto" w:fill="auto"/>
          </w:tcPr>
          <w:p w14:paraId="3BD57823" w14:textId="7F6DBFE7" w:rsidR="006513FE" w:rsidRPr="001C2219" w:rsidRDefault="006513FE" w:rsidP="006513FE">
            <w:pPr>
              <w:jc w:val="center"/>
              <w:rPr>
                <w:sz w:val="22"/>
                <w:lang w:val="en-US"/>
              </w:rPr>
            </w:pPr>
            <w:r w:rsidRPr="001C2219">
              <w:rPr>
                <w:sz w:val="22"/>
                <w:lang w:val="en-US"/>
              </w:rPr>
              <w:t>15.4</w:t>
            </w:r>
          </w:p>
        </w:tc>
        <w:tc>
          <w:tcPr>
            <w:tcW w:w="645" w:type="pct"/>
            <w:tcBorders>
              <w:top w:val="nil"/>
              <w:left w:val="nil"/>
              <w:bottom w:val="nil"/>
              <w:right w:val="nil"/>
            </w:tcBorders>
          </w:tcPr>
          <w:p w14:paraId="076EB700" w14:textId="77777777" w:rsidR="006513FE" w:rsidRPr="001C2219" w:rsidRDefault="006513FE" w:rsidP="006513FE">
            <w:pPr>
              <w:jc w:val="center"/>
              <w:rPr>
                <w:sz w:val="22"/>
                <w:lang w:val="en-US"/>
              </w:rPr>
            </w:pPr>
            <w:r w:rsidRPr="001C2219">
              <w:rPr>
                <w:sz w:val="22"/>
                <w:lang w:val="en-US"/>
              </w:rPr>
              <w:t>0</w:t>
            </w:r>
          </w:p>
        </w:tc>
        <w:tc>
          <w:tcPr>
            <w:tcW w:w="746" w:type="pct"/>
            <w:gridSpan w:val="2"/>
            <w:tcBorders>
              <w:top w:val="nil"/>
              <w:left w:val="nil"/>
              <w:bottom w:val="nil"/>
            </w:tcBorders>
          </w:tcPr>
          <w:p w14:paraId="24EE8F89" w14:textId="0EDE51E1" w:rsidR="006513FE" w:rsidRPr="001C2219" w:rsidRDefault="006513FE" w:rsidP="006513FE">
            <w:pPr>
              <w:jc w:val="center"/>
              <w:rPr>
                <w:sz w:val="22"/>
                <w:lang w:val="en-US"/>
              </w:rPr>
            </w:pPr>
            <w:r w:rsidRPr="005E5305">
              <w:rPr>
                <w:sz w:val="22"/>
                <w:lang w:val="en-US"/>
              </w:rPr>
              <w:t>Very common</w:t>
            </w:r>
          </w:p>
        </w:tc>
      </w:tr>
      <w:tr w:rsidR="006513FE" w:rsidRPr="001C2219" w14:paraId="615D32D8" w14:textId="6F054B9D" w:rsidTr="003E122C">
        <w:tc>
          <w:tcPr>
            <w:tcW w:w="1006" w:type="pct"/>
            <w:tcBorders>
              <w:top w:val="nil"/>
              <w:bottom w:val="single" w:sz="4" w:space="0" w:color="auto"/>
              <w:right w:val="nil"/>
            </w:tcBorders>
            <w:shd w:val="clear" w:color="auto" w:fill="auto"/>
          </w:tcPr>
          <w:p w14:paraId="6FAF94F6" w14:textId="77777777" w:rsidR="006513FE" w:rsidRPr="001C2219" w:rsidRDefault="006513FE" w:rsidP="006513FE">
            <w:pPr>
              <w:rPr>
                <w:sz w:val="22"/>
                <w:lang w:val="en-US"/>
              </w:rPr>
            </w:pPr>
            <w:r w:rsidRPr="001C2219">
              <w:rPr>
                <w:sz w:val="22"/>
                <w:lang w:val="en-US"/>
              </w:rPr>
              <w:t>Chills</w:t>
            </w:r>
          </w:p>
        </w:tc>
        <w:tc>
          <w:tcPr>
            <w:tcW w:w="621" w:type="pct"/>
            <w:tcBorders>
              <w:top w:val="nil"/>
              <w:left w:val="nil"/>
              <w:bottom w:val="single" w:sz="4" w:space="0" w:color="auto"/>
              <w:right w:val="nil"/>
            </w:tcBorders>
            <w:shd w:val="clear" w:color="auto" w:fill="auto"/>
          </w:tcPr>
          <w:p w14:paraId="3DF28FD0" w14:textId="77777777" w:rsidR="006513FE" w:rsidRPr="001C2219" w:rsidRDefault="006513FE" w:rsidP="006513FE">
            <w:pPr>
              <w:jc w:val="center"/>
              <w:rPr>
                <w:sz w:val="22"/>
                <w:lang w:val="en-US"/>
              </w:rPr>
            </w:pPr>
            <w:r w:rsidRPr="001C2219">
              <w:rPr>
                <w:sz w:val="22"/>
                <w:lang w:val="en-US"/>
              </w:rPr>
              <w:t>11.1</w:t>
            </w:r>
          </w:p>
        </w:tc>
        <w:tc>
          <w:tcPr>
            <w:tcW w:w="604" w:type="pct"/>
            <w:tcBorders>
              <w:top w:val="nil"/>
              <w:left w:val="nil"/>
              <w:bottom w:val="single" w:sz="4" w:space="0" w:color="auto"/>
              <w:right w:val="nil"/>
            </w:tcBorders>
            <w:shd w:val="clear" w:color="auto" w:fill="auto"/>
          </w:tcPr>
          <w:p w14:paraId="1D83EE83" w14:textId="77777777" w:rsidR="006513FE" w:rsidRPr="001C2219" w:rsidRDefault="006513FE" w:rsidP="006513FE">
            <w:pPr>
              <w:jc w:val="center"/>
              <w:rPr>
                <w:sz w:val="22"/>
                <w:lang w:val="en-US"/>
              </w:rPr>
            </w:pPr>
            <w:r w:rsidRPr="001C2219">
              <w:rPr>
                <w:sz w:val="22"/>
                <w:lang w:val="en-US"/>
              </w:rPr>
              <w:t>0</w:t>
            </w:r>
          </w:p>
        </w:tc>
        <w:tc>
          <w:tcPr>
            <w:tcW w:w="750" w:type="pct"/>
            <w:tcBorders>
              <w:top w:val="nil"/>
              <w:left w:val="nil"/>
              <w:bottom w:val="single" w:sz="4" w:space="0" w:color="auto"/>
              <w:right w:val="nil"/>
            </w:tcBorders>
          </w:tcPr>
          <w:p w14:paraId="2CEC95DC" w14:textId="477873B4" w:rsidR="006513FE" w:rsidRPr="001C2219" w:rsidRDefault="006513FE" w:rsidP="006513FE">
            <w:pPr>
              <w:jc w:val="center"/>
              <w:rPr>
                <w:sz w:val="22"/>
                <w:lang w:val="en-US"/>
              </w:rPr>
            </w:pPr>
            <w:r w:rsidRPr="00AD5A08">
              <w:rPr>
                <w:sz w:val="22"/>
                <w:lang w:val="en-US"/>
              </w:rPr>
              <w:t>Very common</w:t>
            </w:r>
          </w:p>
        </w:tc>
        <w:tc>
          <w:tcPr>
            <w:tcW w:w="627" w:type="pct"/>
            <w:tcBorders>
              <w:top w:val="nil"/>
              <w:left w:val="nil"/>
              <w:bottom w:val="single" w:sz="4" w:space="0" w:color="auto"/>
              <w:right w:val="nil"/>
            </w:tcBorders>
            <w:shd w:val="clear" w:color="auto" w:fill="auto"/>
          </w:tcPr>
          <w:p w14:paraId="6961EA29" w14:textId="218CAD99" w:rsidR="006513FE" w:rsidRPr="001C2219" w:rsidRDefault="006513FE" w:rsidP="006513FE">
            <w:pPr>
              <w:jc w:val="center"/>
              <w:rPr>
                <w:sz w:val="22"/>
                <w:lang w:val="en-US"/>
              </w:rPr>
            </w:pPr>
            <w:r w:rsidRPr="001C2219">
              <w:rPr>
                <w:sz w:val="22"/>
                <w:lang w:val="en-US"/>
              </w:rPr>
              <w:t>7.7</w:t>
            </w:r>
          </w:p>
        </w:tc>
        <w:tc>
          <w:tcPr>
            <w:tcW w:w="645" w:type="pct"/>
            <w:tcBorders>
              <w:top w:val="nil"/>
              <w:left w:val="nil"/>
              <w:bottom w:val="single" w:sz="4" w:space="0" w:color="auto"/>
              <w:right w:val="nil"/>
            </w:tcBorders>
          </w:tcPr>
          <w:p w14:paraId="6C61072D" w14:textId="77777777" w:rsidR="006513FE" w:rsidRPr="001C2219" w:rsidRDefault="006513FE" w:rsidP="006513FE">
            <w:pPr>
              <w:jc w:val="center"/>
              <w:rPr>
                <w:sz w:val="22"/>
                <w:lang w:val="en-US"/>
              </w:rPr>
            </w:pPr>
            <w:r w:rsidRPr="001C2219">
              <w:rPr>
                <w:sz w:val="22"/>
                <w:lang w:val="en-US"/>
              </w:rPr>
              <w:t>0</w:t>
            </w:r>
          </w:p>
        </w:tc>
        <w:tc>
          <w:tcPr>
            <w:tcW w:w="746" w:type="pct"/>
            <w:gridSpan w:val="2"/>
            <w:tcBorders>
              <w:top w:val="nil"/>
              <w:left w:val="nil"/>
              <w:bottom w:val="single" w:sz="4" w:space="0" w:color="auto"/>
            </w:tcBorders>
          </w:tcPr>
          <w:p w14:paraId="3932C5DD" w14:textId="374C6C35" w:rsidR="006513FE" w:rsidRPr="001C2219" w:rsidRDefault="006513FE" w:rsidP="006513FE">
            <w:pPr>
              <w:jc w:val="center"/>
              <w:rPr>
                <w:sz w:val="22"/>
                <w:lang w:val="en-US"/>
              </w:rPr>
            </w:pPr>
            <w:r>
              <w:rPr>
                <w:sz w:val="22"/>
                <w:lang w:val="en-US"/>
              </w:rPr>
              <w:t>Common</w:t>
            </w:r>
          </w:p>
        </w:tc>
      </w:tr>
      <w:tr w:rsidR="00A35B38" w:rsidRPr="001C2219" w14:paraId="433C10B6" w14:textId="6BDD84A0" w:rsidTr="00F03CC1">
        <w:tc>
          <w:tcPr>
            <w:tcW w:w="5000" w:type="pct"/>
            <w:gridSpan w:val="8"/>
            <w:tcBorders>
              <w:bottom w:val="nil"/>
            </w:tcBorders>
          </w:tcPr>
          <w:p w14:paraId="2C35EA0F" w14:textId="66F08748" w:rsidR="00A35B38" w:rsidRPr="001C2219" w:rsidRDefault="00A35B38" w:rsidP="00810CDF">
            <w:pPr>
              <w:jc w:val="left"/>
              <w:rPr>
                <w:b/>
                <w:sz w:val="22"/>
                <w:lang w:val="en-US"/>
              </w:rPr>
            </w:pPr>
            <w:r w:rsidRPr="001C2219">
              <w:rPr>
                <w:b/>
                <w:sz w:val="22"/>
                <w:lang w:val="en-US"/>
              </w:rPr>
              <w:t>Investigations</w:t>
            </w:r>
          </w:p>
        </w:tc>
      </w:tr>
      <w:tr w:rsidR="006513FE" w:rsidRPr="001C2219" w14:paraId="1D1C6B40" w14:textId="2B6105B6" w:rsidTr="003E122C">
        <w:tc>
          <w:tcPr>
            <w:tcW w:w="1006" w:type="pct"/>
            <w:tcBorders>
              <w:top w:val="nil"/>
              <w:bottom w:val="single" w:sz="4" w:space="0" w:color="auto"/>
              <w:right w:val="nil"/>
            </w:tcBorders>
            <w:shd w:val="clear" w:color="auto" w:fill="auto"/>
          </w:tcPr>
          <w:p w14:paraId="7259E5EA" w14:textId="77777777" w:rsidR="00E57542" w:rsidRPr="001C2219" w:rsidRDefault="00E57542" w:rsidP="00E57542">
            <w:pPr>
              <w:rPr>
                <w:bCs/>
                <w:sz w:val="22"/>
                <w:lang w:val="en-US"/>
              </w:rPr>
            </w:pPr>
            <w:r w:rsidRPr="001C2219">
              <w:rPr>
                <w:bCs/>
                <w:sz w:val="22"/>
                <w:lang w:val="en-US"/>
              </w:rPr>
              <w:t xml:space="preserve">Weight decreased </w:t>
            </w:r>
          </w:p>
        </w:tc>
        <w:tc>
          <w:tcPr>
            <w:tcW w:w="621" w:type="pct"/>
            <w:tcBorders>
              <w:top w:val="nil"/>
              <w:left w:val="nil"/>
              <w:bottom w:val="single" w:sz="4" w:space="0" w:color="auto"/>
              <w:right w:val="nil"/>
            </w:tcBorders>
            <w:shd w:val="clear" w:color="auto" w:fill="auto"/>
          </w:tcPr>
          <w:p w14:paraId="7DD62D01" w14:textId="77777777" w:rsidR="00E57542" w:rsidRPr="001C2219" w:rsidRDefault="00E57542" w:rsidP="00810CDF">
            <w:pPr>
              <w:jc w:val="center"/>
              <w:rPr>
                <w:sz w:val="22"/>
                <w:lang w:val="en-US"/>
              </w:rPr>
            </w:pPr>
            <w:r w:rsidRPr="001C2219">
              <w:rPr>
                <w:sz w:val="22"/>
                <w:lang w:val="en-US"/>
              </w:rPr>
              <w:t>15.6</w:t>
            </w:r>
          </w:p>
        </w:tc>
        <w:tc>
          <w:tcPr>
            <w:tcW w:w="604" w:type="pct"/>
            <w:tcBorders>
              <w:top w:val="nil"/>
              <w:left w:val="nil"/>
              <w:bottom w:val="single" w:sz="4" w:space="0" w:color="auto"/>
              <w:right w:val="nil"/>
            </w:tcBorders>
            <w:shd w:val="clear" w:color="auto" w:fill="auto"/>
          </w:tcPr>
          <w:p w14:paraId="1C8967E4" w14:textId="77777777" w:rsidR="00E57542" w:rsidRPr="001C2219" w:rsidRDefault="00E57542" w:rsidP="00810CDF">
            <w:pPr>
              <w:jc w:val="center"/>
              <w:rPr>
                <w:sz w:val="22"/>
                <w:lang w:val="en-US"/>
              </w:rPr>
            </w:pPr>
            <w:r w:rsidRPr="001C2219">
              <w:rPr>
                <w:sz w:val="22"/>
                <w:lang w:val="en-US"/>
              </w:rPr>
              <w:t>2.2</w:t>
            </w:r>
          </w:p>
        </w:tc>
        <w:tc>
          <w:tcPr>
            <w:tcW w:w="750" w:type="pct"/>
            <w:tcBorders>
              <w:top w:val="nil"/>
              <w:left w:val="nil"/>
              <w:bottom w:val="single" w:sz="4" w:space="0" w:color="auto"/>
              <w:right w:val="nil"/>
            </w:tcBorders>
          </w:tcPr>
          <w:p w14:paraId="3EF81BD7" w14:textId="2176E9C0" w:rsidR="00E57542" w:rsidRPr="001C2219" w:rsidRDefault="006513FE" w:rsidP="00E57542">
            <w:pPr>
              <w:jc w:val="center"/>
              <w:rPr>
                <w:sz w:val="22"/>
                <w:lang w:val="en-US"/>
              </w:rPr>
            </w:pPr>
            <w:r>
              <w:rPr>
                <w:sz w:val="22"/>
                <w:lang w:val="en-US"/>
              </w:rPr>
              <w:t>Very common</w:t>
            </w:r>
          </w:p>
        </w:tc>
        <w:tc>
          <w:tcPr>
            <w:tcW w:w="627" w:type="pct"/>
            <w:tcBorders>
              <w:top w:val="nil"/>
              <w:left w:val="nil"/>
              <w:bottom w:val="single" w:sz="4" w:space="0" w:color="auto"/>
              <w:right w:val="nil"/>
            </w:tcBorders>
            <w:shd w:val="clear" w:color="auto" w:fill="auto"/>
          </w:tcPr>
          <w:p w14:paraId="5E63584A" w14:textId="0C1C911F" w:rsidR="00E57542" w:rsidRPr="001C2219" w:rsidRDefault="00E57542" w:rsidP="00810CDF">
            <w:pPr>
              <w:jc w:val="center"/>
              <w:rPr>
                <w:sz w:val="22"/>
                <w:lang w:val="en-US"/>
              </w:rPr>
            </w:pPr>
            <w:r w:rsidRPr="001C2219">
              <w:rPr>
                <w:sz w:val="22"/>
                <w:lang w:val="en-US"/>
              </w:rPr>
              <w:t>7.7</w:t>
            </w:r>
          </w:p>
        </w:tc>
        <w:tc>
          <w:tcPr>
            <w:tcW w:w="645" w:type="pct"/>
            <w:tcBorders>
              <w:top w:val="nil"/>
              <w:left w:val="nil"/>
              <w:bottom w:val="single" w:sz="4" w:space="0" w:color="auto"/>
              <w:right w:val="nil"/>
            </w:tcBorders>
          </w:tcPr>
          <w:p w14:paraId="243EED25" w14:textId="77777777" w:rsidR="00E57542" w:rsidRPr="001C2219" w:rsidRDefault="00E57542" w:rsidP="00810CDF">
            <w:pPr>
              <w:jc w:val="center"/>
              <w:rPr>
                <w:sz w:val="22"/>
                <w:lang w:val="en-US"/>
              </w:rPr>
            </w:pPr>
            <w:r w:rsidRPr="001C2219">
              <w:rPr>
                <w:sz w:val="22"/>
                <w:lang w:val="en-US"/>
              </w:rPr>
              <w:t>2.6</w:t>
            </w:r>
          </w:p>
        </w:tc>
        <w:tc>
          <w:tcPr>
            <w:tcW w:w="746" w:type="pct"/>
            <w:gridSpan w:val="2"/>
            <w:tcBorders>
              <w:top w:val="nil"/>
              <w:left w:val="nil"/>
              <w:bottom w:val="single" w:sz="4" w:space="0" w:color="auto"/>
            </w:tcBorders>
          </w:tcPr>
          <w:p w14:paraId="4424DCCD" w14:textId="775C1B24" w:rsidR="00E57542" w:rsidRPr="001C2219" w:rsidRDefault="006513FE" w:rsidP="00A23876">
            <w:pPr>
              <w:jc w:val="center"/>
              <w:rPr>
                <w:sz w:val="22"/>
                <w:lang w:val="en-US"/>
              </w:rPr>
            </w:pPr>
            <w:r>
              <w:rPr>
                <w:sz w:val="22"/>
                <w:lang w:val="en-US"/>
              </w:rPr>
              <w:t>Common</w:t>
            </w:r>
          </w:p>
        </w:tc>
      </w:tr>
      <w:tr w:rsidR="00A35B38" w:rsidRPr="001C2219" w14:paraId="7049CB2D" w14:textId="55377B77" w:rsidTr="00F03CC1">
        <w:tc>
          <w:tcPr>
            <w:tcW w:w="5000" w:type="pct"/>
            <w:gridSpan w:val="8"/>
            <w:tcBorders>
              <w:bottom w:val="nil"/>
            </w:tcBorders>
          </w:tcPr>
          <w:p w14:paraId="4C8859A6" w14:textId="65A2F4FF" w:rsidR="00A35B38" w:rsidRPr="001C2219" w:rsidRDefault="00A35B38" w:rsidP="00810CDF">
            <w:pPr>
              <w:jc w:val="left"/>
              <w:rPr>
                <w:b/>
                <w:sz w:val="22"/>
                <w:lang w:val="en-US"/>
              </w:rPr>
            </w:pPr>
            <w:r w:rsidRPr="001C2219">
              <w:rPr>
                <w:b/>
                <w:sz w:val="22"/>
                <w:lang w:val="en-US"/>
              </w:rPr>
              <w:t>Injury, Poisoning, and Procedural</w:t>
            </w:r>
          </w:p>
        </w:tc>
      </w:tr>
      <w:tr w:rsidR="006513FE" w:rsidRPr="001C2219" w14:paraId="242D7194" w14:textId="25E411D8" w:rsidTr="003E122C">
        <w:tc>
          <w:tcPr>
            <w:tcW w:w="1006" w:type="pct"/>
            <w:tcBorders>
              <w:top w:val="nil"/>
              <w:right w:val="nil"/>
            </w:tcBorders>
            <w:shd w:val="clear" w:color="auto" w:fill="auto"/>
          </w:tcPr>
          <w:p w14:paraId="5A045F81" w14:textId="77777777" w:rsidR="00E57542" w:rsidRPr="001C2219" w:rsidRDefault="00E57542" w:rsidP="00E57542">
            <w:pPr>
              <w:rPr>
                <w:sz w:val="22"/>
                <w:vertAlign w:val="superscript"/>
                <w:lang w:val="en-US"/>
              </w:rPr>
            </w:pPr>
            <w:r w:rsidRPr="001C2219">
              <w:rPr>
                <w:sz w:val="22"/>
                <w:lang w:val="en-US"/>
              </w:rPr>
              <w:t>Infusion-related reaction</w:t>
            </w:r>
            <w:r w:rsidRPr="001C2219">
              <w:rPr>
                <w:sz w:val="22"/>
                <w:vertAlign w:val="superscript"/>
                <w:lang w:val="en-US"/>
              </w:rPr>
              <w:t>b</w:t>
            </w:r>
          </w:p>
        </w:tc>
        <w:tc>
          <w:tcPr>
            <w:tcW w:w="621" w:type="pct"/>
            <w:tcBorders>
              <w:top w:val="nil"/>
              <w:left w:val="nil"/>
              <w:right w:val="nil"/>
            </w:tcBorders>
            <w:shd w:val="clear" w:color="auto" w:fill="auto"/>
          </w:tcPr>
          <w:p w14:paraId="74D0AFE7" w14:textId="77777777" w:rsidR="00E57542" w:rsidRPr="001C2219" w:rsidRDefault="00E57542" w:rsidP="00810CDF">
            <w:pPr>
              <w:jc w:val="center"/>
              <w:rPr>
                <w:sz w:val="22"/>
                <w:lang w:val="en-US"/>
              </w:rPr>
            </w:pPr>
            <w:r w:rsidRPr="001C2219">
              <w:rPr>
                <w:sz w:val="22"/>
                <w:lang w:val="en-US"/>
              </w:rPr>
              <w:t>33.3</w:t>
            </w:r>
          </w:p>
        </w:tc>
        <w:tc>
          <w:tcPr>
            <w:tcW w:w="604" w:type="pct"/>
            <w:tcBorders>
              <w:top w:val="nil"/>
              <w:left w:val="nil"/>
              <w:right w:val="nil"/>
            </w:tcBorders>
            <w:shd w:val="clear" w:color="auto" w:fill="auto"/>
          </w:tcPr>
          <w:p w14:paraId="04F91B2C" w14:textId="77777777" w:rsidR="00E57542" w:rsidRPr="001C2219" w:rsidRDefault="00E57542" w:rsidP="00810CDF">
            <w:pPr>
              <w:jc w:val="center"/>
              <w:rPr>
                <w:sz w:val="22"/>
                <w:lang w:val="en-US"/>
              </w:rPr>
            </w:pPr>
            <w:r w:rsidRPr="001C2219">
              <w:rPr>
                <w:sz w:val="22"/>
                <w:lang w:val="en-US"/>
              </w:rPr>
              <w:t>6.7</w:t>
            </w:r>
          </w:p>
        </w:tc>
        <w:tc>
          <w:tcPr>
            <w:tcW w:w="750" w:type="pct"/>
            <w:tcBorders>
              <w:top w:val="nil"/>
              <w:left w:val="nil"/>
              <w:right w:val="nil"/>
            </w:tcBorders>
          </w:tcPr>
          <w:p w14:paraId="449836ED" w14:textId="683E34C5" w:rsidR="00E57542" w:rsidRPr="001C2219" w:rsidRDefault="006513FE" w:rsidP="00E57542">
            <w:pPr>
              <w:jc w:val="center"/>
              <w:rPr>
                <w:sz w:val="22"/>
                <w:lang w:val="en-US"/>
              </w:rPr>
            </w:pPr>
            <w:r>
              <w:rPr>
                <w:sz w:val="22"/>
                <w:lang w:val="en-US"/>
              </w:rPr>
              <w:t>Very common</w:t>
            </w:r>
          </w:p>
        </w:tc>
        <w:tc>
          <w:tcPr>
            <w:tcW w:w="627" w:type="pct"/>
            <w:tcBorders>
              <w:top w:val="nil"/>
              <w:left w:val="nil"/>
              <w:right w:val="nil"/>
            </w:tcBorders>
            <w:shd w:val="clear" w:color="auto" w:fill="auto"/>
          </w:tcPr>
          <w:p w14:paraId="639409F9" w14:textId="39386C1C" w:rsidR="00E57542" w:rsidRPr="001C2219" w:rsidRDefault="00E57542" w:rsidP="00810CDF">
            <w:pPr>
              <w:jc w:val="center"/>
              <w:rPr>
                <w:sz w:val="22"/>
                <w:lang w:val="en-US"/>
              </w:rPr>
            </w:pPr>
            <w:r w:rsidRPr="001C2219">
              <w:rPr>
                <w:sz w:val="22"/>
                <w:lang w:val="en-US"/>
              </w:rPr>
              <w:t>23.1</w:t>
            </w:r>
          </w:p>
        </w:tc>
        <w:tc>
          <w:tcPr>
            <w:tcW w:w="645" w:type="pct"/>
            <w:tcBorders>
              <w:top w:val="nil"/>
              <w:left w:val="nil"/>
              <w:right w:val="nil"/>
            </w:tcBorders>
            <w:shd w:val="clear" w:color="auto" w:fill="auto"/>
          </w:tcPr>
          <w:p w14:paraId="414F8EFE" w14:textId="77777777" w:rsidR="00E57542" w:rsidRPr="001C2219" w:rsidRDefault="00E57542" w:rsidP="00810CDF">
            <w:pPr>
              <w:jc w:val="center"/>
              <w:rPr>
                <w:sz w:val="22"/>
                <w:lang w:val="en-US"/>
              </w:rPr>
            </w:pPr>
            <w:r w:rsidRPr="001C2219">
              <w:rPr>
                <w:sz w:val="22"/>
                <w:lang w:val="en-US"/>
              </w:rPr>
              <w:t>10.3</w:t>
            </w:r>
          </w:p>
        </w:tc>
        <w:tc>
          <w:tcPr>
            <w:tcW w:w="746" w:type="pct"/>
            <w:gridSpan w:val="2"/>
            <w:tcBorders>
              <w:top w:val="nil"/>
              <w:left w:val="nil"/>
            </w:tcBorders>
          </w:tcPr>
          <w:p w14:paraId="398D4B75" w14:textId="2F2983CB" w:rsidR="00E57542" w:rsidRPr="001C2219" w:rsidRDefault="006513FE" w:rsidP="00A23876">
            <w:pPr>
              <w:jc w:val="center"/>
              <w:rPr>
                <w:sz w:val="22"/>
                <w:lang w:val="en-US"/>
              </w:rPr>
            </w:pPr>
            <w:r>
              <w:rPr>
                <w:sz w:val="22"/>
                <w:lang w:val="en-US"/>
              </w:rPr>
              <w:t>Very common</w:t>
            </w:r>
          </w:p>
        </w:tc>
      </w:tr>
    </w:tbl>
    <w:p w14:paraId="035771D2" w14:textId="77777777" w:rsidR="003E122C" w:rsidRPr="003E122C" w:rsidRDefault="003E122C" w:rsidP="003E122C">
      <w:pPr>
        <w:rPr>
          <w:sz w:val="20"/>
          <w:szCs w:val="20"/>
          <w:lang w:val="en-US"/>
        </w:rPr>
      </w:pPr>
      <w:r w:rsidRPr="003E122C">
        <w:rPr>
          <w:sz w:val="20"/>
          <w:szCs w:val="20"/>
          <w:vertAlign w:val="superscript"/>
          <w:lang w:val="en-US"/>
        </w:rPr>
        <w:t>a</w:t>
      </w:r>
      <w:r w:rsidRPr="003E122C">
        <w:rPr>
          <w:sz w:val="20"/>
          <w:szCs w:val="20"/>
          <w:lang w:val="en-US"/>
        </w:rPr>
        <w:t>ADR associated with fatal outcome</w:t>
      </w:r>
    </w:p>
    <w:p w14:paraId="4CB62E93" w14:textId="77777777" w:rsidR="003E122C" w:rsidRPr="003E122C" w:rsidRDefault="003E122C" w:rsidP="003E122C">
      <w:pPr>
        <w:rPr>
          <w:sz w:val="20"/>
          <w:szCs w:val="20"/>
          <w:lang w:val="en-US"/>
        </w:rPr>
      </w:pPr>
      <w:r w:rsidRPr="003E122C">
        <w:rPr>
          <w:sz w:val="20"/>
          <w:szCs w:val="20"/>
          <w:vertAlign w:val="superscript"/>
          <w:lang w:val="en-US"/>
        </w:rPr>
        <w:t>b</w:t>
      </w:r>
      <w:r w:rsidRPr="003E122C">
        <w:rPr>
          <w:sz w:val="20"/>
          <w:szCs w:val="20"/>
          <w:lang w:val="en-US"/>
        </w:rPr>
        <w:t xml:space="preserve">Defined as all adverse events reported as related to study treatment within 24 hours after treatment infusion    </w:t>
      </w:r>
    </w:p>
    <w:p w14:paraId="3CDE1205" w14:textId="77777777" w:rsidR="00050A94" w:rsidRPr="003E122C" w:rsidRDefault="00050A94" w:rsidP="00DF3085">
      <w:pPr>
        <w:rPr>
          <w:sz w:val="20"/>
          <w:szCs w:val="20"/>
          <w:lang w:val="en-US"/>
        </w:rPr>
      </w:pPr>
    </w:p>
    <w:p w14:paraId="31F6431D" w14:textId="4A7A1D2F" w:rsidR="009E5EEF" w:rsidRPr="00501D5E" w:rsidRDefault="009E5EEF" w:rsidP="00501D5E">
      <w:pPr>
        <w:pStyle w:val="Heading4"/>
        <w:rPr>
          <w:b/>
          <w:u w:val="none"/>
        </w:rPr>
      </w:pPr>
      <w:r w:rsidRPr="00501D5E">
        <w:rPr>
          <w:b/>
          <w:u w:val="none"/>
        </w:rPr>
        <w:t xml:space="preserve">Description of selected adverse drug reactions from clinical trials </w:t>
      </w:r>
    </w:p>
    <w:p w14:paraId="49BE7302" w14:textId="77777777" w:rsidR="00501D5E" w:rsidRPr="00501D5E" w:rsidRDefault="00501D5E" w:rsidP="00501D5E"/>
    <w:p w14:paraId="4F799058" w14:textId="77777777" w:rsidR="009E5EEF" w:rsidRPr="009E5EEF" w:rsidRDefault="009E5EEF" w:rsidP="009E5EEF">
      <w:pPr>
        <w:spacing w:after="250"/>
        <w:rPr>
          <w:rFonts w:eastAsia="Times New Roman"/>
          <w:b/>
          <w:i/>
          <w:color w:val="000000" w:themeColor="text1"/>
          <w:szCs w:val="24"/>
          <w:lang w:val="en-US" w:eastAsia="en-US"/>
        </w:rPr>
      </w:pPr>
      <w:r w:rsidRPr="009E5EEF">
        <w:rPr>
          <w:rFonts w:eastAsia="Times New Roman"/>
          <w:b/>
          <w:i/>
          <w:color w:val="000000" w:themeColor="text1"/>
          <w:szCs w:val="24"/>
          <w:lang w:val="en-US" w:eastAsia="en-US"/>
        </w:rPr>
        <w:t>Myelosuppression</w:t>
      </w:r>
    </w:p>
    <w:p w14:paraId="05A34D86" w14:textId="2681E6E6" w:rsidR="009E5EEF" w:rsidRPr="009E5EEF" w:rsidRDefault="009E5EEF" w:rsidP="009E5EEF">
      <w:pPr>
        <w:spacing w:after="250"/>
        <w:rPr>
          <w:rFonts w:eastAsia="Times New Roman"/>
          <w:szCs w:val="24"/>
          <w:lang w:val="en-US" w:eastAsia="en-US"/>
        </w:rPr>
      </w:pPr>
      <w:r w:rsidRPr="009E5EEF">
        <w:rPr>
          <w:rFonts w:eastAsia="Times New Roman"/>
          <w:szCs w:val="24"/>
          <w:lang w:val="en-US" w:eastAsia="en-US"/>
        </w:rPr>
        <w:t xml:space="preserve">8.9% of patients in the </w:t>
      </w:r>
      <w:r w:rsidR="00EE6F17">
        <w:rPr>
          <w:rFonts w:eastAsia="Times New Roman"/>
          <w:szCs w:val="24"/>
          <w:lang w:val="en-US" w:eastAsia="en-US"/>
        </w:rPr>
        <w:t>POLIVY</w:t>
      </w:r>
      <w:r w:rsidRPr="009E5EEF">
        <w:rPr>
          <w:rFonts w:eastAsia="Times New Roman"/>
          <w:szCs w:val="24"/>
          <w:lang w:val="en-US" w:eastAsia="en-US"/>
        </w:rPr>
        <w:t xml:space="preserve"> plus BR arm discontinued </w:t>
      </w:r>
      <w:r w:rsidR="00EE6F17">
        <w:rPr>
          <w:rFonts w:eastAsia="Times New Roman"/>
          <w:szCs w:val="24"/>
          <w:lang w:val="en-US" w:eastAsia="en-US"/>
        </w:rPr>
        <w:t>POLIVY</w:t>
      </w:r>
      <w:r w:rsidRPr="009E5EEF">
        <w:rPr>
          <w:rFonts w:eastAsia="Times New Roman"/>
          <w:szCs w:val="24"/>
          <w:lang w:val="en-US" w:eastAsia="en-US"/>
        </w:rPr>
        <w:t xml:space="preserve"> due to neutropenia compared to 2.6% of patients in the BR arm who discontinued treatment due to neutropenia. Thrombocytopenia events led to discontinuation of treatment in 11.1% of patients in the </w:t>
      </w:r>
      <w:r w:rsidR="00EE6F17">
        <w:rPr>
          <w:rFonts w:eastAsia="Times New Roman"/>
          <w:szCs w:val="24"/>
          <w:lang w:val="en-US" w:eastAsia="en-US"/>
        </w:rPr>
        <w:t>POLIVY</w:t>
      </w:r>
      <w:r w:rsidRPr="009E5EEF">
        <w:rPr>
          <w:rFonts w:eastAsia="Times New Roman"/>
          <w:szCs w:val="24"/>
          <w:lang w:val="en-US" w:eastAsia="en-US"/>
        </w:rPr>
        <w:t xml:space="preserve"> plus BR arm and 5.1% of patients in the BR arm. No patients discontinued treatment due to anemia in either the </w:t>
      </w:r>
      <w:r w:rsidR="00EE6F17">
        <w:rPr>
          <w:rFonts w:eastAsia="Times New Roman"/>
          <w:szCs w:val="24"/>
          <w:lang w:val="en-US" w:eastAsia="en-US"/>
        </w:rPr>
        <w:t>POLIVY</w:t>
      </w:r>
      <w:r w:rsidRPr="009E5EEF">
        <w:rPr>
          <w:rFonts w:eastAsia="Times New Roman"/>
          <w:szCs w:val="24"/>
          <w:lang w:val="en-US" w:eastAsia="en-US"/>
        </w:rPr>
        <w:t xml:space="preserve"> plus BR arm or BR arm.   </w:t>
      </w:r>
    </w:p>
    <w:p w14:paraId="64E1C114" w14:textId="3D41962E" w:rsidR="009E5EEF" w:rsidRPr="009E5EEF" w:rsidRDefault="004162D5" w:rsidP="009E5EEF">
      <w:pPr>
        <w:spacing w:after="250"/>
        <w:rPr>
          <w:rFonts w:eastAsia="Times New Roman"/>
          <w:b/>
          <w:i/>
          <w:color w:val="000000" w:themeColor="text1"/>
          <w:szCs w:val="24"/>
          <w:lang w:val="en-US" w:eastAsia="en-US"/>
        </w:rPr>
      </w:pPr>
      <w:r>
        <w:rPr>
          <w:rFonts w:eastAsia="Times New Roman"/>
          <w:b/>
          <w:i/>
          <w:color w:val="000000" w:themeColor="text1"/>
          <w:szCs w:val="24"/>
          <w:lang w:val="en-US" w:eastAsia="en-US"/>
        </w:rPr>
        <w:t>Peripheral Neuropathy</w:t>
      </w:r>
    </w:p>
    <w:p w14:paraId="43B90D55" w14:textId="2B4737F7" w:rsidR="009E5EEF" w:rsidRPr="009E5EEF" w:rsidRDefault="009E5EEF" w:rsidP="009E5EEF">
      <w:pPr>
        <w:spacing w:after="250"/>
        <w:rPr>
          <w:rFonts w:eastAsia="SimSun"/>
          <w:color w:val="000000" w:themeColor="text1"/>
          <w:szCs w:val="24"/>
          <w:lang w:val="en-US" w:eastAsia="zh-CN"/>
        </w:rPr>
      </w:pPr>
      <w:r w:rsidRPr="009E5EEF">
        <w:rPr>
          <w:rFonts w:eastAsia="SimSun"/>
          <w:szCs w:val="24"/>
          <w:lang w:val="en-US" w:eastAsia="zh-CN"/>
        </w:rPr>
        <w:lastRenderedPageBreak/>
        <w:t xml:space="preserve">In the </w:t>
      </w:r>
      <w:r w:rsidR="00EE6F17">
        <w:rPr>
          <w:rFonts w:eastAsia="SimSun"/>
          <w:szCs w:val="24"/>
          <w:lang w:val="en-US" w:eastAsia="zh-CN"/>
        </w:rPr>
        <w:t>POLIVY</w:t>
      </w:r>
      <w:r w:rsidRPr="009E5EEF">
        <w:rPr>
          <w:rFonts w:eastAsia="SimSun"/>
          <w:szCs w:val="24"/>
          <w:lang w:val="en-US" w:eastAsia="zh-CN"/>
        </w:rPr>
        <w:t xml:space="preserve"> plus BR arm, Grade 1 and 2 </w:t>
      </w:r>
      <w:r w:rsidR="004162D5">
        <w:rPr>
          <w:rFonts w:eastAsia="SimSun"/>
          <w:szCs w:val="24"/>
          <w:lang w:val="en-US" w:eastAsia="zh-CN"/>
        </w:rPr>
        <w:t>peripheral neuropathy</w:t>
      </w:r>
      <w:r w:rsidRPr="009E5EEF">
        <w:rPr>
          <w:rFonts w:eastAsia="SimSun"/>
          <w:szCs w:val="24"/>
          <w:lang w:val="en-US" w:eastAsia="zh-CN"/>
        </w:rPr>
        <w:t xml:space="preserve"> events were reported in 26.7% and 13.3% of patients, respectively. In the BR arm, Grade 1 and 2 </w:t>
      </w:r>
      <w:r w:rsidR="004162D5">
        <w:rPr>
          <w:rFonts w:eastAsia="SimSun"/>
          <w:szCs w:val="24"/>
          <w:lang w:val="en-US" w:eastAsia="zh-CN"/>
        </w:rPr>
        <w:t>peripheral neuropathy</w:t>
      </w:r>
      <w:r w:rsidRPr="009E5EEF">
        <w:rPr>
          <w:rFonts w:eastAsia="SimSun"/>
          <w:szCs w:val="24"/>
          <w:lang w:val="en-US" w:eastAsia="zh-CN"/>
        </w:rPr>
        <w:t xml:space="preserve"> events were reported in 2.6% and 5.1% of patients, respectively. No Grade 3-5 </w:t>
      </w:r>
      <w:r w:rsidR="004162D5">
        <w:rPr>
          <w:rFonts w:eastAsia="SimSun"/>
          <w:szCs w:val="24"/>
          <w:lang w:val="en-US" w:eastAsia="zh-CN"/>
        </w:rPr>
        <w:t>peripheral neuropathy</w:t>
      </w:r>
      <w:r w:rsidRPr="009E5EEF">
        <w:rPr>
          <w:rFonts w:eastAsia="SimSun"/>
          <w:szCs w:val="24"/>
          <w:lang w:val="en-US" w:eastAsia="zh-CN"/>
        </w:rPr>
        <w:t xml:space="preserve"> events were reported in either the </w:t>
      </w:r>
      <w:r w:rsidR="00EE6F17">
        <w:rPr>
          <w:rFonts w:eastAsia="SimSun"/>
          <w:szCs w:val="24"/>
          <w:lang w:val="en-US" w:eastAsia="zh-CN"/>
        </w:rPr>
        <w:t>POLIVY</w:t>
      </w:r>
      <w:r w:rsidRPr="009E5EEF">
        <w:rPr>
          <w:rFonts w:eastAsia="SimSun"/>
          <w:szCs w:val="24"/>
          <w:lang w:val="en-US" w:eastAsia="zh-CN"/>
        </w:rPr>
        <w:t xml:space="preserve"> plus BR arm or BR arm. 2.2% of patients discontinued </w:t>
      </w:r>
      <w:r w:rsidR="00EE6F17">
        <w:rPr>
          <w:rFonts w:eastAsia="SimSun"/>
          <w:szCs w:val="24"/>
          <w:lang w:val="en-US" w:eastAsia="zh-CN"/>
        </w:rPr>
        <w:t>POLIVY</w:t>
      </w:r>
      <w:r w:rsidRPr="009E5EEF">
        <w:rPr>
          <w:rFonts w:eastAsia="SimSun"/>
          <w:szCs w:val="24"/>
          <w:lang w:val="en-US" w:eastAsia="zh-CN"/>
        </w:rPr>
        <w:t xml:space="preserve"> treatment due to </w:t>
      </w:r>
      <w:r w:rsidR="004162D5">
        <w:rPr>
          <w:rFonts w:eastAsia="SimSun"/>
          <w:szCs w:val="24"/>
          <w:lang w:val="en-US" w:eastAsia="zh-CN"/>
        </w:rPr>
        <w:t>peripheral neuropathy</w:t>
      </w:r>
      <w:r w:rsidRPr="009E5EEF">
        <w:rPr>
          <w:rFonts w:eastAsia="SimSun"/>
          <w:szCs w:val="24"/>
          <w:lang w:val="en-US" w:eastAsia="zh-CN"/>
        </w:rPr>
        <w:t xml:space="preserve"> and 4.4% of patients had </w:t>
      </w:r>
      <w:r w:rsidR="00EE6F17">
        <w:rPr>
          <w:rFonts w:eastAsia="SimSun"/>
          <w:szCs w:val="24"/>
          <w:lang w:val="en-US" w:eastAsia="zh-CN"/>
        </w:rPr>
        <w:t>POLIVY</w:t>
      </w:r>
      <w:r w:rsidRPr="009E5EEF">
        <w:rPr>
          <w:rFonts w:eastAsia="SimSun"/>
          <w:szCs w:val="24"/>
          <w:lang w:val="en-US" w:eastAsia="zh-CN"/>
        </w:rPr>
        <w:t xml:space="preserve"> dose reduction due to </w:t>
      </w:r>
      <w:r w:rsidR="004162D5">
        <w:rPr>
          <w:rFonts w:eastAsia="SimSun"/>
          <w:szCs w:val="24"/>
          <w:lang w:val="en-US" w:eastAsia="zh-CN"/>
        </w:rPr>
        <w:t>peripheral neuropathy</w:t>
      </w:r>
      <w:r w:rsidRPr="009E5EEF">
        <w:rPr>
          <w:rFonts w:eastAsia="SimSun"/>
          <w:szCs w:val="24"/>
          <w:lang w:val="en-US" w:eastAsia="zh-CN"/>
        </w:rPr>
        <w:t xml:space="preserve">. No patients in the BR arm discontinued treatment or had dose reductions due to </w:t>
      </w:r>
      <w:r w:rsidR="004162D5">
        <w:rPr>
          <w:rFonts w:eastAsia="SimSun"/>
          <w:szCs w:val="24"/>
          <w:lang w:val="en-US" w:eastAsia="zh-CN"/>
        </w:rPr>
        <w:t>peripheral neuropathy</w:t>
      </w:r>
      <w:r w:rsidRPr="009E5EEF">
        <w:rPr>
          <w:rFonts w:eastAsia="SimSun"/>
          <w:szCs w:val="24"/>
          <w:lang w:val="en-US" w:eastAsia="zh-CN"/>
        </w:rPr>
        <w:t xml:space="preserve">. In the </w:t>
      </w:r>
      <w:r w:rsidR="00EE6F17">
        <w:rPr>
          <w:rFonts w:eastAsia="SimSun"/>
          <w:szCs w:val="24"/>
          <w:lang w:val="en-US" w:eastAsia="zh-CN"/>
        </w:rPr>
        <w:t>POLIVY</w:t>
      </w:r>
      <w:r w:rsidRPr="009E5EEF">
        <w:rPr>
          <w:rFonts w:eastAsia="SimSun"/>
          <w:szCs w:val="24"/>
          <w:lang w:val="en-US" w:eastAsia="zh-CN"/>
        </w:rPr>
        <w:t xml:space="preserve"> plus BR arm, the median onset to first event of </w:t>
      </w:r>
      <w:r w:rsidR="004162D5">
        <w:rPr>
          <w:rFonts w:eastAsia="SimSun"/>
          <w:szCs w:val="24"/>
          <w:lang w:val="en-US" w:eastAsia="zh-CN"/>
        </w:rPr>
        <w:t>peripheral neuropathy</w:t>
      </w:r>
      <w:r w:rsidRPr="009E5EEF">
        <w:rPr>
          <w:rFonts w:eastAsia="SimSun"/>
          <w:szCs w:val="24"/>
          <w:lang w:val="en-US" w:eastAsia="zh-CN"/>
        </w:rPr>
        <w:t xml:space="preserve"> was 1.8 months, and 61.1% of patients with </w:t>
      </w:r>
      <w:r w:rsidR="004162D5">
        <w:rPr>
          <w:rFonts w:eastAsia="SimSun"/>
          <w:szCs w:val="24"/>
          <w:lang w:val="en-US" w:eastAsia="zh-CN"/>
        </w:rPr>
        <w:t>peripheral neuropathy</w:t>
      </w:r>
      <w:r w:rsidRPr="009E5EEF">
        <w:rPr>
          <w:rFonts w:eastAsia="SimSun"/>
          <w:szCs w:val="24"/>
          <w:lang w:val="en-US" w:eastAsia="zh-CN"/>
        </w:rPr>
        <w:t xml:space="preserve"> events reported event resolution (see </w:t>
      </w:r>
      <w:r w:rsidR="004162D5">
        <w:rPr>
          <w:rFonts w:eastAsia="SimSun"/>
          <w:i/>
          <w:szCs w:val="24"/>
          <w:lang w:val="en-US" w:eastAsia="zh-CN"/>
        </w:rPr>
        <w:t>4.4 Special warnings and p</w:t>
      </w:r>
      <w:r w:rsidRPr="009E5EEF">
        <w:rPr>
          <w:rFonts w:eastAsia="SimSun"/>
          <w:i/>
          <w:szCs w:val="24"/>
          <w:lang w:val="en-US" w:eastAsia="zh-CN"/>
        </w:rPr>
        <w:t>recautions</w:t>
      </w:r>
      <w:r w:rsidR="004162D5">
        <w:rPr>
          <w:rFonts w:eastAsia="SimSun"/>
          <w:i/>
          <w:szCs w:val="24"/>
          <w:lang w:val="en-US" w:eastAsia="zh-CN"/>
        </w:rPr>
        <w:t xml:space="preserve"> for use</w:t>
      </w:r>
      <w:r w:rsidRPr="009E5EEF">
        <w:rPr>
          <w:rFonts w:eastAsia="SimSun"/>
          <w:szCs w:val="24"/>
          <w:lang w:val="en-US" w:eastAsia="zh-CN"/>
        </w:rPr>
        <w:t>).</w:t>
      </w:r>
    </w:p>
    <w:p w14:paraId="2D415364" w14:textId="77777777" w:rsidR="009E5EEF" w:rsidRPr="009E5EEF" w:rsidRDefault="009E5EEF" w:rsidP="009E5EEF">
      <w:pPr>
        <w:spacing w:after="250" w:line="280" w:lineRule="atLeast"/>
        <w:jc w:val="left"/>
        <w:rPr>
          <w:rFonts w:eastAsia="SimSun"/>
          <w:b/>
          <w:i/>
          <w:color w:val="000000" w:themeColor="text1"/>
          <w:szCs w:val="24"/>
          <w:lang w:val="en-US" w:eastAsia="zh-CN"/>
        </w:rPr>
      </w:pPr>
      <w:r w:rsidRPr="009E5EEF">
        <w:rPr>
          <w:rFonts w:eastAsia="SimSun"/>
          <w:b/>
          <w:i/>
          <w:color w:val="000000" w:themeColor="text1"/>
          <w:szCs w:val="24"/>
          <w:lang w:val="en-US" w:eastAsia="zh-CN"/>
        </w:rPr>
        <w:t>Infections</w:t>
      </w:r>
    </w:p>
    <w:p w14:paraId="3E28F12E" w14:textId="737D0B76" w:rsidR="009E5EEF" w:rsidRPr="009E5EEF" w:rsidRDefault="009E5EEF" w:rsidP="009E5EEF">
      <w:pPr>
        <w:spacing w:after="250" w:line="280" w:lineRule="atLeast"/>
        <w:rPr>
          <w:rFonts w:eastAsia="SimSun"/>
          <w:szCs w:val="24"/>
          <w:lang w:val="en-US" w:eastAsia="zh-CN"/>
        </w:rPr>
      </w:pPr>
      <w:r w:rsidRPr="009E5EEF">
        <w:rPr>
          <w:rFonts w:eastAsia="SimSun"/>
          <w:color w:val="000000" w:themeColor="text1"/>
          <w:szCs w:val="24"/>
          <w:lang w:val="en-US" w:eastAsia="zh-CN"/>
        </w:rPr>
        <w:t xml:space="preserve">Infections, including pneumonia and other types of infections, were reported in 53.3% of patients in the </w:t>
      </w:r>
      <w:r w:rsidR="00EE6F17">
        <w:rPr>
          <w:rFonts w:eastAsia="SimSun"/>
          <w:color w:val="000000" w:themeColor="text1"/>
          <w:szCs w:val="24"/>
          <w:lang w:val="en-US" w:eastAsia="zh-CN"/>
        </w:rPr>
        <w:t>POLIVY</w:t>
      </w:r>
      <w:r w:rsidRPr="009E5EEF">
        <w:rPr>
          <w:rFonts w:eastAsia="SimSun"/>
          <w:color w:val="000000" w:themeColor="text1"/>
          <w:szCs w:val="24"/>
          <w:lang w:val="en-US" w:eastAsia="zh-CN"/>
        </w:rPr>
        <w:t xml:space="preserve"> plus BR arm and 51.3% of patients in the BR arm.   In the </w:t>
      </w:r>
      <w:r w:rsidR="00EE6F17">
        <w:rPr>
          <w:rFonts w:eastAsia="SimSun"/>
          <w:color w:val="000000" w:themeColor="text1"/>
          <w:szCs w:val="24"/>
          <w:lang w:val="en-US" w:eastAsia="zh-CN"/>
        </w:rPr>
        <w:t>POLIVY</w:t>
      </w:r>
      <w:r w:rsidRPr="009E5EEF">
        <w:rPr>
          <w:rFonts w:eastAsia="SimSun"/>
          <w:color w:val="000000" w:themeColor="text1"/>
          <w:szCs w:val="24"/>
          <w:lang w:val="en-US" w:eastAsia="zh-CN"/>
        </w:rPr>
        <w:t xml:space="preserve"> plus BR arm, serious infections were reported in 28.9% of patients and fatal infections were reported in 8.9% of patients. In the BR arm, serious infections were reported in 30.8% of patients and fatal infections were reported in 10.3% of patients. One patient (2.2%) discontinued treatment in the </w:t>
      </w:r>
      <w:r w:rsidR="00EE6F17">
        <w:rPr>
          <w:rFonts w:eastAsia="SimSun"/>
          <w:color w:val="000000" w:themeColor="text1"/>
          <w:szCs w:val="24"/>
          <w:lang w:val="en-US" w:eastAsia="zh-CN"/>
        </w:rPr>
        <w:t>POLIVY</w:t>
      </w:r>
      <w:r w:rsidRPr="009E5EEF">
        <w:rPr>
          <w:rFonts w:eastAsia="SimSun"/>
          <w:color w:val="000000" w:themeColor="text1"/>
          <w:szCs w:val="24"/>
          <w:lang w:val="en-US" w:eastAsia="zh-CN"/>
        </w:rPr>
        <w:t xml:space="preserve"> plus BR arm due to infection compared to 5.1% of patients in the BR arm </w:t>
      </w:r>
      <w:r w:rsidRPr="009E5EEF">
        <w:rPr>
          <w:rFonts w:eastAsia="SimSun"/>
          <w:szCs w:val="24"/>
          <w:lang w:val="en-US" w:eastAsia="zh-CN"/>
        </w:rPr>
        <w:t>(</w:t>
      </w:r>
      <w:r w:rsidR="004162D5">
        <w:rPr>
          <w:rFonts w:eastAsia="SimSun"/>
          <w:szCs w:val="24"/>
          <w:lang w:val="en-US" w:eastAsia="zh-CN"/>
        </w:rPr>
        <w:t xml:space="preserve">see </w:t>
      </w:r>
      <w:r w:rsidR="004162D5" w:rsidRPr="004162D5">
        <w:rPr>
          <w:rFonts w:eastAsia="SimSun"/>
          <w:i/>
          <w:szCs w:val="24"/>
          <w:lang w:val="en-US" w:eastAsia="zh-CN"/>
        </w:rPr>
        <w:t>4.4 Special warnings and precautions for use</w:t>
      </w:r>
      <w:r w:rsidRPr="009E5EEF">
        <w:rPr>
          <w:rFonts w:eastAsia="SimSun"/>
          <w:szCs w:val="24"/>
          <w:lang w:val="en-US" w:eastAsia="zh-CN"/>
        </w:rPr>
        <w:t>)</w:t>
      </w:r>
      <w:r w:rsidRPr="009E5EEF">
        <w:rPr>
          <w:rFonts w:eastAsia="SimSun"/>
          <w:color w:val="000000" w:themeColor="text1"/>
          <w:szCs w:val="24"/>
          <w:lang w:val="en-US" w:eastAsia="zh-CN"/>
        </w:rPr>
        <w:t xml:space="preserve">. </w:t>
      </w:r>
    </w:p>
    <w:p w14:paraId="43B940FC" w14:textId="77777777" w:rsidR="009E5EEF" w:rsidRPr="009E5EEF" w:rsidRDefault="009E5EEF" w:rsidP="009E5EEF">
      <w:pPr>
        <w:spacing w:after="250" w:line="280" w:lineRule="atLeast"/>
        <w:ind w:left="432" w:hanging="432"/>
        <w:jc w:val="left"/>
        <w:rPr>
          <w:rFonts w:eastAsia="SimSun"/>
          <w:b/>
          <w:i/>
          <w:szCs w:val="24"/>
          <w:lang w:val="en-US" w:eastAsia="zh-CN"/>
        </w:rPr>
      </w:pPr>
      <w:r w:rsidRPr="009E5EEF">
        <w:rPr>
          <w:rFonts w:eastAsia="SimSun"/>
          <w:b/>
          <w:i/>
          <w:szCs w:val="24"/>
          <w:lang w:val="en-US" w:eastAsia="zh-CN"/>
        </w:rPr>
        <w:t>Progressive Multifocal Leukoencephalopathy (PML)</w:t>
      </w:r>
    </w:p>
    <w:p w14:paraId="34FEE421" w14:textId="1F2DAEF9" w:rsidR="009E5EEF" w:rsidRPr="009E5EEF" w:rsidRDefault="009E5EEF" w:rsidP="009E5EEF">
      <w:pPr>
        <w:spacing w:after="250" w:line="280" w:lineRule="atLeast"/>
        <w:rPr>
          <w:rFonts w:eastAsia="SimSun"/>
          <w:szCs w:val="24"/>
          <w:lang w:val="en-US" w:eastAsia="zh-CN"/>
        </w:rPr>
      </w:pPr>
      <w:r w:rsidRPr="009E5EEF">
        <w:rPr>
          <w:rFonts w:eastAsia="SimSun"/>
          <w:szCs w:val="24"/>
          <w:lang w:val="en-US" w:eastAsia="zh-CN"/>
        </w:rPr>
        <w:t xml:space="preserve">One case of PML, which was fatal, occurred in a patient treated with </w:t>
      </w:r>
      <w:r w:rsidR="00EE6F17">
        <w:rPr>
          <w:rFonts w:eastAsia="SimSun"/>
          <w:szCs w:val="24"/>
          <w:lang w:val="en-US" w:eastAsia="zh-CN"/>
        </w:rPr>
        <w:t>POLIVY</w:t>
      </w:r>
      <w:r w:rsidRPr="009E5EEF">
        <w:rPr>
          <w:rFonts w:eastAsia="SimSun"/>
          <w:szCs w:val="24"/>
          <w:lang w:val="en-US" w:eastAsia="zh-CN"/>
        </w:rPr>
        <w:t xml:space="preserve"> plus bendamustine and obinutuzumab. This patient had three prior lines of therapy that included anti-CD20 antibodies (</w:t>
      </w:r>
      <w:r w:rsidR="004162D5">
        <w:rPr>
          <w:rFonts w:eastAsia="SimSun"/>
          <w:i/>
          <w:szCs w:val="24"/>
          <w:lang w:val="en-US" w:eastAsia="zh-CN"/>
        </w:rPr>
        <w:t>see 4.4 Special warnings and precautions for use</w:t>
      </w:r>
      <w:r w:rsidRPr="009E5EEF">
        <w:rPr>
          <w:rFonts w:eastAsia="SimSun"/>
          <w:i/>
          <w:szCs w:val="24"/>
          <w:lang w:val="en-US" w:eastAsia="zh-CN"/>
        </w:rPr>
        <w:t>)</w:t>
      </w:r>
      <w:r w:rsidRPr="009E5EEF">
        <w:rPr>
          <w:rFonts w:eastAsia="SimSun"/>
          <w:szCs w:val="24"/>
          <w:lang w:val="en-US" w:eastAsia="zh-CN"/>
        </w:rPr>
        <w:t xml:space="preserve">. </w:t>
      </w:r>
    </w:p>
    <w:p w14:paraId="3182A500" w14:textId="77777777" w:rsidR="009E5EEF" w:rsidRPr="009E5EEF" w:rsidRDefault="009E5EEF" w:rsidP="009E5EEF">
      <w:pPr>
        <w:spacing w:after="250" w:line="280" w:lineRule="atLeast"/>
        <w:ind w:left="432" w:hanging="432"/>
        <w:jc w:val="left"/>
        <w:rPr>
          <w:rFonts w:eastAsia="SimSun"/>
          <w:b/>
          <w:i/>
          <w:szCs w:val="24"/>
          <w:lang w:val="en-US" w:eastAsia="zh-CN"/>
        </w:rPr>
      </w:pPr>
      <w:r w:rsidRPr="009E5EEF">
        <w:rPr>
          <w:rFonts w:eastAsia="SimSun"/>
          <w:b/>
          <w:i/>
          <w:szCs w:val="24"/>
          <w:lang w:val="en-US" w:eastAsia="zh-CN"/>
        </w:rPr>
        <w:t>Hepatic toxicity</w:t>
      </w:r>
    </w:p>
    <w:p w14:paraId="7C00B0C3" w14:textId="611095DF" w:rsidR="009E5EEF" w:rsidRPr="009E5EEF" w:rsidRDefault="009E5EEF" w:rsidP="009E5EEF">
      <w:pPr>
        <w:spacing w:after="250"/>
        <w:rPr>
          <w:rFonts w:eastAsia="Times New Roman"/>
          <w:szCs w:val="24"/>
          <w:lang w:val="en-US" w:eastAsia="en-US"/>
        </w:rPr>
      </w:pPr>
      <w:r w:rsidRPr="009E5EEF">
        <w:rPr>
          <w:rFonts w:eastAsia="Times New Roman"/>
          <w:szCs w:val="24"/>
          <w:lang w:val="en-US" w:eastAsia="en-US"/>
        </w:rPr>
        <w:t>In another study, two cases of serious hepatic toxicity (hepatocellular injury an</w:t>
      </w:r>
      <w:r w:rsidRPr="009E5EEF">
        <w:rPr>
          <w:rFonts w:eastAsia="Times New Roman"/>
          <w:szCs w:val="24"/>
          <w:lang w:val="en-US" w:eastAsia="en-US"/>
        </w:rPr>
        <w:softHyphen/>
        <w:t xml:space="preserve">d hepatic steatosis) were reported and were </w:t>
      </w:r>
      <w:r w:rsidRPr="009E5EEF">
        <w:rPr>
          <w:rFonts w:eastAsia="Times New Roman"/>
          <w:color w:val="000000" w:themeColor="text1"/>
          <w:szCs w:val="24"/>
          <w:lang w:val="en-US" w:eastAsia="en-US"/>
        </w:rPr>
        <w:t xml:space="preserve">reversible </w:t>
      </w:r>
      <w:r w:rsidRPr="009E5EEF">
        <w:rPr>
          <w:rFonts w:eastAsia="Times New Roman"/>
          <w:szCs w:val="24"/>
          <w:lang w:val="en-US" w:eastAsia="en-US"/>
        </w:rPr>
        <w:t>(</w:t>
      </w:r>
      <w:r w:rsidR="004162D5">
        <w:rPr>
          <w:rFonts w:eastAsia="SimSun"/>
          <w:i/>
          <w:szCs w:val="24"/>
          <w:lang w:val="en-US" w:eastAsia="zh-CN"/>
        </w:rPr>
        <w:t>see 4.4 Special warnings and precautions for use</w:t>
      </w:r>
      <w:r w:rsidRPr="009E5EEF">
        <w:rPr>
          <w:rFonts w:eastAsia="SimSun"/>
          <w:i/>
          <w:szCs w:val="24"/>
          <w:lang w:val="en-US" w:eastAsia="zh-CN"/>
        </w:rPr>
        <w:t>)</w:t>
      </w:r>
      <w:r w:rsidRPr="009E5EEF">
        <w:rPr>
          <w:rFonts w:eastAsia="Times New Roman"/>
          <w:szCs w:val="24"/>
          <w:lang w:val="en-US" w:eastAsia="en-US"/>
        </w:rPr>
        <w:t xml:space="preserve">. </w:t>
      </w:r>
    </w:p>
    <w:p w14:paraId="418A18C8" w14:textId="77777777" w:rsidR="009E5EEF" w:rsidRPr="009E5EEF" w:rsidRDefault="009E5EEF" w:rsidP="009E5EEF">
      <w:pPr>
        <w:autoSpaceDE w:val="0"/>
        <w:autoSpaceDN w:val="0"/>
        <w:adjustRightInd w:val="0"/>
        <w:spacing w:after="250"/>
        <w:rPr>
          <w:rFonts w:eastAsia="SimSun"/>
          <w:b/>
          <w:i/>
          <w:color w:val="000000" w:themeColor="text1"/>
          <w:szCs w:val="24"/>
          <w:lang w:val="en-US" w:eastAsia="zh-CN"/>
        </w:rPr>
      </w:pPr>
      <w:r w:rsidRPr="009E5EEF">
        <w:rPr>
          <w:rFonts w:eastAsia="SimSun"/>
          <w:b/>
          <w:i/>
          <w:color w:val="000000" w:themeColor="text1"/>
          <w:szCs w:val="24"/>
          <w:lang w:val="en-US" w:eastAsia="zh-CN"/>
        </w:rPr>
        <w:t>Gastrointestinal Toxicity</w:t>
      </w:r>
    </w:p>
    <w:p w14:paraId="69E598E1" w14:textId="6EF35990" w:rsidR="009E5EEF" w:rsidRPr="009E5EEF" w:rsidRDefault="009E5EEF" w:rsidP="009E5EEF">
      <w:pPr>
        <w:spacing w:after="250"/>
        <w:rPr>
          <w:rFonts w:eastAsia="SimSun"/>
          <w:color w:val="000000" w:themeColor="text1"/>
          <w:szCs w:val="24"/>
          <w:lang w:val="en-US" w:eastAsia="zh-CN"/>
        </w:rPr>
      </w:pPr>
      <w:r w:rsidRPr="009E5EEF">
        <w:rPr>
          <w:rFonts w:eastAsia="SimSun"/>
          <w:color w:val="000000" w:themeColor="text1"/>
          <w:szCs w:val="24"/>
          <w:lang w:val="en-US" w:eastAsia="zh-CN"/>
        </w:rPr>
        <w:t xml:space="preserve">Gastrointestinal toxicity events were reported in 80.0% of patients in the </w:t>
      </w:r>
      <w:r w:rsidR="00EE6F17">
        <w:rPr>
          <w:rFonts w:eastAsia="SimSun"/>
          <w:color w:val="000000" w:themeColor="text1"/>
          <w:szCs w:val="24"/>
          <w:lang w:val="en-US" w:eastAsia="zh-CN"/>
        </w:rPr>
        <w:t>POLIVY</w:t>
      </w:r>
      <w:r w:rsidRPr="009E5EEF">
        <w:rPr>
          <w:rFonts w:eastAsia="SimSun"/>
          <w:color w:val="000000" w:themeColor="text1"/>
          <w:szCs w:val="24"/>
          <w:lang w:val="en-US" w:eastAsia="zh-CN"/>
        </w:rPr>
        <w:t xml:space="preserve"> plus BR arm compared to 64.1% of patients in the BR arm [41].  Most events were Grade 1-2, and Grade 3-4 events were reported in 22.2% of patients in the </w:t>
      </w:r>
      <w:r w:rsidR="00EE6F17">
        <w:rPr>
          <w:rFonts w:eastAsia="SimSun"/>
          <w:color w:val="000000" w:themeColor="text1"/>
          <w:szCs w:val="24"/>
          <w:lang w:val="en-US" w:eastAsia="zh-CN"/>
        </w:rPr>
        <w:t>POLIVY</w:t>
      </w:r>
      <w:r w:rsidRPr="009E5EEF">
        <w:rPr>
          <w:rFonts w:eastAsia="SimSun"/>
          <w:color w:val="000000" w:themeColor="text1"/>
          <w:szCs w:val="24"/>
          <w:lang w:val="en-US" w:eastAsia="zh-CN"/>
        </w:rPr>
        <w:t xml:space="preserve"> plus BR arm compared to 12.8% of patients in the BR arm. The most common gastrointestinal toxicity events were diarrhea and nausea [42]. </w:t>
      </w:r>
    </w:p>
    <w:p w14:paraId="379BB491" w14:textId="64E14A8F" w:rsidR="00822EEB" w:rsidRPr="00501D5E" w:rsidRDefault="00822EEB" w:rsidP="009E5EEF">
      <w:pPr>
        <w:rPr>
          <w:b/>
        </w:rPr>
      </w:pPr>
      <w:r w:rsidRPr="00501D5E">
        <w:rPr>
          <w:b/>
        </w:rPr>
        <w:t xml:space="preserve">Laboratory </w:t>
      </w:r>
      <w:r w:rsidR="0078002B" w:rsidRPr="00501D5E">
        <w:rPr>
          <w:b/>
        </w:rPr>
        <w:t>a</w:t>
      </w:r>
      <w:r w:rsidRPr="00501D5E">
        <w:rPr>
          <w:b/>
        </w:rPr>
        <w:t>bnormalities</w:t>
      </w:r>
    </w:p>
    <w:p w14:paraId="6B6AE8B4" w14:textId="76BC5F49" w:rsidR="00822EEB" w:rsidRPr="0066646B" w:rsidRDefault="00822EEB" w:rsidP="00CD75CF">
      <w:r w:rsidRPr="0066646B">
        <w:t xml:space="preserve">All identified laboratory abnormalities were reported as ADRs, refer to Table </w:t>
      </w:r>
      <w:r w:rsidR="00501D5E">
        <w:t>4</w:t>
      </w:r>
      <w:r w:rsidRPr="0066646B">
        <w:t>.</w:t>
      </w:r>
    </w:p>
    <w:p w14:paraId="13AE679B" w14:textId="47DFA420" w:rsidR="00822EEB" w:rsidRPr="0066646B" w:rsidRDefault="00822EEB" w:rsidP="00550342">
      <w:pPr>
        <w:pStyle w:val="Heading3"/>
        <w:rPr>
          <w:lang w:val="en-GB"/>
        </w:rPr>
      </w:pPr>
      <w:r w:rsidRPr="0066646B">
        <w:rPr>
          <w:lang w:val="en-GB"/>
        </w:rPr>
        <w:t>Reporting of suspected adverse reactions</w:t>
      </w:r>
    </w:p>
    <w:p w14:paraId="440CC0B4" w14:textId="1DEA7FE1" w:rsidR="00822EEB" w:rsidRPr="000D651F" w:rsidRDefault="00822EEB" w:rsidP="00CD75CF">
      <w:pPr>
        <w:rPr>
          <w:lang w:val="en-GB"/>
        </w:rPr>
      </w:pPr>
      <w:r w:rsidRPr="000D651F">
        <w:rPr>
          <w:lang w:val="en-GB"/>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00A5387F" w:rsidRPr="000D651F">
          <w:rPr>
            <w:rStyle w:val="Hyperlink"/>
            <w:color w:val="auto"/>
            <w:lang w:val="en-GB"/>
          </w:rPr>
          <w:t>www.tga.gov.au/reporting-problems</w:t>
        </w:r>
      </w:hyperlink>
      <w:r w:rsidRPr="000D651F">
        <w:rPr>
          <w:lang w:val="en-GB"/>
        </w:rPr>
        <w:t>.</w:t>
      </w:r>
    </w:p>
    <w:p w14:paraId="50C3C536" w14:textId="3D674BBB" w:rsidR="008F6CF6" w:rsidRPr="0066646B" w:rsidRDefault="007D517A" w:rsidP="00550342">
      <w:pPr>
        <w:pStyle w:val="Heading2"/>
        <w:rPr>
          <w:rFonts w:hint="eastAsia"/>
          <w:lang w:val="en-GB"/>
        </w:rPr>
      </w:pPr>
      <w:r w:rsidRPr="0066646B">
        <w:rPr>
          <w:lang w:val="en-GB"/>
        </w:rPr>
        <w:lastRenderedPageBreak/>
        <w:t>4.9</w:t>
      </w:r>
      <w:r w:rsidRPr="0066646B">
        <w:rPr>
          <w:lang w:val="en-GB"/>
        </w:rPr>
        <w:tab/>
        <w:t>OVERDOSE</w:t>
      </w:r>
    </w:p>
    <w:p w14:paraId="078C6139" w14:textId="7B82B310" w:rsidR="00822EEB" w:rsidRPr="0066646B" w:rsidRDefault="00822EEB" w:rsidP="00CD75CF">
      <w:r w:rsidRPr="0066646B">
        <w:t xml:space="preserve">There is no information on overdose </w:t>
      </w:r>
      <w:r w:rsidR="00727F70">
        <w:t>in human clinical trials</w:t>
      </w:r>
      <w:r w:rsidRPr="0066646B">
        <w:t>.</w:t>
      </w:r>
      <w:r w:rsidR="00727F70">
        <w:t xml:space="preserve"> Patients who experience overdose should have immediate interruption of their infusion and be closely monitored.</w:t>
      </w:r>
    </w:p>
    <w:p w14:paraId="2F7A7D22" w14:textId="77777777" w:rsidR="00822EEB" w:rsidRPr="0066646B" w:rsidRDefault="00822EEB" w:rsidP="00CD75CF"/>
    <w:p w14:paraId="20E32DE7" w14:textId="2E3D22B2" w:rsidR="00550342" w:rsidRPr="0066646B" w:rsidRDefault="00550342" w:rsidP="00CD75CF">
      <w:r w:rsidRPr="0066646B">
        <w:t>For information on the management of overdose, contact the Poison Information Centre on 131126 (Australia).</w:t>
      </w:r>
    </w:p>
    <w:p w14:paraId="01718CE0" w14:textId="77777777" w:rsidR="008F6CF6" w:rsidRPr="0066646B" w:rsidRDefault="008F6CF6" w:rsidP="00550342">
      <w:pPr>
        <w:pStyle w:val="Heading1"/>
        <w:rPr>
          <w:rFonts w:hint="eastAsia"/>
        </w:rPr>
      </w:pPr>
      <w:r w:rsidRPr="0066646B">
        <w:t>5</w:t>
      </w:r>
      <w:r w:rsidRPr="0066646B">
        <w:tab/>
        <w:t>PHARMACOLOGICAL PROPERTIES</w:t>
      </w:r>
    </w:p>
    <w:p w14:paraId="7C362232" w14:textId="4B52962A" w:rsidR="008F6CF6" w:rsidRPr="0066646B" w:rsidRDefault="002A55BD" w:rsidP="00550342">
      <w:pPr>
        <w:pStyle w:val="Heading2"/>
        <w:rPr>
          <w:rFonts w:hint="eastAsia"/>
          <w:lang w:val="en-GB"/>
        </w:rPr>
      </w:pPr>
      <w:r w:rsidRPr="0066646B">
        <w:rPr>
          <w:lang w:val="en-GB"/>
        </w:rPr>
        <w:t>5.1</w:t>
      </w:r>
      <w:r w:rsidRPr="0066646B">
        <w:rPr>
          <w:lang w:val="en-GB"/>
        </w:rPr>
        <w:tab/>
        <w:t xml:space="preserve">PHARMACODYNAMIC PROPERTIES </w:t>
      </w:r>
    </w:p>
    <w:p w14:paraId="43CADA8A" w14:textId="77777777" w:rsidR="008F6CF6" w:rsidRPr="0066646B" w:rsidRDefault="008F6CF6" w:rsidP="00550342">
      <w:pPr>
        <w:pStyle w:val="Heading3"/>
        <w:rPr>
          <w:lang w:val="en-GB"/>
        </w:rPr>
      </w:pPr>
      <w:r w:rsidRPr="0066646B">
        <w:rPr>
          <w:lang w:val="en-GB"/>
        </w:rPr>
        <w:t>Mechanism of action</w:t>
      </w:r>
    </w:p>
    <w:p w14:paraId="3CA3C446" w14:textId="14262DCA" w:rsidR="00822EEB" w:rsidRPr="0066646B" w:rsidRDefault="009228ED" w:rsidP="00CD75CF">
      <w:r w:rsidRPr="009228ED">
        <w:rPr>
          <w:lang w:val="en-US"/>
        </w:rPr>
        <w:t xml:space="preserve">Polatuzumab vedotin is a CD79b-targeted antibody-drug conjugate that preferentially delivers </w:t>
      </w:r>
      <w:r w:rsidR="007B1C28">
        <w:rPr>
          <w:lang w:val="en-US"/>
        </w:rPr>
        <w:t>an</w:t>
      </w:r>
      <w:r w:rsidRPr="009228ED">
        <w:rPr>
          <w:lang w:val="en-US"/>
        </w:rPr>
        <w:t xml:space="preserve"> anti-mitotic agent (monomethyl auristatin E, or MMAE) to B-cells, which results in the killing of malignant B-cells. The polatuzumab vedotin molecule consists of MMAE covalently attached to a humanized immunoglobulin G1 (IgG1) monoclonal antibody via a cleavable linker. The monoclonal antibody binds with </w:t>
      </w:r>
      <w:r w:rsidR="007B1C28" w:rsidRPr="007B1C28">
        <w:rPr>
          <w:lang w:val="en-US"/>
        </w:rPr>
        <w:t>nanomolar</w:t>
      </w:r>
      <w:r w:rsidRPr="009228ED">
        <w:rPr>
          <w:lang w:val="en-US"/>
        </w:rPr>
        <w:t xml:space="preserve"> affinity and selectivity to CD79b, a cell surface component of the B-cell receptor. CD79b expression is restricted to normal cells within the B</w:t>
      </w:r>
      <w:r w:rsidRPr="009228ED">
        <w:rPr>
          <w:lang w:val="en-US"/>
        </w:rPr>
        <w:noBreakHyphen/>
        <w:t xml:space="preserve">cell lineage (with the exception of plasma cells) and malignant B-cells; it is expressed in </w:t>
      </w:r>
      <w:r w:rsidRPr="009228ED">
        <w:rPr>
          <w:lang w:val="en-US"/>
        </w:rPr>
        <w:sym w:font="Symbol" w:char="F03E"/>
      </w:r>
      <w:r w:rsidRPr="009228ED">
        <w:rPr>
          <w:lang w:val="en-US"/>
        </w:rPr>
        <w:t> 95% of DLBCL. Upon binding CD79b, polatuzumab vedotin is internalized and the linker is cleaved by lysosomal proteases to enable intracellular delivery of MMAE.   MMAE binds to microtubules and kills dividing cells by inhibiting cell division and inducing apoptosis</w:t>
      </w:r>
      <w:r w:rsidR="00822EEB" w:rsidRPr="0066646B">
        <w:t>.</w:t>
      </w:r>
    </w:p>
    <w:p w14:paraId="582EC79C" w14:textId="77777777" w:rsidR="008F6CF6" w:rsidRPr="0066646B" w:rsidRDefault="008F6CF6" w:rsidP="00550342">
      <w:pPr>
        <w:pStyle w:val="Heading3"/>
        <w:rPr>
          <w:lang w:val="en-GB"/>
        </w:rPr>
      </w:pPr>
      <w:r w:rsidRPr="0066646B">
        <w:rPr>
          <w:lang w:val="en-GB"/>
        </w:rPr>
        <w:t>Clinical trials</w:t>
      </w:r>
    </w:p>
    <w:p w14:paraId="61CDAA2F" w14:textId="77777777" w:rsidR="009239A4" w:rsidRPr="009239A4" w:rsidRDefault="009239A4" w:rsidP="009239A4">
      <w:pPr>
        <w:spacing w:after="120" w:line="280" w:lineRule="exact"/>
        <w:jc w:val="left"/>
        <w:rPr>
          <w:rFonts w:eastAsia="Times New Roman"/>
          <w:szCs w:val="24"/>
          <w:lang w:val="en-US" w:eastAsia="de-DE"/>
        </w:rPr>
      </w:pPr>
      <w:r w:rsidRPr="009239A4">
        <w:rPr>
          <w:rFonts w:eastAsia="Times New Roman"/>
          <w:szCs w:val="24"/>
          <w:lang w:val="en-US" w:eastAsia="de-DE"/>
        </w:rPr>
        <w:t>The efficacy of POLIVY was evaluated in Study GO29365, an</w:t>
      </w:r>
      <w:r w:rsidRPr="009239A4" w:rsidDel="00B708F1">
        <w:rPr>
          <w:rFonts w:eastAsia="Times New Roman"/>
          <w:szCs w:val="24"/>
          <w:lang w:val="en-US" w:eastAsia="de-DE"/>
        </w:rPr>
        <w:t xml:space="preserve"> </w:t>
      </w:r>
      <w:r w:rsidRPr="009239A4">
        <w:rPr>
          <w:rFonts w:eastAsia="Times New Roman"/>
          <w:szCs w:val="24"/>
          <w:lang w:val="en-US" w:eastAsia="de-DE"/>
        </w:rPr>
        <w:t>open-label, multicenter clinical trial that included a cohort of 80 patients with relapsed or refractory DLBCL after at least one prior regimen. Patients were randomized 1:1 to receive either POLIVY in combination with bendamustine and a rituximab product (BR) or BR alone for six 21-day cycles. Randomization was stratified by duration of response (DOR) to last therapy. Eligible patients were not candidates for autologous HSCT at study entry. The study excluded patients with Grade 2 or higher peripheral neuropathy, prior allogeneic HSCT, active central nervous system lymphoma, or transformed lymphoma.</w:t>
      </w:r>
    </w:p>
    <w:p w14:paraId="2A06B959" w14:textId="77777777" w:rsidR="009239A4" w:rsidRPr="009239A4" w:rsidRDefault="009239A4" w:rsidP="009239A4">
      <w:pPr>
        <w:shd w:val="clear" w:color="auto" w:fill="FFFFFF"/>
        <w:spacing w:after="120" w:line="280" w:lineRule="exact"/>
        <w:jc w:val="left"/>
        <w:rPr>
          <w:rFonts w:eastAsia="Times New Roman"/>
          <w:szCs w:val="24"/>
          <w:lang w:val="en-US" w:eastAsia="de-DE"/>
        </w:rPr>
      </w:pPr>
      <w:r w:rsidRPr="009239A4">
        <w:rPr>
          <w:rFonts w:eastAsia="Times New Roman"/>
          <w:szCs w:val="24"/>
          <w:lang w:val="en-US" w:eastAsia="de-DE"/>
        </w:rPr>
        <w:t>Following premedication with an antihistamine and antipyretic, POLIVY was given by intravenous infusion at 1.8 mg/kg on Day 2 of Cycle 1 and on Day 1 of Cycles 2–6. Bendamustine was administered at 90 mg/m</w:t>
      </w:r>
      <w:r w:rsidRPr="009239A4">
        <w:rPr>
          <w:rFonts w:eastAsia="Times New Roman"/>
          <w:szCs w:val="24"/>
          <w:vertAlign w:val="superscript"/>
          <w:lang w:val="en-US" w:eastAsia="de-DE"/>
        </w:rPr>
        <w:t>2</w:t>
      </w:r>
      <w:r w:rsidRPr="009239A4">
        <w:rPr>
          <w:rFonts w:eastAsia="Times New Roman"/>
          <w:szCs w:val="24"/>
          <w:lang w:val="en-US" w:eastAsia="de-DE"/>
        </w:rPr>
        <w:t xml:space="preserve"> intravenously daily on Days 2 and 3 of Cycle 1 and on Days 1 and 2 of Cycles 2–6. A rituximab product was administered at a dose of 375 mg/m</w:t>
      </w:r>
      <w:r w:rsidRPr="009239A4">
        <w:rPr>
          <w:rFonts w:eastAsia="Times New Roman"/>
          <w:szCs w:val="24"/>
          <w:vertAlign w:val="superscript"/>
          <w:lang w:val="en-US" w:eastAsia="de-DE"/>
        </w:rPr>
        <w:t>2</w:t>
      </w:r>
      <w:r w:rsidRPr="009239A4">
        <w:rPr>
          <w:rFonts w:eastAsia="Times New Roman"/>
          <w:szCs w:val="24"/>
          <w:lang w:val="en-US" w:eastAsia="de-DE"/>
        </w:rPr>
        <w:t xml:space="preserve"> intravenously on Day 1 of Cycles 1–6. The cycle length was 21 days.</w:t>
      </w:r>
    </w:p>
    <w:p w14:paraId="5F0150DD" w14:textId="77777777" w:rsidR="009239A4" w:rsidRPr="009239A4" w:rsidRDefault="009239A4" w:rsidP="009239A4">
      <w:pPr>
        <w:shd w:val="clear" w:color="auto" w:fill="FFFFFF"/>
        <w:spacing w:after="120" w:line="280" w:lineRule="exact"/>
        <w:jc w:val="left"/>
        <w:rPr>
          <w:rFonts w:eastAsia="Times New Roman"/>
          <w:szCs w:val="24"/>
          <w:lang w:val="en-US" w:eastAsia="de-DE"/>
        </w:rPr>
      </w:pPr>
      <w:r w:rsidRPr="009239A4">
        <w:rPr>
          <w:rFonts w:eastAsia="Times New Roman"/>
          <w:szCs w:val="24"/>
          <w:lang w:val="en-US" w:eastAsia="de-DE"/>
        </w:rPr>
        <w:t>Of the 80 patients randomized to receive POLIVY plus BR (n = 40) or BR alone (n = 40), the median age was 69 years (range: 30–86 years), 66% were male, and 71% were white. Most patients (98%) had DLBCL not otherwise specified. The primary reasons patients were not candidates for HSCT included age (40%), insufficient response to salvage therapy (26%), and prior transplant failure (20%). The median number of prior therapies was 2 (range: 1–7), with 29% receiving one prior therapy, 25% receiving 2 prior therapies, and 46% receiving 3 or more prior therapies. Eighty percent of patients had refractory disease to last therapy.</w:t>
      </w:r>
    </w:p>
    <w:p w14:paraId="50881DB4" w14:textId="77777777" w:rsidR="009239A4" w:rsidRPr="009239A4" w:rsidRDefault="009239A4" w:rsidP="009239A4">
      <w:pPr>
        <w:autoSpaceDE w:val="0"/>
        <w:autoSpaceDN w:val="0"/>
        <w:adjustRightInd w:val="0"/>
        <w:spacing w:after="120"/>
        <w:jc w:val="left"/>
        <w:rPr>
          <w:rFonts w:eastAsia="Times New Roman"/>
          <w:szCs w:val="24"/>
          <w:lang w:val="en-US" w:eastAsia="en-US"/>
        </w:rPr>
      </w:pPr>
      <w:r w:rsidRPr="009239A4">
        <w:rPr>
          <w:rFonts w:eastAsia="Times New Roman"/>
          <w:szCs w:val="24"/>
          <w:lang w:val="en-US" w:eastAsia="en-US"/>
        </w:rPr>
        <w:t xml:space="preserve">In the POLIVY plus BR arm, patients received a median of </w:t>
      </w:r>
      <w:r w:rsidRPr="009239A4">
        <w:rPr>
          <w:rFonts w:eastAsia="Times New Roman"/>
          <w:color w:val="000000"/>
          <w:szCs w:val="24"/>
          <w:lang w:val="en-US" w:eastAsia="en-US"/>
        </w:rPr>
        <w:t>5</w:t>
      </w:r>
      <w:r w:rsidRPr="009239A4">
        <w:rPr>
          <w:rFonts w:eastAsia="Times New Roman"/>
          <w:szCs w:val="24"/>
          <w:lang w:val="en-US" w:eastAsia="en-US"/>
        </w:rPr>
        <w:t xml:space="preserve"> cycles, with 49% receiving 6 cycles. In the BR arm, patients received a median of </w:t>
      </w:r>
      <w:r w:rsidRPr="009239A4">
        <w:rPr>
          <w:rFonts w:eastAsia="Times New Roman"/>
          <w:color w:val="000000"/>
          <w:szCs w:val="24"/>
          <w:lang w:val="en-US" w:eastAsia="en-US"/>
        </w:rPr>
        <w:t xml:space="preserve">3 </w:t>
      </w:r>
      <w:r w:rsidRPr="009239A4">
        <w:rPr>
          <w:rFonts w:eastAsia="Times New Roman"/>
          <w:szCs w:val="24"/>
          <w:lang w:val="en-US" w:eastAsia="en-US"/>
        </w:rPr>
        <w:t xml:space="preserve">cycles, with 23% receiving 6 cycles.  </w:t>
      </w:r>
    </w:p>
    <w:p w14:paraId="10E8600E" w14:textId="77777777" w:rsidR="009239A4" w:rsidRPr="009239A4" w:rsidRDefault="009239A4" w:rsidP="009239A4">
      <w:pPr>
        <w:autoSpaceDE w:val="0"/>
        <w:autoSpaceDN w:val="0"/>
        <w:adjustRightInd w:val="0"/>
        <w:spacing w:after="120"/>
        <w:jc w:val="left"/>
        <w:rPr>
          <w:rFonts w:eastAsia="Times New Roman"/>
          <w:szCs w:val="24"/>
          <w:lang w:val="en-US" w:eastAsia="en-US"/>
        </w:rPr>
      </w:pPr>
      <w:r w:rsidRPr="009239A4">
        <w:rPr>
          <w:rFonts w:eastAsia="Times New Roman"/>
          <w:szCs w:val="24"/>
          <w:lang w:val="en-US" w:eastAsia="en-US"/>
        </w:rPr>
        <w:lastRenderedPageBreak/>
        <w:t>Efficacy was based on complete response (CR) rate at the end of treatment and DOR, as determined by an independent review committee (IRC). Other efficacy measures included IRC-assessed best overall response.</w:t>
      </w:r>
    </w:p>
    <w:p w14:paraId="1B4B778D" w14:textId="66907200" w:rsidR="009239A4" w:rsidRDefault="009239A4" w:rsidP="009239A4">
      <w:pPr>
        <w:pStyle w:val="Paragraph"/>
        <w:jc w:val="both"/>
        <w:rPr>
          <w:rFonts w:ascii="Times New Roman" w:eastAsia="Times New Roman" w:hAnsi="Times New Roman"/>
          <w:sz w:val="24"/>
          <w:lang w:eastAsia="en-US"/>
        </w:rPr>
      </w:pPr>
      <w:r w:rsidRPr="009239A4">
        <w:rPr>
          <w:rFonts w:ascii="Times New Roman" w:eastAsia="Times New Roman" w:hAnsi="Times New Roman"/>
          <w:sz w:val="24"/>
          <w:lang w:eastAsia="en-US"/>
        </w:rPr>
        <w:t>Response rates are summarized in Table 4</w:t>
      </w:r>
    </w:p>
    <w:p w14:paraId="5D0D6DF5" w14:textId="77777777" w:rsidR="009239A4" w:rsidRPr="009239A4" w:rsidRDefault="009239A4" w:rsidP="009239A4">
      <w:pPr>
        <w:keepNext/>
        <w:keepLines/>
        <w:tabs>
          <w:tab w:val="left" w:pos="1080"/>
        </w:tabs>
        <w:spacing w:before="60" w:after="40" w:line="280" w:lineRule="exact"/>
        <w:ind w:left="1080" w:hanging="1080"/>
        <w:jc w:val="left"/>
        <w:rPr>
          <w:rFonts w:eastAsia="SimSun"/>
          <w:b/>
          <w:szCs w:val="24"/>
          <w:lang w:val="en-US" w:eastAsia="zh-CN"/>
        </w:rPr>
      </w:pPr>
      <w:r w:rsidRPr="009239A4">
        <w:rPr>
          <w:rFonts w:eastAsia="SimSun"/>
          <w:b/>
          <w:szCs w:val="24"/>
          <w:lang w:val="en-US" w:eastAsia="zh-CN"/>
        </w:rPr>
        <w:t>Table 4</w:t>
      </w:r>
      <w:r w:rsidRPr="009239A4">
        <w:rPr>
          <w:rFonts w:eastAsia="SimSun"/>
          <w:b/>
          <w:szCs w:val="24"/>
          <w:lang w:val="en-US" w:eastAsia="zh-CN"/>
        </w:rPr>
        <w:tab/>
        <w:t>Response Rates in Patients with Relapsed or Refractory DLBCL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2070"/>
        <w:gridCol w:w="2070"/>
      </w:tblGrid>
      <w:tr w:rsidR="009239A4" w:rsidRPr="009239A4" w14:paraId="1A7C73CA" w14:textId="77777777" w:rsidTr="008E534D">
        <w:tc>
          <w:tcPr>
            <w:tcW w:w="5220" w:type="dxa"/>
            <w:vMerge w:val="restart"/>
            <w:shd w:val="clear" w:color="auto" w:fill="auto"/>
            <w:vAlign w:val="center"/>
          </w:tcPr>
          <w:p w14:paraId="67404411" w14:textId="77777777" w:rsidR="009239A4" w:rsidRPr="009239A4" w:rsidRDefault="009239A4" w:rsidP="009239A4">
            <w:pPr>
              <w:keepNext/>
              <w:keepLines/>
              <w:spacing w:after="40" w:line="280" w:lineRule="exact"/>
              <w:jc w:val="center"/>
              <w:rPr>
                <w:rFonts w:eastAsia="Times New Roman"/>
                <w:b/>
                <w:sz w:val="22"/>
                <w:lang w:val="en-US" w:eastAsia="de-DE"/>
              </w:rPr>
            </w:pPr>
            <w:r w:rsidRPr="009239A4">
              <w:rPr>
                <w:rFonts w:eastAsia="Times New Roman"/>
                <w:b/>
                <w:sz w:val="22"/>
                <w:lang w:val="en-US" w:eastAsia="de-DE"/>
              </w:rPr>
              <w:t>Response per IRC, n (%)</w:t>
            </w:r>
            <w:r w:rsidRPr="009239A4">
              <w:rPr>
                <w:rFonts w:eastAsia="Times New Roman"/>
                <w:b/>
                <w:sz w:val="22"/>
                <w:vertAlign w:val="superscript"/>
                <w:lang w:val="en-US" w:eastAsia="de-DE"/>
              </w:rPr>
              <w:t>a</w:t>
            </w:r>
          </w:p>
        </w:tc>
        <w:tc>
          <w:tcPr>
            <w:tcW w:w="2070" w:type="dxa"/>
            <w:tcBorders>
              <w:bottom w:val="nil"/>
            </w:tcBorders>
            <w:shd w:val="clear" w:color="auto" w:fill="auto"/>
          </w:tcPr>
          <w:p w14:paraId="278027E1" w14:textId="77777777" w:rsidR="009239A4" w:rsidRPr="009239A4" w:rsidRDefault="009239A4" w:rsidP="009239A4">
            <w:pPr>
              <w:keepNext/>
              <w:keepLines/>
              <w:spacing w:after="40" w:line="280" w:lineRule="exact"/>
              <w:jc w:val="center"/>
              <w:rPr>
                <w:rFonts w:eastAsia="Times New Roman"/>
                <w:b/>
                <w:sz w:val="22"/>
                <w:lang w:val="en-US" w:eastAsia="de-DE"/>
              </w:rPr>
            </w:pPr>
            <w:r w:rsidRPr="009239A4">
              <w:rPr>
                <w:rFonts w:eastAsia="Times New Roman"/>
                <w:b/>
                <w:sz w:val="22"/>
                <w:lang w:val="en-US" w:eastAsia="de-DE"/>
              </w:rPr>
              <w:t>POLIVY + BR</w:t>
            </w:r>
          </w:p>
        </w:tc>
        <w:tc>
          <w:tcPr>
            <w:tcW w:w="2070" w:type="dxa"/>
            <w:tcBorders>
              <w:bottom w:val="nil"/>
            </w:tcBorders>
            <w:shd w:val="clear" w:color="auto" w:fill="auto"/>
          </w:tcPr>
          <w:p w14:paraId="7A86A532" w14:textId="77777777" w:rsidR="009239A4" w:rsidRPr="009239A4" w:rsidRDefault="009239A4" w:rsidP="009239A4">
            <w:pPr>
              <w:keepNext/>
              <w:keepLines/>
              <w:spacing w:after="40" w:line="280" w:lineRule="exact"/>
              <w:jc w:val="center"/>
              <w:rPr>
                <w:rFonts w:eastAsia="Times New Roman"/>
                <w:b/>
                <w:sz w:val="22"/>
                <w:lang w:val="en-US" w:eastAsia="de-DE"/>
              </w:rPr>
            </w:pPr>
            <w:r w:rsidRPr="009239A4">
              <w:rPr>
                <w:rFonts w:eastAsia="Times New Roman"/>
                <w:b/>
                <w:sz w:val="22"/>
                <w:lang w:val="en-US" w:eastAsia="de-DE"/>
              </w:rPr>
              <w:t>BR</w:t>
            </w:r>
          </w:p>
        </w:tc>
      </w:tr>
      <w:tr w:rsidR="009239A4" w:rsidRPr="009239A4" w14:paraId="0EE1175B" w14:textId="77777777" w:rsidTr="008E534D">
        <w:tc>
          <w:tcPr>
            <w:tcW w:w="5220" w:type="dxa"/>
            <w:vMerge/>
            <w:shd w:val="clear" w:color="auto" w:fill="auto"/>
          </w:tcPr>
          <w:p w14:paraId="3372D357" w14:textId="77777777" w:rsidR="009239A4" w:rsidRPr="009239A4" w:rsidRDefault="009239A4" w:rsidP="009239A4">
            <w:pPr>
              <w:keepNext/>
              <w:keepLines/>
              <w:spacing w:after="40" w:line="280" w:lineRule="exact"/>
              <w:jc w:val="left"/>
              <w:rPr>
                <w:rFonts w:eastAsia="Times New Roman"/>
                <w:b/>
                <w:sz w:val="22"/>
                <w:lang w:val="en-US" w:eastAsia="de-DE"/>
              </w:rPr>
            </w:pPr>
          </w:p>
        </w:tc>
        <w:tc>
          <w:tcPr>
            <w:tcW w:w="2070" w:type="dxa"/>
            <w:tcBorders>
              <w:top w:val="nil"/>
            </w:tcBorders>
            <w:shd w:val="clear" w:color="auto" w:fill="auto"/>
            <w:vAlign w:val="center"/>
          </w:tcPr>
          <w:p w14:paraId="57228AF8" w14:textId="77777777" w:rsidR="009239A4" w:rsidRPr="009239A4" w:rsidRDefault="009239A4" w:rsidP="009239A4">
            <w:pPr>
              <w:keepNext/>
              <w:keepLines/>
              <w:spacing w:after="40" w:line="280" w:lineRule="exact"/>
              <w:jc w:val="center"/>
              <w:rPr>
                <w:rFonts w:eastAsia="Times New Roman"/>
                <w:b/>
                <w:sz w:val="22"/>
                <w:lang w:val="en-US" w:eastAsia="de-DE"/>
              </w:rPr>
            </w:pPr>
            <w:r w:rsidRPr="009239A4">
              <w:rPr>
                <w:rFonts w:eastAsia="Times New Roman"/>
                <w:b/>
                <w:sz w:val="22"/>
                <w:lang w:val="en-US" w:eastAsia="de-DE"/>
              </w:rPr>
              <w:t>n = 40</w:t>
            </w:r>
          </w:p>
          <w:p w14:paraId="633A282E" w14:textId="77777777" w:rsidR="009239A4" w:rsidRPr="009239A4" w:rsidRDefault="009239A4" w:rsidP="009239A4">
            <w:pPr>
              <w:keepNext/>
              <w:keepLines/>
              <w:spacing w:after="40" w:line="280" w:lineRule="exact"/>
              <w:jc w:val="center"/>
              <w:rPr>
                <w:rFonts w:eastAsia="Times New Roman"/>
                <w:sz w:val="22"/>
                <w:lang w:val="en-US" w:eastAsia="de-DE"/>
              </w:rPr>
            </w:pPr>
          </w:p>
        </w:tc>
        <w:tc>
          <w:tcPr>
            <w:tcW w:w="2070" w:type="dxa"/>
            <w:tcBorders>
              <w:top w:val="nil"/>
            </w:tcBorders>
            <w:shd w:val="clear" w:color="auto" w:fill="auto"/>
            <w:vAlign w:val="center"/>
          </w:tcPr>
          <w:p w14:paraId="49244F9E" w14:textId="77777777" w:rsidR="009239A4" w:rsidRPr="009239A4" w:rsidRDefault="009239A4" w:rsidP="009239A4">
            <w:pPr>
              <w:keepNext/>
              <w:keepLines/>
              <w:spacing w:after="40" w:line="280" w:lineRule="exact"/>
              <w:jc w:val="center"/>
              <w:rPr>
                <w:rFonts w:eastAsia="Times New Roman"/>
                <w:b/>
                <w:sz w:val="22"/>
                <w:lang w:val="en-US" w:eastAsia="de-DE"/>
              </w:rPr>
            </w:pPr>
            <w:r w:rsidRPr="009239A4">
              <w:rPr>
                <w:rFonts w:eastAsia="Times New Roman"/>
                <w:b/>
                <w:sz w:val="22"/>
                <w:lang w:val="en-US" w:eastAsia="de-DE"/>
              </w:rPr>
              <w:t>n = 40</w:t>
            </w:r>
          </w:p>
          <w:p w14:paraId="110F3140" w14:textId="77777777" w:rsidR="009239A4" w:rsidRPr="009239A4" w:rsidRDefault="009239A4" w:rsidP="009239A4">
            <w:pPr>
              <w:keepNext/>
              <w:keepLines/>
              <w:spacing w:after="40" w:line="280" w:lineRule="exact"/>
              <w:jc w:val="center"/>
              <w:rPr>
                <w:rFonts w:eastAsia="Times New Roman"/>
                <w:sz w:val="22"/>
                <w:lang w:val="en-US" w:eastAsia="de-DE"/>
              </w:rPr>
            </w:pPr>
          </w:p>
        </w:tc>
      </w:tr>
      <w:tr w:rsidR="009239A4" w:rsidRPr="009239A4" w14:paraId="386E04EB" w14:textId="77777777" w:rsidTr="008E534D">
        <w:trPr>
          <w:trHeight w:val="360"/>
        </w:trPr>
        <w:tc>
          <w:tcPr>
            <w:tcW w:w="5220" w:type="dxa"/>
            <w:shd w:val="clear" w:color="auto" w:fill="auto"/>
            <w:vAlign w:val="center"/>
          </w:tcPr>
          <w:p w14:paraId="6C49ACE3" w14:textId="77777777" w:rsidR="009239A4" w:rsidRPr="009239A4" w:rsidRDefault="009239A4" w:rsidP="009239A4">
            <w:pPr>
              <w:keepNext/>
              <w:keepLines/>
              <w:spacing w:after="40" w:line="280" w:lineRule="exact"/>
              <w:jc w:val="left"/>
              <w:rPr>
                <w:rFonts w:eastAsia="Times New Roman"/>
                <w:sz w:val="22"/>
                <w:lang w:val="en-US" w:eastAsia="de-DE"/>
              </w:rPr>
            </w:pPr>
            <w:r w:rsidRPr="009239A4">
              <w:rPr>
                <w:rFonts w:eastAsia="Times New Roman"/>
                <w:b/>
                <w:sz w:val="22"/>
                <w:lang w:val="en-US" w:eastAsia="de-DE"/>
              </w:rPr>
              <w:t>Objective Response at End of Treatment</w:t>
            </w:r>
            <w:r w:rsidRPr="009239A4">
              <w:rPr>
                <w:rFonts w:eastAsia="Times New Roman"/>
                <w:b/>
                <w:sz w:val="22"/>
                <w:vertAlign w:val="superscript"/>
                <w:lang w:val="en-US" w:eastAsia="de-DE"/>
              </w:rPr>
              <w:t>b</w:t>
            </w:r>
          </w:p>
          <w:p w14:paraId="617A6E75" w14:textId="77777777" w:rsidR="009239A4" w:rsidRPr="009239A4" w:rsidRDefault="009239A4" w:rsidP="009239A4">
            <w:pPr>
              <w:keepNext/>
              <w:keepLines/>
              <w:spacing w:after="40" w:line="280" w:lineRule="exact"/>
              <w:ind w:left="360"/>
              <w:jc w:val="left"/>
              <w:rPr>
                <w:rFonts w:eastAsia="Times New Roman"/>
                <w:sz w:val="22"/>
                <w:lang w:val="en-US" w:eastAsia="de-DE"/>
              </w:rPr>
            </w:pPr>
            <w:r w:rsidRPr="009239A4">
              <w:rPr>
                <w:rFonts w:eastAsia="Times New Roman"/>
                <w:sz w:val="22"/>
                <w:lang w:val="en-US" w:eastAsia="de-DE"/>
              </w:rPr>
              <w:t>(95% CI)</w:t>
            </w:r>
          </w:p>
        </w:tc>
        <w:tc>
          <w:tcPr>
            <w:tcW w:w="2070" w:type="dxa"/>
            <w:shd w:val="clear" w:color="auto" w:fill="auto"/>
          </w:tcPr>
          <w:p w14:paraId="30EC7138"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GB" w:eastAsia="de-DE"/>
              </w:rPr>
              <w:t>18 (45)</w:t>
            </w:r>
          </w:p>
          <w:p w14:paraId="79C04EB4"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(29, 62)</w:t>
            </w:r>
          </w:p>
        </w:tc>
        <w:tc>
          <w:tcPr>
            <w:tcW w:w="2070" w:type="dxa"/>
            <w:shd w:val="clear" w:color="auto" w:fill="auto"/>
          </w:tcPr>
          <w:p w14:paraId="619835AB"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GB" w:eastAsia="de-DE"/>
              </w:rPr>
              <w:t>7 (18)</w:t>
            </w:r>
          </w:p>
          <w:p w14:paraId="274FB8B7"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(7, 33)</w:t>
            </w:r>
          </w:p>
        </w:tc>
      </w:tr>
      <w:tr w:rsidR="009239A4" w:rsidRPr="009239A4" w14:paraId="45607DB8" w14:textId="77777777" w:rsidTr="008E534D">
        <w:trPr>
          <w:trHeight w:val="360"/>
        </w:trPr>
        <w:tc>
          <w:tcPr>
            <w:tcW w:w="5220" w:type="dxa"/>
            <w:shd w:val="clear" w:color="auto" w:fill="auto"/>
            <w:vAlign w:val="center"/>
          </w:tcPr>
          <w:p w14:paraId="6FBF8D4D" w14:textId="77777777" w:rsidR="009239A4" w:rsidRPr="009239A4" w:rsidRDefault="009239A4" w:rsidP="009239A4">
            <w:pPr>
              <w:keepNext/>
              <w:keepLines/>
              <w:spacing w:after="40" w:line="280" w:lineRule="exact"/>
              <w:ind w:left="180"/>
              <w:jc w:val="left"/>
              <w:rPr>
                <w:rFonts w:eastAsia="Times New Roman"/>
                <w:sz w:val="22"/>
                <w:lang w:val="en-US" w:eastAsia="de-DE"/>
              </w:rPr>
            </w:pPr>
            <w:r w:rsidRPr="009239A4">
              <w:rPr>
                <w:rFonts w:eastAsia="Times New Roman"/>
                <w:sz w:val="22"/>
                <w:lang w:val="en-US" w:eastAsia="de-DE"/>
              </w:rPr>
              <w:t>CR</w:t>
            </w:r>
          </w:p>
          <w:p w14:paraId="229CAC53" w14:textId="77777777" w:rsidR="009239A4" w:rsidRPr="009239A4" w:rsidRDefault="009239A4" w:rsidP="009239A4">
            <w:pPr>
              <w:keepNext/>
              <w:keepLines/>
              <w:spacing w:after="40" w:line="280" w:lineRule="exact"/>
              <w:ind w:left="360"/>
              <w:jc w:val="left"/>
              <w:rPr>
                <w:rFonts w:eastAsia="Times New Roman"/>
                <w:sz w:val="22"/>
                <w:lang w:val="en-US" w:eastAsia="de-DE"/>
              </w:rPr>
            </w:pPr>
            <w:r w:rsidRPr="009239A4">
              <w:rPr>
                <w:rFonts w:eastAsia="Times New Roman"/>
                <w:sz w:val="22"/>
                <w:lang w:val="en-US" w:eastAsia="de-DE"/>
              </w:rPr>
              <w:t>(95% CI)</w:t>
            </w:r>
          </w:p>
        </w:tc>
        <w:tc>
          <w:tcPr>
            <w:tcW w:w="2070" w:type="dxa"/>
            <w:shd w:val="clear" w:color="auto" w:fill="auto"/>
          </w:tcPr>
          <w:p w14:paraId="6F8BAE9C"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16 (40)</w:t>
            </w:r>
          </w:p>
          <w:p w14:paraId="5CB69B4B"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(25, 57)</w:t>
            </w:r>
          </w:p>
        </w:tc>
        <w:tc>
          <w:tcPr>
            <w:tcW w:w="2070" w:type="dxa"/>
            <w:shd w:val="clear" w:color="auto" w:fill="auto"/>
          </w:tcPr>
          <w:p w14:paraId="64707991"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7 (18)</w:t>
            </w:r>
          </w:p>
          <w:p w14:paraId="49F48A0A"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(7, 33)</w:t>
            </w:r>
          </w:p>
        </w:tc>
      </w:tr>
      <w:tr w:rsidR="009239A4" w:rsidRPr="009239A4" w14:paraId="6532930B" w14:textId="77777777" w:rsidTr="008E534D">
        <w:trPr>
          <w:trHeight w:val="360"/>
        </w:trPr>
        <w:tc>
          <w:tcPr>
            <w:tcW w:w="5220" w:type="dxa"/>
            <w:shd w:val="clear" w:color="auto" w:fill="auto"/>
          </w:tcPr>
          <w:p w14:paraId="21C3DEC0" w14:textId="77777777" w:rsidR="009239A4" w:rsidRPr="009239A4" w:rsidRDefault="009239A4" w:rsidP="009239A4">
            <w:pPr>
              <w:keepNext/>
              <w:keepLines/>
              <w:spacing w:after="40" w:line="280" w:lineRule="exact"/>
              <w:ind w:left="180"/>
              <w:jc w:val="left"/>
              <w:rPr>
                <w:rFonts w:eastAsia="Times New Roman"/>
                <w:sz w:val="22"/>
                <w:lang w:val="en-US" w:eastAsia="de-DE"/>
              </w:rPr>
            </w:pPr>
            <w:r w:rsidRPr="009239A4">
              <w:rPr>
                <w:rFonts w:eastAsia="Times New Roman"/>
                <w:sz w:val="22"/>
                <w:lang w:val="en-US" w:eastAsia="de-DE"/>
              </w:rPr>
              <w:t>Difference in CR rates, % (95% CI)</w:t>
            </w:r>
            <w:r w:rsidRPr="009239A4">
              <w:rPr>
                <w:rFonts w:eastAsia="Times New Roman"/>
                <w:sz w:val="22"/>
                <w:vertAlign w:val="superscript"/>
                <w:lang w:val="en-US" w:eastAsia="de-DE"/>
              </w:rPr>
              <w:t>c</w:t>
            </w:r>
          </w:p>
        </w:tc>
        <w:tc>
          <w:tcPr>
            <w:tcW w:w="4140" w:type="dxa"/>
            <w:gridSpan w:val="2"/>
            <w:shd w:val="clear" w:color="auto" w:fill="auto"/>
          </w:tcPr>
          <w:p w14:paraId="72453C98"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22 (3, 41)</w:t>
            </w:r>
          </w:p>
        </w:tc>
      </w:tr>
      <w:tr w:rsidR="009239A4" w:rsidRPr="009239A4" w14:paraId="436FB91C" w14:textId="77777777" w:rsidTr="008E534D">
        <w:trPr>
          <w:trHeight w:val="360"/>
        </w:trPr>
        <w:tc>
          <w:tcPr>
            <w:tcW w:w="5220" w:type="dxa"/>
            <w:shd w:val="clear" w:color="auto" w:fill="auto"/>
            <w:vAlign w:val="center"/>
          </w:tcPr>
          <w:p w14:paraId="604008B3" w14:textId="77777777" w:rsidR="009239A4" w:rsidRPr="009239A4" w:rsidRDefault="009239A4" w:rsidP="009239A4">
            <w:pPr>
              <w:keepNext/>
              <w:keepLines/>
              <w:spacing w:after="40" w:line="280" w:lineRule="exact"/>
              <w:jc w:val="left"/>
              <w:rPr>
                <w:rFonts w:eastAsia="Times New Roman"/>
                <w:b/>
                <w:sz w:val="22"/>
                <w:lang w:val="en-US" w:eastAsia="de-DE"/>
              </w:rPr>
            </w:pPr>
            <w:r w:rsidRPr="009239A4">
              <w:rPr>
                <w:rFonts w:eastAsia="Times New Roman"/>
                <w:b/>
                <w:sz w:val="22"/>
                <w:lang w:val="en-US" w:eastAsia="de-DE"/>
              </w:rPr>
              <w:t>Best Overall Response of CR or PR</w:t>
            </w:r>
            <w:r w:rsidRPr="009239A4">
              <w:rPr>
                <w:rFonts w:eastAsia="Times New Roman"/>
                <w:b/>
                <w:sz w:val="22"/>
                <w:vertAlign w:val="superscript"/>
                <w:lang w:val="en-US" w:eastAsia="de-DE"/>
              </w:rPr>
              <w:t>d</w:t>
            </w:r>
            <w:r w:rsidRPr="009239A4">
              <w:rPr>
                <w:rFonts w:eastAsia="Times New Roman"/>
                <w:b/>
                <w:sz w:val="22"/>
                <w:lang w:val="en-US" w:eastAsia="de-DE"/>
              </w:rPr>
              <w:t xml:space="preserve"> </w:t>
            </w:r>
          </w:p>
          <w:p w14:paraId="139AB6F6" w14:textId="77777777" w:rsidR="009239A4" w:rsidRPr="009239A4" w:rsidRDefault="009239A4" w:rsidP="009239A4">
            <w:pPr>
              <w:keepNext/>
              <w:keepLines/>
              <w:spacing w:after="40" w:line="280" w:lineRule="exact"/>
              <w:ind w:left="412"/>
              <w:jc w:val="left"/>
              <w:rPr>
                <w:rFonts w:eastAsia="Times New Roman"/>
                <w:sz w:val="22"/>
                <w:lang w:val="en-US" w:eastAsia="de-DE"/>
              </w:rPr>
            </w:pPr>
            <w:r w:rsidRPr="009239A4">
              <w:rPr>
                <w:rFonts w:eastAsia="Times New Roman"/>
                <w:sz w:val="22"/>
                <w:lang w:val="en-US" w:eastAsia="de-DE"/>
              </w:rPr>
              <w:t>(95% CI)</w:t>
            </w:r>
          </w:p>
        </w:tc>
        <w:tc>
          <w:tcPr>
            <w:tcW w:w="2070" w:type="dxa"/>
            <w:shd w:val="clear" w:color="auto" w:fill="auto"/>
            <w:vAlign w:val="center"/>
          </w:tcPr>
          <w:p w14:paraId="3169BF7A" w14:textId="77777777" w:rsidR="009239A4" w:rsidRPr="009239A4" w:rsidRDefault="009239A4" w:rsidP="009239A4">
            <w:pPr>
              <w:keepNext/>
              <w:keepLines/>
              <w:spacing w:after="40" w:line="280" w:lineRule="exact"/>
              <w:jc w:val="center"/>
              <w:rPr>
                <w:rFonts w:eastAsia="Times New Roman"/>
                <w:sz w:val="22"/>
                <w:lang w:val="en-GB" w:eastAsia="de-DE"/>
              </w:rPr>
            </w:pPr>
            <w:r w:rsidRPr="009239A4">
              <w:rPr>
                <w:rFonts w:eastAsia="Times New Roman"/>
                <w:sz w:val="22"/>
                <w:lang w:val="en-GB" w:eastAsia="de-DE"/>
              </w:rPr>
              <w:t>25 (63)</w:t>
            </w:r>
          </w:p>
          <w:p w14:paraId="40E3896E"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(46, 77)</w:t>
            </w:r>
          </w:p>
        </w:tc>
        <w:tc>
          <w:tcPr>
            <w:tcW w:w="2070" w:type="dxa"/>
            <w:shd w:val="clear" w:color="auto" w:fill="auto"/>
            <w:vAlign w:val="center"/>
          </w:tcPr>
          <w:p w14:paraId="741C2031" w14:textId="77777777" w:rsidR="009239A4" w:rsidRPr="009239A4" w:rsidRDefault="009239A4" w:rsidP="009239A4">
            <w:pPr>
              <w:keepNext/>
              <w:keepLines/>
              <w:spacing w:after="40" w:line="280" w:lineRule="exact"/>
              <w:jc w:val="center"/>
              <w:rPr>
                <w:rFonts w:eastAsia="Times New Roman"/>
                <w:sz w:val="22"/>
                <w:lang w:val="en-GB" w:eastAsia="de-DE"/>
              </w:rPr>
            </w:pPr>
            <w:r w:rsidRPr="009239A4">
              <w:rPr>
                <w:rFonts w:eastAsia="Times New Roman"/>
                <w:sz w:val="22"/>
                <w:lang w:val="en-GB" w:eastAsia="de-DE"/>
              </w:rPr>
              <w:t>10 (25)</w:t>
            </w:r>
          </w:p>
          <w:p w14:paraId="760BF2D4"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(13, 41)</w:t>
            </w:r>
          </w:p>
        </w:tc>
      </w:tr>
      <w:tr w:rsidR="009239A4" w:rsidRPr="009239A4" w14:paraId="1FA20F49" w14:textId="77777777" w:rsidTr="008E534D">
        <w:trPr>
          <w:trHeight w:val="360"/>
        </w:trPr>
        <w:tc>
          <w:tcPr>
            <w:tcW w:w="5220" w:type="dxa"/>
            <w:shd w:val="clear" w:color="auto" w:fill="auto"/>
          </w:tcPr>
          <w:p w14:paraId="301D3805" w14:textId="77777777" w:rsidR="009239A4" w:rsidRPr="009239A4" w:rsidRDefault="009239A4" w:rsidP="009239A4">
            <w:pPr>
              <w:keepNext/>
              <w:keepLines/>
              <w:spacing w:after="40" w:line="280" w:lineRule="exact"/>
              <w:ind w:left="180"/>
              <w:jc w:val="left"/>
              <w:rPr>
                <w:rFonts w:eastAsia="Times New Roman"/>
                <w:sz w:val="22"/>
                <w:lang w:val="en-US" w:eastAsia="de-DE"/>
              </w:rPr>
            </w:pPr>
            <w:r w:rsidRPr="009239A4">
              <w:rPr>
                <w:rFonts w:eastAsia="Times New Roman"/>
                <w:sz w:val="22"/>
                <w:lang w:val="en-US" w:eastAsia="de-DE"/>
              </w:rPr>
              <w:t>Best Response of CR</w:t>
            </w:r>
          </w:p>
          <w:p w14:paraId="6BFAF147" w14:textId="77777777" w:rsidR="009239A4" w:rsidRPr="009239A4" w:rsidRDefault="009239A4" w:rsidP="009239A4">
            <w:pPr>
              <w:keepNext/>
              <w:keepLines/>
              <w:spacing w:after="40" w:line="280" w:lineRule="exact"/>
              <w:ind w:left="412"/>
              <w:jc w:val="left"/>
              <w:rPr>
                <w:rFonts w:eastAsia="Times New Roman"/>
                <w:sz w:val="22"/>
                <w:lang w:val="en-US" w:eastAsia="de-DE"/>
              </w:rPr>
            </w:pPr>
            <w:r w:rsidRPr="009239A4">
              <w:rPr>
                <w:rFonts w:eastAsia="Times New Roman"/>
                <w:sz w:val="22"/>
                <w:lang w:val="en-US" w:eastAsia="de-DE"/>
              </w:rPr>
              <w:t>(95% CI)</w:t>
            </w:r>
          </w:p>
        </w:tc>
        <w:tc>
          <w:tcPr>
            <w:tcW w:w="2070" w:type="dxa"/>
            <w:shd w:val="clear" w:color="auto" w:fill="auto"/>
          </w:tcPr>
          <w:p w14:paraId="15072C5A"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20 (50)</w:t>
            </w:r>
          </w:p>
          <w:p w14:paraId="4F3D4067"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(34, 66)</w:t>
            </w:r>
          </w:p>
        </w:tc>
        <w:tc>
          <w:tcPr>
            <w:tcW w:w="2070" w:type="dxa"/>
            <w:shd w:val="clear" w:color="auto" w:fill="auto"/>
          </w:tcPr>
          <w:p w14:paraId="7BDC82BC"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9 (23)</w:t>
            </w:r>
          </w:p>
          <w:p w14:paraId="559065E6" w14:textId="77777777" w:rsidR="009239A4" w:rsidRPr="009239A4" w:rsidRDefault="009239A4" w:rsidP="009239A4">
            <w:pPr>
              <w:keepNext/>
              <w:keepLines/>
              <w:spacing w:after="40" w:line="280" w:lineRule="exact"/>
              <w:jc w:val="center"/>
              <w:rPr>
                <w:rFonts w:eastAsia="Times New Roman"/>
                <w:sz w:val="22"/>
                <w:lang w:val="en-US" w:eastAsia="de-DE"/>
              </w:rPr>
            </w:pPr>
            <w:r w:rsidRPr="009239A4">
              <w:rPr>
                <w:rFonts w:eastAsia="Times New Roman"/>
                <w:sz w:val="22"/>
                <w:lang w:val="en-US" w:eastAsia="de-DE"/>
              </w:rPr>
              <w:t>(11, 38)</w:t>
            </w:r>
          </w:p>
        </w:tc>
      </w:tr>
    </w:tbl>
    <w:p w14:paraId="2731181F" w14:textId="77777777" w:rsidR="009239A4" w:rsidRPr="009239A4" w:rsidRDefault="009239A4" w:rsidP="009239A4">
      <w:pPr>
        <w:keepNext/>
        <w:keepLines/>
        <w:spacing w:line="240" w:lineRule="exact"/>
        <w:ind w:left="270" w:hanging="180"/>
        <w:jc w:val="left"/>
        <w:rPr>
          <w:rFonts w:eastAsia="SimSun"/>
          <w:sz w:val="22"/>
          <w:lang w:val="en-US" w:eastAsia="de-DE"/>
        </w:rPr>
      </w:pPr>
      <w:r w:rsidRPr="009239A4">
        <w:rPr>
          <w:rFonts w:eastAsia="SimSun"/>
          <w:sz w:val="22"/>
          <w:lang w:val="en-US" w:eastAsia="de-DE"/>
        </w:rPr>
        <w:t>PR = partial remission.</w:t>
      </w:r>
    </w:p>
    <w:p w14:paraId="2177245F" w14:textId="77777777" w:rsidR="009239A4" w:rsidRPr="009239A4" w:rsidRDefault="009239A4" w:rsidP="009239A4">
      <w:pPr>
        <w:keepNext/>
        <w:keepLines/>
        <w:spacing w:line="240" w:lineRule="exact"/>
        <w:ind w:left="270" w:hanging="180"/>
        <w:jc w:val="left"/>
        <w:rPr>
          <w:rFonts w:eastAsia="SimSun"/>
          <w:sz w:val="22"/>
          <w:lang w:val="en-US" w:eastAsia="en-US"/>
        </w:rPr>
      </w:pPr>
      <w:r w:rsidRPr="009239A4">
        <w:rPr>
          <w:rFonts w:eastAsia="SimSun"/>
          <w:sz w:val="22"/>
          <w:vertAlign w:val="superscript"/>
          <w:lang w:val="en-US" w:eastAsia="en-US"/>
        </w:rPr>
        <w:t>a</w:t>
      </w:r>
      <w:r w:rsidRPr="009239A4">
        <w:rPr>
          <w:rFonts w:eastAsia="SimSun"/>
          <w:sz w:val="22"/>
          <w:lang w:val="en-US" w:eastAsia="en-US"/>
        </w:rPr>
        <w:t xml:space="preserve"> PET-CT based response per modified Lugano 2014 criteria. Bone marrow confirmation of PET-CT CR was required. PET</w:t>
      </w:r>
      <w:r w:rsidRPr="009239A4">
        <w:rPr>
          <w:rFonts w:eastAsia="SimSun"/>
          <w:sz w:val="22"/>
          <w:lang w:val="en-US" w:eastAsia="en-US"/>
        </w:rPr>
        <w:noBreakHyphen/>
        <w:t>CT PR required meeting both PET criteria and CT criteria for PR.</w:t>
      </w:r>
    </w:p>
    <w:p w14:paraId="72BB1272" w14:textId="77777777" w:rsidR="009239A4" w:rsidRPr="009239A4" w:rsidRDefault="009239A4" w:rsidP="009239A4">
      <w:pPr>
        <w:keepNext/>
        <w:keepLines/>
        <w:spacing w:line="240" w:lineRule="exact"/>
        <w:ind w:left="270" w:hanging="180"/>
        <w:jc w:val="left"/>
        <w:rPr>
          <w:rFonts w:eastAsia="SimSun"/>
          <w:sz w:val="22"/>
          <w:lang w:val="en-US" w:eastAsia="zh-CN"/>
        </w:rPr>
      </w:pPr>
      <w:r w:rsidRPr="009239A4">
        <w:rPr>
          <w:rFonts w:eastAsia="SimSun"/>
          <w:sz w:val="22"/>
          <w:vertAlign w:val="superscript"/>
          <w:lang w:val="en-US" w:eastAsia="zh-CN"/>
        </w:rPr>
        <w:t>b</w:t>
      </w:r>
      <w:r w:rsidRPr="009239A4">
        <w:rPr>
          <w:rFonts w:eastAsia="SimSun"/>
          <w:sz w:val="22"/>
          <w:lang w:val="en-US" w:eastAsia="zh-CN"/>
        </w:rPr>
        <w:t xml:space="preserve"> End of treatment was defined as 6–8 weeks after Day 1 of Cycle 6 or last study treatment.</w:t>
      </w:r>
    </w:p>
    <w:p w14:paraId="0DBF99A0" w14:textId="77777777" w:rsidR="009239A4" w:rsidRPr="009239A4" w:rsidRDefault="009239A4" w:rsidP="009239A4">
      <w:pPr>
        <w:keepNext/>
        <w:keepLines/>
        <w:spacing w:line="240" w:lineRule="exact"/>
        <w:ind w:left="270" w:hanging="180"/>
        <w:jc w:val="left"/>
        <w:rPr>
          <w:rFonts w:eastAsia="SimSun"/>
          <w:sz w:val="22"/>
          <w:lang w:val="en-US" w:eastAsia="zh-CN"/>
        </w:rPr>
      </w:pPr>
      <w:r w:rsidRPr="009239A4">
        <w:rPr>
          <w:rFonts w:eastAsia="SimSun"/>
          <w:sz w:val="22"/>
          <w:vertAlign w:val="superscript"/>
          <w:lang w:val="en-US" w:eastAsia="zh-CN"/>
        </w:rPr>
        <w:t>c</w:t>
      </w:r>
      <w:r w:rsidRPr="009239A4">
        <w:rPr>
          <w:rFonts w:eastAsia="SimSun"/>
          <w:sz w:val="22"/>
          <w:lang w:val="en-US" w:eastAsia="zh-CN"/>
        </w:rPr>
        <w:t xml:space="preserve"> Miettinen-Nurminen method.</w:t>
      </w:r>
    </w:p>
    <w:p w14:paraId="0A754C7F" w14:textId="77777777" w:rsidR="009239A4" w:rsidRPr="009239A4" w:rsidRDefault="009239A4" w:rsidP="009239A4">
      <w:pPr>
        <w:keepNext/>
        <w:keepLines/>
        <w:spacing w:after="120" w:line="240" w:lineRule="exact"/>
        <w:ind w:left="270" w:hanging="180"/>
        <w:jc w:val="left"/>
        <w:rPr>
          <w:rFonts w:eastAsia="SimSun"/>
          <w:sz w:val="22"/>
          <w:lang w:val="en-US" w:eastAsia="en-US"/>
        </w:rPr>
      </w:pPr>
      <w:r w:rsidRPr="009239A4">
        <w:rPr>
          <w:rFonts w:eastAsia="SimSun"/>
          <w:sz w:val="22"/>
          <w:vertAlign w:val="superscript"/>
          <w:lang w:val="en-US" w:eastAsia="en-US"/>
        </w:rPr>
        <w:t>d</w:t>
      </w:r>
      <w:r w:rsidRPr="009239A4" w:rsidDel="00D829A8">
        <w:rPr>
          <w:rFonts w:eastAsia="SimSun"/>
          <w:sz w:val="22"/>
          <w:lang w:val="en-US" w:eastAsia="en-US"/>
        </w:rPr>
        <w:t xml:space="preserve"> </w:t>
      </w:r>
      <w:r w:rsidRPr="009239A4">
        <w:rPr>
          <w:rFonts w:eastAsia="SimSun"/>
          <w:sz w:val="22"/>
          <w:lang w:val="en-US" w:eastAsia="en-US"/>
        </w:rPr>
        <w:t>PET-CT results were prioritized over CT results.</w:t>
      </w:r>
    </w:p>
    <w:p w14:paraId="4E725E37" w14:textId="56FB4E14" w:rsidR="009239A4" w:rsidRDefault="009239A4" w:rsidP="009239A4">
      <w:pPr>
        <w:pStyle w:val="Paragraph"/>
        <w:jc w:val="both"/>
        <w:rPr>
          <w:rFonts w:ascii="Times New Roman" w:eastAsia="Times New Roman" w:hAnsi="Times New Roman"/>
          <w:sz w:val="24"/>
          <w:lang w:eastAsia="en-US"/>
        </w:rPr>
      </w:pPr>
      <w:r w:rsidRPr="009239A4">
        <w:rPr>
          <w:rFonts w:ascii="Times New Roman" w:eastAsia="Times New Roman" w:hAnsi="Times New Roman"/>
          <w:sz w:val="24"/>
          <w:lang w:eastAsia="en-US"/>
        </w:rPr>
        <w:t>In the POLIVY plus BR arm, of the 25 patients who achieved a partial or complete response, 16 (64%) had a DOR of at least 6 months, and 12 (48%) had a DOR of at least 12 months. In the BR arm, of the 10 patients who achieved a partial or complete response, 3 (30%) had a DOR lasting at least 6 months, and 2 (20%) had a DOR lasting at least 12 months.</w:t>
      </w:r>
    </w:p>
    <w:p w14:paraId="42D57FEE" w14:textId="51F1BA01" w:rsidR="00366B5F" w:rsidRDefault="00366B5F" w:rsidP="00550342">
      <w:pPr>
        <w:pStyle w:val="Heading4"/>
        <w:rPr>
          <w:lang w:val="en-US"/>
        </w:rPr>
      </w:pPr>
      <w:r w:rsidRPr="00DF4E90">
        <w:rPr>
          <w:lang w:val="en-US"/>
        </w:rPr>
        <w:t>Immunogenicity</w:t>
      </w:r>
      <w:r w:rsidRPr="0066646B">
        <w:rPr>
          <w:lang w:val="en-US"/>
        </w:rPr>
        <w:t xml:space="preserve"> </w:t>
      </w:r>
    </w:p>
    <w:p w14:paraId="06BF28D6" w14:textId="0286A11E" w:rsidR="0092232F" w:rsidRDefault="0092232F" w:rsidP="0092232F">
      <w:pPr>
        <w:rPr>
          <w:lang w:val="en-US"/>
        </w:rPr>
      </w:pPr>
      <w:r w:rsidRPr="0092232F">
        <w:rPr>
          <w:lang w:val="en-US"/>
        </w:rPr>
        <w:t>As with all therapeutic proteins, there is the potential for an immune response in patients treated with polatuzumab vedotin.   Across all arms of study GO29365, 8 out of 134 (6.0%) patients tested positive for anti-polatuzumab vedotin antibodies at one or more post-baseline time points.  Across all seven clinical studies, 14 out of 536 (2.6%) patients tested positive for anti</w:t>
      </w:r>
      <w:r w:rsidRPr="0092232F">
        <w:rPr>
          <w:lang w:val="en-US"/>
        </w:rPr>
        <w:noBreakHyphen/>
        <w:t>polatuzumab vedotin antibodies at one or more post-baseline time points</w:t>
      </w:r>
      <w:r>
        <w:rPr>
          <w:lang w:val="en-US"/>
        </w:rPr>
        <w:t>.</w:t>
      </w:r>
      <w:r w:rsidRPr="0092232F">
        <w:rPr>
          <w:lang w:val="en-US"/>
        </w:rPr>
        <w:t xml:space="preserve">  Due to the limited number of anti-polatuzumab vedotin antibody positive patients, no conclusions can be drawn concerning a potential effect of immunogenicity on efficacy or safety. </w:t>
      </w:r>
    </w:p>
    <w:p w14:paraId="1B981141" w14:textId="77777777" w:rsidR="0092232F" w:rsidRPr="0092232F" w:rsidRDefault="0092232F" w:rsidP="0092232F">
      <w:pPr>
        <w:rPr>
          <w:lang w:val="en-US"/>
        </w:rPr>
      </w:pPr>
    </w:p>
    <w:p w14:paraId="4179998C" w14:textId="6E8E4B31" w:rsidR="0092232F" w:rsidRPr="0092232F" w:rsidRDefault="0092232F" w:rsidP="0092232F">
      <w:pPr>
        <w:rPr>
          <w:lang w:val="en-US"/>
        </w:rPr>
      </w:pPr>
      <w:r w:rsidRPr="0092232F">
        <w:rPr>
          <w:lang w:val="en-US"/>
        </w:rPr>
        <w:t>Immunogenicity assay results are highly dependent on several factors including assay sensitivity and specificity, assay methodology, sample handling, timing of sample collection, concomitant medications and underlying disease. For these reasons, comparison of incidence of antibodies to polatuzumab vedotin with the incidence of antibodies to other products may be misleading.</w:t>
      </w:r>
    </w:p>
    <w:p w14:paraId="15AC7F98" w14:textId="307F6B72" w:rsidR="008F6CF6" w:rsidRPr="0066646B" w:rsidRDefault="002A55BD" w:rsidP="00DE0007">
      <w:pPr>
        <w:pStyle w:val="Heading2"/>
        <w:pageBreakBefore/>
        <w:rPr>
          <w:rFonts w:hint="eastAsia"/>
          <w:lang w:val="en-GB"/>
        </w:rPr>
      </w:pPr>
      <w:r w:rsidRPr="0066646B">
        <w:rPr>
          <w:lang w:val="en-GB"/>
        </w:rPr>
        <w:lastRenderedPageBreak/>
        <w:t>5.2</w:t>
      </w:r>
      <w:r w:rsidRPr="0066646B">
        <w:rPr>
          <w:lang w:val="en-GB"/>
        </w:rPr>
        <w:tab/>
        <w:t xml:space="preserve">PHARMACOKINETIC PROPERTIES </w:t>
      </w:r>
    </w:p>
    <w:p w14:paraId="4CC328B9" w14:textId="2A5E98F5" w:rsidR="0092232F" w:rsidRDefault="0092232F" w:rsidP="0092232F">
      <w:pPr>
        <w:rPr>
          <w:lang w:val="en-US"/>
        </w:rPr>
      </w:pPr>
      <w:r w:rsidRPr="0092232F">
        <w:rPr>
          <w:lang w:val="en-US"/>
        </w:rPr>
        <w:t>Antibody-conjugated MMAE (acMMAE) plasma exposure increased dose-proportionally over the 0.1 to 2.4 mg/kg polatuzumab vedotin dose range.  After the first 1.8 mg/kg polatuzumab vedotin dose, the acMMAE mean maximum concentration (C</w:t>
      </w:r>
      <w:r w:rsidRPr="0092232F">
        <w:rPr>
          <w:vertAlign w:val="subscript"/>
          <w:lang w:val="en-US"/>
        </w:rPr>
        <w:t>max</w:t>
      </w:r>
      <w:r w:rsidRPr="0092232F">
        <w:rPr>
          <w:lang w:val="en-US"/>
        </w:rPr>
        <w:t>) was 803 (± 233) ng/mL and the area under the concentration-time curve from time zero to infinity (AUC</w:t>
      </w:r>
      <w:r w:rsidRPr="0092232F">
        <w:rPr>
          <w:vertAlign w:val="subscript"/>
          <w:lang w:val="en-US"/>
        </w:rPr>
        <w:t>inf</w:t>
      </w:r>
      <w:r w:rsidRPr="0092232F">
        <w:rPr>
          <w:lang w:val="en-US"/>
        </w:rPr>
        <w:t xml:space="preserve">) was 1860 (± 966) day*ng/mL. Based on the population PK analysis, Cycle 3 acMMAE AUC increased by approximately 30% over cycle 1 AUC, and achieved more than 90% of the Cycle 6 AUC. The terminal half-life at cycle 6 was approximately 12 days (95% CI of 8.1-19.5 days) for acMMAE.  </w:t>
      </w:r>
    </w:p>
    <w:p w14:paraId="59B2F3B3" w14:textId="77777777" w:rsidR="0092232F" w:rsidRPr="0092232F" w:rsidRDefault="0092232F" w:rsidP="0092232F">
      <w:pPr>
        <w:rPr>
          <w:lang w:val="en-US"/>
        </w:rPr>
      </w:pPr>
    </w:p>
    <w:p w14:paraId="64C64672" w14:textId="20EF2C60" w:rsidR="00822EEB" w:rsidRPr="0066646B" w:rsidRDefault="0092232F" w:rsidP="0092232F">
      <w:r w:rsidRPr="0092232F">
        <w:rPr>
          <w:lang w:val="en-US"/>
        </w:rPr>
        <w:t>Exposures of unconjugated MMAE, the cytotoxic component of polatuzumab vedotin, increased dose proportionally over the 0.1 to 2.4 mg/kg polatuzumab vedotin dose range.  MMAE plasma concentrations followed formation rate limited kinetics. After the first 1.8 mg/kg polatuzumab vedotin dose, the C</w:t>
      </w:r>
      <w:r w:rsidRPr="0092232F">
        <w:rPr>
          <w:vertAlign w:val="subscript"/>
          <w:lang w:val="en-US"/>
        </w:rPr>
        <w:t>max</w:t>
      </w:r>
      <w:r w:rsidRPr="0092232F">
        <w:rPr>
          <w:lang w:val="en-US"/>
        </w:rPr>
        <w:t xml:space="preserve"> was 6.82 (± 4.73) ng/mL, the time to maximum plasma concentration is approximately 2.5 days, and the terminal half-life is approximately 4 days. Plasma exposures of unconjugated MMAE are &lt;3% of acMMAE exposures [63].  Based on the population PK analysis, there is a decrease of plasma unconjugated MMAE exposure (AUC and C</w:t>
      </w:r>
      <w:r w:rsidRPr="0092232F">
        <w:rPr>
          <w:vertAlign w:val="subscript"/>
          <w:lang w:val="en-US"/>
        </w:rPr>
        <w:t>max</w:t>
      </w:r>
      <w:r w:rsidRPr="0092232F">
        <w:rPr>
          <w:lang w:val="en-US"/>
        </w:rPr>
        <w:t>) after repeated every-three-week dosing</w:t>
      </w:r>
      <w:r w:rsidR="00822EEB" w:rsidRPr="0066646B">
        <w:t>.</w:t>
      </w:r>
    </w:p>
    <w:p w14:paraId="15A7AE7B" w14:textId="77777777" w:rsidR="008F6CF6" w:rsidRPr="0066646B" w:rsidRDefault="008F6CF6" w:rsidP="00550342">
      <w:pPr>
        <w:pStyle w:val="Heading3"/>
        <w:rPr>
          <w:lang w:val="en-GB"/>
        </w:rPr>
      </w:pPr>
      <w:r w:rsidRPr="0066646B">
        <w:rPr>
          <w:lang w:val="en-GB"/>
        </w:rPr>
        <w:t>Absorption</w:t>
      </w:r>
    </w:p>
    <w:p w14:paraId="6648C9A9" w14:textId="78B06C34" w:rsidR="00822EEB" w:rsidRPr="008241FB" w:rsidRDefault="00EE6F17" w:rsidP="008241FB">
      <w:r>
        <w:t>POLIVY</w:t>
      </w:r>
      <w:r w:rsidR="008241FB" w:rsidRPr="008241FB">
        <w:t xml:space="preserve"> is administered as an IV infusion. There have been no studies performed with other routes of administration.</w:t>
      </w:r>
    </w:p>
    <w:p w14:paraId="5CDD6A5E" w14:textId="77777777" w:rsidR="008F6CF6" w:rsidRPr="0066646B" w:rsidRDefault="008F6CF6" w:rsidP="00550342">
      <w:pPr>
        <w:pStyle w:val="Heading3"/>
        <w:rPr>
          <w:lang w:val="en-GB"/>
        </w:rPr>
      </w:pPr>
      <w:r w:rsidRPr="0066646B">
        <w:rPr>
          <w:lang w:val="en-GB"/>
        </w:rPr>
        <w:t>Distribution</w:t>
      </w:r>
    </w:p>
    <w:p w14:paraId="5F21F81F" w14:textId="77777777" w:rsidR="008241FB" w:rsidRPr="0092232F" w:rsidRDefault="008241FB" w:rsidP="008241FB">
      <w:pPr>
        <w:rPr>
          <w:lang w:val="en-US"/>
        </w:rPr>
      </w:pPr>
      <w:r w:rsidRPr="0092232F">
        <w:rPr>
          <w:lang w:val="en-US"/>
        </w:rPr>
        <w:t>The population estimate of</w:t>
      </w:r>
      <w:r w:rsidRPr="0092232F">
        <w:rPr>
          <w:bCs/>
          <w:iCs/>
          <w:lang w:val="en-US"/>
        </w:rPr>
        <w:t xml:space="preserve"> central volume of distribution for acMMAE was 3.15 L, which approximated plasma volume</w:t>
      </w:r>
      <w:r w:rsidRPr="0092232F">
        <w:rPr>
          <w:b/>
          <w:bCs/>
          <w:iCs/>
          <w:lang w:val="en-US"/>
        </w:rPr>
        <w:t xml:space="preserve">.  </w:t>
      </w:r>
    </w:p>
    <w:p w14:paraId="3538B6DF" w14:textId="77777777" w:rsidR="008241FB" w:rsidRPr="0092232F" w:rsidRDefault="008241FB" w:rsidP="008241FB">
      <w:pPr>
        <w:rPr>
          <w:b/>
          <w:bCs/>
          <w:iCs/>
          <w:lang w:val="en-US"/>
        </w:rPr>
      </w:pPr>
    </w:p>
    <w:p w14:paraId="5BCC5B48" w14:textId="3440D8DE" w:rsidR="008241FB" w:rsidRDefault="008241FB" w:rsidP="008241FB">
      <w:pPr>
        <w:rPr>
          <w:lang w:val="en-US"/>
        </w:rPr>
      </w:pPr>
      <w:r w:rsidRPr="0092232F">
        <w:rPr>
          <w:i/>
          <w:lang w:val="en-US"/>
        </w:rPr>
        <w:t>In vitro</w:t>
      </w:r>
      <w:r w:rsidRPr="0092232F">
        <w:rPr>
          <w:lang w:val="en-US"/>
        </w:rPr>
        <w:t xml:space="preserve">, MMAE is moderately bound (71% - 77%) to human plasma proteins. MMAE does not significantly partition into human red blood cells in vitro; the </w:t>
      </w:r>
      <w:r w:rsidR="00436AD2" w:rsidRPr="00436AD2">
        <w:rPr>
          <w:lang w:val="en-US"/>
        </w:rPr>
        <w:t xml:space="preserve">blood to plasma </w:t>
      </w:r>
      <w:r w:rsidR="009239A4">
        <w:rPr>
          <w:lang w:val="en-US"/>
        </w:rPr>
        <w:t xml:space="preserve">concentration </w:t>
      </w:r>
      <w:r w:rsidR="00436AD2" w:rsidRPr="00436AD2">
        <w:rPr>
          <w:lang w:val="en-US"/>
        </w:rPr>
        <w:t>ratio</w:t>
      </w:r>
      <w:r w:rsidR="00436AD2">
        <w:rPr>
          <w:lang w:val="en-US"/>
        </w:rPr>
        <w:t xml:space="preserve"> is 0.79 to 0.98</w:t>
      </w:r>
      <w:r w:rsidRPr="0092232F">
        <w:rPr>
          <w:lang w:val="en-US"/>
        </w:rPr>
        <w:t>.</w:t>
      </w:r>
    </w:p>
    <w:p w14:paraId="49D6C3EE" w14:textId="77777777" w:rsidR="008241FB" w:rsidRPr="0092232F" w:rsidRDefault="008241FB" w:rsidP="008241FB">
      <w:pPr>
        <w:rPr>
          <w:lang w:val="en-US"/>
        </w:rPr>
      </w:pPr>
    </w:p>
    <w:p w14:paraId="61456132" w14:textId="4F275515" w:rsidR="00822EEB" w:rsidRPr="0066646B" w:rsidRDefault="008241FB" w:rsidP="008241FB">
      <w:r w:rsidRPr="0092232F">
        <w:rPr>
          <w:i/>
          <w:lang w:val="en-US"/>
        </w:rPr>
        <w:t>In vitro</w:t>
      </w:r>
      <w:r w:rsidRPr="0092232F">
        <w:rPr>
          <w:lang w:val="en-US"/>
        </w:rPr>
        <w:t xml:space="preserve"> data indicate that MMAE is a P-gp substrate but does not inhibit P-gp at clinica</w:t>
      </w:r>
      <w:r>
        <w:rPr>
          <w:lang w:val="en-US"/>
        </w:rPr>
        <w:t>lly relevant concentrations</w:t>
      </w:r>
      <w:r w:rsidRPr="0092232F">
        <w:rPr>
          <w:lang w:val="en-US"/>
        </w:rPr>
        <w:t>.</w:t>
      </w:r>
    </w:p>
    <w:p w14:paraId="35466F24" w14:textId="77777777" w:rsidR="008F6CF6" w:rsidRPr="0066646B" w:rsidRDefault="008F6CF6" w:rsidP="00550342">
      <w:pPr>
        <w:pStyle w:val="Heading3"/>
        <w:rPr>
          <w:lang w:val="en-GB"/>
        </w:rPr>
      </w:pPr>
      <w:r w:rsidRPr="0066646B">
        <w:rPr>
          <w:lang w:val="en-GB"/>
        </w:rPr>
        <w:t>Metabolism</w:t>
      </w:r>
    </w:p>
    <w:p w14:paraId="6B2FFA6B" w14:textId="011DA523" w:rsidR="008241FB" w:rsidRDefault="008241FB" w:rsidP="008241FB">
      <w:pPr>
        <w:rPr>
          <w:lang w:val="en-US"/>
        </w:rPr>
      </w:pPr>
      <w:r w:rsidRPr="008241FB">
        <w:rPr>
          <w:lang w:val="en-US"/>
        </w:rPr>
        <w:t>Polatuzumab vedotin is expected undergo catabolism in patients, resulting in the production of small peptides, amino acids, unconjugated MMAE, and unconjugated MMAE related catabolites.</w:t>
      </w:r>
    </w:p>
    <w:p w14:paraId="628D3C23" w14:textId="510B5E89" w:rsidR="008241FB" w:rsidRPr="008241FB" w:rsidRDefault="008241FB" w:rsidP="008241FB">
      <w:pPr>
        <w:rPr>
          <w:lang w:val="en-US"/>
        </w:rPr>
      </w:pPr>
    </w:p>
    <w:p w14:paraId="2494C93C" w14:textId="63093BD2" w:rsidR="008241FB" w:rsidRDefault="008241FB" w:rsidP="008241FB">
      <w:pPr>
        <w:rPr>
          <w:lang w:val="en-US"/>
        </w:rPr>
      </w:pPr>
      <w:r w:rsidRPr="008241FB">
        <w:rPr>
          <w:i/>
          <w:lang w:val="en-US"/>
        </w:rPr>
        <w:t>In vitro</w:t>
      </w:r>
      <w:r w:rsidRPr="008241FB">
        <w:rPr>
          <w:lang w:val="en-US"/>
        </w:rPr>
        <w:t xml:space="preserve"> studies indicate that MMAE is a substrate for CYP 3A4/.</w:t>
      </w:r>
    </w:p>
    <w:p w14:paraId="5F48EA2C" w14:textId="063236DD" w:rsidR="008241FB" w:rsidRPr="008241FB" w:rsidRDefault="008241FB" w:rsidP="008241FB">
      <w:pPr>
        <w:rPr>
          <w:lang w:val="en-US"/>
        </w:rPr>
      </w:pPr>
    </w:p>
    <w:p w14:paraId="4FF8E6E5" w14:textId="648430B6" w:rsidR="00822EEB" w:rsidRPr="0066646B" w:rsidRDefault="008241FB" w:rsidP="008241FB">
      <w:r w:rsidRPr="008241FB">
        <w:rPr>
          <w:lang w:val="en-US"/>
        </w:rPr>
        <w:t>MMAE does not inhibit CYP1A2, CYP2B6, CYP2C8, CYP2C9, CYP2C19, or CYP2D6.</w:t>
      </w:r>
    </w:p>
    <w:p w14:paraId="6A228D7E" w14:textId="77777777" w:rsidR="008F6CF6" w:rsidRPr="0066646B" w:rsidRDefault="008F6CF6" w:rsidP="00550342">
      <w:pPr>
        <w:pStyle w:val="Heading3"/>
        <w:rPr>
          <w:lang w:val="en-GB"/>
        </w:rPr>
      </w:pPr>
      <w:r w:rsidRPr="0066646B">
        <w:rPr>
          <w:lang w:val="en-GB"/>
        </w:rPr>
        <w:t>Excretion</w:t>
      </w:r>
    </w:p>
    <w:p w14:paraId="3A46B187" w14:textId="4AE050E1" w:rsidR="008241FB" w:rsidRPr="008241FB" w:rsidRDefault="008241FB" w:rsidP="008241FB">
      <w:pPr>
        <w:rPr>
          <w:lang w:val="en-US"/>
        </w:rPr>
      </w:pPr>
      <w:r w:rsidRPr="008241FB">
        <w:rPr>
          <w:lang w:val="en-US"/>
        </w:rPr>
        <w:t xml:space="preserve">Based on a population pharmacokinetic analysis, the conjugate (acMMAE) is primarily eliminated by non-specific linear clearance pathway with a value of 0.9 L/day.  </w:t>
      </w:r>
    </w:p>
    <w:p w14:paraId="575A40C1" w14:textId="4A76E098" w:rsidR="008241FB" w:rsidRDefault="008241FB" w:rsidP="008241FB">
      <w:pPr>
        <w:pStyle w:val="Heading3"/>
        <w:rPr>
          <w:b w:val="0"/>
          <w:bCs w:val="0"/>
          <w:lang w:val="en-US"/>
        </w:rPr>
      </w:pPr>
      <w:r w:rsidRPr="008241FB">
        <w:rPr>
          <w:b w:val="0"/>
          <w:bCs w:val="0"/>
          <w:i/>
          <w:lang w:val="en-US"/>
        </w:rPr>
        <w:lastRenderedPageBreak/>
        <w:t>In vivo</w:t>
      </w:r>
      <w:r w:rsidRPr="008241FB">
        <w:rPr>
          <w:b w:val="0"/>
          <w:bCs w:val="0"/>
          <w:lang w:val="en-US"/>
        </w:rPr>
        <w:t xml:space="preserve"> studies in rats dosed with polatuzumab vedotin (radiolabel on MMAE) demonstrate that the majority </w:t>
      </w:r>
      <w:r w:rsidR="00292131">
        <w:rPr>
          <w:b w:val="0"/>
          <w:bCs w:val="0"/>
          <w:lang w:val="en-US"/>
        </w:rPr>
        <w:t xml:space="preserve">(95%) </w:t>
      </w:r>
      <w:r w:rsidRPr="008241FB">
        <w:rPr>
          <w:b w:val="0"/>
          <w:bCs w:val="0"/>
          <w:lang w:val="en-US"/>
        </w:rPr>
        <w:t>of radioactivity is excreted in f</w:t>
      </w:r>
      <w:r w:rsidR="00814169">
        <w:rPr>
          <w:b w:val="0"/>
          <w:bCs w:val="0"/>
          <w:lang w:val="en-US"/>
        </w:rPr>
        <w:t>a</w:t>
      </w:r>
      <w:r w:rsidRPr="008241FB">
        <w:rPr>
          <w:b w:val="0"/>
          <w:bCs w:val="0"/>
          <w:lang w:val="en-US"/>
        </w:rPr>
        <w:t xml:space="preserve">eces and the minority </w:t>
      </w:r>
      <w:r w:rsidR="00292131">
        <w:rPr>
          <w:b w:val="0"/>
          <w:bCs w:val="0"/>
          <w:lang w:val="en-US"/>
        </w:rPr>
        <w:t xml:space="preserve">(5%) </w:t>
      </w:r>
      <w:r w:rsidRPr="008241FB">
        <w:rPr>
          <w:b w:val="0"/>
          <w:bCs w:val="0"/>
          <w:lang w:val="en-US"/>
        </w:rPr>
        <w:t>of radioactivity is excreted in urine.</w:t>
      </w:r>
    </w:p>
    <w:p w14:paraId="0E7E948A" w14:textId="23CBAA8A" w:rsidR="00366B5F" w:rsidRPr="0066646B" w:rsidRDefault="00366B5F" w:rsidP="008241FB">
      <w:pPr>
        <w:pStyle w:val="Heading3"/>
      </w:pPr>
      <w:r w:rsidRPr="0066646B">
        <w:t xml:space="preserve">Pharmacokinetics in Special Populations </w:t>
      </w:r>
    </w:p>
    <w:p w14:paraId="22ECA89C" w14:textId="3C112A05" w:rsidR="00DE3BB9" w:rsidRPr="0066646B" w:rsidRDefault="000A606B" w:rsidP="00DE3BB9">
      <w:pPr>
        <w:pStyle w:val="Heading4"/>
      </w:pPr>
      <w:r w:rsidRPr="0066646B">
        <w:t>E</w:t>
      </w:r>
      <w:r w:rsidR="00DE3BB9" w:rsidRPr="0066646B">
        <w:t xml:space="preserve">lderly </w:t>
      </w:r>
    </w:p>
    <w:p w14:paraId="6C0D2955" w14:textId="15471B9C" w:rsidR="00DE3BB9" w:rsidRPr="0066646B" w:rsidRDefault="00411577" w:rsidP="00DE3BB9">
      <w:r w:rsidRPr="00411577">
        <w:rPr>
          <w:lang w:val="en-US"/>
        </w:rPr>
        <w:t>Age did not have an effect on the pharmacokinetics of acMMAE and unconjugated MMAE based on a population PK analysis with patients aged 20-89 years. No significant difference was observed in the pharmacokinetics of acMMAE and unconjugated MMAE among patients &lt;65 years of age (n=187) and patients ≥65 years of age (n=273)</w:t>
      </w:r>
    </w:p>
    <w:p w14:paraId="29152490" w14:textId="20FD7A0C" w:rsidR="00366B5F" w:rsidRPr="0066646B" w:rsidRDefault="000A606B" w:rsidP="00550342">
      <w:pPr>
        <w:pStyle w:val="Heading4"/>
      </w:pPr>
      <w:r w:rsidRPr="0066646B">
        <w:t>Children</w:t>
      </w:r>
    </w:p>
    <w:p w14:paraId="2B287C29" w14:textId="7448CD1D" w:rsidR="00366B5F" w:rsidRDefault="00411577" w:rsidP="00CD75CF">
      <w:pPr>
        <w:rPr>
          <w:lang w:val="en-US"/>
        </w:rPr>
      </w:pPr>
      <w:r w:rsidRPr="00411577">
        <w:rPr>
          <w:lang w:val="en-US"/>
        </w:rPr>
        <w:t>No studies have been conducted to investigate the pharmacokinetics of </w:t>
      </w:r>
      <w:r w:rsidR="00EE6F17">
        <w:rPr>
          <w:lang w:val="en-US"/>
        </w:rPr>
        <w:t>POLIVY</w:t>
      </w:r>
      <w:r w:rsidRPr="00411577">
        <w:rPr>
          <w:lang w:val="en-US"/>
        </w:rPr>
        <w:t> in p</w:t>
      </w:r>
      <w:r w:rsidR="00273C0F">
        <w:rPr>
          <w:lang w:val="en-US"/>
        </w:rPr>
        <w:t>a</w:t>
      </w:r>
      <w:r w:rsidRPr="00411577">
        <w:rPr>
          <w:lang w:val="en-US"/>
        </w:rPr>
        <w:t>ediatric patients (&lt;18 years old)</w:t>
      </w:r>
      <w:r w:rsidR="00A806E6">
        <w:rPr>
          <w:lang w:val="en-US"/>
        </w:rPr>
        <w:t>.</w:t>
      </w:r>
    </w:p>
    <w:p w14:paraId="75AD350E" w14:textId="5621177D" w:rsidR="00A806E6" w:rsidRDefault="00A806E6" w:rsidP="00CD75CF">
      <w:pPr>
        <w:rPr>
          <w:lang w:val="en-US"/>
        </w:rPr>
      </w:pPr>
    </w:p>
    <w:p w14:paraId="4E8F054E" w14:textId="0DDA712E" w:rsidR="00A806E6" w:rsidRDefault="00A806E6" w:rsidP="00A806E6">
      <w:pPr>
        <w:pStyle w:val="Heading4"/>
      </w:pPr>
      <w:r>
        <w:t>Renal Impairment</w:t>
      </w:r>
    </w:p>
    <w:p w14:paraId="10349B4D" w14:textId="2DFCEE42" w:rsidR="00A806E6" w:rsidRDefault="00A806E6" w:rsidP="00A806E6">
      <w:pPr>
        <w:rPr>
          <w:lang w:val="en-US"/>
        </w:rPr>
      </w:pPr>
      <w:r w:rsidRPr="00A806E6">
        <w:rPr>
          <w:lang w:val="en-US"/>
        </w:rPr>
        <w:t>In patients with mild (CrCL 60-89 mL/min, n=161) or moderate (CrCL 30-59 mL/min, n=109) renal impairment, acMMAE and unconjugated MMAE exposures are similar to patients with normal renal function (CrCL ≥ 90 mL/min, n=185), based on a population pharmacokinetic analysis. There are insufficient data to assess the impact of severe renal impairment (CrCL 15-29 mL/min, n=3) on PK.  No data are available in patients with end-stage renal disease and/or who are on dialysis (see</w:t>
      </w:r>
      <w:r w:rsidR="00972373">
        <w:rPr>
          <w:lang w:val="en-US"/>
        </w:rPr>
        <w:t xml:space="preserve"> section</w:t>
      </w:r>
      <w:r w:rsidRPr="00A806E6">
        <w:rPr>
          <w:lang w:val="en-US"/>
        </w:rPr>
        <w:t xml:space="preserve"> </w:t>
      </w:r>
      <w:r w:rsidR="00972373" w:rsidRPr="00972373">
        <w:rPr>
          <w:i/>
          <w:lang w:val="en-US"/>
        </w:rPr>
        <w:t>4.2</w:t>
      </w:r>
      <w:r w:rsidR="00DB6B68">
        <w:rPr>
          <w:i/>
          <w:lang w:val="en-US"/>
        </w:rPr>
        <w:t xml:space="preserve"> Dos</w:t>
      </w:r>
      <w:r w:rsidR="00972373" w:rsidRPr="00972373">
        <w:rPr>
          <w:i/>
          <w:lang w:val="en-US"/>
        </w:rPr>
        <w:t>e and method of administration</w:t>
      </w:r>
      <w:r w:rsidR="00972373">
        <w:rPr>
          <w:lang w:val="en-US"/>
        </w:rPr>
        <w:t>)</w:t>
      </w:r>
      <w:r w:rsidRPr="00A806E6">
        <w:rPr>
          <w:lang w:val="en-US"/>
        </w:rPr>
        <w:t>.</w:t>
      </w:r>
    </w:p>
    <w:p w14:paraId="5B4D2594" w14:textId="395926DA" w:rsidR="00DB6B68" w:rsidRDefault="00DB6B68" w:rsidP="00DB6B68">
      <w:pPr>
        <w:pStyle w:val="Heading4"/>
      </w:pPr>
      <w:r>
        <w:t>Hepatic Impairment</w:t>
      </w:r>
    </w:p>
    <w:p w14:paraId="0987B037" w14:textId="6AC21FAF" w:rsidR="00622BE6" w:rsidRDefault="00622BE6" w:rsidP="00622BE6">
      <w:pPr>
        <w:rPr>
          <w:lang w:val="en-US"/>
        </w:rPr>
      </w:pPr>
      <w:r w:rsidRPr="00622BE6">
        <w:rPr>
          <w:lang w:val="en-US"/>
        </w:rPr>
        <w:t>In patients with mild hepatic impairment [AST &gt;1.0 - 2.5×ULN or ALT &gt;1.0 - 2.5×ULN or total bilirubin &gt;1.0 - 1.5×ULN, n=54], acMMAE exposures are similar whereas unconjugated MMAE AUC are 40% higher compared to patients with normal hepatic function (n=399), based on a population pharmacokinetic analysis.</w:t>
      </w:r>
    </w:p>
    <w:p w14:paraId="34466301" w14:textId="77777777" w:rsidR="00622BE6" w:rsidRPr="00622BE6" w:rsidRDefault="00622BE6" w:rsidP="00622BE6">
      <w:pPr>
        <w:rPr>
          <w:lang w:val="en-US"/>
        </w:rPr>
      </w:pPr>
    </w:p>
    <w:p w14:paraId="2C345E0D" w14:textId="40F1F5B2" w:rsidR="00622BE6" w:rsidRPr="00622BE6" w:rsidRDefault="00622BE6" w:rsidP="00622BE6">
      <w:r w:rsidRPr="00622BE6">
        <w:rPr>
          <w:lang w:val="en-US"/>
        </w:rPr>
        <w:t>There are insufficient data to assess the impact of moderate hepatic impairment (total bilirubin &gt;1.5 - 3×ULN, n=2) on PK.  No data are available in patients with severe hepatic impairment or liver transplantation (</w:t>
      </w:r>
      <w:r w:rsidRPr="00A806E6">
        <w:rPr>
          <w:lang w:val="en-US"/>
        </w:rPr>
        <w:t>see</w:t>
      </w:r>
      <w:r>
        <w:rPr>
          <w:lang w:val="en-US"/>
        </w:rPr>
        <w:t xml:space="preserve"> section</w:t>
      </w:r>
      <w:r w:rsidRPr="00A806E6">
        <w:rPr>
          <w:lang w:val="en-US"/>
        </w:rPr>
        <w:t xml:space="preserve"> </w:t>
      </w:r>
      <w:r w:rsidRPr="00972373">
        <w:rPr>
          <w:i/>
          <w:lang w:val="en-US"/>
        </w:rPr>
        <w:t>4.2</w:t>
      </w:r>
      <w:r>
        <w:rPr>
          <w:i/>
          <w:lang w:val="en-US"/>
        </w:rPr>
        <w:t xml:space="preserve"> Dos</w:t>
      </w:r>
      <w:r w:rsidRPr="00972373">
        <w:rPr>
          <w:i/>
          <w:lang w:val="en-US"/>
        </w:rPr>
        <w:t>e and method of administration</w:t>
      </w:r>
      <w:r w:rsidRPr="00622BE6">
        <w:rPr>
          <w:i/>
          <w:lang w:val="en-US"/>
        </w:rPr>
        <w:t>)</w:t>
      </w:r>
      <w:r>
        <w:rPr>
          <w:lang w:val="en-US"/>
        </w:rPr>
        <w:t>.</w:t>
      </w:r>
    </w:p>
    <w:p w14:paraId="4A9B1DAC" w14:textId="77777777" w:rsidR="008F6CF6" w:rsidRPr="0066646B" w:rsidRDefault="008F6CF6" w:rsidP="00550342">
      <w:pPr>
        <w:pStyle w:val="Heading2"/>
        <w:rPr>
          <w:rFonts w:hint="eastAsia"/>
          <w:lang w:val="en-GB"/>
        </w:rPr>
      </w:pPr>
      <w:r w:rsidRPr="0066646B">
        <w:rPr>
          <w:lang w:val="en-GB"/>
        </w:rPr>
        <w:t>5.3</w:t>
      </w:r>
      <w:r w:rsidRPr="0066646B">
        <w:rPr>
          <w:lang w:val="en-GB"/>
        </w:rPr>
        <w:tab/>
        <w:t>PRECLINICAL SAFETY DATA</w:t>
      </w:r>
    </w:p>
    <w:p w14:paraId="3BCE35D6" w14:textId="77777777" w:rsidR="008F6CF6" w:rsidRPr="0066646B" w:rsidRDefault="008F6CF6" w:rsidP="00550342">
      <w:pPr>
        <w:pStyle w:val="Heading3"/>
        <w:rPr>
          <w:lang w:val="en-GB"/>
        </w:rPr>
      </w:pPr>
      <w:r w:rsidRPr="0066646B">
        <w:rPr>
          <w:lang w:val="en-GB"/>
        </w:rPr>
        <w:t>Genotoxicity</w:t>
      </w:r>
    </w:p>
    <w:p w14:paraId="382554B9" w14:textId="27F1CBF8" w:rsidR="00822EEB" w:rsidRPr="0066646B" w:rsidRDefault="00ED6BF4" w:rsidP="00CD75CF">
      <w:r w:rsidRPr="00ED6BF4">
        <w:rPr>
          <w:lang w:val="en-US"/>
        </w:rPr>
        <w:t xml:space="preserve">No dedicated mutagenicity studies in animals have been performed with </w:t>
      </w:r>
      <w:r w:rsidR="0008501B">
        <w:rPr>
          <w:lang w:val="en-US"/>
        </w:rPr>
        <w:t>polatuzumab vedotin</w:t>
      </w:r>
      <w:r w:rsidRPr="00ED6BF4">
        <w:rPr>
          <w:lang w:val="en-US"/>
        </w:rPr>
        <w:t>.  MMAE was genotoxic in the rat bone marrow micronucleus study through an aneugenic mechanism.  This mechanism is consistent with the pharmacological effect of MMAE as a microtubule disrupting agent.  MMAE was not mutagenic in the bacterial reverse mutation assay (Ames test) or the L5178Y mouse lymphoma forward mutation assay</w:t>
      </w:r>
    </w:p>
    <w:p w14:paraId="70F43139" w14:textId="77777777" w:rsidR="008F6CF6" w:rsidRPr="0066646B" w:rsidRDefault="008F6CF6" w:rsidP="00550342">
      <w:pPr>
        <w:pStyle w:val="Heading3"/>
        <w:rPr>
          <w:lang w:val="en-GB"/>
        </w:rPr>
      </w:pPr>
      <w:r w:rsidRPr="0066646B">
        <w:rPr>
          <w:lang w:val="en-GB"/>
        </w:rPr>
        <w:t>Carcinogenicity</w:t>
      </w:r>
    </w:p>
    <w:p w14:paraId="593FE4AA" w14:textId="022ABB72" w:rsidR="00FE7BB5" w:rsidRPr="0066646B" w:rsidRDefault="00ED6BF4" w:rsidP="00CD75CF">
      <w:r w:rsidRPr="00ED6BF4">
        <w:rPr>
          <w:lang w:val="en-US"/>
        </w:rPr>
        <w:t xml:space="preserve">No dedicated carcinogenicity studies in animals have been performed with </w:t>
      </w:r>
      <w:r w:rsidR="0008501B" w:rsidRPr="0008501B">
        <w:rPr>
          <w:lang w:val="en-US"/>
        </w:rPr>
        <w:t xml:space="preserve"> polatuzumab vedotin</w:t>
      </w:r>
      <w:r w:rsidRPr="00ED6BF4">
        <w:rPr>
          <w:lang w:val="en-US"/>
        </w:rPr>
        <w:t xml:space="preserve"> and/or MMAE</w:t>
      </w:r>
      <w:r w:rsidR="0008501B">
        <w:rPr>
          <w:lang w:val="en-US"/>
        </w:rPr>
        <w:t>.</w:t>
      </w:r>
    </w:p>
    <w:p w14:paraId="631159C8" w14:textId="77777777" w:rsidR="008F6CF6" w:rsidRPr="0066646B" w:rsidRDefault="008F6CF6" w:rsidP="00550342">
      <w:pPr>
        <w:pStyle w:val="Heading1"/>
        <w:rPr>
          <w:rFonts w:hint="eastAsia"/>
        </w:rPr>
      </w:pPr>
      <w:r w:rsidRPr="0066646B">
        <w:t>6</w:t>
      </w:r>
      <w:r w:rsidRPr="0066646B">
        <w:tab/>
        <w:t>PHARMACEUTICAL PARTICULARS</w:t>
      </w:r>
    </w:p>
    <w:p w14:paraId="2BAE3416" w14:textId="02FB2C87" w:rsidR="008F6CF6" w:rsidRPr="0066646B" w:rsidRDefault="002A55BD" w:rsidP="00550342">
      <w:pPr>
        <w:pStyle w:val="Heading2"/>
        <w:rPr>
          <w:rFonts w:hint="eastAsia"/>
          <w:lang w:val="en-GB"/>
        </w:rPr>
      </w:pPr>
      <w:r w:rsidRPr="0066646B">
        <w:rPr>
          <w:lang w:val="en-GB"/>
        </w:rPr>
        <w:t>6.1</w:t>
      </w:r>
      <w:r w:rsidRPr="0066646B">
        <w:rPr>
          <w:lang w:val="en-GB"/>
        </w:rPr>
        <w:tab/>
        <w:t xml:space="preserve">LIST OF EXCIPIENTS </w:t>
      </w:r>
    </w:p>
    <w:p w14:paraId="498C95BC" w14:textId="1B1874E0" w:rsidR="00F90BF8" w:rsidRPr="005679D5" w:rsidRDefault="00484E62" w:rsidP="00CD75CF">
      <w:pPr>
        <w:rPr>
          <w:lang w:val="en-GB"/>
        </w:rPr>
      </w:pPr>
      <w:r>
        <w:rPr>
          <w:lang w:val="en-GB"/>
        </w:rPr>
        <w:lastRenderedPageBreak/>
        <w:t>Succinic acid</w:t>
      </w:r>
      <w:r w:rsidR="005B0DD9">
        <w:rPr>
          <w:lang w:val="en-GB"/>
        </w:rPr>
        <w:t>, sodium hydroxide, sucrose, polysorbate 20.</w:t>
      </w:r>
    </w:p>
    <w:p w14:paraId="5510EF15" w14:textId="5EB3A784" w:rsidR="008F6CF6" w:rsidRPr="0066646B" w:rsidRDefault="002A55BD" w:rsidP="00550342">
      <w:pPr>
        <w:pStyle w:val="Heading2"/>
        <w:rPr>
          <w:rFonts w:hint="eastAsia"/>
          <w:lang w:val="en-GB"/>
        </w:rPr>
      </w:pPr>
      <w:r w:rsidRPr="0066646B">
        <w:rPr>
          <w:lang w:val="en-GB"/>
        </w:rPr>
        <w:t>6.2</w:t>
      </w:r>
      <w:r w:rsidRPr="0066646B">
        <w:rPr>
          <w:lang w:val="en-GB"/>
        </w:rPr>
        <w:tab/>
        <w:t xml:space="preserve">INCOMPATIBILITIES </w:t>
      </w:r>
    </w:p>
    <w:p w14:paraId="7A5FA8EC" w14:textId="3C65A96E" w:rsidR="002B3CE5" w:rsidRDefault="002B3CE5" w:rsidP="00484E62">
      <w:pPr>
        <w:rPr>
          <w:lang w:val="en-US"/>
        </w:rPr>
      </w:pPr>
      <w:r w:rsidRPr="002B3CE5">
        <w:rPr>
          <w:lang w:val="en-US"/>
        </w:rPr>
        <w:t xml:space="preserve">Do not mix </w:t>
      </w:r>
      <w:r w:rsidR="00EE6F17">
        <w:rPr>
          <w:lang w:val="en-US"/>
        </w:rPr>
        <w:t>POLIVY</w:t>
      </w:r>
      <w:r w:rsidRPr="002B3CE5">
        <w:rPr>
          <w:lang w:val="en-US"/>
        </w:rPr>
        <w:t xml:space="preserve"> with, or administer through the same infusion line, as other medicinal products.</w:t>
      </w:r>
    </w:p>
    <w:p w14:paraId="61E20C78" w14:textId="77777777" w:rsidR="002B3CE5" w:rsidRPr="002B3CE5" w:rsidRDefault="002B3CE5" w:rsidP="00484E62">
      <w:pPr>
        <w:rPr>
          <w:lang w:val="en-US"/>
        </w:rPr>
      </w:pPr>
    </w:p>
    <w:p w14:paraId="42E06A0F" w14:textId="2321B077" w:rsidR="002B3CE5" w:rsidRPr="002B3CE5" w:rsidRDefault="002B3CE5" w:rsidP="00484E62">
      <w:pPr>
        <w:rPr>
          <w:lang w:val="en-US"/>
        </w:rPr>
      </w:pPr>
      <w:r w:rsidRPr="002B3CE5">
        <w:rPr>
          <w:lang w:val="en-US"/>
        </w:rPr>
        <w:t xml:space="preserve">No incompatibilities have been observed between </w:t>
      </w:r>
      <w:r w:rsidR="00EE6F17">
        <w:rPr>
          <w:lang w:val="en-US"/>
        </w:rPr>
        <w:t>POLIVY</w:t>
      </w:r>
      <w:r w:rsidRPr="002B3CE5">
        <w:rPr>
          <w:lang w:val="en-US"/>
        </w:rPr>
        <w:t xml:space="preserve"> and IV infusion bags with product contacting materials of polyvinyl chloride (PVC), or polyolefins (PO) such as polyethylene (PE) and polypropylene (PP). In addition, no incompatibilities have been observed with infusion sets or infusion aids with product contacting materials of PVC, PE, polyurethane (PU), polybutadiene (PBD), acrylonitrile butadiene styrene (ABS), polycarbonate (PC), polyetherurethane (PEU), or fluorinated ethylene propylene (FEP) </w:t>
      </w:r>
      <w:r w:rsidR="00E75BF9" w:rsidRPr="00E75BF9">
        <w:rPr>
          <w:lang w:val="en-US"/>
        </w:rPr>
        <w:t>or polytetrafluorethylene (PTFE)</w:t>
      </w:r>
      <w:r w:rsidR="00E75BF9">
        <w:rPr>
          <w:lang w:val="en-US"/>
        </w:rPr>
        <w:t xml:space="preserve"> </w:t>
      </w:r>
      <w:r w:rsidRPr="002B3CE5">
        <w:rPr>
          <w:lang w:val="en-US"/>
        </w:rPr>
        <w:t xml:space="preserve">and with filter membranes composed of polyether sulfone (PES) or polysulfone (PSU). </w:t>
      </w:r>
    </w:p>
    <w:p w14:paraId="38FBF469" w14:textId="79984922" w:rsidR="00366B5F" w:rsidRPr="002B3CE5" w:rsidRDefault="00366B5F" w:rsidP="00CD75CF">
      <w:pPr>
        <w:rPr>
          <w:lang w:val="en-US"/>
        </w:rPr>
      </w:pPr>
    </w:p>
    <w:p w14:paraId="05B0D039" w14:textId="5E80D030" w:rsidR="008F6CF6" w:rsidRPr="0066646B" w:rsidRDefault="002A55BD" w:rsidP="00550342">
      <w:pPr>
        <w:pStyle w:val="Heading2"/>
        <w:rPr>
          <w:rFonts w:hint="eastAsia"/>
          <w:lang w:val="en-GB"/>
        </w:rPr>
      </w:pPr>
      <w:r w:rsidRPr="0066646B">
        <w:rPr>
          <w:lang w:val="en-GB"/>
        </w:rPr>
        <w:t>6.3</w:t>
      </w:r>
      <w:r w:rsidRPr="0066646B">
        <w:rPr>
          <w:lang w:val="en-GB"/>
        </w:rPr>
        <w:tab/>
        <w:t xml:space="preserve">SHELF LIFE </w:t>
      </w:r>
    </w:p>
    <w:p w14:paraId="34DC3FC1" w14:textId="0179E44E" w:rsidR="00366B5F" w:rsidRPr="005679D5" w:rsidRDefault="00366B5F" w:rsidP="00CD75CF">
      <w:pPr>
        <w:rPr>
          <w:lang w:val="en-GB"/>
        </w:rPr>
      </w:pPr>
      <w:r w:rsidRPr="005679D5">
        <w:rPr>
          <w:lang w:val="en-GB"/>
        </w:rPr>
        <w:t>In Australia, information on the shelf life can be found on the public summary of the Australian Register of Therapeutic Goods (ARTG). The expiry date can be found on the packaging.</w:t>
      </w:r>
    </w:p>
    <w:p w14:paraId="2E91A820" w14:textId="77777777" w:rsidR="009D725C" w:rsidRPr="005679D5" w:rsidRDefault="009D725C" w:rsidP="00CD75CF">
      <w:pPr>
        <w:rPr>
          <w:lang w:val="en-GB"/>
        </w:rPr>
      </w:pPr>
    </w:p>
    <w:p w14:paraId="47A56146" w14:textId="43A9F437" w:rsidR="009D725C" w:rsidRDefault="004A099C" w:rsidP="009D725C">
      <w:r>
        <w:rPr>
          <w:iCs/>
          <w:lang w:val="en-US"/>
        </w:rPr>
        <w:t>T</w:t>
      </w:r>
      <w:r w:rsidRPr="004A099C">
        <w:rPr>
          <w:iCs/>
          <w:lang w:val="en-US"/>
        </w:rPr>
        <w:t xml:space="preserve">he reconstituted solution should be used immediately. If </w:t>
      </w:r>
      <w:r>
        <w:rPr>
          <w:iCs/>
          <w:lang w:val="en-US"/>
        </w:rPr>
        <w:t xml:space="preserve">the solution is </w:t>
      </w:r>
      <w:r w:rsidRPr="004A099C">
        <w:rPr>
          <w:iCs/>
          <w:lang w:val="en-US"/>
        </w:rPr>
        <w:t xml:space="preserve">not used immediately, </w:t>
      </w:r>
      <w:r>
        <w:rPr>
          <w:iCs/>
          <w:lang w:val="en-US"/>
        </w:rPr>
        <w:t>it can be stored no longer than</w:t>
      </w:r>
      <w:r w:rsidRPr="004A099C">
        <w:rPr>
          <w:iCs/>
          <w:lang w:val="en-US"/>
        </w:rPr>
        <w:t xml:space="preserve"> </w:t>
      </w:r>
      <w:r w:rsidR="00E75BF9">
        <w:rPr>
          <w:iCs/>
          <w:lang w:val="en-US"/>
        </w:rPr>
        <w:t>72</w:t>
      </w:r>
      <w:r w:rsidR="00E75BF9" w:rsidRPr="004A099C">
        <w:rPr>
          <w:iCs/>
          <w:lang w:val="en-US"/>
        </w:rPr>
        <w:t xml:space="preserve"> </w:t>
      </w:r>
      <w:r w:rsidRPr="004A099C">
        <w:rPr>
          <w:iCs/>
          <w:lang w:val="en-US"/>
        </w:rPr>
        <w:t xml:space="preserve">hours at 2°C to </w:t>
      </w:r>
      <w:r>
        <w:rPr>
          <w:iCs/>
          <w:lang w:val="en-US"/>
        </w:rPr>
        <w:t>8°C</w:t>
      </w:r>
      <w:r w:rsidR="005B0DD9">
        <w:rPr>
          <w:iCs/>
          <w:lang w:val="en-US"/>
        </w:rPr>
        <w:t xml:space="preserve">, or </w:t>
      </w:r>
      <w:r w:rsidR="00E75BF9">
        <w:rPr>
          <w:iCs/>
          <w:lang w:val="en-US"/>
        </w:rPr>
        <w:t xml:space="preserve">20 </w:t>
      </w:r>
      <w:r w:rsidR="005B0DD9">
        <w:rPr>
          <w:iCs/>
          <w:lang w:val="en-US"/>
        </w:rPr>
        <w:t>hours at ambient temperature</w:t>
      </w:r>
      <w:r w:rsidR="009D725C" w:rsidRPr="0066646B">
        <w:t>.</w:t>
      </w:r>
    </w:p>
    <w:p w14:paraId="0157868C" w14:textId="64090C8C" w:rsidR="004A099C" w:rsidRDefault="004A099C" w:rsidP="009D725C"/>
    <w:p w14:paraId="4A33332C" w14:textId="26EFE58E" w:rsidR="004A099C" w:rsidRPr="0066646B" w:rsidRDefault="004A099C" w:rsidP="009D725C">
      <w:r w:rsidRPr="0066646B">
        <w:t>This medicine should not be used after the expiry date (EXP) shown on the pack.</w:t>
      </w:r>
    </w:p>
    <w:p w14:paraId="7C166C9E" w14:textId="38BCCDFA" w:rsidR="00366B5F" w:rsidRPr="0066646B" w:rsidRDefault="002A55BD" w:rsidP="00550342">
      <w:pPr>
        <w:pStyle w:val="Heading2"/>
        <w:rPr>
          <w:rFonts w:hint="eastAsia"/>
          <w:lang w:val="en-GB"/>
        </w:rPr>
      </w:pPr>
      <w:r w:rsidRPr="0066646B">
        <w:rPr>
          <w:lang w:val="en-GB"/>
        </w:rPr>
        <w:t>6.4</w:t>
      </w:r>
      <w:r w:rsidRPr="0066646B">
        <w:rPr>
          <w:lang w:val="en-GB"/>
        </w:rPr>
        <w:tab/>
        <w:t>SPECIAL PRECAUTIONS FOR STORAGE</w:t>
      </w:r>
    </w:p>
    <w:p w14:paraId="66096F9F" w14:textId="22C0DDB7" w:rsidR="004A099C" w:rsidRDefault="004A099C" w:rsidP="004A099C">
      <w:r w:rsidRPr="004A099C">
        <w:t>Store unopened vials at 2°C to 8°C.</w:t>
      </w:r>
    </w:p>
    <w:p w14:paraId="5C066FA0" w14:textId="77777777" w:rsidR="004A099C" w:rsidRPr="004A099C" w:rsidRDefault="004A099C" w:rsidP="004A099C"/>
    <w:p w14:paraId="130C01E1" w14:textId="495A325F" w:rsidR="004A099C" w:rsidRDefault="004A099C" w:rsidP="004A099C">
      <w:r w:rsidRPr="004A099C">
        <w:t>Keep vial in the outer carton in order to protect from light.</w:t>
      </w:r>
    </w:p>
    <w:p w14:paraId="244B4034" w14:textId="77777777" w:rsidR="004A099C" w:rsidRPr="004A099C" w:rsidRDefault="004A099C" w:rsidP="004A099C"/>
    <w:p w14:paraId="40F097D7" w14:textId="69E07825" w:rsidR="00366B5F" w:rsidRPr="0066646B" w:rsidRDefault="004A099C" w:rsidP="00CD75CF">
      <w:r w:rsidRPr="004A099C">
        <w:t>Do not freeze. Do not shake</w:t>
      </w:r>
    </w:p>
    <w:p w14:paraId="4C53FC5F" w14:textId="4C4A2FFC" w:rsidR="008F6CF6" w:rsidRPr="0066646B" w:rsidRDefault="002A55BD" w:rsidP="00550342">
      <w:pPr>
        <w:pStyle w:val="Heading2"/>
        <w:rPr>
          <w:rFonts w:hint="eastAsia"/>
          <w:lang w:val="en-GB"/>
        </w:rPr>
      </w:pPr>
      <w:r w:rsidRPr="0066646B">
        <w:rPr>
          <w:lang w:val="en-GB"/>
        </w:rPr>
        <w:t>6.5</w:t>
      </w:r>
      <w:r w:rsidRPr="0066646B">
        <w:rPr>
          <w:lang w:val="en-GB"/>
        </w:rPr>
        <w:tab/>
        <w:t xml:space="preserve">NATURE AND CONTENTS OF CONTAINER </w:t>
      </w:r>
    </w:p>
    <w:p w14:paraId="56F946DB" w14:textId="6A0ACA0E" w:rsidR="00366B5F" w:rsidRDefault="00EE6F17" w:rsidP="00CD75CF">
      <w:r>
        <w:t>POLIVY</w:t>
      </w:r>
      <w:r w:rsidR="00366B5F" w:rsidRPr="0066646B">
        <w:t xml:space="preserve"> is available in a single-use glass vial in a pack size of 1 vial.</w:t>
      </w:r>
    </w:p>
    <w:p w14:paraId="297E24A8" w14:textId="20A9AF50" w:rsidR="00F90EB5" w:rsidRDefault="00F90EB5" w:rsidP="00CD75CF"/>
    <w:p w14:paraId="28B7651C" w14:textId="0D90B771" w:rsidR="00F90EB5" w:rsidRPr="00F90EB5" w:rsidRDefault="00F90EB5" w:rsidP="00F90EB5">
      <w:r w:rsidRPr="0034631B">
        <w:rPr>
          <w:lang w:val="en-GB"/>
        </w:rPr>
        <w:t xml:space="preserve">The </w:t>
      </w:r>
      <w:r w:rsidR="00EE6F17">
        <w:rPr>
          <w:lang w:val="en-GB"/>
        </w:rPr>
        <w:t>POLIVY</w:t>
      </w:r>
      <w:r w:rsidRPr="0034631B">
        <w:rPr>
          <w:lang w:val="en-GB"/>
        </w:rPr>
        <w:t xml:space="preserve"> vial stoppers are not derived from natural rubber latex.  </w:t>
      </w:r>
    </w:p>
    <w:p w14:paraId="4D05B1EF" w14:textId="2323DADB" w:rsidR="008F6CF6" w:rsidRPr="0066646B" w:rsidRDefault="002A55BD" w:rsidP="00550342">
      <w:pPr>
        <w:pStyle w:val="Heading2"/>
        <w:rPr>
          <w:rFonts w:hint="eastAsia"/>
          <w:lang w:val="en-GB"/>
        </w:rPr>
      </w:pPr>
      <w:r w:rsidRPr="0066646B">
        <w:rPr>
          <w:lang w:val="en-GB"/>
        </w:rPr>
        <w:t>6.6</w:t>
      </w:r>
      <w:r w:rsidRPr="0066646B">
        <w:rPr>
          <w:lang w:val="en-GB"/>
        </w:rPr>
        <w:tab/>
        <w:t>SPECIAL PRECAUTIONS FOR DISPOSAL</w:t>
      </w:r>
    </w:p>
    <w:p w14:paraId="6FF8C575" w14:textId="5070FD06" w:rsidR="002B3CE5" w:rsidRDefault="002B3CE5" w:rsidP="002B3CE5">
      <w:pPr>
        <w:rPr>
          <w:lang w:val="en-US"/>
        </w:rPr>
      </w:pPr>
      <w:r w:rsidRPr="002B3CE5">
        <w:rPr>
          <w:lang w:val="en-US"/>
        </w:rPr>
        <w:t>The release of pharmaceuticals in the environment should be minimized. Medicines should not be disposed of via wastewater and disposal through household waste should be avoided.</w:t>
      </w:r>
    </w:p>
    <w:p w14:paraId="19A7ABB8" w14:textId="77777777" w:rsidR="002B3CE5" w:rsidRPr="002B3CE5" w:rsidRDefault="002B3CE5" w:rsidP="002B3CE5">
      <w:pPr>
        <w:rPr>
          <w:lang w:val="en-US"/>
        </w:rPr>
      </w:pPr>
    </w:p>
    <w:p w14:paraId="35BC05A0" w14:textId="4DC1D30C" w:rsidR="002B3CE5" w:rsidRDefault="002B3CE5" w:rsidP="002B3CE5">
      <w:pPr>
        <w:rPr>
          <w:lang w:val="en-GB"/>
        </w:rPr>
      </w:pPr>
      <w:r w:rsidRPr="002B3CE5">
        <w:rPr>
          <w:lang w:val="en-GB"/>
        </w:rPr>
        <w:t xml:space="preserve">The following points should be strictly adhered to regarding the use and disposal of syringes and other medicinal sharps: </w:t>
      </w:r>
    </w:p>
    <w:p w14:paraId="1FCA4FC0" w14:textId="77777777" w:rsidR="002B3CE5" w:rsidRPr="002B3CE5" w:rsidRDefault="002B3CE5" w:rsidP="002B3CE5">
      <w:pPr>
        <w:rPr>
          <w:lang w:val="en-GB"/>
        </w:rPr>
      </w:pPr>
    </w:p>
    <w:p w14:paraId="0930A92A" w14:textId="77777777" w:rsidR="002B3CE5" w:rsidRPr="002B3CE5" w:rsidRDefault="002B3CE5" w:rsidP="00A35B38">
      <w:pPr>
        <w:numPr>
          <w:ilvl w:val="0"/>
          <w:numId w:val="8"/>
        </w:numPr>
        <w:rPr>
          <w:lang w:val="en-GB"/>
        </w:rPr>
      </w:pPr>
      <w:r w:rsidRPr="002B3CE5">
        <w:rPr>
          <w:lang w:val="en-GB"/>
        </w:rPr>
        <w:t>Needles and syringes should never be reused.</w:t>
      </w:r>
    </w:p>
    <w:p w14:paraId="4FEB1F2C" w14:textId="7E83F769" w:rsidR="00366B5F" w:rsidRPr="002B3CE5" w:rsidRDefault="002B3CE5" w:rsidP="00A35B38">
      <w:pPr>
        <w:pStyle w:val="ListParagraph"/>
        <w:numPr>
          <w:ilvl w:val="0"/>
          <w:numId w:val="8"/>
        </w:numPr>
        <w:rPr>
          <w:lang w:val="en-GB"/>
        </w:rPr>
      </w:pPr>
      <w:r w:rsidRPr="002B3CE5">
        <w:rPr>
          <w:lang w:val="en-GB"/>
        </w:rPr>
        <w:t>Place all used needles and syringes into a sharps container (puncture-proof disposable container).</w:t>
      </w:r>
      <w:r w:rsidR="000107B3">
        <w:rPr>
          <w:lang w:val="en-GB"/>
        </w:rPr>
        <w:t xml:space="preserve"> </w:t>
      </w:r>
      <w:r w:rsidR="00366B5F" w:rsidRPr="002B3CE5">
        <w:rPr>
          <w:lang w:val="en-GB"/>
        </w:rPr>
        <w:t>Unused or expired medicine should be returned to a pharmacy for disposal.</w:t>
      </w:r>
    </w:p>
    <w:p w14:paraId="6E880D77" w14:textId="55030911" w:rsidR="008F6CF6" w:rsidRPr="0066646B" w:rsidRDefault="002A55BD" w:rsidP="00550342">
      <w:pPr>
        <w:pStyle w:val="Heading2"/>
        <w:rPr>
          <w:rFonts w:hint="eastAsia"/>
          <w:lang w:val="en-GB"/>
        </w:rPr>
      </w:pPr>
      <w:r w:rsidRPr="0066646B">
        <w:rPr>
          <w:lang w:val="en-GB"/>
        </w:rPr>
        <w:t>6.7</w:t>
      </w:r>
      <w:r w:rsidRPr="0066646B">
        <w:rPr>
          <w:lang w:val="en-GB"/>
        </w:rPr>
        <w:tab/>
        <w:t>PHYSICOCHEMICAL PROPERTIES</w:t>
      </w:r>
    </w:p>
    <w:p w14:paraId="744EE19B" w14:textId="5A60C547" w:rsidR="008F6CF6" w:rsidRPr="000D651F" w:rsidRDefault="008F6CF6" w:rsidP="00CD75CF">
      <w:pPr>
        <w:rPr>
          <w:lang w:val="en-GB"/>
        </w:rPr>
      </w:pPr>
      <w:r w:rsidRPr="000D651F">
        <w:rPr>
          <w:lang w:val="en-GB"/>
        </w:rPr>
        <w:lastRenderedPageBreak/>
        <w:t>CAS number</w:t>
      </w:r>
      <w:r w:rsidR="00366B5F" w:rsidRPr="000D651F">
        <w:rPr>
          <w:lang w:val="en-GB"/>
        </w:rPr>
        <w:t xml:space="preserve">: </w:t>
      </w:r>
    </w:p>
    <w:p w14:paraId="1131ECE0" w14:textId="77777777" w:rsidR="008F6CF6" w:rsidRPr="0066646B" w:rsidRDefault="008F6CF6" w:rsidP="00550342">
      <w:pPr>
        <w:pStyle w:val="Heading1"/>
        <w:rPr>
          <w:rFonts w:hint="eastAsia"/>
        </w:rPr>
      </w:pPr>
      <w:r w:rsidRPr="0066646B">
        <w:t>7</w:t>
      </w:r>
      <w:r w:rsidRPr="0066646B">
        <w:tab/>
        <w:t>MEDICINE SCHEDULE (POISONS STANDARD)</w:t>
      </w:r>
    </w:p>
    <w:p w14:paraId="5AFCD71C" w14:textId="5CFF293B" w:rsidR="00366B5F" w:rsidRPr="000D651F" w:rsidRDefault="00366B5F" w:rsidP="00CD75CF">
      <w:pPr>
        <w:rPr>
          <w:lang w:val="en-GB"/>
        </w:rPr>
      </w:pPr>
      <w:r w:rsidRPr="000D651F">
        <w:rPr>
          <w:lang w:val="en-GB"/>
        </w:rPr>
        <w:t>Schedule 4 – Prescription Only Medicine.</w:t>
      </w:r>
    </w:p>
    <w:p w14:paraId="435900B3" w14:textId="77777777" w:rsidR="008F6CF6" w:rsidRPr="0066646B" w:rsidRDefault="008F6CF6" w:rsidP="00550342">
      <w:pPr>
        <w:pStyle w:val="Heading1"/>
        <w:rPr>
          <w:rFonts w:hint="eastAsia"/>
        </w:rPr>
      </w:pPr>
      <w:r w:rsidRPr="0066646B">
        <w:t>8</w:t>
      </w:r>
      <w:r w:rsidRPr="0066646B">
        <w:tab/>
        <w:t>SPONSOR</w:t>
      </w:r>
    </w:p>
    <w:p w14:paraId="611A6914" w14:textId="77777777" w:rsidR="00366B5F" w:rsidRPr="000D651F" w:rsidRDefault="00366B5F" w:rsidP="00CD75CF">
      <w:pPr>
        <w:rPr>
          <w:lang w:val="en-GB"/>
        </w:rPr>
      </w:pPr>
      <w:r w:rsidRPr="000D651F">
        <w:rPr>
          <w:lang w:val="en-GB"/>
        </w:rPr>
        <w:t>Roche Products Pty Limited</w:t>
      </w:r>
    </w:p>
    <w:p w14:paraId="4D3E1BB3" w14:textId="77777777" w:rsidR="00366B5F" w:rsidRPr="000D651F" w:rsidRDefault="00366B5F" w:rsidP="00CD75CF">
      <w:pPr>
        <w:rPr>
          <w:lang w:val="en-GB"/>
        </w:rPr>
      </w:pPr>
      <w:r w:rsidRPr="000D651F">
        <w:rPr>
          <w:lang w:val="en-GB"/>
        </w:rPr>
        <w:t>ABN 70 000 132 865</w:t>
      </w:r>
    </w:p>
    <w:p w14:paraId="701C51E6" w14:textId="77777777" w:rsidR="00730F76" w:rsidRPr="000D651F" w:rsidRDefault="00730F76" w:rsidP="00730F76">
      <w:pPr>
        <w:rPr>
          <w:lang w:val="en-GB"/>
        </w:rPr>
      </w:pPr>
      <w:r w:rsidRPr="000D651F">
        <w:rPr>
          <w:lang w:val="en-GB"/>
        </w:rPr>
        <w:t xml:space="preserve">Level 8, 30 – 34 Hickson Road </w:t>
      </w:r>
    </w:p>
    <w:p w14:paraId="097EC66A" w14:textId="77777777" w:rsidR="00730F76" w:rsidRPr="000D651F" w:rsidRDefault="00730F76" w:rsidP="00730F76">
      <w:pPr>
        <w:rPr>
          <w:lang w:val="en-GB"/>
        </w:rPr>
      </w:pPr>
      <w:r w:rsidRPr="000D651F">
        <w:rPr>
          <w:lang w:val="en-GB"/>
        </w:rPr>
        <w:t>Sydney NSW 2000</w:t>
      </w:r>
    </w:p>
    <w:p w14:paraId="395BF337" w14:textId="77777777" w:rsidR="00730F76" w:rsidRPr="000D651F" w:rsidRDefault="00730F76" w:rsidP="00730F76">
      <w:pPr>
        <w:rPr>
          <w:lang w:val="en-GB"/>
        </w:rPr>
      </w:pPr>
      <w:r w:rsidRPr="000D651F">
        <w:rPr>
          <w:lang w:val="en-GB"/>
        </w:rPr>
        <w:t>AUSTRALIA</w:t>
      </w:r>
    </w:p>
    <w:p w14:paraId="421015C5" w14:textId="77777777" w:rsidR="00366B5F" w:rsidRPr="000D651F" w:rsidRDefault="00366B5F" w:rsidP="00CD75CF">
      <w:pPr>
        <w:rPr>
          <w:lang w:val="en-GB"/>
        </w:rPr>
      </w:pPr>
    </w:p>
    <w:p w14:paraId="2C296AAF" w14:textId="77777777" w:rsidR="00CD75CF" w:rsidRPr="000D651F" w:rsidRDefault="00366B5F" w:rsidP="00CD75CF">
      <w:pPr>
        <w:rPr>
          <w:lang w:val="en-GB"/>
        </w:rPr>
      </w:pPr>
      <w:r w:rsidRPr="000D651F">
        <w:rPr>
          <w:lang w:val="en-GB"/>
        </w:rPr>
        <w:t>Medical enquiries: 1800 233 950</w:t>
      </w:r>
    </w:p>
    <w:p w14:paraId="487CBD20" w14:textId="4BEE8D65" w:rsidR="008F6CF6" w:rsidRPr="0066646B" w:rsidRDefault="008F6CF6" w:rsidP="00550342">
      <w:pPr>
        <w:pStyle w:val="Heading1"/>
        <w:rPr>
          <w:rFonts w:hint="eastAsia"/>
        </w:rPr>
      </w:pPr>
      <w:r w:rsidRPr="0066646B">
        <w:t>9</w:t>
      </w:r>
      <w:r w:rsidRPr="0066646B">
        <w:tab/>
        <w:t xml:space="preserve">DATE OF FIRST APPROVAL  </w:t>
      </w:r>
    </w:p>
    <w:p w14:paraId="265972EC" w14:textId="3AF66064" w:rsidR="00366B5F" w:rsidRPr="000D651F" w:rsidRDefault="00686DA2" w:rsidP="008F6CF6">
      <w:pPr>
        <w:keepNext/>
        <w:rPr>
          <w:lang w:val="en-GB"/>
        </w:rPr>
      </w:pPr>
      <w:r>
        <w:rPr>
          <w:lang w:val="en-GB"/>
        </w:rPr>
        <w:t>21 October 2019</w:t>
      </w:r>
    </w:p>
    <w:p w14:paraId="74705641" w14:textId="6D66D670" w:rsidR="008F6CF6" w:rsidRPr="0066646B" w:rsidRDefault="008F6CF6" w:rsidP="00550342">
      <w:pPr>
        <w:pStyle w:val="Heading1"/>
        <w:rPr>
          <w:rFonts w:hint="eastAsia"/>
        </w:rPr>
      </w:pPr>
      <w:r w:rsidRPr="0066646B">
        <w:t>10</w:t>
      </w:r>
      <w:r w:rsidRPr="0066646B">
        <w:tab/>
        <w:t>DATE OF REVISION</w:t>
      </w:r>
      <w:r w:rsidR="009D725C" w:rsidRPr="0066646B">
        <w:t xml:space="preserve"> OF THE TEXT</w:t>
      </w:r>
      <w:r w:rsidRPr="0066646B">
        <w:t xml:space="preserve"> </w:t>
      </w:r>
    </w:p>
    <w:p w14:paraId="25922A47" w14:textId="18DCA5FC" w:rsidR="00366B5F" w:rsidRPr="000D651F" w:rsidRDefault="00686DA2" w:rsidP="008F6CF6">
      <w:pPr>
        <w:keepNext/>
        <w:rPr>
          <w:lang w:val="en-GB"/>
        </w:rPr>
      </w:pPr>
      <w:r>
        <w:rPr>
          <w:lang w:val="en-GB"/>
        </w:rPr>
        <w:t>N/A</w:t>
      </w:r>
    </w:p>
    <w:p w14:paraId="3FE7CB69" w14:textId="16769632" w:rsidR="00AD1E16" w:rsidRPr="000D651F" w:rsidRDefault="00AD1E16">
      <w:pPr>
        <w:jc w:val="left"/>
        <w:rPr>
          <w:lang w:val="en-GB"/>
        </w:rPr>
      </w:pPr>
    </w:p>
    <w:p w14:paraId="736CBBCF" w14:textId="7FF57834" w:rsidR="00366B5F" w:rsidRPr="005679D5" w:rsidRDefault="00CD75CF" w:rsidP="00CE76C0">
      <w:pPr>
        <w:pStyle w:val="Heading1"/>
        <w:rPr>
          <w:rFonts w:hint="eastAsia"/>
        </w:rPr>
      </w:pPr>
      <w:r w:rsidRPr="0066646B">
        <w:t>SUMMARY TABLE OF CHANGES</w:t>
      </w:r>
    </w:p>
    <w:tbl>
      <w:tblPr>
        <w:tblStyle w:val="TableGrid"/>
        <w:tblW w:w="0" w:type="auto"/>
        <w:tblLook w:val="04A0" w:firstRow="1" w:lastRow="0" w:firstColumn="1" w:lastColumn="0" w:noHBand="0" w:noVBand="1"/>
      </w:tblPr>
      <w:tblGrid>
        <w:gridCol w:w="2518"/>
        <w:gridCol w:w="6769"/>
      </w:tblGrid>
      <w:tr w:rsidR="0066646B" w:rsidRPr="0066646B" w14:paraId="4A4ABA56" w14:textId="77777777" w:rsidTr="00AD1E16">
        <w:tc>
          <w:tcPr>
            <w:tcW w:w="2518" w:type="dxa"/>
          </w:tcPr>
          <w:p w14:paraId="03CD38FE" w14:textId="053C2597" w:rsidR="00CD75CF" w:rsidRPr="005679D5" w:rsidRDefault="00CD75CF" w:rsidP="00AD1E16">
            <w:pPr>
              <w:keepNext/>
              <w:jc w:val="left"/>
              <w:rPr>
                <w:lang w:val="en-GB"/>
              </w:rPr>
            </w:pPr>
            <w:r w:rsidRPr="005679D5">
              <w:rPr>
                <w:lang w:val="en-GB"/>
              </w:rPr>
              <w:t>Section Changed</w:t>
            </w:r>
          </w:p>
        </w:tc>
        <w:tc>
          <w:tcPr>
            <w:tcW w:w="6769" w:type="dxa"/>
          </w:tcPr>
          <w:p w14:paraId="73101035" w14:textId="2643880F" w:rsidR="00CD75CF" w:rsidRPr="005679D5" w:rsidRDefault="00CD75CF" w:rsidP="008F6CF6">
            <w:pPr>
              <w:keepNext/>
              <w:rPr>
                <w:lang w:val="en-GB"/>
              </w:rPr>
            </w:pPr>
            <w:r w:rsidRPr="005679D5">
              <w:rPr>
                <w:lang w:val="en-GB"/>
              </w:rPr>
              <w:t>Summary of new information</w:t>
            </w:r>
          </w:p>
        </w:tc>
      </w:tr>
      <w:tr w:rsidR="0066646B" w:rsidRPr="0066646B" w14:paraId="66E3A79F" w14:textId="77777777" w:rsidTr="00AD1E16">
        <w:tc>
          <w:tcPr>
            <w:tcW w:w="2518" w:type="dxa"/>
          </w:tcPr>
          <w:p w14:paraId="2FDB6377" w14:textId="12C98B11" w:rsidR="00CD75CF" w:rsidRPr="005679D5" w:rsidRDefault="0046746A" w:rsidP="00AD1E16">
            <w:pPr>
              <w:keepNext/>
              <w:jc w:val="left"/>
              <w:rPr>
                <w:lang w:val="en-GB"/>
              </w:rPr>
            </w:pPr>
            <w:r>
              <w:rPr>
                <w:lang w:val="en-GB"/>
              </w:rPr>
              <w:t>N/A</w:t>
            </w:r>
          </w:p>
        </w:tc>
        <w:tc>
          <w:tcPr>
            <w:tcW w:w="6769" w:type="dxa"/>
          </w:tcPr>
          <w:p w14:paraId="0E838721" w14:textId="2FE17509" w:rsidR="00CD75CF" w:rsidRPr="005679D5" w:rsidRDefault="0046746A" w:rsidP="004114B4">
            <w:pPr>
              <w:keepNext/>
              <w:rPr>
                <w:lang w:val="en-GB"/>
              </w:rPr>
            </w:pPr>
            <w:r>
              <w:rPr>
                <w:lang w:val="en-GB"/>
              </w:rPr>
              <w:t>N/A</w:t>
            </w:r>
          </w:p>
        </w:tc>
      </w:tr>
    </w:tbl>
    <w:p w14:paraId="2851420D" w14:textId="77777777" w:rsidR="00CD75CF" w:rsidRPr="005679D5" w:rsidRDefault="00CD75CF" w:rsidP="008F6CF6">
      <w:pPr>
        <w:keepNext/>
        <w:rPr>
          <w:lang w:val="en-GB"/>
        </w:rPr>
      </w:pPr>
    </w:p>
    <w:sectPr w:rsidR="00CD75CF" w:rsidRPr="005679D5" w:rsidSect="00C20650">
      <w:headerReference w:type="even" r:id="rId14"/>
      <w:headerReference w:type="default" r:id="rId15"/>
      <w:footerReference w:type="even" r:id="rId16"/>
      <w:footerReference w:type="default" r:id="rId17"/>
      <w:headerReference w:type="first" r:id="rId18"/>
      <w:footerReference w:type="first" r:id="rId19"/>
      <w:pgSz w:w="11907" w:h="16839" w:code="9"/>
      <w:pgMar w:top="1418" w:right="1275" w:bottom="1418" w:left="1418"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BB382" w14:textId="77777777" w:rsidR="008E534D" w:rsidRDefault="008E534D" w:rsidP="000471CA">
      <w:r>
        <w:separator/>
      </w:r>
    </w:p>
  </w:endnote>
  <w:endnote w:type="continuationSeparator" w:id="0">
    <w:p w14:paraId="7CA6C7D5" w14:textId="77777777" w:rsidR="008E534D" w:rsidRDefault="008E534D" w:rsidP="0004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20500000000000000"/>
    <w:charset w:val="88"/>
    <w:family w:val="roman"/>
    <w:pitch w:val="variable"/>
    <w:sig w:usb0="00000000" w:usb1="28CFFCFA" w:usb2="00000016" w:usb3="00000000" w:csb0="001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inion">
    <w:altName w:val="Cambria Math"/>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38C7" w14:textId="77777777" w:rsidR="00DE0007" w:rsidRDefault="00DE0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4724E" w14:textId="0D3A78A4" w:rsidR="008E534D" w:rsidRDefault="008E534D" w:rsidP="00DA1628">
    <w:pPr>
      <w:pStyle w:val="Footer"/>
      <w:pBdr>
        <w:top w:val="single" w:sz="4" w:space="1" w:color="auto"/>
      </w:pBdr>
      <w:tabs>
        <w:tab w:val="clear" w:pos="4513"/>
        <w:tab w:val="clear" w:pos="9026"/>
        <w:tab w:val="right" w:pos="9072"/>
      </w:tabs>
      <w:rPr>
        <w:color w:val="000000"/>
        <w:sz w:val="16"/>
        <w:szCs w:val="16"/>
      </w:rPr>
    </w:pPr>
    <w:r>
      <w:rPr>
        <w:color w:val="000000"/>
        <w:sz w:val="16"/>
        <w:szCs w:val="16"/>
      </w:rPr>
      <w:t>POLIVY</w:t>
    </w:r>
    <w:r w:rsidRPr="00DA1628">
      <w:rPr>
        <w:color w:val="000000"/>
        <w:sz w:val="16"/>
        <w:szCs w:val="16"/>
        <w:vertAlign w:val="superscript"/>
      </w:rPr>
      <w:sym w:font="Symbol" w:char="F0D2"/>
    </w:r>
    <w:r w:rsidRPr="00DA1628">
      <w:rPr>
        <w:color w:val="000000"/>
        <w:sz w:val="16"/>
        <w:szCs w:val="16"/>
      </w:rPr>
      <w:t xml:space="preserve"> </w:t>
    </w:r>
    <w:r>
      <w:rPr>
        <w:color w:val="000000"/>
        <w:sz w:val="16"/>
        <w:szCs w:val="16"/>
      </w:rPr>
      <w:t>191021</w:t>
    </w:r>
    <w:r w:rsidRPr="00DA1628">
      <w:rPr>
        <w:color w:val="000000"/>
        <w:sz w:val="16"/>
        <w:szCs w:val="16"/>
      </w:rPr>
      <w:tab/>
    </w:r>
    <w:r w:rsidRPr="00DA1628">
      <w:rPr>
        <w:color w:val="000000"/>
        <w:sz w:val="16"/>
        <w:szCs w:val="16"/>
      </w:rPr>
      <w:fldChar w:fldCharType="begin"/>
    </w:r>
    <w:r w:rsidRPr="00DA1628">
      <w:rPr>
        <w:color w:val="000000"/>
        <w:sz w:val="16"/>
        <w:szCs w:val="16"/>
      </w:rPr>
      <w:instrText xml:space="preserve"> PAGE  \* Arabic  \* MERGEFORMAT </w:instrText>
    </w:r>
    <w:r w:rsidRPr="00DA1628">
      <w:rPr>
        <w:color w:val="000000"/>
        <w:sz w:val="16"/>
        <w:szCs w:val="16"/>
      </w:rPr>
      <w:fldChar w:fldCharType="separate"/>
    </w:r>
    <w:r w:rsidR="003B0798">
      <w:rPr>
        <w:noProof/>
        <w:color w:val="000000"/>
        <w:sz w:val="16"/>
        <w:szCs w:val="16"/>
      </w:rPr>
      <w:t>19</w:t>
    </w:r>
    <w:r w:rsidRPr="00DA1628">
      <w:rPr>
        <w:color w:val="000000"/>
        <w:sz w:val="16"/>
        <w:szCs w:val="16"/>
      </w:rPr>
      <w:fldChar w:fldCharType="end"/>
    </w:r>
  </w:p>
  <w:p w14:paraId="2694724F" w14:textId="77777777" w:rsidR="008E534D" w:rsidRPr="00DA1628" w:rsidRDefault="008E534D" w:rsidP="00DA1628">
    <w:pPr>
      <w:pStyle w:val="Footer"/>
      <w:pBdr>
        <w:top w:val="single" w:sz="4" w:space="1" w:color="auto"/>
      </w:pBdr>
      <w:tabs>
        <w:tab w:val="clear" w:pos="4513"/>
        <w:tab w:val="clear" w:pos="9026"/>
        <w:tab w:val="right" w:pos="9072"/>
      </w:tabs>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6925" w14:textId="1B36C0E2" w:rsidR="008E534D" w:rsidRDefault="008E534D" w:rsidP="00900395">
    <w:pPr>
      <w:pStyle w:val="Footer"/>
      <w:pBdr>
        <w:top w:val="single" w:sz="4" w:space="1" w:color="auto"/>
      </w:pBdr>
      <w:tabs>
        <w:tab w:val="clear" w:pos="4513"/>
        <w:tab w:val="clear" w:pos="9026"/>
        <w:tab w:val="right" w:pos="9072"/>
      </w:tabs>
      <w:rPr>
        <w:color w:val="000000"/>
        <w:sz w:val="16"/>
        <w:szCs w:val="16"/>
      </w:rPr>
    </w:pPr>
    <w:r>
      <w:rPr>
        <w:color w:val="000000"/>
        <w:sz w:val="16"/>
        <w:szCs w:val="16"/>
      </w:rPr>
      <w:t>POLIVY</w:t>
    </w:r>
    <w:r w:rsidRPr="00DA1628">
      <w:rPr>
        <w:color w:val="000000"/>
        <w:sz w:val="16"/>
        <w:szCs w:val="16"/>
        <w:vertAlign w:val="superscript"/>
      </w:rPr>
      <w:sym w:font="Symbol" w:char="F0D2"/>
    </w:r>
    <w:r w:rsidRPr="00DA1628">
      <w:rPr>
        <w:color w:val="000000"/>
        <w:sz w:val="16"/>
        <w:szCs w:val="16"/>
      </w:rPr>
      <w:t xml:space="preserve"> </w:t>
    </w:r>
    <w:r>
      <w:rPr>
        <w:color w:val="000000"/>
        <w:sz w:val="16"/>
        <w:szCs w:val="16"/>
      </w:rPr>
      <w:t>191021</w:t>
    </w:r>
    <w:r w:rsidRPr="00DA1628">
      <w:rPr>
        <w:color w:val="000000"/>
        <w:sz w:val="16"/>
        <w:szCs w:val="16"/>
      </w:rPr>
      <w:tab/>
    </w:r>
    <w:r w:rsidRPr="00DA1628">
      <w:rPr>
        <w:color w:val="000000"/>
        <w:sz w:val="16"/>
        <w:szCs w:val="16"/>
      </w:rPr>
      <w:fldChar w:fldCharType="begin"/>
    </w:r>
    <w:r w:rsidRPr="00DA1628">
      <w:rPr>
        <w:color w:val="000000"/>
        <w:sz w:val="16"/>
        <w:szCs w:val="16"/>
      </w:rPr>
      <w:instrText xml:space="preserve"> PAGE  \* Arabic  \* MERGEFORMAT </w:instrText>
    </w:r>
    <w:r w:rsidRPr="00DA1628">
      <w:rPr>
        <w:color w:val="000000"/>
        <w:sz w:val="16"/>
        <w:szCs w:val="16"/>
      </w:rPr>
      <w:fldChar w:fldCharType="separate"/>
    </w:r>
    <w:r w:rsidR="003B0798">
      <w:rPr>
        <w:noProof/>
        <w:color w:val="000000"/>
        <w:sz w:val="16"/>
        <w:szCs w:val="16"/>
      </w:rPr>
      <w:t>1</w:t>
    </w:r>
    <w:r w:rsidRPr="00DA1628">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FB1AA" w14:textId="77777777" w:rsidR="008E534D" w:rsidRDefault="008E534D" w:rsidP="000471CA">
      <w:r>
        <w:separator/>
      </w:r>
    </w:p>
  </w:footnote>
  <w:footnote w:type="continuationSeparator" w:id="0">
    <w:p w14:paraId="039F95A2" w14:textId="77777777" w:rsidR="008E534D" w:rsidRDefault="008E534D" w:rsidP="00047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90F3" w14:textId="77777777" w:rsidR="00DE0007" w:rsidRDefault="00DE0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DE0007" w:rsidRPr="002E7F61" w14:paraId="6AA97C13" w14:textId="77777777" w:rsidTr="003019AD">
      <w:trPr>
        <w:trHeight w:val="590"/>
      </w:trPr>
      <w:tc>
        <w:tcPr>
          <w:tcW w:w="8720" w:type="dxa"/>
          <w:shd w:val="clear" w:color="auto" w:fill="E4F2E0"/>
        </w:tcPr>
        <w:p w14:paraId="4637EDC5" w14:textId="77777777" w:rsidR="00DE0007" w:rsidRPr="002E7F61" w:rsidRDefault="00DE0007" w:rsidP="00DE0007">
          <w:pPr>
            <w:pStyle w:val="Footer"/>
            <w:rPr>
              <w:b/>
              <w:sz w:val="18"/>
              <w:szCs w:val="18"/>
            </w:rPr>
          </w:pPr>
          <w:r w:rsidRPr="002E7F61">
            <w:rPr>
              <w:b/>
              <w:sz w:val="18"/>
              <w:szCs w:val="18"/>
            </w:rPr>
            <w:t xml:space="preserve">Attachment 1: Product </w:t>
          </w:r>
          <w:r w:rsidRPr="002E04C0">
            <w:rPr>
              <w:b/>
              <w:sz w:val="18"/>
              <w:szCs w:val="18"/>
            </w:rPr>
            <w:t>AusPAR for Polivy (polatuzumab vedotin) Roche Products Pty Limited PM-2019-00471-1-6</w:t>
          </w:r>
          <w:r>
            <w:rPr>
              <w:b/>
              <w:sz w:val="18"/>
              <w:szCs w:val="18"/>
            </w:rPr>
            <w:t xml:space="preserve"> </w:t>
          </w:r>
          <w:r w:rsidRPr="002E04C0">
            <w:rPr>
              <w:b/>
              <w:sz w:val="18"/>
              <w:szCs w:val="18"/>
            </w:rPr>
            <w:t>Final 3 December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sz w:val="18"/>
                <w:szCs w:val="18"/>
              </w:rPr>
              <w:t>https://www.tga.gov.au/product-information-pi</w:t>
            </w:r>
          </w:hyperlink>
          <w:r w:rsidRPr="00FF2AA4">
            <w:rPr>
              <w:b/>
              <w:sz w:val="18"/>
              <w:szCs w:val="18"/>
              <w:u w:val="single"/>
            </w:rPr>
            <w:t>&gt;</w:t>
          </w:r>
        </w:p>
      </w:tc>
    </w:tr>
  </w:tbl>
  <w:p w14:paraId="2694724D" w14:textId="7106C9ED" w:rsidR="008E534D" w:rsidRPr="00DE0007" w:rsidRDefault="008E534D" w:rsidP="00DE0007">
    <w:pPr>
      <w:pStyle w:val="Header"/>
      <w:jc w:val="left"/>
      <w:rPr>
        <w:sz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DE0007" w:rsidRPr="002E7F61" w14:paraId="07A89F38" w14:textId="77777777" w:rsidTr="003019AD">
      <w:trPr>
        <w:trHeight w:val="590"/>
      </w:trPr>
      <w:tc>
        <w:tcPr>
          <w:tcW w:w="8720" w:type="dxa"/>
          <w:shd w:val="clear" w:color="auto" w:fill="E4F2E0"/>
        </w:tcPr>
        <w:p w14:paraId="2578001A" w14:textId="77777777" w:rsidR="00DE0007" w:rsidRPr="002E7F61" w:rsidRDefault="00DE0007" w:rsidP="00DE0007">
          <w:pPr>
            <w:pStyle w:val="Footer"/>
            <w:rPr>
              <w:b/>
              <w:sz w:val="18"/>
              <w:szCs w:val="18"/>
            </w:rPr>
          </w:pPr>
          <w:r w:rsidRPr="002E7F61">
            <w:rPr>
              <w:b/>
              <w:sz w:val="18"/>
              <w:szCs w:val="18"/>
            </w:rPr>
            <w:t xml:space="preserve">Attachment 1: Product </w:t>
          </w:r>
          <w:r w:rsidRPr="002E04C0">
            <w:rPr>
              <w:b/>
              <w:sz w:val="18"/>
              <w:szCs w:val="18"/>
            </w:rPr>
            <w:t>AusPAR for Polivy (polatuzumab vedotin) Roche Products Pty Limited PM-2019-00471-1-6</w:t>
          </w:r>
          <w:r>
            <w:rPr>
              <w:b/>
              <w:sz w:val="18"/>
              <w:szCs w:val="18"/>
            </w:rPr>
            <w:t xml:space="preserve"> </w:t>
          </w:r>
          <w:r w:rsidRPr="002E04C0">
            <w:rPr>
              <w:b/>
              <w:sz w:val="18"/>
              <w:szCs w:val="18"/>
            </w:rPr>
            <w:t>Final 3 December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sz w:val="18"/>
                <w:szCs w:val="18"/>
              </w:rPr>
              <w:t>https://www.tga.gov.au/product-information-pi</w:t>
            </w:r>
          </w:hyperlink>
          <w:r w:rsidRPr="00FF2AA4">
            <w:rPr>
              <w:b/>
              <w:sz w:val="18"/>
              <w:szCs w:val="18"/>
              <w:u w:val="single"/>
            </w:rPr>
            <w:t>&gt;</w:t>
          </w:r>
        </w:p>
      </w:tc>
    </w:tr>
  </w:tbl>
  <w:p w14:paraId="5C9ED769" w14:textId="77777777" w:rsidR="00DE0007" w:rsidRDefault="00DE0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BCF"/>
    <w:multiLevelType w:val="hybridMultilevel"/>
    <w:tmpl w:val="2A5A30D2"/>
    <w:lvl w:ilvl="0" w:tplc="1C58A4BE">
      <w:start w:val="1"/>
      <w:numFmt w:val="bullet"/>
      <w:lvlText w:val=""/>
      <w:lvlJc w:val="left"/>
      <w:pPr>
        <w:ind w:left="720" w:hanging="360"/>
      </w:pPr>
      <w:rPr>
        <w:rFonts w:ascii="Symbol" w:hAnsi="Symbol" w:hint="default"/>
      </w:rPr>
    </w:lvl>
    <w:lvl w:ilvl="1" w:tplc="953CC8E2">
      <w:start w:val="1"/>
      <w:numFmt w:val="bullet"/>
      <w:lvlText w:val="o"/>
      <w:lvlJc w:val="left"/>
      <w:pPr>
        <w:ind w:left="1440" w:hanging="360"/>
      </w:pPr>
      <w:rPr>
        <w:rFonts w:ascii="Courier New" w:hAnsi="Courier New" w:cs="Courier New" w:hint="default"/>
      </w:rPr>
    </w:lvl>
    <w:lvl w:ilvl="2" w:tplc="F9061702" w:tentative="1">
      <w:start w:val="1"/>
      <w:numFmt w:val="bullet"/>
      <w:lvlText w:val=""/>
      <w:lvlJc w:val="left"/>
      <w:pPr>
        <w:ind w:left="2160" w:hanging="360"/>
      </w:pPr>
      <w:rPr>
        <w:rFonts w:ascii="Wingdings" w:hAnsi="Wingdings" w:hint="default"/>
      </w:rPr>
    </w:lvl>
    <w:lvl w:ilvl="3" w:tplc="02BC3316" w:tentative="1">
      <w:start w:val="1"/>
      <w:numFmt w:val="bullet"/>
      <w:lvlText w:val=""/>
      <w:lvlJc w:val="left"/>
      <w:pPr>
        <w:ind w:left="2880" w:hanging="360"/>
      </w:pPr>
      <w:rPr>
        <w:rFonts w:ascii="Symbol" w:hAnsi="Symbol" w:hint="default"/>
      </w:rPr>
    </w:lvl>
    <w:lvl w:ilvl="4" w:tplc="55DAF994" w:tentative="1">
      <w:start w:val="1"/>
      <w:numFmt w:val="bullet"/>
      <w:lvlText w:val="o"/>
      <w:lvlJc w:val="left"/>
      <w:pPr>
        <w:ind w:left="3600" w:hanging="360"/>
      </w:pPr>
      <w:rPr>
        <w:rFonts w:ascii="Courier New" w:hAnsi="Courier New" w:cs="Courier New" w:hint="default"/>
      </w:rPr>
    </w:lvl>
    <w:lvl w:ilvl="5" w:tplc="5FE66036" w:tentative="1">
      <w:start w:val="1"/>
      <w:numFmt w:val="bullet"/>
      <w:lvlText w:val=""/>
      <w:lvlJc w:val="left"/>
      <w:pPr>
        <w:ind w:left="4320" w:hanging="360"/>
      </w:pPr>
      <w:rPr>
        <w:rFonts w:ascii="Wingdings" w:hAnsi="Wingdings" w:hint="default"/>
      </w:rPr>
    </w:lvl>
    <w:lvl w:ilvl="6" w:tplc="544E8628" w:tentative="1">
      <w:start w:val="1"/>
      <w:numFmt w:val="bullet"/>
      <w:lvlText w:val=""/>
      <w:lvlJc w:val="left"/>
      <w:pPr>
        <w:ind w:left="5040" w:hanging="360"/>
      </w:pPr>
      <w:rPr>
        <w:rFonts w:ascii="Symbol" w:hAnsi="Symbol" w:hint="default"/>
      </w:rPr>
    </w:lvl>
    <w:lvl w:ilvl="7" w:tplc="164CA0DA" w:tentative="1">
      <w:start w:val="1"/>
      <w:numFmt w:val="bullet"/>
      <w:lvlText w:val="o"/>
      <w:lvlJc w:val="left"/>
      <w:pPr>
        <w:ind w:left="5760" w:hanging="360"/>
      </w:pPr>
      <w:rPr>
        <w:rFonts w:ascii="Courier New" w:hAnsi="Courier New" w:cs="Courier New" w:hint="default"/>
      </w:rPr>
    </w:lvl>
    <w:lvl w:ilvl="8" w:tplc="764CB654" w:tentative="1">
      <w:start w:val="1"/>
      <w:numFmt w:val="bullet"/>
      <w:lvlText w:val=""/>
      <w:lvlJc w:val="left"/>
      <w:pPr>
        <w:ind w:left="6480" w:hanging="360"/>
      </w:pPr>
      <w:rPr>
        <w:rFonts w:ascii="Wingdings" w:hAnsi="Wingdings" w:hint="default"/>
      </w:rPr>
    </w:lvl>
  </w:abstractNum>
  <w:abstractNum w:abstractNumId="1" w15:restartNumberingAfterBreak="0">
    <w:nsid w:val="15BD1736"/>
    <w:multiLevelType w:val="hybridMultilevel"/>
    <w:tmpl w:val="CFEC28F4"/>
    <w:lvl w:ilvl="0" w:tplc="0409000F">
      <w:start w:val="1"/>
      <w:numFmt w:val="decimal"/>
      <w:lvlText w:val="%1."/>
      <w:lvlJc w:val="left"/>
      <w:pPr>
        <w:ind w:left="1224" w:hanging="360"/>
      </w:pPr>
      <w:rPr>
        <w:rFonts w:hint="default"/>
      </w:rPr>
    </w:lvl>
    <w:lvl w:ilvl="1" w:tplc="344249E6" w:tentative="1">
      <w:start w:val="1"/>
      <w:numFmt w:val="bullet"/>
      <w:lvlText w:val="o"/>
      <w:lvlJc w:val="left"/>
      <w:pPr>
        <w:ind w:left="1944" w:hanging="360"/>
      </w:pPr>
      <w:rPr>
        <w:rFonts w:ascii="Courier New" w:hAnsi="Courier New" w:cs="Courier New" w:hint="default"/>
      </w:rPr>
    </w:lvl>
    <w:lvl w:ilvl="2" w:tplc="64E40744" w:tentative="1">
      <w:start w:val="1"/>
      <w:numFmt w:val="bullet"/>
      <w:lvlText w:val=""/>
      <w:lvlJc w:val="left"/>
      <w:pPr>
        <w:ind w:left="2664" w:hanging="360"/>
      </w:pPr>
      <w:rPr>
        <w:rFonts w:ascii="Wingdings" w:hAnsi="Wingdings" w:hint="default"/>
      </w:rPr>
    </w:lvl>
    <w:lvl w:ilvl="3" w:tplc="FA4CCE10" w:tentative="1">
      <w:start w:val="1"/>
      <w:numFmt w:val="bullet"/>
      <w:lvlText w:val=""/>
      <w:lvlJc w:val="left"/>
      <w:pPr>
        <w:ind w:left="3384" w:hanging="360"/>
      </w:pPr>
      <w:rPr>
        <w:rFonts w:ascii="Symbol" w:hAnsi="Symbol" w:hint="default"/>
      </w:rPr>
    </w:lvl>
    <w:lvl w:ilvl="4" w:tplc="E47ABA6A" w:tentative="1">
      <w:start w:val="1"/>
      <w:numFmt w:val="bullet"/>
      <w:lvlText w:val="o"/>
      <w:lvlJc w:val="left"/>
      <w:pPr>
        <w:ind w:left="4104" w:hanging="360"/>
      </w:pPr>
      <w:rPr>
        <w:rFonts w:ascii="Courier New" w:hAnsi="Courier New" w:cs="Courier New" w:hint="default"/>
      </w:rPr>
    </w:lvl>
    <w:lvl w:ilvl="5" w:tplc="0CAA2390" w:tentative="1">
      <w:start w:val="1"/>
      <w:numFmt w:val="bullet"/>
      <w:lvlText w:val=""/>
      <w:lvlJc w:val="left"/>
      <w:pPr>
        <w:ind w:left="4824" w:hanging="360"/>
      </w:pPr>
      <w:rPr>
        <w:rFonts w:ascii="Wingdings" w:hAnsi="Wingdings" w:hint="default"/>
      </w:rPr>
    </w:lvl>
    <w:lvl w:ilvl="6" w:tplc="B0647002" w:tentative="1">
      <w:start w:val="1"/>
      <w:numFmt w:val="bullet"/>
      <w:lvlText w:val=""/>
      <w:lvlJc w:val="left"/>
      <w:pPr>
        <w:ind w:left="5544" w:hanging="360"/>
      </w:pPr>
      <w:rPr>
        <w:rFonts w:ascii="Symbol" w:hAnsi="Symbol" w:hint="default"/>
      </w:rPr>
    </w:lvl>
    <w:lvl w:ilvl="7" w:tplc="69207DA2" w:tentative="1">
      <w:start w:val="1"/>
      <w:numFmt w:val="bullet"/>
      <w:lvlText w:val="o"/>
      <w:lvlJc w:val="left"/>
      <w:pPr>
        <w:ind w:left="6264" w:hanging="360"/>
      </w:pPr>
      <w:rPr>
        <w:rFonts w:ascii="Courier New" w:hAnsi="Courier New" w:cs="Courier New" w:hint="default"/>
      </w:rPr>
    </w:lvl>
    <w:lvl w:ilvl="8" w:tplc="31EED846" w:tentative="1">
      <w:start w:val="1"/>
      <w:numFmt w:val="bullet"/>
      <w:lvlText w:val=""/>
      <w:lvlJc w:val="left"/>
      <w:pPr>
        <w:ind w:left="6984" w:hanging="360"/>
      </w:pPr>
      <w:rPr>
        <w:rFonts w:ascii="Wingdings" w:hAnsi="Wingdings" w:hint="default"/>
      </w:rPr>
    </w:lvl>
  </w:abstractNum>
  <w:abstractNum w:abstractNumId="2" w15:restartNumberingAfterBreak="0">
    <w:nsid w:val="20F636C9"/>
    <w:multiLevelType w:val="hybridMultilevel"/>
    <w:tmpl w:val="A2225F0C"/>
    <w:lvl w:ilvl="0" w:tplc="63C86F3E">
      <w:start w:val="1"/>
      <w:numFmt w:val="bullet"/>
      <w:lvlText w:val=""/>
      <w:lvlJc w:val="left"/>
      <w:pPr>
        <w:tabs>
          <w:tab w:val="num" w:pos="720"/>
        </w:tabs>
        <w:ind w:left="720" w:hanging="360"/>
      </w:pPr>
      <w:rPr>
        <w:rFonts w:ascii="Symbol" w:hAnsi="Symbol" w:hint="default"/>
      </w:rPr>
    </w:lvl>
    <w:lvl w:ilvl="1" w:tplc="0AF85148">
      <w:start w:val="1"/>
      <w:numFmt w:val="bullet"/>
      <w:lvlText w:val="o"/>
      <w:lvlJc w:val="left"/>
      <w:pPr>
        <w:tabs>
          <w:tab w:val="num" w:pos="1440"/>
        </w:tabs>
        <w:ind w:left="1440" w:hanging="360"/>
      </w:pPr>
      <w:rPr>
        <w:rFonts w:ascii="Courier New" w:hAnsi="Courier New" w:cs="Times New Roman" w:hint="default"/>
      </w:rPr>
    </w:lvl>
    <w:lvl w:ilvl="2" w:tplc="8AA2DE58">
      <w:start w:val="1"/>
      <w:numFmt w:val="bullet"/>
      <w:lvlText w:val=""/>
      <w:lvlJc w:val="left"/>
      <w:pPr>
        <w:tabs>
          <w:tab w:val="num" w:pos="2160"/>
        </w:tabs>
        <w:ind w:left="2160" w:hanging="360"/>
      </w:pPr>
      <w:rPr>
        <w:rFonts w:ascii="Wingdings" w:hAnsi="Wingdings" w:hint="default"/>
      </w:rPr>
    </w:lvl>
    <w:lvl w:ilvl="3" w:tplc="8E0E2574">
      <w:start w:val="1"/>
      <w:numFmt w:val="bullet"/>
      <w:lvlText w:val=""/>
      <w:lvlJc w:val="left"/>
      <w:pPr>
        <w:tabs>
          <w:tab w:val="num" w:pos="2880"/>
        </w:tabs>
        <w:ind w:left="2880" w:hanging="360"/>
      </w:pPr>
      <w:rPr>
        <w:rFonts w:ascii="Symbol" w:hAnsi="Symbol" w:hint="default"/>
      </w:rPr>
    </w:lvl>
    <w:lvl w:ilvl="4" w:tplc="5A5AC4BE">
      <w:start w:val="1"/>
      <w:numFmt w:val="bullet"/>
      <w:lvlText w:val="o"/>
      <w:lvlJc w:val="left"/>
      <w:pPr>
        <w:tabs>
          <w:tab w:val="num" w:pos="3600"/>
        </w:tabs>
        <w:ind w:left="3600" w:hanging="360"/>
      </w:pPr>
      <w:rPr>
        <w:rFonts w:ascii="Courier New" w:hAnsi="Courier New" w:cs="Times New Roman" w:hint="default"/>
      </w:rPr>
    </w:lvl>
    <w:lvl w:ilvl="5" w:tplc="468E1FAC">
      <w:start w:val="1"/>
      <w:numFmt w:val="bullet"/>
      <w:lvlText w:val=""/>
      <w:lvlJc w:val="left"/>
      <w:pPr>
        <w:tabs>
          <w:tab w:val="num" w:pos="4320"/>
        </w:tabs>
        <w:ind w:left="4320" w:hanging="360"/>
      </w:pPr>
      <w:rPr>
        <w:rFonts w:ascii="Wingdings" w:hAnsi="Wingdings" w:hint="default"/>
      </w:rPr>
    </w:lvl>
    <w:lvl w:ilvl="6" w:tplc="6BC601EE">
      <w:start w:val="1"/>
      <w:numFmt w:val="bullet"/>
      <w:lvlText w:val=""/>
      <w:lvlJc w:val="left"/>
      <w:pPr>
        <w:tabs>
          <w:tab w:val="num" w:pos="5040"/>
        </w:tabs>
        <w:ind w:left="5040" w:hanging="360"/>
      </w:pPr>
      <w:rPr>
        <w:rFonts w:ascii="Symbol" w:hAnsi="Symbol" w:hint="default"/>
      </w:rPr>
    </w:lvl>
    <w:lvl w:ilvl="7" w:tplc="67A213F0">
      <w:start w:val="1"/>
      <w:numFmt w:val="bullet"/>
      <w:lvlText w:val="o"/>
      <w:lvlJc w:val="left"/>
      <w:pPr>
        <w:tabs>
          <w:tab w:val="num" w:pos="5760"/>
        </w:tabs>
        <w:ind w:left="5760" w:hanging="360"/>
      </w:pPr>
      <w:rPr>
        <w:rFonts w:ascii="Courier New" w:hAnsi="Courier New" w:cs="Times New Roman" w:hint="default"/>
      </w:rPr>
    </w:lvl>
    <w:lvl w:ilvl="8" w:tplc="3BB04B7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C1355"/>
    <w:multiLevelType w:val="hybridMultilevel"/>
    <w:tmpl w:val="9A58AF4A"/>
    <w:lvl w:ilvl="0" w:tplc="0409000F">
      <w:start w:val="1"/>
      <w:numFmt w:val="decimal"/>
      <w:lvlText w:val="%1."/>
      <w:lvlJc w:val="left"/>
      <w:pPr>
        <w:ind w:left="720" w:hanging="360"/>
      </w:pPr>
      <w:rPr>
        <w:rFonts w:hint="default"/>
      </w:rPr>
    </w:lvl>
    <w:lvl w:ilvl="1" w:tplc="F7F89AB0" w:tentative="1">
      <w:start w:val="1"/>
      <w:numFmt w:val="bullet"/>
      <w:lvlText w:val="o"/>
      <w:lvlJc w:val="left"/>
      <w:pPr>
        <w:ind w:left="1440" w:hanging="360"/>
      </w:pPr>
      <w:rPr>
        <w:rFonts w:ascii="Courier New" w:hAnsi="Courier New" w:cs="Courier New" w:hint="default"/>
      </w:rPr>
    </w:lvl>
    <w:lvl w:ilvl="2" w:tplc="C4E07FF6" w:tentative="1">
      <w:start w:val="1"/>
      <w:numFmt w:val="bullet"/>
      <w:lvlText w:val=""/>
      <w:lvlJc w:val="left"/>
      <w:pPr>
        <w:ind w:left="2160" w:hanging="360"/>
      </w:pPr>
      <w:rPr>
        <w:rFonts w:ascii="Wingdings" w:hAnsi="Wingdings" w:hint="default"/>
      </w:rPr>
    </w:lvl>
    <w:lvl w:ilvl="3" w:tplc="7460034C" w:tentative="1">
      <w:start w:val="1"/>
      <w:numFmt w:val="bullet"/>
      <w:lvlText w:val=""/>
      <w:lvlJc w:val="left"/>
      <w:pPr>
        <w:ind w:left="2880" w:hanging="360"/>
      </w:pPr>
      <w:rPr>
        <w:rFonts w:ascii="Symbol" w:hAnsi="Symbol" w:hint="default"/>
      </w:rPr>
    </w:lvl>
    <w:lvl w:ilvl="4" w:tplc="D69C9DC2" w:tentative="1">
      <w:start w:val="1"/>
      <w:numFmt w:val="bullet"/>
      <w:lvlText w:val="o"/>
      <w:lvlJc w:val="left"/>
      <w:pPr>
        <w:ind w:left="3600" w:hanging="360"/>
      </w:pPr>
      <w:rPr>
        <w:rFonts w:ascii="Courier New" w:hAnsi="Courier New" w:cs="Courier New" w:hint="default"/>
      </w:rPr>
    </w:lvl>
    <w:lvl w:ilvl="5" w:tplc="AB28A1D8" w:tentative="1">
      <w:start w:val="1"/>
      <w:numFmt w:val="bullet"/>
      <w:lvlText w:val=""/>
      <w:lvlJc w:val="left"/>
      <w:pPr>
        <w:ind w:left="4320" w:hanging="360"/>
      </w:pPr>
      <w:rPr>
        <w:rFonts w:ascii="Wingdings" w:hAnsi="Wingdings" w:hint="default"/>
      </w:rPr>
    </w:lvl>
    <w:lvl w:ilvl="6" w:tplc="6546AAC8" w:tentative="1">
      <w:start w:val="1"/>
      <w:numFmt w:val="bullet"/>
      <w:lvlText w:val=""/>
      <w:lvlJc w:val="left"/>
      <w:pPr>
        <w:ind w:left="5040" w:hanging="360"/>
      </w:pPr>
      <w:rPr>
        <w:rFonts w:ascii="Symbol" w:hAnsi="Symbol" w:hint="default"/>
      </w:rPr>
    </w:lvl>
    <w:lvl w:ilvl="7" w:tplc="3B128AC0" w:tentative="1">
      <w:start w:val="1"/>
      <w:numFmt w:val="bullet"/>
      <w:lvlText w:val="o"/>
      <w:lvlJc w:val="left"/>
      <w:pPr>
        <w:ind w:left="5760" w:hanging="360"/>
      </w:pPr>
      <w:rPr>
        <w:rFonts w:ascii="Courier New" w:hAnsi="Courier New" w:cs="Courier New" w:hint="default"/>
      </w:rPr>
    </w:lvl>
    <w:lvl w:ilvl="8" w:tplc="5AE431E0" w:tentative="1">
      <w:start w:val="1"/>
      <w:numFmt w:val="bullet"/>
      <w:lvlText w:val=""/>
      <w:lvlJc w:val="left"/>
      <w:pPr>
        <w:ind w:left="6480" w:hanging="360"/>
      </w:pPr>
      <w:rPr>
        <w:rFonts w:ascii="Wingdings" w:hAnsi="Wingdings" w:hint="default"/>
      </w:rPr>
    </w:lvl>
  </w:abstractNum>
  <w:abstractNum w:abstractNumId="4" w15:restartNumberingAfterBreak="0">
    <w:nsid w:val="55056147"/>
    <w:multiLevelType w:val="hybridMultilevel"/>
    <w:tmpl w:val="720CD86C"/>
    <w:lvl w:ilvl="0" w:tplc="033A4B68">
      <w:start w:val="1"/>
      <w:numFmt w:val="bullet"/>
      <w:lvlText w:val=""/>
      <w:lvlJc w:val="left"/>
      <w:pPr>
        <w:ind w:left="720" w:hanging="360"/>
      </w:pPr>
      <w:rPr>
        <w:rFonts w:ascii="Symbol" w:hAnsi="Symbol" w:hint="default"/>
      </w:rPr>
    </w:lvl>
    <w:lvl w:ilvl="1" w:tplc="4A88CF24">
      <w:start w:val="1"/>
      <w:numFmt w:val="bullet"/>
      <w:lvlText w:val="o"/>
      <w:lvlJc w:val="left"/>
      <w:pPr>
        <w:ind w:left="1440" w:hanging="360"/>
      </w:pPr>
      <w:rPr>
        <w:rFonts w:ascii="Courier New" w:hAnsi="Courier New" w:cs="Courier New" w:hint="default"/>
      </w:rPr>
    </w:lvl>
    <w:lvl w:ilvl="2" w:tplc="31B8DD04" w:tentative="1">
      <w:start w:val="1"/>
      <w:numFmt w:val="bullet"/>
      <w:lvlText w:val=""/>
      <w:lvlJc w:val="left"/>
      <w:pPr>
        <w:ind w:left="2160" w:hanging="360"/>
      </w:pPr>
      <w:rPr>
        <w:rFonts w:ascii="Wingdings" w:hAnsi="Wingdings" w:hint="default"/>
      </w:rPr>
    </w:lvl>
    <w:lvl w:ilvl="3" w:tplc="7256D6DC" w:tentative="1">
      <w:start w:val="1"/>
      <w:numFmt w:val="bullet"/>
      <w:lvlText w:val=""/>
      <w:lvlJc w:val="left"/>
      <w:pPr>
        <w:ind w:left="2880" w:hanging="360"/>
      </w:pPr>
      <w:rPr>
        <w:rFonts w:ascii="Symbol" w:hAnsi="Symbol" w:hint="default"/>
      </w:rPr>
    </w:lvl>
    <w:lvl w:ilvl="4" w:tplc="667AB056" w:tentative="1">
      <w:start w:val="1"/>
      <w:numFmt w:val="bullet"/>
      <w:lvlText w:val="o"/>
      <w:lvlJc w:val="left"/>
      <w:pPr>
        <w:ind w:left="3600" w:hanging="360"/>
      </w:pPr>
      <w:rPr>
        <w:rFonts w:ascii="Courier New" w:hAnsi="Courier New" w:cs="Courier New" w:hint="default"/>
      </w:rPr>
    </w:lvl>
    <w:lvl w:ilvl="5" w:tplc="8A36D478" w:tentative="1">
      <w:start w:val="1"/>
      <w:numFmt w:val="bullet"/>
      <w:lvlText w:val=""/>
      <w:lvlJc w:val="left"/>
      <w:pPr>
        <w:ind w:left="4320" w:hanging="360"/>
      </w:pPr>
      <w:rPr>
        <w:rFonts w:ascii="Wingdings" w:hAnsi="Wingdings" w:hint="default"/>
      </w:rPr>
    </w:lvl>
    <w:lvl w:ilvl="6" w:tplc="B6789EBE" w:tentative="1">
      <w:start w:val="1"/>
      <w:numFmt w:val="bullet"/>
      <w:lvlText w:val=""/>
      <w:lvlJc w:val="left"/>
      <w:pPr>
        <w:ind w:left="5040" w:hanging="360"/>
      </w:pPr>
      <w:rPr>
        <w:rFonts w:ascii="Symbol" w:hAnsi="Symbol" w:hint="default"/>
      </w:rPr>
    </w:lvl>
    <w:lvl w:ilvl="7" w:tplc="455E7C78" w:tentative="1">
      <w:start w:val="1"/>
      <w:numFmt w:val="bullet"/>
      <w:lvlText w:val="o"/>
      <w:lvlJc w:val="left"/>
      <w:pPr>
        <w:ind w:left="5760" w:hanging="360"/>
      </w:pPr>
      <w:rPr>
        <w:rFonts w:ascii="Courier New" w:hAnsi="Courier New" w:cs="Courier New" w:hint="default"/>
      </w:rPr>
    </w:lvl>
    <w:lvl w:ilvl="8" w:tplc="8B84CC72" w:tentative="1">
      <w:start w:val="1"/>
      <w:numFmt w:val="bullet"/>
      <w:lvlText w:val=""/>
      <w:lvlJc w:val="left"/>
      <w:pPr>
        <w:ind w:left="6480" w:hanging="360"/>
      </w:pPr>
      <w:rPr>
        <w:rFonts w:ascii="Wingdings" w:hAnsi="Wingdings" w:hint="default"/>
      </w:rPr>
    </w:lvl>
  </w:abstractNum>
  <w:abstractNum w:abstractNumId="5" w15:restartNumberingAfterBreak="0">
    <w:nsid w:val="551124AA"/>
    <w:multiLevelType w:val="hybridMultilevel"/>
    <w:tmpl w:val="DB6A26B8"/>
    <w:lvl w:ilvl="0" w:tplc="D9CABD14">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325764"/>
    <w:multiLevelType w:val="hybridMultilevel"/>
    <w:tmpl w:val="51F241D0"/>
    <w:lvl w:ilvl="0" w:tplc="090EA4AE">
      <w:start w:val="1"/>
      <w:numFmt w:val="decimal"/>
      <w:lvlText w:val="%1."/>
      <w:lvlJc w:val="left"/>
      <w:pPr>
        <w:ind w:left="360" w:hanging="360"/>
      </w:pPr>
      <w:rPr>
        <w:vertAlign w:val="superscript"/>
      </w:rPr>
    </w:lvl>
    <w:lvl w:ilvl="1" w:tplc="57D05EF0" w:tentative="1">
      <w:start w:val="1"/>
      <w:numFmt w:val="lowerLetter"/>
      <w:lvlText w:val="%2."/>
      <w:lvlJc w:val="left"/>
      <w:pPr>
        <w:ind w:left="1080" w:hanging="360"/>
      </w:pPr>
    </w:lvl>
    <w:lvl w:ilvl="2" w:tplc="738C5EEA" w:tentative="1">
      <w:start w:val="1"/>
      <w:numFmt w:val="lowerRoman"/>
      <w:lvlText w:val="%3."/>
      <w:lvlJc w:val="right"/>
      <w:pPr>
        <w:ind w:left="1800" w:hanging="180"/>
      </w:pPr>
    </w:lvl>
    <w:lvl w:ilvl="3" w:tplc="BCACA152" w:tentative="1">
      <w:start w:val="1"/>
      <w:numFmt w:val="decimal"/>
      <w:lvlText w:val="%4."/>
      <w:lvlJc w:val="left"/>
      <w:pPr>
        <w:ind w:left="2520" w:hanging="360"/>
      </w:pPr>
    </w:lvl>
    <w:lvl w:ilvl="4" w:tplc="595C9BB4" w:tentative="1">
      <w:start w:val="1"/>
      <w:numFmt w:val="lowerLetter"/>
      <w:lvlText w:val="%5."/>
      <w:lvlJc w:val="left"/>
      <w:pPr>
        <w:ind w:left="3240" w:hanging="360"/>
      </w:pPr>
    </w:lvl>
    <w:lvl w:ilvl="5" w:tplc="CBAAD526" w:tentative="1">
      <w:start w:val="1"/>
      <w:numFmt w:val="lowerRoman"/>
      <w:lvlText w:val="%6."/>
      <w:lvlJc w:val="right"/>
      <w:pPr>
        <w:ind w:left="3960" w:hanging="180"/>
      </w:pPr>
    </w:lvl>
    <w:lvl w:ilvl="6" w:tplc="C032D20E" w:tentative="1">
      <w:start w:val="1"/>
      <w:numFmt w:val="decimal"/>
      <w:lvlText w:val="%7."/>
      <w:lvlJc w:val="left"/>
      <w:pPr>
        <w:ind w:left="4680" w:hanging="360"/>
      </w:pPr>
    </w:lvl>
    <w:lvl w:ilvl="7" w:tplc="183053DE" w:tentative="1">
      <w:start w:val="1"/>
      <w:numFmt w:val="lowerLetter"/>
      <w:lvlText w:val="%8."/>
      <w:lvlJc w:val="left"/>
      <w:pPr>
        <w:ind w:left="5400" w:hanging="360"/>
      </w:pPr>
    </w:lvl>
    <w:lvl w:ilvl="8" w:tplc="DDA49CAE" w:tentative="1">
      <w:start w:val="1"/>
      <w:numFmt w:val="lowerRoman"/>
      <w:lvlText w:val="%9."/>
      <w:lvlJc w:val="right"/>
      <w:pPr>
        <w:ind w:left="6120" w:hanging="180"/>
      </w:pPr>
    </w:lvl>
  </w:abstractNum>
  <w:abstractNum w:abstractNumId="7" w15:restartNumberingAfterBreak="0">
    <w:nsid w:val="6A602CF1"/>
    <w:multiLevelType w:val="hybridMultilevel"/>
    <w:tmpl w:val="C54C7AF6"/>
    <w:lvl w:ilvl="0" w:tplc="7EFC31C8">
      <w:start w:val="1"/>
      <w:numFmt w:val="bullet"/>
      <w:lvlText w:val=""/>
      <w:lvlJc w:val="left"/>
      <w:pPr>
        <w:ind w:left="720" w:hanging="360"/>
      </w:pPr>
      <w:rPr>
        <w:rFonts w:ascii="Symbol" w:hAnsi="Symbol" w:hint="default"/>
      </w:rPr>
    </w:lvl>
    <w:lvl w:ilvl="1" w:tplc="3FAAE114" w:tentative="1">
      <w:start w:val="1"/>
      <w:numFmt w:val="bullet"/>
      <w:lvlText w:val="o"/>
      <w:lvlJc w:val="left"/>
      <w:pPr>
        <w:ind w:left="1440" w:hanging="360"/>
      </w:pPr>
      <w:rPr>
        <w:rFonts w:ascii="Courier New" w:hAnsi="Courier New" w:cs="Courier New" w:hint="default"/>
      </w:rPr>
    </w:lvl>
    <w:lvl w:ilvl="2" w:tplc="48D21026" w:tentative="1">
      <w:start w:val="1"/>
      <w:numFmt w:val="bullet"/>
      <w:lvlText w:val=""/>
      <w:lvlJc w:val="left"/>
      <w:pPr>
        <w:ind w:left="2160" w:hanging="360"/>
      </w:pPr>
      <w:rPr>
        <w:rFonts w:ascii="Wingdings" w:hAnsi="Wingdings" w:hint="default"/>
      </w:rPr>
    </w:lvl>
    <w:lvl w:ilvl="3" w:tplc="F724C21C" w:tentative="1">
      <w:start w:val="1"/>
      <w:numFmt w:val="bullet"/>
      <w:lvlText w:val=""/>
      <w:lvlJc w:val="left"/>
      <w:pPr>
        <w:ind w:left="2880" w:hanging="360"/>
      </w:pPr>
      <w:rPr>
        <w:rFonts w:ascii="Symbol" w:hAnsi="Symbol" w:hint="default"/>
      </w:rPr>
    </w:lvl>
    <w:lvl w:ilvl="4" w:tplc="36F47E48" w:tentative="1">
      <w:start w:val="1"/>
      <w:numFmt w:val="bullet"/>
      <w:lvlText w:val="o"/>
      <w:lvlJc w:val="left"/>
      <w:pPr>
        <w:ind w:left="3600" w:hanging="360"/>
      </w:pPr>
      <w:rPr>
        <w:rFonts w:ascii="Courier New" w:hAnsi="Courier New" w:cs="Courier New" w:hint="default"/>
      </w:rPr>
    </w:lvl>
    <w:lvl w:ilvl="5" w:tplc="FDE02054" w:tentative="1">
      <w:start w:val="1"/>
      <w:numFmt w:val="bullet"/>
      <w:lvlText w:val=""/>
      <w:lvlJc w:val="left"/>
      <w:pPr>
        <w:ind w:left="4320" w:hanging="360"/>
      </w:pPr>
      <w:rPr>
        <w:rFonts w:ascii="Wingdings" w:hAnsi="Wingdings" w:hint="default"/>
      </w:rPr>
    </w:lvl>
    <w:lvl w:ilvl="6" w:tplc="7EB8EF50" w:tentative="1">
      <w:start w:val="1"/>
      <w:numFmt w:val="bullet"/>
      <w:lvlText w:val=""/>
      <w:lvlJc w:val="left"/>
      <w:pPr>
        <w:ind w:left="5040" w:hanging="360"/>
      </w:pPr>
      <w:rPr>
        <w:rFonts w:ascii="Symbol" w:hAnsi="Symbol" w:hint="default"/>
      </w:rPr>
    </w:lvl>
    <w:lvl w:ilvl="7" w:tplc="6AF48784" w:tentative="1">
      <w:start w:val="1"/>
      <w:numFmt w:val="bullet"/>
      <w:lvlText w:val="o"/>
      <w:lvlJc w:val="left"/>
      <w:pPr>
        <w:ind w:left="5760" w:hanging="360"/>
      </w:pPr>
      <w:rPr>
        <w:rFonts w:ascii="Courier New" w:hAnsi="Courier New" w:cs="Courier New" w:hint="default"/>
      </w:rPr>
    </w:lvl>
    <w:lvl w:ilvl="8" w:tplc="4CFA92C2"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D1"/>
    <w:rsid w:val="000026AD"/>
    <w:rsid w:val="000067CE"/>
    <w:rsid w:val="000107B3"/>
    <w:rsid w:val="00011830"/>
    <w:rsid w:val="00012750"/>
    <w:rsid w:val="0001515D"/>
    <w:rsid w:val="00015CC9"/>
    <w:rsid w:val="00016089"/>
    <w:rsid w:val="00016B27"/>
    <w:rsid w:val="00020320"/>
    <w:rsid w:val="00021CD9"/>
    <w:rsid w:val="00021F28"/>
    <w:rsid w:val="000235D1"/>
    <w:rsid w:val="00025502"/>
    <w:rsid w:val="00036658"/>
    <w:rsid w:val="00046432"/>
    <w:rsid w:val="000471CA"/>
    <w:rsid w:val="00050A94"/>
    <w:rsid w:val="00056DB8"/>
    <w:rsid w:val="000646FB"/>
    <w:rsid w:val="00067715"/>
    <w:rsid w:val="00070239"/>
    <w:rsid w:val="0008501B"/>
    <w:rsid w:val="00093012"/>
    <w:rsid w:val="000A3835"/>
    <w:rsid w:val="000A5706"/>
    <w:rsid w:val="000A606B"/>
    <w:rsid w:val="000A745B"/>
    <w:rsid w:val="000B118C"/>
    <w:rsid w:val="000D651F"/>
    <w:rsid w:val="000D733C"/>
    <w:rsid w:val="000E4C61"/>
    <w:rsid w:val="000F1A4C"/>
    <w:rsid w:val="000F3083"/>
    <w:rsid w:val="0011064F"/>
    <w:rsid w:val="001124CA"/>
    <w:rsid w:val="00125713"/>
    <w:rsid w:val="0012581C"/>
    <w:rsid w:val="00133874"/>
    <w:rsid w:val="001346D2"/>
    <w:rsid w:val="001467C3"/>
    <w:rsid w:val="00152871"/>
    <w:rsid w:val="001608FC"/>
    <w:rsid w:val="00170B4A"/>
    <w:rsid w:val="00173738"/>
    <w:rsid w:val="00174D90"/>
    <w:rsid w:val="0019147A"/>
    <w:rsid w:val="00195EE3"/>
    <w:rsid w:val="00195FDC"/>
    <w:rsid w:val="00196450"/>
    <w:rsid w:val="001970F4"/>
    <w:rsid w:val="00197FB5"/>
    <w:rsid w:val="001B5ABF"/>
    <w:rsid w:val="001B788D"/>
    <w:rsid w:val="001C00FE"/>
    <w:rsid w:val="001C077E"/>
    <w:rsid w:val="001C1387"/>
    <w:rsid w:val="001C2219"/>
    <w:rsid w:val="001E7443"/>
    <w:rsid w:val="001E7497"/>
    <w:rsid w:val="001F0338"/>
    <w:rsid w:val="00200042"/>
    <w:rsid w:val="00202A1D"/>
    <w:rsid w:val="002045A2"/>
    <w:rsid w:val="002052B2"/>
    <w:rsid w:val="00212A33"/>
    <w:rsid w:val="00217798"/>
    <w:rsid w:val="002244DE"/>
    <w:rsid w:val="002410F6"/>
    <w:rsid w:val="00241723"/>
    <w:rsid w:val="00270340"/>
    <w:rsid w:val="00273C0F"/>
    <w:rsid w:val="002758C2"/>
    <w:rsid w:val="00283579"/>
    <w:rsid w:val="002863D0"/>
    <w:rsid w:val="00292131"/>
    <w:rsid w:val="002A55BD"/>
    <w:rsid w:val="002A68C7"/>
    <w:rsid w:val="002B0C7F"/>
    <w:rsid w:val="002B1F83"/>
    <w:rsid w:val="002B3CE5"/>
    <w:rsid w:val="002B4106"/>
    <w:rsid w:val="002B472A"/>
    <w:rsid w:val="002C0399"/>
    <w:rsid w:val="002C6C55"/>
    <w:rsid w:val="002C7EA8"/>
    <w:rsid w:val="002D0396"/>
    <w:rsid w:val="002D412A"/>
    <w:rsid w:val="002E76AF"/>
    <w:rsid w:val="002E7ADD"/>
    <w:rsid w:val="002F0805"/>
    <w:rsid w:val="002F53AD"/>
    <w:rsid w:val="003025F1"/>
    <w:rsid w:val="00302CD2"/>
    <w:rsid w:val="00312E44"/>
    <w:rsid w:val="00323978"/>
    <w:rsid w:val="00325C63"/>
    <w:rsid w:val="00335A66"/>
    <w:rsid w:val="0035004C"/>
    <w:rsid w:val="00352FFE"/>
    <w:rsid w:val="00360A8C"/>
    <w:rsid w:val="00366B5F"/>
    <w:rsid w:val="003756E1"/>
    <w:rsid w:val="00377A7E"/>
    <w:rsid w:val="00383CC9"/>
    <w:rsid w:val="00385F31"/>
    <w:rsid w:val="00387FD0"/>
    <w:rsid w:val="00391600"/>
    <w:rsid w:val="003920D8"/>
    <w:rsid w:val="00394405"/>
    <w:rsid w:val="003A044F"/>
    <w:rsid w:val="003B0798"/>
    <w:rsid w:val="003B3C59"/>
    <w:rsid w:val="003B75B0"/>
    <w:rsid w:val="003C120F"/>
    <w:rsid w:val="003C2EF4"/>
    <w:rsid w:val="003D094C"/>
    <w:rsid w:val="003D5DFB"/>
    <w:rsid w:val="003E122C"/>
    <w:rsid w:val="003E463B"/>
    <w:rsid w:val="003F3C82"/>
    <w:rsid w:val="003F76A9"/>
    <w:rsid w:val="004057D2"/>
    <w:rsid w:val="004114B4"/>
    <w:rsid w:val="00411577"/>
    <w:rsid w:val="00415E20"/>
    <w:rsid w:val="004162D5"/>
    <w:rsid w:val="00416E44"/>
    <w:rsid w:val="00421737"/>
    <w:rsid w:val="00421B94"/>
    <w:rsid w:val="004229BC"/>
    <w:rsid w:val="0042736A"/>
    <w:rsid w:val="00427D58"/>
    <w:rsid w:val="00431E42"/>
    <w:rsid w:val="00432B0C"/>
    <w:rsid w:val="0043467B"/>
    <w:rsid w:val="00436AD2"/>
    <w:rsid w:val="0043781C"/>
    <w:rsid w:val="00441988"/>
    <w:rsid w:val="0044709B"/>
    <w:rsid w:val="00461F9D"/>
    <w:rsid w:val="00464E4E"/>
    <w:rsid w:val="0046746A"/>
    <w:rsid w:val="004734F3"/>
    <w:rsid w:val="00484E62"/>
    <w:rsid w:val="00493BA2"/>
    <w:rsid w:val="00497E96"/>
    <w:rsid w:val="004A099C"/>
    <w:rsid w:val="004A1A1B"/>
    <w:rsid w:val="004A39D4"/>
    <w:rsid w:val="004A60B2"/>
    <w:rsid w:val="004B2A65"/>
    <w:rsid w:val="004C2C7B"/>
    <w:rsid w:val="004C3962"/>
    <w:rsid w:val="004C69B0"/>
    <w:rsid w:val="004C6E21"/>
    <w:rsid w:val="004D0B42"/>
    <w:rsid w:val="004E2FD7"/>
    <w:rsid w:val="004E4CE3"/>
    <w:rsid w:val="004F06F8"/>
    <w:rsid w:val="004F0793"/>
    <w:rsid w:val="004F1761"/>
    <w:rsid w:val="004F2D77"/>
    <w:rsid w:val="005003ED"/>
    <w:rsid w:val="00501BBA"/>
    <w:rsid w:val="00501D5E"/>
    <w:rsid w:val="0050482B"/>
    <w:rsid w:val="005071B6"/>
    <w:rsid w:val="00513544"/>
    <w:rsid w:val="00513E43"/>
    <w:rsid w:val="0052390B"/>
    <w:rsid w:val="00525E54"/>
    <w:rsid w:val="00531913"/>
    <w:rsid w:val="005325DB"/>
    <w:rsid w:val="00535EAF"/>
    <w:rsid w:val="0054222B"/>
    <w:rsid w:val="005469A1"/>
    <w:rsid w:val="005471F2"/>
    <w:rsid w:val="005478CA"/>
    <w:rsid w:val="00550342"/>
    <w:rsid w:val="005570B5"/>
    <w:rsid w:val="00561047"/>
    <w:rsid w:val="00562F35"/>
    <w:rsid w:val="005679D5"/>
    <w:rsid w:val="00567D6F"/>
    <w:rsid w:val="00574643"/>
    <w:rsid w:val="005767B3"/>
    <w:rsid w:val="00587F68"/>
    <w:rsid w:val="0059058D"/>
    <w:rsid w:val="005942FC"/>
    <w:rsid w:val="0059476A"/>
    <w:rsid w:val="00594CF6"/>
    <w:rsid w:val="005A002E"/>
    <w:rsid w:val="005A1C19"/>
    <w:rsid w:val="005A4670"/>
    <w:rsid w:val="005B0DD9"/>
    <w:rsid w:val="005B26F5"/>
    <w:rsid w:val="005B4E2B"/>
    <w:rsid w:val="005B6021"/>
    <w:rsid w:val="005C1107"/>
    <w:rsid w:val="005C20B5"/>
    <w:rsid w:val="005C4C62"/>
    <w:rsid w:val="005D136E"/>
    <w:rsid w:val="005D173D"/>
    <w:rsid w:val="005E6CDE"/>
    <w:rsid w:val="005F3D90"/>
    <w:rsid w:val="005F55A4"/>
    <w:rsid w:val="005F7A71"/>
    <w:rsid w:val="005F7F62"/>
    <w:rsid w:val="00613DB5"/>
    <w:rsid w:val="00617369"/>
    <w:rsid w:val="00622BE6"/>
    <w:rsid w:val="00630583"/>
    <w:rsid w:val="00632F87"/>
    <w:rsid w:val="0064095E"/>
    <w:rsid w:val="00644242"/>
    <w:rsid w:val="006513FE"/>
    <w:rsid w:val="0066646B"/>
    <w:rsid w:val="006720ED"/>
    <w:rsid w:val="00673E20"/>
    <w:rsid w:val="00674133"/>
    <w:rsid w:val="00676ECC"/>
    <w:rsid w:val="00677591"/>
    <w:rsid w:val="00677666"/>
    <w:rsid w:val="0068675C"/>
    <w:rsid w:val="00686BE7"/>
    <w:rsid w:val="00686DA2"/>
    <w:rsid w:val="00687074"/>
    <w:rsid w:val="006A238D"/>
    <w:rsid w:val="006A3B60"/>
    <w:rsid w:val="006A4FE9"/>
    <w:rsid w:val="006A7DC5"/>
    <w:rsid w:val="006C2CB9"/>
    <w:rsid w:val="006C6105"/>
    <w:rsid w:val="006D1817"/>
    <w:rsid w:val="006D22CF"/>
    <w:rsid w:val="006E325F"/>
    <w:rsid w:val="006E4BDA"/>
    <w:rsid w:val="006E5357"/>
    <w:rsid w:val="006E5FC5"/>
    <w:rsid w:val="006F292F"/>
    <w:rsid w:val="006F3108"/>
    <w:rsid w:val="006F4947"/>
    <w:rsid w:val="006F7444"/>
    <w:rsid w:val="006F7D9F"/>
    <w:rsid w:val="007004AB"/>
    <w:rsid w:val="00711416"/>
    <w:rsid w:val="00716491"/>
    <w:rsid w:val="00717D34"/>
    <w:rsid w:val="00720925"/>
    <w:rsid w:val="00725CA6"/>
    <w:rsid w:val="007266A4"/>
    <w:rsid w:val="00727F70"/>
    <w:rsid w:val="00730F76"/>
    <w:rsid w:val="00733592"/>
    <w:rsid w:val="007420C8"/>
    <w:rsid w:val="00743354"/>
    <w:rsid w:val="00752CD7"/>
    <w:rsid w:val="007551DC"/>
    <w:rsid w:val="00757057"/>
    <w:rsid w:val="007577C1"/>
    <w:rsid w:val="007641AE"/>
    <w:rsid w:val="00772231"/>
    <w:rsid w:val="0078002B"/>
    <w:rsid w:val="0078680B"/>
    <w:rsid w:val="007930B2"/>
    <w:rsid w:val="00797140"/>
    <w:rsid w:val="007A6128"/>
    <w:rsid w:val="007B1C28"/>
    <w:rsid w:val="007B46D6"/>
    <w:rsid w:val="007C20FA"/>
    <w:rsid w:val="007D517A"/>
    <w:rsid w:val="007D5619"/>
    <w:rsid w:val="007D58DB"/>
    <w:rsid w:val="007D5E2F"/>
    <w:rsid w:val="007E1669"/>
    <w:rsid w:val="007E1AB6"/>
    <w:rsid w:val="007E2CB7"/>
    <w:rsid w:val="007E31FA"/>
    <w:rsid w:val="007F00EC"/>
    <w:rsid w:val="00802BA2"/>
    <w:rsid w:val="00810CDF"/>
    <w:rsid w:val="00814169"/>
    <w:rsid w:val="00815E47"/>
    <w:rsid w:val="00816FFA"/>
    <w:rsid w:val="00817CB4"/>
    <w:rsid w:val="00822EEB"/>
    <w:rsid w:val="008241FB"/>
    <w:rsid w:val="008249CF"/>
    <w:rsid w:val="00825C9C"/>
    <w:rsid w:val="008265E1"/>
    <w:rsid w:val="00827F5B"/>
    <w:rsid w:val="00832FB2"/>
    <w:rsid w:val="00841D28"/>
    <w:rsid w:val="00846667"/>
    <w:rsid w:val="0084792F"/>
    <w:rsid w:val="008534A4"/>
    <w:rsid w:val="00854E2E"/>
    <w:rsid w:val="00870994"/>
    <w:rsid w:val="00871AAC"/>
    <w:rsid w:val="00876B51"/>
    <w:rsid w:val="00877677"/>
    <w:rsid w:val="008863CE"/>
    <w:rsid w:val="008906E9"/>
    <w:rsid w:val="00890AED"/>
    <w:rsid w:val="00895F9B"/>
    <w:rsid w:val="00897270"/>
    <w:rsid w:val="008A07F1"/>
    <w:rsid w:val="008A0916"/>
    <w:rsid w:val="008A185F"/>
    <w:rsid w:val="008A448F"/>
    <w:rsid w:val="008B0DB6"/>
    <w:rsid w:val="008C4322"/>
    <w:rsid w:val="008C51D1"/>
    <w:rsid w:val="008C7F9D"/>
    <w:rsid w:val="008D77AC"/>
    <w:rsid w:val="008E3A79"/>
    <w:rsid w:val="008E3E8A"/>
    <w:rsid w:val="008E534D"/>
    <w:rsid w:val="008E74A1"/>
    <w:rsid w:val="008F09F5"/>
    <w:rsid w:val="008F536E"/>
    <w:rsid w:val="008F6CF6"/>
    <w:rsid w:val="00900395"/>
    <w:rsid w:val="009038B7"/>
    <w:rsid w:val="009050DA"/>
    <w:rsid w:val="009053EE"/>
    <w:rsid w:val="00905CF1"/>
    <w:rsid w:val="00905E60"/>
    <w:rsid w:val="009060C2"/>
    <w:rsid w:val="00907947"/>
    <w:rsid w:val="00921170"/>
    <w:rsid w:val="009216A9"/>
    <w:rsid w:val="0092232F"/>
    <w:rsid w:val="009228ED"/>
    <w:rsid w:val="009239A4"/>
    <w:rsid w:val="009239CB"/>
    <w:rsid w:val="00927476"/>
    <w:rsid w:val="00941973"/>
    <w:rsid w:val="00946E79"/>
    <w:rsid w:val="00952080"/>
    <w:rsid w:val="0095259B"/>
    <w:rsid w:val="009605EB"/>
    <w:rsid w:val="00972373"/>
    <w:rsid w:val="009739C4"/>
    <w:rsid w:val="00973E76"/>
    <w:rsid w:val="00980831"/>
    <w:rsid w:val="0098436B"/>
    <w:rsid w:val="00987B29"/>
    <w:rsid w:val="0099271E"/>
    <w:rsid w:val="0099290D"/>
    <w:rsid w:val="00993AAD"/>
    <w:rsid w:val="009945DC"/>
    <w:rsid w:val="00994D67"/>
    <w:rsid w:val="0099547B"/>
    <w:rsid w:val="00997CBA"/>
    <w:rsid w:val="00997FE2"/>
    <w:rsid w:val="009A0EFF"/>
    <w:rsid w:val="009A1006"/>
    <w:rsid w:val="009A120A"/>
    <w:rsid w:val="009A2A80"/>
    <w:rsid w:val="009B06EB"/>
    <w:rsid w:val="009B5E75"/>
    <w:rsid w:val="009B6229"/>
    <w:rsid w:val="009C0A32"/>
    <w:rsid w:val="009C76E8"/>
    <w:rsid w:val="009D17E6"/>
    <w:rsid w:val="009D6C63"/>
    <w:rsid w:val="009D725C"/>
    <w:rsid w:val="009E18BE"/>
    <w:rsid w:val="009E4812"/>
    <w:rsid w:val="009E5EEF"/>
    <w:rsid w:val="009F79C3"/>
    <w:rsid w:val="00A02D43"/>
    <w:rsid w:val="00A17CBD"/>
    <w:rsid w:val="00A21B69"/>
    <w:rsid w:val="00A23876"/>
    <w:rsid w:val="00A32BC1"/>
    <w:rsid w:val="00A33525"/>
    <w:rsid w:val="00A359FD"/>
    <w:rsid w:val="00A35B38"/>
    <w:rsid w:val="00A402B6"/>
    <w:rsid w:val="00A4073A"/>
    <w:rsid w:val="00A47D6B"/>
    <w:rsid w:val="00A52600"/>
    <w:rsid w:val="00A5387F"/>
    <w:rsid w:val="00A55DF3"/>
    <w:rsid w:val="00A613AE"/>
    <w:rsid w:val="00A621B6"/>
    <w:rsid w:val="00A62FB2"/>
    <w:rsid w:val="00A67D33"/>
    <w:rsid w:val="00A70C11"/>
    <w:rsid w:val="00A806E6"/>
    <w:rsid w:val="00A833BA"/>
    <w:rsid w:val="00AA134F"/>
    <w:rsid w:val="00AA2523"/>
    <w:rsid w:val="00AB073C"/>
    <w:rsid w:val="00AC087D"/>
    <w:rsid w:val="00AC525D"/>
    <w:rsid w:val="00AD0B5D"/>
    <w:rsid w:val="00AD1633"/>
    <w:rsid w:val="00AD1E16"/>
    <w:rsid w:val="00AD52E8"/>
    <w:rsid w:val="00AE74F3"/>
    <w:rsid w:val="00AF1D31"/>
    <w:rsid w:val="00AF44EE"/>
    <w:rsid w:val="00AF4BC2"/>
    <w:rsid w:val="00AF61A4"/>
    <w:rsid w:val="00AF6272"/>
    <w:rsid w:val="00B0378C"/>
    <w:rsid w:val="00B03DD6"/>
    <w:rsid w:val="00B04400"/>
    <w:rsid w:val="00B10F91"/>
    <w:rsid w:val="00B14A28"/>
    <w:rsid w:val="00B14FAC"/>
    <w:rsid w:val="00B24449"/>
    <w:rsid w:val="00B270B8"/>
    <w:rsid w:val="00B40035"/>
    <w:rsid w:val="00B433B7"/>
    <w:rsid w:val="00B51BAF"/>
    <w:rsid w:val="00B6359B"/>
    <w:rsid w:val="00B64CAA"/>
    <w:rsid w:val="00B662D2"/>
    <w:rsid w:val="00B74041"/>
    <w:rsid w:val="00B9340C"/>
    <w:rsid w:val="00BA2716"/>
    <w:rsid w:val="00BA2856"/>
    <w:rsid w:val="00BA60D4"/>
    <w:rsid w:val="00BB25EF"/>
    <w:rsid w:val="00BB392E"/>
    <w:rsid w:val="00BB41B2"/>
    <w:rsid w:val="00BC1EC9"/>
    <w:rsid w:val="00BC30FE"/>
    <w:rsid w:val="00BC311C"/>
    <w:rsid w:val="00BC72A4"/>
    <w:rsid w:val="00BE0FAF"/>
    <w:rsid w:val="00BE3EB1"/>
    <w:rsid w:val="00BE3F15"/>
    <w:rsid w:val="00BF13A6"/>
    <w:rsid w:val="00BF299D"/>
    <w:rsid w:val="00BF4B4E"/>
    <w:rsid w:val="00BF6C91"/>
    <w:rsid w:val="00C03D28"/>
    <w:rsid w:val="00C10E0A"/>
    <w:rsid w:val="00C16DFE"/>
    <w:rsid w:val="00C20111"/>
    <w:rsid w:val="00C20650"/>
    <w:rsid w:val="00C2660B"/>
    <w:rsid w:val="00C26D07"/>
    <w:rsid w:val="00C35C46"/>
    <w:rsid w:val="00C40596"/>
    <w:rsid w:val="00C44513"/>
    <w:rsid w:val="00C4617D"/>
    <w:rsid w:val="00C54120"/>
    <w:rsid w:val="00C7274A"/>
    <w:rsid w:val="00C86737"/>
    <w:rsid w:val="00C86DAD"/>
    <w:rsid w:val="00C87F8E"/>
    <w:rsid w:val="00C90201"/>
    <w:rsid w:val="00CA4B41"/>
    <w:rsid w:val="00CA6BEB"/>
    <w:rsid w:val="00CB7FA3"/>
    <w:rsid w:val="00CC146D"/>
    <w:rsid w:val="00CC1DBB"/>
    <w:rsid w:val="00CC21A7"/>
    <w:rsid w:val="00CD0401"/>
    <w:rsid w:val="00CD3FB7"/>
    <w:rsid w:val="00CD53D8"/>
    <w:rsid w:val="00CD75CF"/>
    <w:rsid w:val="00CE1EC7"/>
    <w:rsid w:val="00CE2D2B"/>
    <w:rsid w:val="00CE6F6B"/>
    <w:rsid w:val="00CE76C0"/>
    <w:rsid w:val="00CF0D51"/>
    <w:rsid w:val="00CF3480"/>
    <w:rsid w:val="00CF34D2"/>
    <w:rsid w:val="00CF5DAD"/>
    <w:rsid w:val="00D05C4D"/>
    <w:rsid w:val="00D152BB"/>
    <w:rsid w:val="00D1678D"/>
    <w:rsid w:val="00D22EEF"/>
    <w:rsid w:val="00D27178"/>
    <w:rsid w:val="00D27C16"/>
    <w:rsid w:val="00D32779"/>
    <w:rsid w:val="00D33ABF"/>
    <w:rsid w:val="00D35D31"/>
    <w:rsid w:val="00D37C8F"/>
    <w:rsid w:val="00D4337E"/>
    <w:rsid w:val="00D5132F"/>
    <w:rsid w:val="00D55848"/>
    <w:rsid w:val="00D5735F"/>
    <w:rsid w:val="00D627B8"/>
    <w:rsid w:val="00D629E2"/>
    <w:rsid w:val="00D639CD"/>
    <w:rsid w:val="00D65E03"/>
    <w:rsid w:val="00D71874"/>
    <w:rsid w:val="00D773C3"/>
    <w:rsid w:val="00D81795"/>
    <w:rsid w:val="00D84493"/>
    <w:rsid w:val="00D844B2"/>
    <w:rsid w:val="00DA1628"/>
    <w:rsid w:val="00DA7E05"/>
    <w:rsid w:val="00DB495D"/>
    <w:rsid w:val="00DB4C70"/>
    <w:rsid w:val="00DB505F"/>
    <w:rsid w:val="00DB6B68"/>
    <w:rsid w:val="00DC422C"/>
    <w:rsid w:val="00DC63EE"/>
    <w:rsid w:val="00DC79DA"/>
    <w:rsid w:val="00DD684E"/>
    <w:rsid w:val="00DE0007"/>
    <w:rsid w:val="00DE3532"/>
    <w:rsid w:val="00DE3BB9"/>
    <w:rsid w:val="00DF3085"/>
    <w:rsid w:val="00DF4E90"/>
    <w:rsid w:val="00E00E43"/>
    <w:rsid w:val="00E02B4D"/>
    <w:rsid w:val="00E133F3"/>
    <w:rsid w:val="00E1572E"/>
    <w:rsid w:val="00E33531"/>
    <w:rsid w:val="00E52D7F"/>
    <w:rsid w:val="00E558C7"/>
    <w:rsid w:val="00E55E88"/>
    <w:rsid w:val="00E57542"/>
    <w:rsid w:val="00E6105A"/>
    <w:rsid w:val="00E6327B"/>
    <w:rsid w:val="00E71CB0"/>
    <w:rsid w:val="00E7354E"/>
    <w:rsid w:val="00E75BF9"/>
    <w:rsid w:val="00E83870"/>
    <w:rsid w:val="00E903E3"/>
    <w:rsid w:val="00E960DA"/>
    <w:rsid w:val="00E96FD5"/>
    <w:rsid w:val="00EA6264"/>
    <w:rsid w:val="00EB0B29"/>
    <w:rsid w:val="00EB5ACB"/>
    <w:rsid w:val="00EB79EC"/>
    <w:rsid w:val="00EC58CF"/>
    <w:rsid w:val="00EC63E5"/>
    <w:rsid w:val="00EC6A17"/>
    <w:rsid w:val="00ED2B91"/>
    <w:rsid w:val="00ED60F1"/>
    <w:rsid w:val="00ED6BF4"/>
    <w:rsid w:val="00EE292F"/>
    <w:rsid w:val="00EE3F79"/>
    <w:rsid w:val="00EE6F17"/>
    <w:rsid w:val="00EE7ADF"/>
    <w:rsid w:val="00F011D6"/>
    <w:rsid w:val="00F03BF3"/>
    <w:rsid w:val="00F03CC1"/>
    <w:rsid w:val="00F04810"/>
    <w:rsid w:val="00F063B8"/>
    <w:rsid w:val="00F10C33"/>
    <w:rsid w:val="00F21E1E"/>
    <w:rsid w:val="00F24368"/>
    <w:rsid w:val="00F252E7"/>
    <w:rsid w:val="00F2630A"/>
    <w:rsid w:val="00F42704"/>
    <w:rsid w:val="00F47F99"/>
    <w:rsid w:val="00F530D3"/>
    <w:rsid w:val="00F5567B"/>
    <w:rsid w:val="00F6137C"/>
    <w:rsid w:val="00F6656E"/>
    <w:rsid w:val="00F7360D"/>
    <w:rsid w:val="00F77591"/>
    <w:rsid w:val="00F834C3"/>
    <w:rsid w:val="00F84351"/>
    <w:rsid w:val="00F86078"/>
    <w:rsid w:val="00F90BF8"/>
    <w:rsid w:val="00F90CDB"/>
    <w:rsid w:val="00F90EB5"/>
    <w:rsid w:val="00F91C07"/>
    <w:rsid w:val="00F95E4A"/>
    <w:rsid w:val="00F96585"/>
    <w:rsid w:val="00FA743C"/>
    <w:rsid w:val="00FB19EF"/>
    <w:rsid w:val="00FB5A70"/>
    <w:rsid w:val="00FC2ABF"/>
    <w:rsid w:val="00FC3B14"/>
    <w:rsid w:val="00FD7A5B"/>
    <w:rsid w:val="00FE00AB"/>
    <w:rsid w:val="00FE7BB5"/>
    <w:rsid w:val="00FF4AF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694719C"/>
  <w15:docId w15:val="{5D3D8AC5-9B5A-4819-A654-399E3DA7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050A94"/>
    <w:pPr>
      <w:jc w:val="both"/>
    </w:pPr>
    <w:rPr>
      <w:rFonts w:ascii="Times New Roman" w:hAnsi="Times New Roman"/>
      <w:sz w:val="24"/>
      <w:szCs w:val="22"/>
      <w:lang w:eastAsia="zh-TW"/>
    </w:rPr>
  </w:style>
  <w:style w:type="paragraph" w:styleId="Heading1">
    <w:name w:val="heading 1"/>
    <w:next w:val="Normal"/>
    <w:link w:val="Heading1Char"/>
    <w:uiPriority w:val="9"/>
    <w:qFormat/>
    <w:rsid w:val="00016089"/>
    <w:pPr>
      <w:spacing w:before="360" w:after="60"/>
      <w:outlineLvl w:val="0"/>
    </w:pPr>
    <w:rPr>
      <w:rFonts w:ascii="Times New Roman Bold" w:hAnsi="Times New Roman Bold"/>
      <w:b/>
      <w:bCs/>
      <w:caps/>
      <w:sz w:val="26"/>
      <w:szCs w:val="26"/>
      <w:lang w:val="en-GB" w:eastAsia="zh-TW"/>
    </w:rPr>
  </w:style>
  <w:style w:type="paragraph" w:styleId="Heading2">
    <w:name w:val="heading 2"/>
    <w:next w:val="Normal"/>
    <w:link w:val="Heading2Char"/>
    <w:uiPriority w:val="9"/>
    <w:unhideWhenUsed/>
    <w:qFormat/>
    <w:rsid w:val="008B0DB6"/>
    <w:pPr>
      <w:spacing w:before="240" w:after="120"/>
      <w:outlineLvl w:val="1"/>
    </w:pPr>
    <w:rPr>
      <w:rFonts w:ascii="Times New Roman Bold" w:hAnsi="Times New Roman Bold"/>
      <w:b/>
      <w:bCs/>
      <w:sz w:val="24"/>
      <w:szCs w:val="22"/>
      <w:lang w:eastAsia="zh-TW"/>
    </w:rPr>
  </w:style>
  <w:style w:type="paragraph" w:styleId="Heading3">
    <w:name w:val="heading 3"/>
    <w:basedOn w:val="Normal"/>
    <w:next w:val="Normal"/>
    <w:link w:val="Heading3Char"/>
    <w:uiPriority w:val="9"/>
    <w:unhideWhenUsed/>
    <w:qFormat/>
    <w:rsid w:val="000A5706"/>
    <w:pPr>
      <w:keepNext/>
      <w:keepLines/>
      <w:spacing w:before="240" w:after="60"/>
      <w:jc w:val="left"/>
      <w:outlineLvl w:val="2"/>
    </w:pPr>
    <w:rPr>
      <w:b/>
      <w:bCs/>
    </w:rPr>
  </w:style>
  <w:style w:type="paragraph" w:styleId="Heading4">
    <w:name w:val="heading 4"/>
    <w:basedOn w:val="Normal"/>
    <w:next w:val="Normal"/>
    <w:link w:val="Heading4Char"/>
    <w:uiPriority w:val="9"/>
    <w:unhideWhenUsed/>
    <w:qFormat/>
    <w:rsid w:val="00876B51"/>
    <w:pPr>
      <w:keepNext/>
      <w:keepLines/>
      <w:spacing w:before="120" w:after="60"/>
      <w:jc w:val="left"/>
      <w:outlineLvl w:val="3"/>
    </w:pPr>
    <w:rPr>
      <w:bCs/>
      <w:i/>
      <w:iCs/>
      <w:u w:val="single"/>
    </w:rPr>
  </w:style>
  <w:style w:type="paragraph" w:styleId="Heading5">
    <w:name w:val="heading 5"/>
    <w:basedOn w:val="Normal"/>
    <w:next w:val="Normal"/>
    <w:link w:val="Heading5Char"/>
    <w:uiPriority w:val="9"/>
    <w:unhideWhenUsed/>
    <w:qFormat/>
    <w:rsid w:val="00876B51"/>
    <w:pPr>
      <w:keepNext/>
      <w:keepLines/>
      <w:spacing w:before="40" w:after="40"/>
      <w:outlineLvl w:val="4"/>
    </w:pPr>
    <w:rPr>
      <w:i/>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1"/>
      </w:numPr>
      <w:spacing w:after="120"/>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016089"/>
    <w:rPr>
      <w:rFonts w:ascii="Times New Roman Bold" w:hAnsi="Times New Roman Bold"/>
      <w:b/>
      <w:bCs/>
      <w:caps/>
      <w:sz w:val="26"/>
      <w:szCs w:val="26"/>
      <w:lang w:val="en-GB"/>
    </w:rPr>
  </w:style>
  <w:style w:type="character" w:customStyle="1" w:styleId="Heading2Char">
    <w:name w:val="Heading 2 Char"/>
    <w:link w:val="Heading2"/>
    <w:uiPriority w:val="9"/>
    <w:rsid w:val="008B0DB6"/>
    <w:rPr>
      <w:rFonts w:ascii="Times New Roman Bold" w:hAnsi="Times New Roman Bold"/>
      <w:b/>
      <w:bCs/>
      <w:sz w:val="24"/>
      <w:szCs w:val="22"/>
      <w:lang w:eastAsia="zh-TW"/>
    </w:rPr>
  </w:style>
  <w:style w:type="character" w:customStyle="1" w:styleId="Heading3Char">
    <w:name w:val="Heading 3 Char"/>
    <w:link w:val="Heading3"/>
    <w:uiPriority w:val="9"/>
    <w:rsid w:val="000A5706"/>
    <w:rPr>
      <w:rFonts w:ascii="Times New Roman" w:hAnsi="Times New Roman"/>
      <w:b/>
      <w:bCs/>
      <w:sz w:val="24"/>
      <w:szCs w:val="22"/>
      <w:lang w:eastAsia="zh-TW"/>
    </w:rPr>
  </w:style>
  <w:style w:type="character" w:customStyle="1" w:styleId="Heading4Char">
    <w:name w:val="Heading 4 Char"/>
    <w:link w:val="Heading4"/>
    <w:uiPriority w:val="9"/>
    <w:rsid w:val="00876B51"/>
    <w:rPr>
      <w:rFonts w:ascii="Times New Roman" w:hAnsi="Times New Roman"/>
      <w:bCs/>
      <w:i/>
      <w:iCs/>
      <w:sz w:val="24"/>
      <w:szCs w:val="22"/>
      <w:u w:val="single"/>
      <w:lang w:eastAsia="zh-TW"/>
    </w:rPr>
  </w:style>
  <w:style w:type="character" w:customStyle="1" w:styleId="Heading5Char">
    <w:name w:val="Heading 5 Char"/>
    <w:link w:val="Heading5"/>
    <w:uiPriority w:val="9"/>
    <w:rsid w:val="00876B51"/>
    <w:rPr>
      <w:rFonts w:ascii="Times New Roman" w:hAnsi="Times New Roman"/>
      <w:i/>
      <w:sz w:val="24"/>
      <w:szCs w:val="22"/>
      <w:lang w:eastAsia="zh-TW"/>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eastAsia="zh-TW"/>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nhideWhenUsed/>
    <w:rsid w:val="000471CA"/>
    <w:pPr>
      <w:tabs>
        <w:tab w:val="center" w:pos="4513"/>
        <w:tab w:val="right" w:pos="9026"/>
      </w:tabs>
    </w:pPr>
  </w:style>
  <w:style w:type="character" w:customStyle="1" w:styleId="FooterChar">
    <w:name w:val="Footer Char"/>
    <w:link w:val="Footer"/>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after="120"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character" w:styleId="CommentReference">
    <w:name w:val="annotation reference"/>
    <w:unhideWhenUsed/>
    <w:rsid w:val="00AA134F"/>
    <w:rPr>
      <w:sz w:val="16"/>
      <w:szCs w:val="16"/>
    </w:rPr>
  </w:style>
  <w:style w:type="paragraph" w:styleId="CommentText">
    <w:name w:val="annotation text"/>
    <w:basedOn w:val="Normal"/>
    <w:link w:val="CommentTextChar"/>
    <w:uiPriority w:val="99"/>
    <w:unhideWhenUsed/>
    <w:rsid w:val="00AA134F"/>
    <w:rPr>
      <w:sz w:val="20"/>
      <w:szCs w:val="20"/>
    </w:rPr>
  </w:style>
  <w:style w:type="character" w:customStyle="1" w:styleId="CommentTextChar">
    <w:name w:val="Comment Text Char"/>
    <w:link w:val="CommentText"/>
    <w:uiPriority w:val="99"/>
    <w:rsid w:val="00AA134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134F"/>
    <w:rPr>
      <w:b/>
      <w:bCs/>
    </w:rPr>
  </w:style>
  <w:style w:type="character" w:customStyle="1" w:styleId="CommentSubjectChar">
    <w:name w:val="Comment Subject Char"/>
    <w:link w:val="CommentSubject"/>
    <w:uiPriority w:val="99"/>
    <w:semiHidden/>
    <w:rsid w:val="00AA134F"/>
    <w:rPr>
      <w:rFonts w:ascii="Times New Roman" w:hAnsi="Times New Roman"/>
      <w:b/>
      <w:bCs/>
    </w:rPr>
  </w:style>
  <w:style w:type="character" w:styleId="Hyperlink">
    <w:name w:val="Hyperlink"/>
    <w:basedOn w:val="DefaultParagraphFont"/>
    <w:uiPriority w:val="99"/>
    <w:unhideWhenUsed/>
    <w:rsid w:val="00822EEB"/>
    <w:rPr>
      <w:color w:val="0000FF" w:themeColor="hyperlink"/>
      <w:u w:val="single"/>
    </w:rPr>
  </w:style>
  <w:style w:type="character" w:styleId="Strong">
    <w:name w:val="Strong"/>
    <w:basedOn w:val="DefaultParagraphFont"/>
    <w:qFormat/>
    <w:rsid w:val="00366B5F"/>
    <w:rPr>
      <w:b/>
      <w:bCs/>
    </w:rPr>
  </w:style>
  <w:style w:type="table" w:styleId="TableGrid">
    <w:name w:val="Table Grid"/>
    <w:basedOn w:val="TableNormal"/>
    <w:uiPriority w:val="59"/>
    <w:rsid w:val="00CD7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299D"/>
    <w:rPr>
      <w:rFonts w:ascii="Times New Roman" w:hAnsi="Times New Roman"/>
      <w:sz w:val="24"/>
      <w:szCs w:val="22"/>
      <w:lang w:eastAsia="zh-TW"/>
    </w:rPr>
  </w:style>
  <w:style w:type="character" w:styleId="FollowedHyperlink">
    <w:name w:val="FollowedHyperlink"/>
    <w:basedOn w:val="DefaultParagraphFont"/>
    <w:uiPriority w:val="99"/>
    <w:semiHidden/>
    <w:unhideWhenUsed/>
    <w:rsid w:val="00A5387F"/>
    <w:rPr>
      <w:color w:val="800080" w:themeColor="followedHyperlink"/>
      <w:u w:val="single"/>
    </w:rPr>
  </w:style>
  <w:style w:type="paragraph" w:customStyle="1" w:styleId="Default">
    <w:name w:val="Default"/>
    <w:rsid w:val="009E5EEF"/>
    <w:pPr>
      <w:autoSpaceDE w:val="0"/>
      <w:autoSpaceDN w:val="0"/>
      <w:adjustRightInd w:val="0"/>
    </w:pPr>
    <w:rPr>
      <w:rFonts w:ascii="Times New Roman" w:eastAsia="SimSun" w:hAnsi="Times New Roman"/>
      <w:color w:val="000000"/>
      <w:sz w:val="24"/>
      <w:szCs w:val="24"/>
      <w:lang w:val="en-US" w:eastAsia="zh-CN"/>
    </w:rPr>
  </w:style>
  <w:style w:type="paragraph" w:customStyle="1" w:styleId="Paragraph">
    <w:name w:val="Paragraph"/>
    <w:basedOn w:val="Normal"/>
    <w:link w:val="ParagraphChar"/>
    <w:qFormat/>
    <w:rsid w:val="00AD0B5D"/>
    <w:pPr>
      <w:spacing w:after="250" w:line="300" w:lineRule="atLeast"/>
      <w:jc w:val="left"/>
    </w:pPr>
    <w:rPr>
      <w:rFonts w:ascii="Arial" w:eastAsia="SimSun" w:hAnsi="Arial"/>
      <w:sz w:val="22"/>
      <w:szCs w:val="24"/>
      <w:lang w:val="en-US" w:eastAsia="zh-CN"/>
    </w:rPr>
  </w:style>
  <w:style w:type="character" w:customStyle="1" w:styleId="ParagraphChar">
    <w:name w:val="Paragraph Char"/>
    <w:link w:val="Paragraph"/>
    <w:rsid w:val="00AD0B5D"/>
    <w:rPr>
      <w:rFonts w:ascii="Arial" w:eastAsia="SimSun" w:hAnsi="Arial"/>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031">
      <w:bodyDiv w:val="1"/>
      <w:marLeft w:val="0"/>
      <w:marRight w:val="0"/>
      <w:marTop w:val="0"/>
      <w:marBottom w:val="0"/>
      <w:divBdr>
        <w:top w:val="none" w:sz="0" w:space="0" w:color="auto"/>
        <w:left w:val="none" w:sz="0" w:space="0" w:color="auto"/>
        <w:bottom w:val="none" w:sz="0" w:space="0" w:color="auto"/>
        <w:right w:val="none" w:sz="0" w:space="0" w:color="auto"/>
      </w:divBdr>
    </w:div>
    <w:div w:id="286740020">
      <w:bodyDiv w:val="1"/>
      <w:marLeft w:val="0"/>
      <w:marRight w:val="0"/>
      <w:marTop w:val="0"/>
      <w:marBottom w:val="0"/>
      <w:divBdr>
        <w:top w:val="none" w:sz="0" w:space="0" w:color="auto"/>
        <w:left w:val="none" w:sz="0" w:space="0" w:color="auto"/>
        <w:bottom w:val="none" w:sz="0" w:space="0" w:color="auto"/>
        <w:right w:val="none" w:sz="0" w:space="0" w:color="auto"/>
      </w:divBdr>
    </w:div>
    <w:div w:id="548567381">
      <w:bodyDiv w:val="1"/>
      <w:marLeft w:val="0"/>
      <w:marRight w:val="0"/>
      <w:marTop w:val="0"/>
      <w:marBottom w:val="0"/>
      <w:divBdr>
        <w:top w:val="none" w:sz="0" w:space="0" w:color="auto"/>
        <w:left w:val="none" w:sz="0" w:space="0" w:color="auto"/>
        <w:bottom w:val="none" w:sz="0" w:space="0" w:color="auto"/>
        <w:right w:val="none" w:sz="0" w:space="0" w:color="auto"/>
      </w:divBdr>
    </w:div>
    <w:div w:id="612441109">
      <w:bodyDiv w:val="1"/>
      <w:marLeft w:val="0"/>
      <w:marRight w:val="0"/>
      <w:marTop w:val="0"/>
      <w:marBottom w:val="0"/>
      <w:divBdr>
        <w:top w:val="none" w:sz="0" w:space="0" w:color="auto"/>
        <w:left w:val="none" w:sz="0" w:space="0" w:color="auto"/>
        <w:bottom w:val="none" w:sz="0" w:space="0" w:color="auto"/>
        <w:right w:val="none" w:sz="0" w:space="0" w:color="auto"/>
      </w:divBdr>
    </w:div>
    <w:div w:id="665477560">
      <w:bodyDiv w:val="1"/>
      <w:marLeft w:val="0"/>
      <w:marRight w:val="0"/>
      <w:marTop w:val="0"/>
      <w:marBottom w:val="0"/>
      <w:divBdr>
        <w:top w:val="none" w:sz="0" w:space="0" w:color="auto"/>
        <w:left w:val="none" w:sz="0" w:space="0" w:color="auto"/>
        <w:bottom w:val="none" w:sz="0" w:space="0" w:color="auto"/>
        <w:right w:val="none" w:sz="0" w:space="0" w:color="auto"/>
      </w:divBdr>
    </w:div>
    <w:div w:id="1502164680">
      <w:bodyDiv w:val="1"/>
      <w:marLeft w:val="0"/>
      <w:marRight w:val="0"/>
      <w:marTop w:val="0"/>
      <w:marBottom w:val="0"/>
      <w:divBdr>
        <w:top w:val="none" w:sz="0" w:space="0" w:color="auto"/>
        <w:left w:val="none" w:sz="0" w:space="0" w:color="auto"/>
        <w:bottom w:val="none" w:sz="0" w:space="0" w:color="auto"/>
        <w:right w:val="none" w:sz="0" w:space="0" w:color="auto"/>
      </w:divBdr>
    </w:div>
    <w:div w:id="177617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ga.gov.au/reporting-problems"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ExpireDate xmlns="http://schemas.microsoft.com/sharepoint/v3">2027-12-23T16:00:00+00:00</_dlc_ExpireDate>
    <_dlc_ExpireDateSaved xmlns="http://schemas.microsoft.com/sharepoint/v3" xsi:nil="true"/>
    <TaxCatchAll xmlns="f191ad30-9ade-4f0c-b78e-cf30469879ae"/>
    <TaxKeywordTaxHTField xmlns="8eafee3c-420c-486d-b1fa-2cdad49e961d">
      <Terms xmlns="http://schemas.microsoft.com/office/infopath/2007/PartnerControls"/>
    </TaxKeywordTaxHTField>
    <Published_x0020_Document_x0020_Status xmlns="84472ea8-4dd9-4fd3-b5d6-47952a17f14e">Permission Granted</Published_x0020_Document_x0020_Status>
    <ProcessCategory xmlns="84472ea8-4dd9-4fd3-b5d6-47952a17f14e" xsi:nil="true"/>
    <RequestID xmlns="84472ea8-4dd9-4fd3-b5d6-47952a17f14e" xsi:nil="true"/>
    <ProcessType xmlns="84472ea8-4dd9-4fd3-b5d6-47952a17f14e" xsi:nil="true"/>
    <Version xmlns="84472ea8-4dd9-4fd3-b5d6-47952a17f14e" xsi:nil="true"/>
    <Effective_x0020_Date xmlns="84472ea8-4dd9-4fd3-b5d6-47952a17f14e" xsi:nil="true"/>
    <ProcessOwner xmlns="84472ea8-4dd9-4fd3-b5d6-47952a17f14e" xsi:nil="true"/>
    <Published_x0020_Date xmlns="84472ea8-4dd9-4fd3-b5d6-47952a17f1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Q Published Document" ma:contentTypeID="0x010100E1B3445588881D4EBDF11CECAC0F229E006236D92EBEB722408B4DF16F88D56411" ma:contentTypeVersion="17" ma:contentTypeDescription="/" ma:contentTypeScope="" ma:versionID="1ac0bdd6ebefd29c610320df8eb0e3f3">
  <xsd:schema xmlns:xsd="http://www.w3.org/2001/XMLSchema" xmlns:xs="http://www.w3.org/2001/XMLSchema" xmlns:p="http://schemas.microsoft.com/office/2006/metadata/properties" xmlns:ns1="http://schemas.microsoft.com/sharepoint/v3" xmlns:ns2="84472ea8-4dd9-4fd3-b5d6-47952a17f14e" xmlns:ns3="8eafee3c-420c-486d-b1fa-2cdad49e961d" xmlns:ns4="f191ad30-9ade-4f0c-b78e-cf30469879ae" targetNamespace="http://schemas.microsoft.com/office/2006/metadata/properties" ma:root="true" ma:fieldsID="bf4dca3a0acc7b22a33421f00c73eac9" ns1:_="" ns2:_="" ns3:_="" ns4:_="">
    <xsd:import namespace="http://schemas.microsoft.com/sharepoint/v3"/>
    <xsd:import namespace="84472ea8-4dd9-4fd3-b5d6-47952a17f14e"/>
    <xsd:import namespace="8eafee3c-420c-486d-b1fa-2cdad49e961d"/>
    <xsd:import namespace="f191ad30-9ade-4f0c-b78e-cf30469879ae"/>
    <xsd:element name="properties">
      <xsd:complexType>
        <xsd:sequence>
          <xsd:element name="documentManagement">
            <xsd:complexType>
              <xsd:all>
                <xsd:element ref="ns2:ProcessOwner" minOccurs="0"/>
                <xsd:element ref="ns2:ProcessCategory" minOccurs="0"/>
                <xsd:element ref="ns2:ProcessType" minOccurs="0"/>
                <xsd:element ref="ns2:Published_x0020_Date" minOccurs="0"/>
                <xsd:element ref="ns2:Effective_x0020_Date" minOccurs="0"/>
                <xsd:element ref="ns2:Published_x0020_Document_x0020_Status" minOccurs="0"/>
                <xsd:element ref="ns2:Version" minOccurs="0"/>
                <xsd:element ref="ns2:RequestID" minOccurs="0"/>
                <xsd:element ref="ns3:TaxKeywordTaxHTField" minOccurs="0"/>
                <xsd:element ref="ns4:TaxCatchAll" minOccurs="0"/>
                <xsd:element ref="ns1:_dlc_ExpireDateSaved" minOccurs="0"/>
                <xsd:element ref="ns1:_dlc_ExpireDate" minOccurs="0"/>
                <xsd:element ref="ns1:_dlc_Exempt"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Original Expiration Date" ma:hidden="true" ma:internalName="_dlc_ExpireDateSaved" ma:readOnly="true">
      <xsd:simpleType>
        <xsd:restriction base="dms:DateTime"/>
      </xsd:simpleType>
    </xsd:element>
    <xsd:element name="_dlc_ExpireDate" ma:index="20" nillable="true" ma:displayName="Expiration Date" ma:description="" ma:hidden="true" ma:indexed="true" ma:internalName="_dlc_ExpireDate" ma:readOnly="true">
      <xsd:simpleType>
        <xsd:restriction base="dms:DateTime"/>
      </xsd:simpleType>
    </xsd:element>
    <xsd:element name="_dlc_Exempt" ma:index="21" nillable="true" ma:displayName="Exempt from Policy" ma:hidden="true" ma:internalName="_dlc_Exempt" ma:readOnly="true">
      <xsd:simpleType>
        <xsd:restriction base="dms:Unknown"/>
      </xsd:simpleType>
    </xsd:element>
    <xsd:element name="_vti_ItemDeclaredRecord" ma:index="22"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472ea8-4dd9-4fd3-b5d6-47952a17f14e" elementFormDefault="qualified">
    <xsd:import namespace="http://schemas.microsoft.com/office/2006/documentManagement/types"/>
    <xsd:import namespace="http://schemas.microsoft.com/office/infopath/2007/PartnerControls"/>
    <xsd:element name="ProcessOwner" ma:index="8" nillable="true" ma:displayName="ProcessOwner" ma:default="" ma:description="" ma:internalName="ProcessOwner">
      <xsd:simpleType>
        <xsd:restriction base="dms:Text"/>
      </xsd:simpleType>
    </xsd:element>
    <xsd:element name="ProcessCategory" ma:index="9" nillable="true" ma:displayName="ProcessCategory" ma:default="" ma:description="" ma:internalName="ProcessCategory">
      <xsd:simpleType>
        <xsd:restriction base="dms:Text"/>
      </xsd:simpleType>
    </xsd:element>
    <xsd:element name="ProcessType" ma:index="10" nillable="true" ma:displayName="ProcessType" ma:default="" ma:description="" ma:internalName="ProcessType">
      <xsd:simpleType>
        <xsd:restriction base="dms:Text"/>
      </xsd:simpleType>
    </xsd:element>
    <xsd:element name="Published_x0020_Date" ma:index="11" nillable="true" ma:displayName="Published Date" ma:default="" ma:description="" ma:internalName="Published_x0020_Date">
      <xsd:simpleType>
        <xsd:restriction base="dms:DateTime"/>
      </xsd:simpleType>
    </xsd:element>
    <xsd:element name="Effective_x0020_Date" ma:index="12" nillable="true" ma:displayName="Effective Date" ma:description="" ma:format="DateOnly" ma:internalName="Effective_x0020_Date">
      <xsd:simpleType>
        <xsd:restriction base="dms:DateTime"/>
      </xsd:simpleType>
    </xsd:element>
    <xsd:element name="Published_x0020_Document_x0020_Status" ma:index="13" nillable="true" ma:displayName="Published Document Status" ma:default="" ma:description="" ma:internalName="Published_x0020_Document_x0020_Status">
      <xsd:simpleType>
        <xsd:restriction base="dms:Text"/>
      </xsd:simpleType>
    </xsd:element>
    <xsd:element name="Version" ma:index="14" nillable="true" ma:displayName="Version" ma:default="" ma:description="" ma:internalName="Version">
      <xsd:simpleType>
        <xsd:restriction base="dms:Number"/>
      </xsd:simpleType>
    </xsd:element>
    <xsd:element name="RequestID" ma:index="15" nillable="true" ma:displayName="RequestID" ma:default="" ma:description="" ma:internalName="Request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eafee3c-420c-486d-b1fa-2cdad49e961d"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7bb846-0dba-4c08-b496-9327559b34c0}" ma:internalName="TaxCatchAll" ma:showField="CatchAllData" ma:web="8eafee3c-420c-486d-b1fa-2cdad49e96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80DE-A42E-4942-B981-8D0EF8D7092B}">
  <ds:schemaRefs>
    <ds:schemaRef ds:uri="http://schemas.microsoft.com/sharepoint/v3/contenttype/forms"/>
  </ds:schemaRefs>
</ds:datastoreItem>
</file>

<file path=customXml/itemProps2.xml><?xml version="1.0" encoding="utf-8"?>
<ds:datastoreItem xmlns:ds="http://schemas.openxmlformats.org/officeDocument/2006/customXml" ds:itemID="{3E8465B7-16FF-41BD-AD8A-10508F8939B7}">
  <ds:schemaRefs>
    <ds:schemaRef ds:uri="http://purl.org/dc/dcmitype/"/>
    <ds:schemaRef ds:uri="f191ad30-9ade-4f0c-b78e-cf30469879ae"/>
    <ds:schemaRef ds:uri="84472ea8-4dd9-4fd3-b5d6-47952a17f14e"/>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eafee3c-420c-486d-b1fa-2cdad49e961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7DCF6C8-BD75-46A7-9943-30A5FC146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472ea8-4dd9-4fd3-b5d6-47952a17f14e"/>
    <ds:schemaRef ds:uri="8eafee3c-420c-486d-b1fa-2cdad49e961d"/>
    <ds:schemaRef ds:uri="f191ad30-9ade-4f0c-b78e-cf3046987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12CA7-5E3A-4CBF-A976-6925CA679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6579</Words>
  <Characters>36650</Characters>
  <Application>Microsoft Office Word</Application>
  <DocSecurity>0</DocSecurity>
  <Lines>1018</Lines>
  <Paragraphs>645</Paragraphs>
  <ScaleCrop>false</ScaleCrop>
  <HeadingPairs>
    <vt:vector size="2" baseType="variant">
      <vt:variant>
        <vt:lpstr>Title</vt:lpstr>
      </vt:variant>
      <vt:variant>
        <vt:i4>1</vt:i4>
      </vt:variant>
    </vt:vector>
  </HeadingPairs>
  <TitlesOfParts>
    <vt:vector size="1" baseType="lpstr">
      <vt:lpstr>Australian Public Assessment Report for Polatuzumab vedotin</vt:lpstr>
    </vt:vector>
  </TitlesOfParts>
  <Company>F. Hoffmann-La Roche, Ltd.</Company>
  <LinksUpToDate>false</LinksUpToDate>
  <CharactersWithSpaces>42584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Polatuzumab vedotin</dc:title>
  <dc:subject>prescription medicines</dc:subject>
  <dc:creator>Kylee Alma</dc:creator>
  <cp:lastPrinted>2019-10-25T02:02:00Z</cp:lastPrinted>
  <dcterms:created xsi:type="dcterms:W3CDTF">2020-01-02T01:17:00Z</dcterms:created>
  <dcterms:modified xsi:type="dcterms:W3CDTF">2020-01-02T01:17:00Z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0x010100E1B3445588881D4EBDF11CECAC0F229E006236D92EBEB722408B4DF16F88D56411</vt:lpwstr>
  </property>
  <property fmtid="{D5CDD505-2E9C-101B-9397-08002B2CF9AE}" pid="3" name="Platypus_REG Status">
    <vt:lpwstr>1</vt:lpwstr>
  </property>
  <property fmtid="{D5CDD505-2E9C-101B-9397-08002B2CF9AE}" pid="4" name="Platypus_REG Country">
    <vt:lpwstr>2</vt:lpwstr>
  </property>
  <property fmtid="{D5CDD505-2E9C-101B-9397-08002B2CF9AE}" pid="5" name="REG_Team_Members">
    <vt:lpwstr/>
  </property>
  <property fmtid="{D5CDD505-2E9C-101B-9397-08002B2CF9AE}" pid="6" name="Platypus_REG Primary Group">
    <vt:lpwstr>3</vt:lpwstr>
  </property>
  <property fmtid="{D5CDD505-2E9C-101B-9397-08002B2CF9AE}" pid="7" name="Platypus_REG NON_CONDOR Process Type">
    <vt:lpwstr>2</vt:lpwstr>
  </property>
  <property fmtid="{D5CDD505-2E9C-101B-9397-08002B2CF9AE}" pid="8" name="Platypus_REG Category">
    <vt:lpwstr>3</vt:lpwstr>
  </property>
  <property fmtid="{D5CDD505-2E9C-101B-9397-08002B2CF9AE}" pid="9" name="Platypus_REG NON-CONDOR Process Type">
    <vt:lpwstr>2</vt:lpwstr>
  </property>
  <property fmtid="{D5CDD505-2E9C-101B-9397-08002B2CF9AE}" pid="10" name="Platypus_REG Registration Activities">
    <vt:lpwstr>8</vt:lpwstr>
  </property>
  <property fmtid="{D5CDD505-2E9C-101B-9397-08002B2CF9AE}" pid="11" name="_dlc_policyId">
    <vt:lpwstr>/team/201211a2/ProcessIQ/Published</vt:lpwstr>
  </property>
  <property fmtid="{D5CDD505-2E9C-101B-9397-08002B2CF9AE}" pid="12" name="ItemRetentionFormula">
    <vt:lpwstr>&lt;formula id="Roche.Common.Coremap.ExpirationFormula" /&gt;</vt:lpwstr>
  </property>
  <property fmtid="{D5CDD505-2E9C-101B-9397-08002B2CF9AE}" pid="13" name="_dlc_DocIdItemGuid">
    <vt:lpwstr>453808dd-6b03-4322-a528-b36a94a7430d</vt:lpwstr>
  </property>
  <property fmtid="{D5CDD505-2E9C-101B-9397-08002B2CF9AE}" pid="14" name="TaxKeyword">
    <vt:lpwstr/>
  </property>
  <property fmtid="{D5CDD505-2E9C-101B-9397-08002B2CF9AE}" pid="15" name="Order">
    <vt:r8>77800</vt:r8>
  </property>
  <property fmtid="{D5CDD505-2E9C-101B-9397-08002B2CF9AE}" pid="16" name="WorkflowChangePath">
    <vt:lpwstr>d0a6ed6f-b848-485e-a33c-9821f7465e44,5;</vt:lpwstr>
  </property>
</Properties>
</file>