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4FA6C" w14:textId="77777777" w:rsidR="00E54AD8" w:rsidRPr="00375DF3" w:rsidRDefault="00E54AD8" w:rsidP="00E54AD8">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4847EAA9" wp14:editId="0A021EAE">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26DD3" w14:textId="77777777" w:rsidR="004661B8" w:rsidRPr="00BE2A26" w:rsidRDefault="004661B8" w:rsidP="00E54AD8">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3i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GCnSAUX3fPDoRg8oD9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CSp3eJ0AgAA/gQAAA4AAAAAAAAAAAAA&#10;AAAALgIAAGRycy9lMm9Eb2MueG1sUEsBAi0AFAAGAAgAAAAhAGP1TgzZAAAAAwEAAA8AAAAAAAAA&#10;AAAAAAAAzgQAAGRycy9kb3ducmV2LnhtbFBLBQYAAAAABAAEAPMAAADUBQAAAAA=&#10;" stroked="f">
                <v:textbox inset="0,0,0,0">
                  <w:txbxContent>
                    <w:p w14:paraId="68826DD3" w14:textId="77777777" w:rsidR="004661B8" w:rsidRPr="00BE2A26" w:rsidRDefault="004661B8" w:rsidP="00E54AD8">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9" w:history="1">
        <w:r>
          <w:rPr>
            <w:rStyle w:val="Hyperlink"/>
            <w:rFonts w:asciiTheme="majorHAnsi" w:hAnsiTheme="majorHAnsi"/>
          </w:rPr>
          <w:t>https://www.tga.gov.au/reporting-problems</w:t>
        </w:r>
      </w:hyperlink>
      <w:r w:rsidRPr="00375DF3">
        <w:rPr>
          <w:rFonts w:asciiTheme="majorHAnsi" w:hAnsiTheme="majorHAnsi"/>
        </w:rPr>
        <w:t>.</w:t>
      </w:r>
    </w:p>
    <w:p w14:paraId="1603AB74" w14:textId="77777777" w:rsidR="008C2094" w:rsidRDefault="008C2094" w:rsidP="008C2094">
      <w:pPr>
        <w:pStyle w:val="Header"/>
        <w:jc w:val="center"/>
        <w:rPr>
          <w:rFonts w:ascii="Times New Roman" w:hAnsi="Times New Roman" w:cs="Times New Roman"/>
          <w:sz w:val="28"/>
        </w:rPr>
      </w:pPr>
      <w:r>
        <w:rPr>
          <w:rFonts w:ascii="Times New Roman" w:hAnsi="Times New Roman" w:cs="Times New Roman"/>
          <w:sz w:val="28"/>
        </w:rPr>
        <w:t>Australian Product Information</w:t>
      </w:r>
    </w:p>
    <w:p w14:paraId="25D54387" w14:textId="77777777" w:rsidR="008C2094" w:rsidRDefault="008C2094" w:rsidP="008C2094">
      <w:pPr>
        <w:pStyle w:val="Header"/>
        <w:jc w:val="center"/>
        <w:rPr>
          <w:rFonts w:ascii="Times New Roman" w:hAnsi="Times New Roman" w:cs="Times New Roman"/>
          <w:sz w:val="28"/>
        </w:rPr>
      </w:pPr>
      <w:r>
        <w:rPr>
          <w:rFonts w:ascii="Times New Roman" w:hAnsi="Times New Roman" w:cs="Times New Roman"/>
          <w:sz w:val="28"/>
        </w:rPr>
        <w:t xml:space="preserve">APLIDIN (plitidepsin) </w:t>
      </w:r>
    </w:p>
    <w:p w14:paraId="018C6957" w14:textId="77777777" w:rsidR="008C2094" w:rsidRDefault="008C2094" w:rsidP="008C2094">
      <w:pPr>
        <w:pStyle w:val="Header"/>
        <w:jc w:val="center"/>
      </w:pPr>
    </w:p>
    <w:p w14:paraId="6DAE3C5E" w14:textId="4A36CC9A" w:rsidR="00BC7299" w:rsidRPr="00355185" w:rsidRDefault="00BC7299" w:rsidP="00645AC8">
      <w:pPr>
        <w:pStyle w:val="BodyText"/>
        <w:spacing w:line="245" w:lineRule="auto"/>
        <w:ind w:left="0" w:right="172"/>
      </w:pPr>
    </w:p>
    <w:p w14:paraId="504EE25A" w14:textId="77777777" w:rsidR="001A3992" w:rsidRPr="00355185" w:rsidRDefault="001A3992" w:rsidP="009F44AE">
      <w:pPr>
        <w:pStyle w:val="Heading1"/>
        <w:spacing w:before="0" w:line="240" w:lineRule="auto"/>
        <w:ind w:left="0" w:hanging="426"/>
        <w:rPr>
          <w:rFonts w:ascii="Times New Roman" w:hAnsi="Times New Roman" w:cs="Times New Roman"/>
          <w:b w:val="0"/>
        </w:rPr>
      </w:pPr>
      <w:r w:rsidRPr="00355185">
        <w:rPr>
          <w:rFonts w:ascii="Times New Roman" w:hAnsi="Times New Roman" w:cs="Times New Roman"/>
          <w:b w:val="0"/>
        </w:rPr>
        <w:t>Name of the medicine</w:t>
      </w:r>
    </w:p>
    <w:p w14:paraId="1AA65CD8" w14:textId="4ECC4A22" w:rsidR="00645AC8" w:rsidRPr="00355185" w:rsidRDefault="00675F0A" w:rsidP="00645AC8">
      <w:pPr>
        <w:spacing w:after="0" w:line="240" w:lineRule="auto"/>
        <w:rPr>
          <w:rFonts w:ascii="Times New Roman" w:hAnsi="Times New Roman" w:cs="Times New Roman"/>
        </w:rPr>
      </w:pPr>
      <w:r>
        <w:rPr>
          <w:rFonts w:ascii="Times New Roman" w:hAnsi="Times New Roman" w:cs="Times New Roman"/>
        </w:rPr>
        <w:t>APLIDIN (plitidepsin) p</w:t>
      </w:r>
      <w:r w:rsidRPr="00675F0A">
        <w:rPr>
          <w:rFonts w:ascii="Times New Roman" w:hAnsi="Times New Roman" w:cs="Times New Roman"/>
        </w:rPr>
        <w:t>owder for solution for infusion</w:t>
      </w:r>
      <w:r w:rsidR="00335E88">
        <w:rPr>
          <w:rFonts w:ascii="Times New Roman" w:hAnsi="Times New Roman" w:cs="Times New Roman"/>
        </w:rPr>
        <w:t>.</w:t>
      </w:r>
    </w:p>
    <w:p w14:paraId="572A2EF2" w14:textId="77777777" w:rsidR="00645AC8" w:rsidRPr="00355185" w:rsidRDefault="00645AC8" w:rsidP="009F44AE">
      <w:pPr>
        <w:spacing w:after="0" w:line="240" w:lineRule="auto"/>
        <w:rPr>
          <w:rFonts w:ascii="Times New Roman" w:hAnsi="Times New Roman" w:cs="Times New Roman"/>
        </w:rPr>
      </w:pPr>
    </w:p>
    <w:p w14:paraId="44099769" w14:textId="7278B9FF" w:rsidR="00BC7299" w:rsidRPr="00355185" w:rsidRDefault="001A3992" w:rsidP="00645AC8">
      <w:pPr>
        <w:pStyle w:val="Heading1"/>
        <w:spacing w:before="0"/>
        <w:ind w:left="0" w:hanging="426"/>
        <w:rPr>
          <w:rFonts w:ascii="Times New Roman" w:hAnsi="Times New Roman" w:cs="Times New Roman"/>
          <w:b w:val="0"/>
        </w:rPr>
      </w:pPr>
      <w:r w:rsidRPr="00355185">
        <w:rPr>
          <w:rFonts w:ascii="Times New Roman" w:hAnsi="Times New Roman" w:cs="Times New Roman"/>
          <w:b w:val="0"/>
        </w:rPr>
        <w:t>Qualitative and quantitative composition</w:t>
      </w:r>
    </w:p>
    <w:p w14:paraId="55B9BFBB" w14:textId="57C0036F" w:rsidR="009F44AE" w:rsidRDefault="009F44AE" w:rsidP="009F44AE">
      <w:pPr>
        <w:spacing w:after="0" w:line="240" w:lineRule="auto"/>
        <w:rPr>
          <w:rFonts w:ascii="Times New Roman" w:hAnsi="Times New Roman" w:cs="Times New Roman"/>
        </w:rPr>
      </w:pPr>
      <w:r w:rsidRPr="009F44AE">
        <w:rPr>
          <w:rFonts w:ascii="Times New Roman" w:hAnsi="Times New Roman" w:cs="Times New Roman"/>
        </w:rPr>
        <w:t>Each vial contains 2</w:t>
      </w:r>
      <w:r w:rsidR="00D835D0">
        <w:rPr>
          <w:rFonts w:ascii="Times New Roman" w:hAnsi="Times New Roman" w:cs="Times New Roman"/>
        </w:rPr>
        <w:t xml:space="preserve"> </w:t>
      </w:r>
      <w:r w:rsidRPr="009F44AE">
        <w:rPr>
          <w:rFonts w:ascii="Times New Roman" w:hAnsi="Times New Roman" w:cs="Times New Roman"/>
        </w:rPr>
        <w:t>mg of plitidepsin.</w:t>
      </w:r>
    </w:p>
    <w:p w14:paraId="1C844DB8" w14:textId="7FEAD7EC" w:rsidR="00645AC8" w:rsidRDefault="00D44CEC" w:rsidP="00D44CEC">
      <w:pPr>
        <w:spacing w:after="0" w:line="240" w:lineRule="auto"/>
        <w:rPr>
          <w:rFonts w:ascii="Times New Roman" w:hAnsi="Times New Roman" w:cs="Times New Roman"/>
        </w:rPr>
      </w:pPr>
      <w:r w:rsidRPr="00D44CEC">
        <w:rPr>
          <w:rFonts w:ascii="Times New Roman" w:hAnsi="Times New Roman" w:cs="Times New Roman"/>
        </w:rPr>
        <w:t>After reconstitution, each mL of reconstituted solution contains: 0.5</w:t>
      </w:r>
      <w:r w:rsidR="00D835D0">
        <w:rPr>
          <w:rFonts w:ascii="Times New Roman" w:hAnsi="Times New Roman" w:cs="Times New Roman"/>
        </w:rPr>
        <w:t xml:space="preserve"> </w:t>
      </w:r>
      <w:r w:rsidRPr="00D44CEC">
        <w:rPr>
          <w:rFonts w:ascii="Times New Roman" w:hAnsi="Times New Roman" w:cs="Times New Roman"/>
        </w:rPr>
        <w:t>mg of plitidepsin, 158</w:t>
      </w:r>
      <w:r w:rsidR="00D835D0">
        <w:rPr>
          <w:rFonts w:ascii="Times New Roman" w:hAnsi="Times New Roman" w:cs="Times New Roman"/>
        </w:rPr>
        <w:t xml:space="preserve"> </w:t>
      </w:r>
      <w:r w:rsidRPr="00D44CEC">
        <w:rPr>
          <w:rFonts w:ascii="Times New Roman" w:hAnsi="Times New Roman" w:cs="Times New Roman"/>
        </w:rPr>
        <w:t xml:space="preserve">mg of PEG-35 castor oil, and ethanol </w:t>
      </w:r>
      <w:r w:rsidR="00167587">
        <w:rPr>
          <w:rFonts w:ascii="Times New Roman" w:hAnsi="Times New Roman" w:cs="Times New Roman"/>
        </w:rPr>
        <w:t>0.15 mL/</w:t>
      </w:r>
      <w:proofErr w:type="spellStart"/>
      <w:r w:rsidR="00167587">
        <w:rPr>
          <w:rFonts w:ascii="Times New Roman" w:hAnsi="Times New Roman" w:cs="Times New Roman"/>
        </w:rPr>
        <w:t>mL</w:t>
      </w:r>
      <w:r w:rsidRPr="00D44CEC">
        <w:rPr>
          <w:rFonts w:ascii="Times New Roman" w:hAnsi="Times New Roman" w:cs="Times New Roman"/>
        </w:rPr>
        <w:t>.</w:t>
      </w:r>
      <w:proofErr w:type="spellEnd"/>
    </w:p>
    <w:p w14:paraId="2F0F3A35" w14:textId="77777777" w:rsidR="00D3173A" w:rsidRDefault="00D3173A" w:rsidP="00D3173A">
      <w:pPr>
        <w:spacing w:after="0" w:line="240" w:lineRule="auto"/>
        <w:rPr>
          <w:rFonts w:ascii="Times New Roman" w:hAnsi="Times New Roman" w:cs="Times New Roman"/>
        </w:rPr>
      </w:pPr>
    </w:p>
    <w:p w14:paraId="7638BF7E" w14:textId="69F779FA" w:rsidR="00D3173A" w:rsidRDefault="00D3173A" w:rsidP="00D44CEC">
      <w:pPr>
        <w:spacing w:after="0" w:line="240" w:lineRule="auto"/>
        <w:rPr>
          <w:rFonts w:ascii="Times New Roman" w:hAnsi="Times New Roman" w:cs="Times New Roman"/>
          <w:u w:val="single"/>
        </w:rPr>
      </w:pPr>
      <w:r>
        <w:rPr>
          <w:rFonts w:ascii="Times New Roman" w:hAnsi="Times New Roman" w:cs="Times New Roman"/>
          <w:u w:val="single"/>
        </w:rPr>
        <w:t>List of excipients</w:t>
      </w:r>
    </w:p>
    <w:p w14:paraId="7A174679" w14:textId="2C77C246" w:rsidR="00D3173A" w:rsidRPr="00D3173A" w:rsidRDefault="00D3173A" w:rsidP="00D44CEC">
      <w:pPr>
        <w:spacing w:after="0" w:line="240" w:lineRule="auto"/>
        <w:rPr>
          <w:rFonts w:ascii="Times New Roman" w:hAnsi="Times New Roman" w:cs="Times New Roman"/>
          <w:i/>
        </w:rPr>
      </w:pPr>
      <w:r>
        <w:rPr>
          <w:rFonts w:ascii="Times New Roman" w:hAnsi="Times New Roman" w:cs="Times New Roman"/>
        </w:rPr>
        <w:t xml:space="preserve">For the full list of excipients, see </w:t>
      </w:r>
      <w:r w:rsidRPr="00D3173A">
        <w:rPr>
          <w:rFonts w:ascii="Times New Roman" w:hAnsi="Times New Roman" w:cs="Times New Roman"/>
          <w:b/>
          <w:i/>
        </w:rPr>
        <w:t>Section 6.1 List of excipients</w:t>
      </w:r>
      <w:r>
        <w:rPr>
          <w:rFonts w:ascii="Times New Roman" w:hAnsi="Times New Roman" w:cs="Times New Roman"/>
          <w:b/>
          <w:i/>
        </w:rPr>
        <w:t>.</w:t>
      </w:r>
    </w:p>
    <w:p w14:paraId="4CBC3F20" w14:textId="77777777" w:rsidR="00D44CEC" w:rsidRPr="00355185" w:rsidRDefault="00D44CEC" w:rsidP="00D44CEC">
      <w:pPr>
        <w:spacing w:after="0" w:line="240" w:lineRule="auto"/>
        <w:rPr>
          <w:rFonts w:ascii="Times New Roman" w:hAnsi="Times New Roman" w:cs="Times New Roman"/>
        </w:rPr>
      </w:pPr>
    </w:p>
    <w:p w14:paraId="3F026166" w14:textId="08CF6D52" w:rsidR="001A3992" w:rsidRPr="00355185" w:rsidRDefault="001A3992" w:rsidP="00D44CEC">
      <w:pPr>
        <w:pStyle w:val="Heading1"/>
        <w:spacing w:before="0" w:line="240" w:lineRule="auto"/>
        <w:ind w:left="0" w:hanging="426"/>
        <w:rPr>
          <w:rFonts w:ascii="Times New Roman" w:hAnsi="Times New Roman" w:cs="Times New Roman"/>
          <w:b w:val="0"/>
        </w:rPr>
      </w:pPr>
      <w:r w:rsidRPr="00355185">
        <w:rPr>
          <w:rFonts w:ascii="Times New Roman" w:hAnsi="Times New Roman" w:cs="Times New Roman"/>
          <w:b w:val="0"/>
        </w:rPr>
        <w:t>Pharmaceutical form</w:t>
      </w:r>
    </w:p>
    <w:p w14:paraId="622C5BF0" w14:textId="77777777" w:rsidR="00DB31B0" w:rsidRPr="00DB31B0" w:rsidRDefault="00DB31B0" w:rsidP="00DB31B0">
      <w:pPr>
        <w:spacing w:after="0" w:line="240" w:lineRule="auto"/>
        <w:rPr>
          <w:rFonts w:ascii="Times New Roman" w:hAnsi="Times New Roman" w:cs="Times New Roman"/>
        </w:rPr>
      </w:pPr>
      <w:r>
        <w:rPr>
          <w:rFonts w:ascii="Times New Roman" w:hAnsi="Times New Roman" w:cs="Times New Roman"/>
        </w:rPr>
        <w:t>P</w:t>
      </w:r>
      <w:r w:rsidRPr="00675F0A">
        <w:rPr>
          <w:rFonts w:ascii="Times New Roman" w:hAnsi="Times New Roman" w:cs="Times New Roman"/>
        </w:rPr>
        <w:t>owder for solution for infusion</w:t>
      </w:r>
      <w:r>
        <w:rPr>
          <w:rFonts w:ascii="Times New Roman" w:hAnsi="Times New Roman" w:cs="Times New Roman"/>
        </w:rPr>
        <w:t xml:space="preserve">. </w:t>
      </w:r>
      <w:r w:rsidRPr="00DB31B0">
        <w:rPr>
          <w:rFonts w:ascii="Times New Roman" w:hAnsi="Times New Roman" w:cs="Times New Roman"/>
        </w:rPr>
        <w:t xml:space="preserve">The powder is a white to off-white powder or solid cake. </w:t>
      </w:r>
    </w:p>
    <w:p w14:paraId="5ACFE532" w14:textId="304A4119" w:rsidR="00DB31B0" w:rsidRPr="00DB31B0" w:rsidRDefault="00BB641F" w:rsidP="00DB31B0">
      <w:pPr>
        <w:spacing w:after="0" w:line="240" w:lineRule="auto"/>
        <w:rPr>
          <w:rFonts w:ascii="Times New Roman" w:hAnsi="Times New Roman" w:cs="Times New Roman"/>
        </w:rPr>
      </w:pPr>
      <w:r>
        <w:rPr>
          <w:rFonts w:ascii="Times New Roman" w:hAnsi="Times New Roman" w:cs="Times New Roman"/>
        </w:rPr>
        <w:t>T</w:t>
      </w:r>
      <w:r w:rsidR="00DB31B0" w:rsidRPr="00DB31B0">
        <w:rPr>
          <w:rFonts w:ascii="Times New Roman" w:hAnsi="Times New Roman" w:cs="Times New Roman"/>
        </w:rPr>
        <w:t>he solvent is a clear, slightly viscous liquid free of visible particles.</w:t>
      </w:r>
    </w:p>
    <w:p w14:paraId="18A18855" w14:textId="0BC6EC49" w:rsidR="00C52376" w:rsidRPr="00355185" w:rsidRDefault="00C52376" w:rsidP="00D44CEC">
      <w:pPr>
        <w:spacing w:after="0" w:line="240" w:lineRule="auto"/>
        <w:rPr>
          <w:rFonts w:ascii="Times New Roman" w:hAnsi="Times New Roman" w:cs="Times New Roman"/>
        </w:rPr>
      </w:pPr>
    </w:p>
    <w:p w14:paraId="595F601E" w14:textId="77777777" w:rsidR="001A3992" w:rsidRPr="00355185" w:rsidRDefault="001A3992" w:rsidP="00645AC8">
      <w:pPr>
        <w:pStyle w:val="Heading1"/>
        <w:spacing w:before="0"/>
        <w:ind w:left="0" w:hanging="426"/>
        <w:rPr>
          <w:rFonts w:ascii="Times New Roman" w:hAnsi="Times New Roman" w:cs="Times New Roman"/>
          <w:b w:val="0"/>
        </w:rPr>
      </w:pPr>
      <w:r w:rsidRPr="00355185">
        <w:rPr>
          <w:rFonts w:ascii="Times New Roman" w:hAnsi="Times New Roman" w:cs="Times New Roman"/>
          <w:b w:val="0"/>
        </w:rPr>
        <w:t>Clinical particulars</w:t>
      </w:r>
    </w:p>
    <w:p w14:paraId="3AF7457A" w14:textId="3A0ACFD8" w:rsidR="00BC7299" w:rsidRDefault="00BC7299" w:rsidP="00645AC8">
      <w:pPr>
        <w:pStyle w:val="Heading2"/>
        <w:spacing w:before="0" w:after="0"/>
        <w:ind w:left="0" w:hanging="426"/>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T</w:t>
      </w:r>
      <w:r w:rsidR="00966670" w:rsidRPr="00355185">
        <w:rPr>
          <w:rFonts w:ascii="Times New Roman" w:eastAsiaTheme="majorEastAsia" w:hAnsi="Times New Roman" w:cs="Times New Roman"/>
          <w:b w:val="0"/>
          <w:bCs/>
          <w:smallCaps w:val="0"/>
          <w:sz w:val="26"/>
          <w:szCs w:val="26"/>
        </w:rPr>
        <w:t>herapeutic indication</w:t>
      </w:r>
    </w:p>
    <w:p w14:paraId="780BC2A4" w14:textId="2A60A241" w:rsidR="00F716CE" w:rsidRPr="00F716CE" w:rsidRDefault="005C482D" w:rsidP="00DB31B0">
      <w:pPr>
        <w:spacing w:after="0" w:line="240" w:lineRule="auto"/>
        <w:rPr>
          <w:rFonts w:ascii="Times New Roman" w:hAnsi="Times New Roman" w:cs="Times New Roman"/>
        </w:rPr>
      </w:pPr>
      <w:r>
        <w:rPr>
          <w:rFonts w:ascii="Times New Roman" w:hAnsi="Times New Roman" w:cs="Times New Roman"/>
        </w:rPr>
        <w:t>APLIDIN</w:t>
      </w:r>
      <w:r w:rsidR="00DB31B0" w:rsidRPr="00DB31B0">
        <w:rPr>
          <w:rFonts w:ascii="Times New Roman" w:hAnsi="Times New Roman" w:cs="Times New Roman"/>
        </w:rPr>
        <w:t xml:space="preserve">, in combination with dexamethasone, is indicated for the treatment of patients with relapsed and refractory multiple myeloma who have received at least </w:t>
      </w:r>
      <w:r w:rsidR="000406DC">
        <w:rPr>
          <w:rFonts w:ascii="Times New Roman" w:hAnsi="Times New Roman" w:cs="Times New Roman"/>
        </w:rPr>
        <w:t>three</w:t>
      </w:r>
      <w:r w:rsidR="00DB31B0" w:rsidRPr="00DB31B0">
        <w:rPr>
          <w:rFonts w:ascii="Times New Roman" w:hAnsi="Times New Roman" w:cs="Times New Roman"/>
        </w:rPr>
        <w:t xml:space="preserve"> prior treatment regimens, including both</w:t>
      </w:r>
      <w:r w:rsidR="009B47A1">
        <w:rPr>
          <w:rFonts w:ascii="Times New Roman" w:hAnsi="Times New Roman" w:cs="Times New Roman"/>
        </w:rPr>
        <w:t xml:space="preserve"> </w:t>
      </w:r>
      <w:r w:rsidR="00DB31B0" w:rsidRPr="00DB31B0">
        <w:rPr>
          <w:rFonts w:ascii="Times New Roman" w:hAnsi="Times New Roman" w:cs="Times New Roman"/>
        </w:rPr>
        <w:t>a</w:t>
      </w:r>
      <w:r w:rsidR="009B47A1">
        <w:rPr>
          <w:rFonts w:ascii="Times New Roman" w:hAnsi="Times New Roman" w:cs="Times New Roman"/>
        </w:rPr>
        <w:t xml:space="preserve"> </w:t>
      </w:r>
      <w:r w:rsidR="00DB31B0" w:rsidRPr="00DB31B0">
        <w:rPr>
          <w:rFonts w:ascii="Times New Roman" w:hAnsi="Times New Roman" w:cs="Times New Roman"/>
        </w:rPr>
        <w:t>prote</w:t>
      </w:r>
      <w:r w:rsidR="007F5828">
        <w:rPr>
          <w:rFonts w:ascii="Times New Roman" w:hAnsi="Times New Roman" w:cs="Times New Roman"/>
        </w:rPr>
        <w:t>a</w:t>
      </w:r>
      <w:r w:rsidR="00DB31B0" w:rsidRPr="00DB31B0">
        <w:rPr>
          <w:rFonts w:ascii="Times New Roman" w:hAnsi="Times New Roman" w:cs="Times New Roman"/>
        </w:rPr>
        <w:t>some inhibitor and an immunomodulator.</w:t>
      </w:r>
      <w:r w:rsidR="00F716CE">
        <w:rPr>
          <w:rFonts w:ascii="Times New Roman" w:hAnsi="Times New Roman" w:cs="Times New Roman"/>
        </w:rPr>
        <w:t xml:space="preserve">  </w:t>
      </w:r>
      <w:r w:rsidR="00F716CE" w:rsidRPr="00D52300">
        <w:rPr>
          <w:rFonts w:ascii="Times New Roman" w:hAnsi="Times New Roman" w:cs="Times New Roman"/>
          <w:color w:val="000000"/>
          <w:lang w:val="en-US"/>
        </w:rPr>
        <w:t>APLIDIN may be used after two prior lines of therapy if refractory and/or intolerant to both a proteasome inhibitor and an immunomodulator.</w:t>
      </w:r>
    </w:p>
    <w:p w14:paraId="32E51FC3" w14:textId="77777777" w:rsidR="00DB31B0" w:rsidRPr="00DB31B0" w:rsidRDefault="00DB31B0" w:rsidP="00DB31B0">
      <w:pPr>
        <w:spacing w:after="0" w:line="240" w:lineRule="auto"/>
        <w:rPr>
          <w:rFonts w:ascii="Times New Roman" w:hAnsi="Times New Roman" w:cs="Times New Roman"/>
        </w:rPr>
      </w:pPr>
    </w:p>
    <w:p w14:paraId="3B312659" w14:textId="164684CA" w:rsidR="001A3992" w:rsidRDefault="00BC7299" w:rsidP="00DB31B0">
      <w:pPr>
        <w:pStyle w:val="Heading2"/>
        <w:spacing w:before="0" w:after="0" w:line="240" w:lineRule="auto"/>
        <w:ind w:left="0" w:hanging="426"/>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Do</w:t>
      </w:r>
      <w:r w:rsidR="00243159">
        <w:rPr>
          <w:rFonts w:ascii="Times New Roman" w:eastAsiaTheme="majorEastAsia" w:hAnsi="Times New Roman" w:cs="Times New Roman"/>
          <w:b w:val="0"/>
          <w:bCs/>
          <w:smallCaps w:val="0"/>
          <w:sz w:val="26"/>
          <w:szCs w:val="26"/>
        </w:rPr>
        <w:t>se and method of administration</w:t>
      </w:r>
    </w:p>
    <w:p w14:paraId="7693919F" w14:textId="193B14F4" w:rsidR="00243159" w:rsidRDefault="00C41E30" w:rsidP="00C41E30">
      <w:pPr>
        <w:spacing w:after="0" w:line="240" w:lineRule="auto"/>
        <w:rPr>
          <w:rFonts w:ascii="Times New Roman" w:hAnsi="Times New Roman" w:cs="Times New Roman"/>
        </w:rPr>
      </w:pPr>
      <w:r w:rsidRPr="00C41E30">
        <w:rPr>
          <w:rFonts w:ascii="Times New Roman" w:hAnsi="Times New Roman" w:cs="Times New Roman"/>
        </w:rPr>
        <w:t>Treatment must be initiated and administered under the supervision of a physician qualified and experienced in the use of chemotherapeutic agents</w:t>
      </w:r>
      <w:r>
        <w:rPr>
          <w:rFonts w:ascii="Times New Roman" w:hAnsi="Times New Roman" w:cs="Times New Roman"/>
        </w:rPr>
        <w:t>.</w:t>
      </w:r>
    </w:p>
    <w:p w14:paraId="0A9F96F5" w14:textId="77777777" w:rsidR="00C41E30" w:rsidRDefault="00C41E30" w:rsidP="00C41E30">
      <w:pPr>
        <w:spacing w:after="0" w:line="240" w:lineRule="auto"/>
        <w:rPr>
          <w:rFonts w:ascii="Times New Roman" w:hAnsi="Times New Roman" w:cs="Times New Roman"/>
        </w:rPr>
      </w:pPr>
    </w:p>
    <w:p w14:paraId="3F19C08F" w14:textId="255E4E37" w:rsidR="00C41E30" w:rsidRDefault="005C482D" w:rsidP="00C41E30">
      <w:p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APLIDIN</w:t>
      </w:r>
      <w:r w:rsidR="00C41E30" w:rsidRPr="00C41E30">
        <w:rPr>
          <w:rFonts w:ascii="Times New Roman" w:hAnsi="Times New Roman" w:cs="Times New Roman"/>
        </w:rPr>
        <w:t xml:space="preserve"> is administered in combination with dexamethasone. Pre-infusion medications should be administered to reduce the risk of infusion related reactions.</w:t>
      </w:r>
    </w:p>
    <w:p w14:paraId="31B5D227" w14:textId="77777777" w:rsidR="005C482D" w:rsidRDefault="005C482D" w:rsidP="00C41E30">
      <w:pPr>
        <w:autoSpaceDE w:val="0"/>
        <w:autoSpaceDN w:val="0"/>
        <w:adjustRightInd w:val="0"/>
        <w:spacing w:after="0" w:line="240" w:lineRule="auto"/>
        <w:contextualSpacing/>
        <w:rPr>
          <w:rFonts w:ascii="Times New Roman" w:hAnsi="Times New Roman" w:cs="Times New Roman"/>
        </w:rPr>
      </w:pPr>
    </w:p>
    <w:p w14:paraId="2C44228D" w14:textId="77777777" w:rsidR="00BB641F" w:rsidRDefault="005C482D" w:rsidP="00C41E30">
      <w:pP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The recommended dose of APLIDIN</w:t>
      </w:r>
      <w:r w:rsidR="00C41E30" w:rsidRPr="00C41E30">
        <w:rPr>
          <w:rFonts w:ascii="Times New Roman" w:hAnsi="Times New Roman" w:cs="Times New Roman"/>
        </w:rPr>
        <w:t xml:space="preserve"> is 5 mg/m</w:t>
      </w:r>
      <w:r w:rsidR="00C41E30" w:rsidRPr="003B346B">
        <w:rPr>
          <w:rFonts w:ascii="Times New Roman" w:hAnsi="Times New Roman" w:cs="Times New Roman"/>
          <w:vertAlign w:val="superscript"/>
        </w:rPr>
        <w:t>2</w:t>
      </w:r>
      <w:r w:rsidR="00C41E30" w:rsidRPr="00C41E30">
        <w:rPr>
          <w:rFonts w:ascii="Times New Roman" w:hAnsi="Times New Roman" w:cs="Times New Roman"/>
        </w:rPr>
        <w:t xml:space="preserve"> according to Body Surface Area (BSA). </w:t>
      </w:r>
    </w:p>
    <w:p w14:paraId="7400E95D" w14:textId="07503D16" w:rsidR="00C41E30" w:rsidRDefault="00C41E30" w:rsidP="00C41E30">
      <w:pPr>
        <w:autoSpaceDE w:val="0"/>
        <w:autoSpaceDN w:val="0"/>
        <w:adjustRightInd w:val="0"/>
        <w:spacing w:after="0" w:line="240" w:lineRule="auto"/>
        <w:contextualSpacing/>
        <w:rPr>
          <w:rFonts w:ascii="Times New Roman" w:hAnsi="Times New Roman" w:cs="Times New Roman"/>
        </w:rPr>
      </w:pPr>
      <w:r w:rsidRPr="00C41E30">
        <w:rPr>
          <w:rFonts w:ascii="Times New Roman" w:hAnsi="Times New Roman" w:cs="Times New Roman"/>
        </w:rPr>
        <w:t>Infusion must be performed through a pump device over three hours (fixed rate) on Day 1 and 15 every four weeks (q4wk).</w:t>
      </w:r>
    </w:p>
    <w:p w14:paraId="6E18E3B6" w14:textId="77777777" w:rsidR="00C41E30" w:rsidRDefault="00C41E30" w:rsidP="00C41E30">
      <w:pPr>
        <w:autoSpaceDE w:val="0"/>
        <w:autoSpaceDN w:val="0"/>
        <w:adjustRightInd w:val="0"/>
        <w:spacing w:after="0" w:line="240" w:lineRule="auto"/>
        <w:contextualSpacing/>
        <w:rPr>
          <w:rFonts w:ascii="Times New Roman" w:hAnsi="Times New Roman" w:cs="Times New Roman"/>
        </w:rPr>
      </w:pPr>
    </w:p>
    <w:p w14:paraId="152B39C2" w14:textId="77777777" w:rsidR="00C41E30" w:rsidRDefault="00C41E30" w:rsidP="00C41E30">
      <w:pPr>
        <w:autoSpaceDE w:val="0"/>
        <w:autoSpaceDN w:val="0"/>
        <w:adjustRightInd w:val="0"/>
        <w:spacing w:after="0" w:line="240" w:lineRule="auto"/>
        <w:contextualSpacing/>
        <w:rPr>
          <w:rFonts w:ascii="Times New Roman" w:hAnsi="Times New Roman" w:cs="Times New Roman"/>
        </w:rPr>
      </w:pPr>
      <w:r w:rsidRPr="00C41E30">
        <w:rPr>
          <w:rFonts w:ascii="Times New Roman" w:hAnsi="Times New Roman" w:cs="Times New Roman"/>
        </w:rPr>
        <w:t>The recommended dose of dexamethasone is 40 mg orally on Day 1, 8, 15 and 22 q4wk at least one hour before plitidepsin infusion (Day 1 and 15). For additional information concerning dexamethasone, see the corresponding Product Information.</w:t>
      </w:r>
    </w:p>
    <w:p w14:paraId="4BE4B0BB" w14:textId="77777777" w:rsidR="00C41E30" w:rsidRDefault="00C41E30" w:rsidP="00C41E30">
      <w:pPr>
        <w:autoSpaceDE w:val="0"/>
        <w:autoSpaceDN w:val="0"/>
        <w:adjustRightInd w:val="0"/>
        <w:spacing w:after="0" w:line="240" w:lineRule="auto"/>
        <w:contextualSpacing/>
        <w:rPr>
          <w:rFonts w:ascii="Times New Roman" w:hAnsi="Times New Roman" w:cs="Times New Roman"/>
        </w:rPr>
      </w:pPr>
    </w:p>
    <w:p w14:paraId="3062E7C7" w14:textId="36538764" w:rsidR="00C41E30" w:rsidRPr="00C41E30" w:rsidRDefault="00C41E30" w:rsidP="00C41E30">
      <w:pPr>
        <w:autoSpaceDE w:val="0"/>
        <w:autoSpaceDN w:val="0"/>
        <w:adjustRightInd w:val="0"/>
        <w:spacing w:after="0" w:line="240" w:lineRule="auto"/>
        <w:contextualSpacing/>
        <w:rPr>
          <w:rFonts w:ascii="Times New Roman" w:hAnsi="Times New Roman" w:cs="Times New Roman"/>
        </w:rPr>
      </w:pPr>
      <w:r w:rsidRPr="00C41E30">
        <w:rPr>
          <w:rFonts w:ascii="Times New Roman" w:hAnsi="Times New Roman" w:cs="Times New Roman"/>
        </w:rPr>
        <w:t>Patients should be treated until disease progression or unacceptable toxicity.</w:t>
      </w:r>
    </w:p>
    <w:p w14:paraId="5E2DAC62" w14:textId="77777777" w:rsidR="00C41E30" w:rsidRDefault="00C41E30" w:rsidP="00C41E30">
      <w:pPr>
        <w:spacing w:after="0" w:line="240" w:lineRule="auto"/>
        <w:rPr>
          <w:rFonts w:ascii="Times New Roman" w:hAnsi="Times New Roman" w:cs="Times New Roman"/>
        </w:rPr>
      </w:pPr>
    </w:p>
    <w:p w14:paraId="10C3FF1A" w14:textId="77777777" w:rsidR="005C482D" w:rsidRPr="005C482D" w:rsidRDefault="005C482D" w:rsidP="00917B17">
      <w:pPr>
        <w:keepNext/>
        <w:spacing w:after="0" w:line="240" w:lineRule="auto"/>
        <w:rPr>
          <w:rFonts w:ascii="Times New Roman" w:hAnsi="Times New Roman" w:cs="Times New Roman"/>
          <w:u w:val="single"/>
        </w:rPr>
      </w:pPr>
      <w:r w:rsidRPr="005C482D">
        <w:rPr>
          <w:rFonts w:ascii="Times New Roman" w:hAnsi="Times New Roman" w:cs="Times New Roman"/>
          <w:u w:val="single"/>
        </w:rPr>
        <w:lastRenderedPageBreak/>
        <w:t>Premedication for prevention of infusion reaction</w:t>
      </w:r>
    </w:p>
    <w:p w14:paraId="4A1E455D" w14:textId="77777777" w:rsidR="005C482D" w:rsidRP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All patients must receive the following prophylactic medication 20-30 minutes before infusion of plitidepsin:</w:t>
      </w:r>
    </w:p>
    <w:p w14:paraId="0657CE1D" w14:textId="77777777" w:rsidR="005C482D" w:rsidRPr="005C482D" w:rsidRDefault="005C482D" w:rsidP="003B346B">
      <w:pPr>
        <w:spacing w:after="0" w:line="240" w:lineRule="auto"/>
        <w:rPr>
          <w:rFonts w:ascii="Times New Roman" w:hAnsi="Times New Roman" w:cs="Times New Roman"/>
        </w:rPr>
      </w:pPr>
    </w:p>
    <w:p w14:paraId="501BF03B" w14:textId="30D1709A" w:rsidR="003B346B" w:rsidRDefault="005C482D" w:rsidP="003B346B">
      <w:pPr>
        <w:pStyle w:val="ListParagraph"/>
        <w:numPr>
          <w:ilvl w:val="0"/>
          <w:numId w:val="26"/>
        </w:numPr>
        <w:tabs>
          <w:tab w:val="left" w:pos="-1843"/>
        </w:tabs>
        <w:spacing w:after="0" w:line="240" w:lineRule="auto"/>
        <w:rPr>
          <w:rFonts w:ascii="Times New Roman" w:hAnsi="Times New Roman" w:cs="Times New Roman"/>
        </w:rPr>
      </w:pPr>
      <w:r w:rsidRPr="003B346B">
        <w:rPr>
          <w:rFonts w:ascii="Times New Roman" w:hAnsi="Times New Roman" w:cs="Times New Roman"/>
        </w:rPr>
        <w:t>Ondansetron 8</w:t>
      </w:r>
      <w:r w:rsidR="00290F73">
        <w:rPr>
          <w:rFonts w:ascii="Times New Roman" w:hAnsi="Times New Roman" w:cs="Times New Roman"/>
        </w:rPr>
        <w:t xml:space="preserve"> </w:t>
      </w:r>
      <w:r w:rsidRPr="003B346B">
        <w:rPr>
          <w:rFonts w:ascii="Times New Roman" w:hAnsi="Times New Roman" w:cs="Times New Roman"/>
        </w:rPr>
        <w:t>mg intravenously (</w:t>
      </w:r>
      <w:proofErr w:type="spellStart"/>
      <w:r w:rsidRPr="003B346B">
        <w:rPr>
          <w:rFonts w:ascii="Times New Roman" w:hAnsi="Times New Roman" w:cs="Times New Roman"/>
        </w:rPr>
        <w:t>i.v.</w:t>
      </w:r>
      <w:proofErr w:type="spellEnd"/>
      <w:r w:rsidRPr="003B346B">
        <w:rPr>
          <w:rFonts w:ascii="Times New Roman" w:hAnsi="Times New Roman" w:cs="Times New Roman"/>
        </w:rPr>
        <w:t>) or equivalent (</w:t>
      </w:r>
      <w:proofErr w:type="spellStart"/>
      <w:r w:rsidRPr="003B346B">
        <w:rPr>
          <w:rFonts w:ascii="Times New Roman" w:hAnsi="Times New Roman" w:cs="Times New Roman"/>
        </w:rPr>
        <w:t>granisetron</w:t>
      </w:r>
      <w:proofErr w:type="spellEnd"/>
      <w:r w:rsidRPr="003B346B">
        <w:rPr>
          <w:rFonts w:ascii="Times New Roman" w:hAnsi="Times New Roman" w:cs="Times New Roman"/>
        </w:rPr>
        <w:t xml:space="preserve"> 3</w:t>
      </w:r>
      <w:r w:rsidR="0031338D">
        <w:rPr>
          <w:rFonts w:ascii="Times New Roman" w:hAnsi="Times New Roman" w:cs="Times New Roman"/>
        </w:rPr>
        <w:t xml:space="preserve"> </w:t>
      </w:r>
      <w:r w:rsidRPr="003B346B">
        <w:rPr>
          <w:rFonts w:ascii="Times New Roman" w:hAnsi="Times New Roman" w:cs="Times New Roman"/>
        </w:rPr>
        <w:t>mg intravenously</w:t>
      </w:r>
      <w:r w:rsidRPr="003B346B" w:rsidDel="005E2482">
        <w:rPr>
          <w:rFonts w:ascii="Times New Roman" w:hAnsi="Times New Roman" w:cs="Times New Roman"/>
        </w:rPr>
        <w:t xml:space="preserve"> </w:t>
      </w:r>
      <w:r w:rsidRPr="003B346B">
        <w:rPr>
          <w:rFonts w:ascii="Times New Roman" w:hAnsi="Times New Roman" w:cs="Times New Roman"/>
        </w:rPr>
        <w:t>preferred when available),</w:t>
      </w:r>
    </w:p>
    <w:p w14:paraId="5210A0EB" w14:textId="5FB9685D" w:rsidR="003B346B" w:rsidRDefault="005C482D" w:rsidP="003B346B">
      <w:pPr>
        <w:pStyle w:val="ListParagraph"/>
        <w:numPr>
          <w:ilvl w:val="0"/>
          <w:numId w:val="26"/>
        </w:numPr>
        <w:tabs>
          <w:tab w:val="left" w:pos="-1843"/>
        </w:tabs>
        <w:spacing w:after="0" w:line="240" w:lineRule="auto"/>
        <w:rPr>
          <w:rFonts w:ascii="Times New Roman" w:hAnsi="Times New Roman" w:cs="Times New Roman"/>
        </w:rPr>
      </w:pPr>
      <w:r w:rsidRPr="003B346B">
        <w:rPr>
          <w:rFonts w:ascii="Times New Roman" w:hAnsi="Times New Roman" w:cs="Times New Roman"/>
        </w:rPr>
        <w:t>Diphenhydramine hydrochloride 25</w:t>
      </w:r>
      <w:r w:rsidR="0031338D">
        <w:rPr>
          <w:rFonts w:ascii="Times New Roman" w:hAnsi="Times New Roman" w:cs="Times New Roman"/>
        </w:rPr>
        <w:t xml:space="preserve"> </w:t>
      </w:r>
      <w:r w:rsidRPr="003B346B">
        <w:rPr>
          <w:rFonts w:ascii="Times New Roman" w:hAnsi="Times New Roman" w:cs="Times New Roman"/>
        </w:rPr>
        <w:t>mg intravenously or equivalent, and</w:t>
      </w:r>
    </w:p>
    <w:p w14:paraId="23C92F04" w14:textId="358BDE63" w:rsidR="005C482D" w:rsidRPr="003B346B" w:rsidRDefault="005C482D" w:rsidP="003B346B">
      <w:pPr>
        <w:pStyle w:val="ListParagraph"/>
        <w:numPr>
          <w:ilvl w:val="0"/>
          <w:numId w:val="26"/>
        </w:numPr>
        <w:tabs>
          <w:tab w:val="left" w:pos="-1985"/>
        </w:tabs>
        <w:spacing w:after="0" w:line="240" w:lineRule="auto"/>
        <w:rPr>
          <w:rFonts w:ascii="Times New Roman" w:hAnsi="Times New Roman" w:cs="Times New Roman"/>
        </w:rPr>
      </w:pPr>
      <w:r w:rsidRPr="003B346B">
        <w:rPr>
          <w:rFonts w:ascii="Times New Roman" w:hAnsi="Times New Roman" w:cs="Times New Roman"/>
        </w:rPr>
        <w:t>Ranitidine 50</w:t>
      </w:r>
      <w:r w:rsidR="0031338D">
        <w:rPr>
          <w:rFonts w:ascii="Times New Roman" w:hAnsi="Times New Roman" w:cs="Times New Roman"/>
        </w:rPr>
        <w:t xml:space="preserve"> </w:t>
      </w:r>
      <w:r w:rsidRPr="003B346B">
        <w:rPr>
          <w:rFonts w:ascii="Times New Roman" w:hAnsi="Times New Roman" w:cs="Times New Roman"/>
        </w:rPr>
        <w:t>mg intravenously or equivalent.</w:t>
      </w:r>
    </w:p>
    <w:p w14:paraId="781D6C84" w14:textId="77777777" w:rsidR="005C482D" w:rsidRPr="005C482D" w:rsidRDefault="005C482D" w:rsidP="005C482D">
      <w:pPr>
        <w:spacing w:after="0" w:line="240" w:lineRule="auto"/>
        <w:rPr>
          <w:rFonts w:ascii="Times New Roman" w:hAnsi="Times New Roman" w:cs="Times New Roman"/>
        </w:rPr>
      </w:pPr>
    </w:p>
    <w:p w14:paraId="6B7F1285" w14:textId="4DDFB55D" w:rsidR="005C482D" w:rsidRP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Oral metoclopramide and/or extended oral ondansetron (or their equivalents) may be used at the physician’s discretion.</w:t>
      </w:r>
    </w:p>
    <w:p w14:paraId="7CC28BEC" w14:textId="037BE817" w:rsid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 xml:space="preserve">If dexamethasone treatment is discontinued due to toxicity, dexamethasone at a lower dose (8 mg) must be given as premedication for plitidepsin treatment. </w:t>
      </w:r>
    </w:p>
    <w:p w14:paraId="43836CC8" w14:textId="77777777" w:rsidR="00BB641F" w:rsidRPr="005C482D" w:rsidRDefault="00BB641F" w:rsidP="005C482D">
      <w:pPr>
        <w:spacing w:after="0" w:line="240" w:lineRule="auto"/>
        <w:rPr>
          <w:rFonts w:ascii="Times New Roman" w:hAnsi="Times New Roman" w:cs="Times New Roman"/>
        </w:rPr>
      </w:pPr>
    </w:p>
    <w:p w14:paraId="4E7ED4C5" w14:textId="77777777" w:rsidR="005C482D" w:rsidRPr="005C482D" w:rsidRDefault="005C482D" w:rsidP="005C482D">
      <w:pPr>
        <w:spacing w:after="0" w:line="240" w:lineRule="auto"/>
        <w:rPr>
          <w:rFonts w:ascii="Times New Roman" w:hAnsi="Times New Roman" w:cs="Times New Roman"/>
          <w:u w:val="single"/>
        </w:rPr>
      </w:pPr>
      <w:r w:rsidRPr="005C482D">
        <w:rPr>
          <w:rFonts w:ascii="Times New Roman" w:hAnsi="Times New Roman" w:cs="Times New Roman"/>
          <w:u w:val="single"/>
        </w:rPr>
        <w:t>Management of infusion reaction</w:t>
      </w:r>
    </w:p>
    <w:p w14:paraId="72B5631A" w14:textId="38C82779" w:rsidR="005C482D" w:rsidRP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 xml:space="preserve">Prophylaxis medication is mandatory at least 30 minutes prior to each plitidepsin infusion with dexamethasone or equivalent, </w:t>
      </w:r>
      <w:proofErr w:type="spellStart"/>
      <w:r w:rsidRPr="005C482D">
        <w:rPr>
          <w:rFonts w:ascii="Times New Roman" w:hAnsi="Times New Roman" w:cs="Times New Roman"/>
        </w:rPr>
        <w:t>antiemetics</w:t>
      </w:r>
      <w:proofErr w:type="spellEnd"/>
      <w:r w:rsidRPr="005C482D">
        <w:rPr>
          <w:rFonts w:ascii="Times New Roman" w:hAnsi="Times New Roman" w:cs="Times New Roman"/>
        </w:rPr>
        <w:t xml:space="preserve"> (</w:t>
      </w:r>
      <w:proofErr w:type="spellStart"/>
      <w:r w:rsidRPr="005C482D">
        <w:rPr>
          <w:rFonts w:ascii="Times New Roman" w:hAnsi="Times New Roman" w:cs="Times New Roman"/>
        </w:rPr>
        <w:t>setrons</w:t>
      </w:r>
      <w:proofErr w:type="spellEnd"/>
      <w:r w:rsidRPr="005C482D">
        <w:rPr>
          <w:rFonts w:ascii="Times New Roman" w:hAnsi="Times New Roman" w:cs="Times New Roman"/>
        </w:rPr>
        <w:t xml:space="preserve">) and histamine receptor antagonists (H1 and H2 </w:t>
      </w:r>
      <w:r w:rsidRPr="00446230">
        <w:rPr>
          <w:rFonts w:ascii="Times New Roman" w:hAnsi="Times New Roman" w:cs="Times New Roman"/>
        </w:rPr>
        <w:t>receptor</w:t>
      </w:r>
      <w:r w:rsidRPr="005C482D">
        <w:rPr>
          <w:rFonts w:ascii="Times New Roman" w:hAnsi="Times New Roman" w:cs="Times New Roman"/>
        </w:rPr>
        <w:t xml:space="preserve"> antagonists).</w:t>
      </w:r>
    </w:p>
    <w:p w14:paraId="33A7DEF9" w14:textId="77777777" w:rsidR="005C482D" w:rsidRPr="005C482D" w:rsidRDefault="005C482D" w:rsidP="005C482D">
      <w:pPr>
        <w:spacing w:after="0" w:line="240" w:lineRule="auto"/>
        <w:rPr>
          <w:rFonts w:ascii="Times New Roman" w:hAnsi="Times New Roman" w:cs="Times New Roman"/>
        </w:rPr>
      </w:pPr>
    </w:p>
    <w:p w14:paraId="4A21BA1E" w14:textId="7AD39351" w:rsidR="005C482D" w:rsidRP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 xml:space="preserve">In the event of severe/life threatening reactions (NCI-CTCAE v.4 grade ≥ 3) described as cardiovascular symptoms [hypertension ≥ 160/100 mmHg or tachycardia ≥ 120 bpm or hypotension (systolic pressure &lt; 90 mmHg) requiring vasopressor therapy] or anaphylactic shock or respiratory symptoms (angioedema, generalised wheezing and/or respiratory distress) requiring oxygen therapy, the plitidepsin infusion must be interrupted. Immediate therapy with oxygen and bronchodilators should be considered if pulse </w:t>
      </w:r>
      <w:proofErr w:type="spellStart"/>
      <w:r w:rsidRPr="005C482D">
        <w:rPr>
          <w:rFonts w:ascii="Times New Roman" w:hAnsi="Times New Roman" w:cs="Times New Roman"/>
        </w:rPr>
        <w:t>gasometry</w:t>
      </w:r>
      <w:proofErr w:type="spellEnd"/>
      <w:r w:rsidRPr="005C482D">
        <w:rPr>
          <w:rFonts w:ascii="Times New Roman" w:hAnsi="Times New Roman" w:cs="Times New Roman"/>
        </w:rPr>
        <w:t xml:space="preserve"> indicates &lt; 92% O</w:t>
      </w:r>
      <w:r w:rsidRPr="009C05B6">
        <w:rPr>
          <w:rFonts w:ascii="Times New Roman" w:hAnsi="Times New Roman" w:cs="Times New Roman"/>
          <w:vertAlign w:val="subscript"/>
        </w:rPr>
        <w:t>2</w:t>
      </w:r>
      <w:r w:rsidRPr="005C482D">
        <w:rPr>
          <w:rFonts w:ascii="Times New Roman" w:hAnsi="Times New Roman" w:cs="Times New Roman"/>
        </w:rPr>
        <w:t xml:space="preserve"> saturation at ambient air. Administer diphenhydramine 50</w:t>
      </w:r>
      <w:r w:rsidR="0031338D">
        <w:rPr>
          <w:rFonts w:ascii="Times New Roman" w:hAnsi="Times New Roman" w:cs="Times New Roman"/>
        </w:rPr>
        <w:t xml:space="preserve"> </w:t>
      </w:r>
      <w:r w:rsidRPr="005C482D">
        <w:rPr>
          <w:rFonts w:ascii="Times New Roman" w:hAnsi="Times New Roman" w:cs="Times New Roman"/>
        </w:rPr>
        <w:t>mg intravenously</w:t>
      </w:r>
      <w:r w:rsidRPr="005C482D" w:rsidDel="003625C1">
        <w:rPr>
          <w:rFonts w:ascii="Times New Roman" w:hAnsi="Times New Roman" w:cs="Times New Roman"/>
        </w:rPr>
        <w:t xml:space="preserve"> </w:t>
      </w:r>
      <w:r w:rsidRPr="005C482D">
        <w:rPr>
          <w:rFonts w:ascii="Times New Roman" w:hAnsi="Times New Roman" w:cs="Times New Roman"/>
        </w:rPr>
        <w:t>or equivalent, and hydrocortisone 100</w:t>
      </w:r>
      <w:r w:rsidR="0031338D">
        <w:rPr>
          <w:rFonts w:ascii="Times New Roman" w:hAnsi="Times New Roman" w:cs="Times New Roman"/>
        </w:rPr>
        <w:t xml:space="preserve"> </w:t>
      </w:r>
      <w:r w:rsidRPr="005C482D">
        <w:rPr>
          <w:rFonts w:ascii="Times New Roman" w:hAnsi="Times New Roman" w:cs="Times New Roman"/>
        </w:rPr>
        <w:t>mg up to a maximum of 300</w:t>
      </w:r>
      <w:r w:rsidR="0031338D">
        <w:rPr>
          <w:rFonts w:ascii="Times New Roman" w:hAnsi="Times New Roman" w:cs="Times New Roman"/>
        </w:rPr>
        <w:t xml:space="preserve"> </w:t>
      </w:r>
      <w:r w:rsidRPr="005C482D">
        <w:rPr>
          <w:rFonts w:ascii="Times New Roman" w:hAnsi="Times New Roman" w:cs="Times New Roman"/>
        </w:rPr>
        <w:t>mg intravenously, and add epinephrine (adrenaline) if clinically indicated. The infusion should not be restarted, and plitidepsin therapy must be discontinued.</w:t>
      </w:r>
    </w:p>
    <w:p w14:paraId="0AEDEB91" w14:textId="77777777" w:rsidR="005C482D" w:rsidRPr="005C482D" w:rsidRDefault="005C482D" w:rsidP="005C482D">
      <w:pPr>
        <w:spacing w:after="0" w:line="240" w:lineRule="auto"/>
        <w:rPr>
          <w:rFonts w:ascii="Times New Roman" w:hAnsi="Times New Roman" w:cs="Times New Roman"/>
        </w:rPr>
      </w:pPr>
    </w:p>
    <w:p w14:paraId="0ECAE0D1" w14:textId="3BAAB116" w:rsidR="009C05B6" w:rsidRDefault="005C482D" w:rsidP="005C482D">
      <w:pPr>
        <w:spacing w:after="0" w:line="240" w:lineRule="auto"/>
        <w:rPr>
          <w:rFonts w:ascii="Times New Roman" w:hAnsi="Times New Roman" w:cs="Times New Roman"/>
        </w:rPr>
      </w:pPr>
      <w:r w:rsidRPr="005C482D">
        <w:rPr>
          <w:rFonts w:ascii="Times New Roman" w:hAnsi="Times New Roman" w:cs="Times New Roman"/>
        </w:rPr>
        <w:t xml:space="preserve">In the event of mild to moderate/non-life threatening reactions (NCI-CTCAE v.4 grade ≤ 2) described as facial and/or trunk flushing, rash and/or pruritus and/or mild dyspnoea and/or coughing and/or chest discomfort, the infusion must be stopped immediately and vital signs and pulse </w:t>
      </w:r>
      <w:proofErr w:type="spellStart"/>
      <w:r w:rsidRPr="005C482D">
        <w:rPr>
          <w:rFonts w:ascii="Times New Roman" w:hAnsi="Times New Roman" w:cs="Times New Roman"/>
        </w:rPr>
        <w:t>gasometry</w:t>
      </w:r>
      <w:proofErr w:type="spellEnd"/>
      <w:r w:rsidRPr="005C482D">
        <w:rPr>
          <w:rFonts w:ascii="Times New Roman" w:hAnsi="Times New Roman" w:cs="Times New Roman"/>
        </w:rPr>
        <w:t xml:space="preserve"> must be </w:t>
      </w:r>
      <w:r w:rsidR="00E62018" w:rsidRPr="005C482D">
        <w:rPr>
          <w:rFonts w:ascii="Times New Roman" w:hAnsi="Times New Roman" w:cs="Times New Roman"/>
        </w:rPr>
        <w:t>continuously</w:t>
      </w:r>
      <w:r w:rsidRPr="005C482D">
        <w:rPr>
          <w:rFonts w:ascii="Times New Roman" w:hAnsi="Times New Roman" w:cs="Times New Roman"/>
        </w:rPr>
        <w:t xml:space="preserve"> monitored. It should be determined if the premedication was administered appropriately and, if not, the premedication should be then properly given and the plitidepsin infusion can be re-started at least 30 minutes after. </w:t>
      </w:r>
    </w:p>
    <w:p w14:paraId="6472C4E8" w14:textId="6C51D8BC" w:rsidR="005C482D" w:rsidRP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If symptoms persist after interrupting the infusion, additional diphenhydramine at a dose of 50</w:t>
      </w:r>
      <w:r w:rsidR="00B17CAD">
        <w:rPr>
          <w:rFonts w:ascii="Times New Roman" w:hAnsi="Times New Roman" w:cs="Times New Roman"/>
        </w:rPr>
        <w:t xml:space="preserve"> </w:t>
      </w:r>
      <w:r w:rsidRPr="005C482D">
        <w:rPr>
          <w:rFonts w:ascii="Times New Roman" w:hAnsi="Times New Roman" w:cs="Times New Roman"/>
        </w:rPr>
        <w:t>mg intravenously</w:t>
      </w:r>
      <w:r w:rsidRPr="005C482D" w:rsidDel="003625C1">
        <w:rPr>
          <w:rFonts w:ascii="Times New Roman" w:hAnsi="Times New Roman" w:cs="Times New Roman"/>
        </w:rPr>
        <w:t xml:space="preserve"> </w:t>
      </w:r>
      <w:r w:rsidRPr="005C482D">
        <w:rPr>
          <w:rFonts w:ascii="Times New Roman" w:hAnsi="Times New Roman" w:cs="Times New Roman"/>
        </w:rPr>
        <w:t>or equivalent, and hydrocortisone 100</w:t>
      </w:r>
      <w:r w:rsidR="00B17CAD">
        <w:rPr>
          <w:rFonts w:ascii="Times New Roman" w:hAnsi="Times New Roman" w:cs="Times New Roman"/>
        </w:rPr>
        <w:t xml:space="preserve"> </w:t>
      </w:r>
      <w:r w:rsidRPr="005C482D">
        <w:rPr>
          <w:rFonts w:ascii="Times New Roman" w:hAnsi="Times New Roman" w:cs="Times New Roman"/>
        </w:rPr>
        <w:t>mg bolus intravenously</w:t>
      </w:r>
      <w:r w:rsidRPr="005C482D" w:rsidDel="003625C1">
        <w:rPr>
          <w:rFonts w:ascii="Times New Roman" w:hAnsi="Times New Roman" w:cs="Times New Roman"/>
        </w:rPr>
        <w:t xml:space="preserve"> </w:t>
      </w:r>
      <w:r w:rsidRPr="005C482D">
        <w:rPr>
          <w:rFonts w:ascii="Times New Roman" w:hAnsi="Times New Roman" w:cs="Times New Roman"/>
        </w:rPr>
        <w:t>or equivalent, should be administered.</w:t>
      </w:r>
    </w:p>
    <w:p w14:paraId="21F8F111" w14:textId="77777777" w:rsidR="005C482D" w:rsidRPr="005C482D" w:rsidRDefault="005C482D" w:rsidP="005C482D">
      <w:pPr>
        <w:spacing w:after="0" w:line="240" w:lineRule="auto"/>
        <w:rPr>
          <w:rFonts w:ascii="Times New Roman" w:hAnsi="Times New Roman" w:cs="Times New Roman"/>
        </w:rPr>
      </w:pPr>
    </w:p>
    <w:p w14:paraId="6644EB85" w14:textId="77777777" w:rsidR="005C482D" w:rsidRP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Reassess symptoms and vital signs after 30 minutes, if normal or improving, then the infusion could be re-started at one third of the initial drip rate during the first hour. Signs and symptoms must be continuously monitored during infusion. Then the infusion rate could be increased according to tolerance. Any further infusions should be started at a reduced rate and should be given with prophylactic intravenous premedication, as above described. The patient should be monitored for symptoms during the first post-infusion hour. In these further infusions, dexamethasone will be administered intravenously (instead of orally). If no hypersensitivity reactions are observed, the rate of infusion to be applied could be set back to the initial one.</w:t>
      </w:r>
    </w:p>
    <w:p w14:paraId="7D0C3F0E" w14:textId="01E4EAEC" w:rsidR="005C482D" w:rsidRP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 xml:space="preserve">If there is no sign of improvement of symptoms after 30 minutes, repeat medication (H1 </w:t>
      </w:r>
      <w:r w:rsidR="003C3701">
        <w:rPr>
          <w:rFonts w:ascii="Times New Roman" w:hAnsi="Times New Roman" w:cs="Times New Roman"/>
        </w:rPr>
        <w:t xml:space="preserve">receptor antagonist </w:t>
      </w:r>
      <w:r w:rsidRPr="005C482D">
        <w:rPr>
          <w:rFonts w:ascii="Times New Roman" w:hAnsi="Times New Roman" w:cs="Times New Roman"/>
        </w:rPr>
        <w:t>and/or corticoids) until resolution, and plitidepsin therapy must be discontinued.</w:t>
      </w:r>
    </w:p>
    <w:p w14:paraId="59DBF1F2" w14:textId="77777777" w:rsidR="005C482D" w:rsidRPr="005C482D" w:rsidRDefault="005C482D" w:rsidP="005C482D">
      <w:pPr>
        <w:autoSpaceDE w:val="0"/>
        <w:autoSpaceDN w:val="0"/>
        <w:adjustRightInd w:val="0"/>
        <w:spacing w:after="0" w:line="240" w:lineRule="auto"/>
        <w:rPr>
          <w:rFonts w:ascii="Times New Roman" w:hAnsi="Times New Roman" w:cs="Times New Roman"/>
        </w:rPr>
      </w:pPr>
    </w:p>
    <w:p w14:paraId="6A0D0904" w14:textId="0B6F8A32" w:rsidR="003B7B63" w:rsidRPr="003B7B63" w:rsidRDefault="001D1AD9" w:rsidP="00917B17">
      <w:pPr>
        <w:keepNext/>
        <w:spacing w:after="0" w:line="240" w:lineRule="auto"/>
        <w:rPr>
          <w:rFonts w:ascii="Times New Roman" w:hAnsi="Times New Roman" w:cs="Times New Roman"/>
          <w:b/>
        </w:rPr>
      </w:pPr>
      <w:r w:rsidRPr="003B7B63">
        <w:rPr>
          <w:rFonts w:ascii="Times New Roman" w:hAnsi="Times New Roman" w:cs="Times New Roman"/>
          <w:b/>
        </w:rPr>
        <w:lastRenderedPageBreak/>
        <w:t xml:space="preserve">Table 1. </w:t>
      </w:r>
      <w:r w:rsidR="005C482D" w:rsidRPr="003B7B63">
        <w:rPr>
          <w:rFonts w:ascii="Times New Roman" w:hAnsi="Times New Roman" w:cs="Times New Roman"/>
          <w:b/>
        </w:rPr>
        <w:t xml:space="preserve">Criteria for starting treatment with </w:t>
      </w:r>
      <w:proofErr w:type="spellStart"/>
      <w:r w:rsidR="005C482D" w:rsidRPr="003B7B63">
        <w:rPr>
          <w:rFonts w:ascii="Times New Roman" w:hAnsi="Times New Roman" w:cs="Times New Roman"/>
          <w:b/>
        </w:rPr>
        <w:t>plitidepsin</w:t>
      </w:r>
      <w:proofErr w:type="spellEnd"/>
    </w:p>
    <w:tbl>
      <w:tblPr>
        <w:tblStyle w:val="TableGrid"/>
        <w:tblW w:w="9322" w:type="dxa"/>
        <w:tblLook w:val="04A0" w:firstRow="1" w:lastRow="0" w:firstColumn="1" w:lastColumn="0" w:noHBand="0" w:noVBand="1"/>
      </w:tblPr>
      <w:tblGrid>
        <w:gridCol w:w="3072"/>
        <w:gridCol w:w="6250"/>
      </w:tblGrid>
      <w:tr w:rsidR="00DE5DEA" w14:paraId="105CB8B0" w14:textId="77777777" w:rsidTr="00917B17">
        <w:trPr>
          <w:tblHeader/>
        </w:trPr>
        <w:tc>
          <w:tcPr>
            <w:tcW w:w="3072" w:type="dxa"/>
          </w:tcPr>
          <w:p w14:paraId="2AD261AF" w14:textId="77777777" w:rsidR="00DE5DEA" w:rsidRPr="00FD639B" w:rsidRDefault="00DE5DEA" w:rsidP="00F11601">
            <w:pPr>
              <w:spacing w:after="0"/>
              <w:rPr>
                <w:b/>
              </w:rPr>
            </w:pPr>
            <w:r w:rsidRPr="00FD639B">
              <w:rPr>
                <w:b/>
              </w:rPr>
              <w:t>Lab</w:t>
            </w:r>
            <w:r>
              <w:rPr>
                <w:b/>
              </w:rPr>
              <w:t>oratory</w:t>
            </w:r>
            <w:r w:rsidRPr="00FD639B">
              <w:rPr>
                <w:b/>
              </w:rPr>
              <w:t xml:space="preserve"> value/Component</w:t>
            </w:r>
            <w:r>
              <w:rPr>
                <w:b/>
              </w:rPr>
              <w:t>/Test</w:t>
            </w:r>
          </w:p>
        </w:tc>
        <w:tc>
          <w:tcPr>
            <w:tcW w:w="6250" w:type="dxa"/>
          </w:tcPr>
          <w:p w14:paraId="63FA31FE" w14:textId="77777777" w:rsidR="00DE5DEA" w:rsidRPr="00FD639B" w:rsidRDefault="00DE5DEA" w:rsidP="00F11601">
            <w:pPr>
              <w:spacing w:after="0"/>
              <w:rPr>
                <w:b/>
              </w:rPr>
            </w:pPr>
            <w:r w:rsidRPr="00FD639B">
              <w:rPr>
                <w:b/>
              </w:rPr>
              <w:t xml:space="preserve">Criteria </w:t>
            </w:r>
            <w:r>
              <w:rPr>
                <w:b/>
              </w:rPr>
              <w:t>for starting</w:t>
            </w:r>
          </w:p>
        </w:tc>
      </w:tr>
      <w:tr w:rsidR="00DE5DEA" w14:paraId="25350B6D" w14:textId="77777777" w:rsidTr="00446230">
        <w:tc>
          <w:tcPr>
            <w:tcW w:w="3072" w:type="dxa"/>
          </w:tcPr>
          <w:p w14:paraId="5026027E" w14:textId="77777777" w:rsidR="00DE5DEA" w:rsidRDefault="00DE5DEA" w:rsidP="00F11601">
            <w:pPr>
              <w:spacing w:after="0"/>
            </w:pPr>
            <w:r w:rsidRPr="005C482D">
              <w:t>Absolute neutrophil count (ANC)</w:t>
            </w:r>
          </w:p>
        </w:tc>
        <w:tc>
          <w:tcPr>
            <w:tcW w:w="6250" w:type="dxa"/>
          </w:tcPr>
          <w:p w14:paraId="5D3A6B59" w14:textId="77777777" w:rsidR="00DE5DEA" w:rsidRDefault="00DE5DEA" w:rsidP="00F11601">
            <w:pPr>
              <w:spacing w:after="0"/>
            </w:pPr>
            <w:r w:rsidRPr="005C482D">
              <w:t>≥ 1.0 x 10</w:t>
            </w:r>
            <w:r w:rsidRPr="009C05B6">
              <w:rPr>
                <w:vertAlign w:val="superscript"/>
              </w:rPr>
              <w:t>9</w:t>
            </w:r>
            <w:r w:rsidRPr="005C482D">
              <w:t>/L [≥ 0.5 x 10</w:t>
            </w:r>
            <w:r w:rsidRPr="009C05B6">
              <w:rPr>
                <w:vertAlign w:val="superscript"/>
              </w:rPr>
              <w:t>9</w:t>
            </w:r>
            <w:r w:rsidRPr="005C482D">
              <w:t>/L if due to extensive and documented bone marrow (BM) disease involvement by ≥ 50% of plasma cells in BM biopsy]</w:t>
            </w:r>
          </w:p>
        </w:tc>
      </w:tr>
      <w:tr w:rsidR="00DE5DEA" w14:paraId="706D3D65" w14:textId="77777777" w:rsidTr="00446230">
        <w:tc>
          <w:tcPr>
            <w:tcW w:w="3072" w:type="dxa"/>
          </w:tcPr>
          <w:p w14:paraId="7F04231E" w14:textId="77777777" w:rsidR="00DE5DEA" w:rsidRDefault="00DE5DEA" w:rsidP="00F11601">
            <w:pPr>
              <w:spacing w:after="0"/>
            </w:pPr>
            <w:r w:rsidRPr="005C482D">
              <w:t>Platelet count</w:t>
            </w:r>
          </w:p>
        </w:tc>
        <w:tc>
          <w:tcPr>
            <w:tcW w:w="6250" w:type="dxa"/>
          </w:tcPr>
          <w:p w14:paraId="5CC443E3" w14:textId="77777777" w:rsidR="00DE5DEA" w:rsidRDefault="00DE5DEA" w:rsidP="00F11601">
            <w:pPr>
              <w:spacing w:after="0"/>
            </w:pPr>
            <w:r w:rsidRPr="005C482D">
              <w:t>≥ 50 x 10</w:t>
            </w:r>
            <w:r w:rsidRPr="009C05B6">
              <w:rPr>
                <w:vertAlign w:val="superscript"/>
              </w:rPr>
              <w:t>9</w:t>
            </w:r>
            <w:r w:rsidRPr="005C482D">
              <w:t>/L (≥ 25 x 10</w:t>
            </w:r>
            <w:r w:rsidRPr="009C05B6">
              <w:rPr>
                <w:vertAlign w:val="superscript"/>
              </w:rPr>
              <w:t>9</w:t>
            </w:r>
            <w:r w:rsidRPr="005C482D">
              <w:t>/L if due to extensive and documented BM disease involvement)</w:t>
            </w:r>
          </w:p>
        </w:tc>
      </w:tr>
      <w:tr w:rsidR="00DE5DEA" w14:paraId="5575CBC3" w14:textId="77777777" w:rsidTr="00446230">
        <w:tc>
          <w:tcPr>
            <w:tcW w:w="3072" w:type="dxa"/>
          </w:tcPr>
          <w:p w14:paraId="29D9350B" w14:textId="77777777" w:rsidR="00DE5DEA" w:rsidRDefault="00DE5DEA" w:rsidP="00F11601">
            <w:pPr>
              <w:spacing w:after="0"/>
            </w:pPr>
            <w:r w:rsidRPr="005C482D">
              <w:t>Haemoglobin</w:t>
            </w:r>
          </w:p>
        </w:tc>
        <w:tc>
          <w:tcPr>
            <w:tcW w:w="6250" w:type="dxa"/>
          </w:tcPr>
          <w:p w14:paraId="0CD4A976" w14:textId="77777777" w:rsidR="00DE5DEA" w:rsidRDefault="00DE5DEA" w:rsidP="00F11601">
            <w:pPr>
              <w:spacing w:after="0"/>
            </w:pPr>
            <w:r w:rsidRPr="005C482D">
              <w:t>≥ 8.0 g/d</w:t>
            </w:r>
          </w:p>
        </w:tc>
      </w:tr>
      <w:tr w:rsidR="00DE5DEA" w14:paraId="35555C48" w14:textId="77777777" w:rsidTr="00446230">
        <w:tc>
          <w:tcPr>
            <w:tcW w:w="3072" w:type="dxa"/>
          </w:tcPr>
          <w:p w14:paraId="2316E503" w14:textId="77777777" w:rsidR="00DE5DEA" w:rsidRDefault="00DE5DEA" w:rsidP="00F11601">
            <w:pPr>
              <w:spacing w:after="0"/>
            </w:pPr>
            <w:r w:rsidRPr="005C482D">
              <w:t>Aspartate aminotransferase (AST) and alanine aminotransferase (ALT)</w:t>
            </w:r>
          </w:p>
        </w:tc>
        <w:tc>
          <w:tcPr>
            <w:tcW w:w="6250" w:type="dxa"/>
          </w:tcPr>
          <w:p w14:paraId="405C7084" w14:textId="77777777" w:rsidR="00DE5DEA" w:rsidRDefault="00DE5DEA" w:rsidP="00F11601">
            <w:pPr>
              <w:spacing w:after="0"/>
            </w:pPr>
            <w:r w:rsidRPr="005C482D">
              <w:t xml:space="preserve"> ≤ 3.0 x the upper limit of normal (ULN)</w:t>
            </w:r>
          </w:p>
        </w:tc>
      </w:tr>
      <w:tr w:rsidR="00DE5DEA" w14:paraId="44CB48F4" w14:textId="77777777" w:rsidTr="00446230">
        <w:tc>
          <w:tcPr>
            <w:tcW w:w="3072" w:type="dxa"/>
          </w:tcPr>
          <w:p w14:paraId="26C21850" w14:textId="77777777" w:rsidR="00DE5DEA" w:rsidRDefault="00DE5DEA" w:rsidP="00F11601">
            <w:pPr>
              <w:spacing w:after="0"/>
            </w:pPr>
            <w:r w:rsidRPr="005C482D">
              <w:t>Total bilirubin</w:t>
            </w:r>
          </w:p>
        </w:tc>
        <w:tc>
          <w:tcPr>
            <w:tcW w:w="6250" w:type="dxa"/>
          </w:tcPr>
          <w:p w14:paraId="7F2B8CF3" w14:textId="77777777" w:rsidR="00DE5DEA" w:rsidRDefault="00DE5DEA" w:rsidP="00F11601">
            <w:pPr>
              <w:spacing w:after="0"/>
            </w:pPr>
            <w:r w:rsidRPr="005C482D">
              <w:t>≤ 1.0 x ULN or direct bilirubin ≤ 1.0 x ULN when total bilirubin is above ULN</w:t>
            </w:r>
          </w:p>
        </w:tc>
      </w:tr>
      <w:tr w:rsidR="00DE5DEA" w14:paraId="456D0AB2" w14:textId="77777777" w:rsidTr="00446230">
        <w:tc>
          <w:tcPr>
            <w:tcW w:w="3072" w:type="dxa"/>
          </w:tcPr>
          <w:p w14:paraId="45BA8A16" w14:textId="77777777" w:rsidR="00DE5DEA" w:rsidRDefault="00DE5DEA" w:rsidP="00F11601">
            <w:pPr>
              <w:spacing w:after="0"/>
            </w:pPr>
            <w:r w:rsidRPr="005C482D">
              <w:t xml:space="preserve">Calculated </w:t>
            </w:r>
            <w:proofErr w:type="spellStart"/>
            <w:r w:rsidRPr="005C482D">
              <w:t>creatinine</w:t>
            </w:r>
            <w:proofErr w:type="spellEnd"/>
            <w:r w:rsidRPr="005C482D">
              <w:t xml:space="preserve"> clearance (</w:t>
            </w:r>
            <w:proofErr w:type="spellStart"/>
            <w:r w:rsidRPr="005C482D">
              <w:t>CrCl</w:t>
            </w:r>
            <w:proofErr w:type="spellEnd"/>
            <w:r w:rsidRPr="005C482D">
              <w:t>)</w:t>
            </w:r>
          </w:p>
        </w:tc>
        <w:tc>
          <w:tcPr>
            <w:tcW w:w="6250" w:type="dxa"/>
          </w:tcPr>
          <w:p w14:paraId="205058D8" w14:textId="77777777" w:rsidR="00DE5DEA" w:rsidRDefault="00DE5DEA" w:rsidP="00F11601">
            <w:pPr>
              <w:spacing w:after="0"/>
            </w:pPr>
            <w:r w:rsidRPr="005C482D">
              <w:t>≥ 30 mL/minute (by means of Cockcroft and Gault´s formula)</w:t>
            </w:r>
          </w:p>
        </w:tc>
      </w:tr>
      <w:tr w:rsidR="00DE5DEA" w14:paraId="0C849F5C" w14:textId="77777777" w:rsidTr="00446230">
        <w:tc>
          <w:tcPr>
            <w:tcW w:w="3072" w:type="dxa"/>
          </w:tcPr>
          <w:p w14:paraId="0340194C" w14:textId="77777777" w:rsidR="00DE5DEA" w:rsidRDefault="00DE5DEA" w:rsidP="00F11601">
            <w:pPr>
              <w:spacing w:after="0"/>
            </w:pPr>
            <w:r w:rsidRPr="005C482D">
              <w:t>Creatine phosphokinase (CPK)</w:t>
            </w:r>
          </w:p>
        </w:tc>
        <w:tc>
          <w:tcPr>
            <w:tcW w:w="6250" w:type="dxa"/>
          </w:tcPr>
          <w:p w14:paraId="4D1728CA" w14:textId="77777777" w:rsidR="00DE5DEA" w:rsidRDefault="00DE5DEA" w:rsidP="00F11601">
            <w:pPr>
              <w:spacing w:after="0"/>
            </w:pPr>
            <w:r w:rsidRPr="005C482D">
              <w:t>≤ 2.5 x ULN</w:t>
            </w:r>
          </w:p>
        </w:tc>
      </w:tr>
      <w:tr w:rsidR="00DE5DEA" w14:paraId="1B881EDC" w14:textId="77777777" w:rsidTr="00446230">
        <w:tc>
          <w:tcPr>
            <w:tcW w:w="3072" w:type="dxa"/>
          </w:tcPr>
          <w:p w14:paraId="56E24BF6" w14:textId="77777777" w:rsidR="00DE5DEA" w:rsidRDefault="00DE5DEA" w:rsidP="00F11601">
            <w:pPr>
              <w:spacing w:after="0"/>
            </w:pPr>
            <w:r w:rsidRPr="005C482D">
              <w:t>Albumin</w:t>
            </w:r>
          </w:p>
        </w:tc>
        <w:tc>
          <w:tcPr>
            <w:tcW w:w="6250" w:type="dxa"/>
          </w:tcPr>
          <w:p w14:paraId="4288F768" w14:textId="77777777" w:rsidR="00DE5DEA" w:rsidRDefault="00DE5DEA" w:rsidP="00F11601">
            <w:pPr>
              <w:spacing w:after="0"/>
            </w:pPr>
            <w:r w:rsidRPr="005C482D">
              <w:t>≥ 2.5 g/dL</w:t>
            </w:r>
          </w:p>
        </w:tc>
      </w:tr>
      <w:tr w:rsidR="00DE5DEA" w14:paraId="506218DF" w14:textId="77777777" w:rsidTr="00446230">
        <w:tc>
          <w:tcPr>
            <w:tcW w:w="3072" w:type="dxa"/>
          </w:tcPr>
          <w:p w14:paraId="50149BBD" w14:textId="77777777" w:rsidR="00DE5DEA" w:rsidRPr="005C482D" w:rsidRDefault="00DE5DEA" w:rsidP="00F11601">
            <w:pPr>
              <w:spacing w:after="0"/>
            </w:pPr>
            <w:r w:rsidRPr="005C482D">
              <w:t>Left ventricular ejection fraction (LVEF) by echocardiogram (ECHO) or multiple-gated acquisition scan (MUGA)</w:t>
            </w:r>
          </w:p>
        </w:tc>
        <w:tc>
          <w:tcPr>
            <w:tcW w:w="6250" w:type="dxa"/>
          </w:tcPr>
          <w:p w14:paraId="41A775E1" w14:textId="77777777" w:rsidR="00DE5DEA" w:rsidRPr="005C482D" w:rsidRDefault="00DE5DEA" w:rsidP="00F11601">
            <w:pPr>
              <w:spacing w:after="0"/>
            </w:pPr>
            <w:r w:rsidRPr="005C482D">
              <w:t>above the lower limit of normal (LLN)</w:t>
            </w:r>
          </w:p>
        </w:tc>
      </w:tr>
    </w:tbl>
    <w:p w14:paraId="04B426F5" w14:textId="33F2F7D8" w:rsidR="005C482D" w:rsidRPr="005C482D" w:rsidRDefault="005C482D" w:rsidP="005C482D">
      <w:pPr>
        <w:autoSpaceDE w:val="0"/>
        <w:autoSpaceDN w:val="0"/>
        <w:adjustRightInd w:val="0"/>
        <w:spacing w:after="0" w:line="240" w:lineRule="auto"/>
        <w:rPr>
          <w:rFonts w:ascii="Times New Roman" w:hAnsi="Times New Roman" w:cs="Times New Roman"/>
        </w:rPr>
      </w:pPr>
    </w:p>
    <w:p w14:paraId="161EB42D" w14:textId="7AF35C02" w:rsidR="00E03474" w:rsidRDefault="00E03474" w:rsidP="005C482D">
      <w:pPr>
        <w:spacing w:after="0" w:line="240" w:lineRule="auto"/>
        <w:rPr>
          <w:rFonts w:ascii="Times New Roman" w:hAnsi="Times New Roman" w:cs="Times New Roman"/>
          <w:u w:val="single"/>
        </w:rPr>
      </w:pPr>
      <w:r>
        <w:rPr>
          <w:rFonts w:ascii="Times New Roman" w:hAnsi="Times New Roman" w:cs="Times New Roman"/>
          <w:u w:val="single"/>
        </w:rPr>
        <w:t>Method of administration</w:t>
      </w:r>
    </w:p>
    <w:p w14:paraId="492F22D5" w14:textId="2C677D29" w:rsidR="00E03474" w:rsidRPr="00E03474" w:rsidRDefault="00E03474" w:rsidP="00E03474">
      <w:pPr>
        <w:spacing w:after="0" w:line="240" w:lineRule="auto"/>
        <w:rPr>
          <w:rFonts w:ascii="Times New Roman" w:hAnsi="Times New Roman" w:cs="Times New Roman"/>
        </w:rPr>
      </w:pPr>
      <w:r>
        <w:rPr>
          <w:rFonts w:ascii="Times New Roman" w:hAnsi="Times New Roman" w:cs="Times New Roman"/>
        </w:rPr>
        <w:t>Prior to administration, APLIDIN</w:t>
      </w:r>
      <w:r w:rsidRPr="00E03474">
        <w:rPr>
          <w:rFonts w:ascii="Times New Roman" w:hAnsi="Times New Roman" w:cs="Times New Roman"/>
        </w:rPr>
        <w:t xml:space="preserve"> must be reconstituted and further diluted by a healthcare professional.</w:t>
      </w:r>
    </w:p>
    <w:p w14:paraId="30581747" w14:textId="233CF7A6" w:rsidR="00E03474" w:rsidRPr="00E03474" w:rsidRDefault="00E03474" w:rsidP="00E03474">
      <w:pPr>
        <w:spacing w:after="0" w:line="240" w:lineRule="auto"/>
        <w:rPr>
          <w:rFonts w:ascii="Times New Roman" w:hAnsi="Times New Roman" w:cs="Times New Roman"/>
        </w:rPr>
      </w:pPr>
      <w:r w:rsidRPr="00E03474">
        <w:rPr>
          <w:rFonts w:ascii="Times New Roman" w:hAnsi="Times New Roman" w:cs="Times New Roman"/>
        </w:rPr>
        <w:t xml:space="preserve">Intravenous administration </w:t>
      </w:r>
      <w:r w:rsidR="0047290D">
        <w:rPr>
          <w:rFonts w:ascii="Times New Roman" w:hAnsi="Times New Roman" w:cs="Times New Roman"/>
        </w:rPr>
        <w:t xml:space="preserve">can be made </w:t>
      </w:r>
      <w:r w:rsidRPr="00E03474">
        <w:rPr>
          <w:rFonts w:ascii="Times New Roman" w:hAnsi="Times New Roman" w:cs="Times New Roman"/>
        </w:rPr>
        <w:t xml:space="preserve">through a peripheral venous line </w:t>
      </w:r>
      <w:r w:rsidR="0047290D">
        <w:rPr>
          <w:rFonts w:ascii="Times New Roman" w:hAnsi="Times New Roman" w:cs="Times New Roman"/>
        </w:rPr>
        <w:t>or a</w:t>
      </w:r>
      <w:r w:rsidRPr="00E03474">
        <w:rPr>
          <w:rFonts w:ascii="Times New Roman" w:hAnsi="Times New Roman" w:cs="Times New Roman"/>
        </w:rPr>
        <w:t xml:space="preserve"> central venous line. </w:t>
      </w:r>
    </w:p>
    <w:p w14:paraId="3E81C6B9" w14:textId="77777777" w:rsidR="00E03474" w:rsidRPr="00E03474" w:rsidRDefault="00E03474" w:rsidP="00E03474">
      <w:pPr>
        <w:spacing w:after="0" w:line="240" w:lineRule="auto"/>
        <w:rPr>
          <w:rFonts w:ascii="Times New Roman" w:hAnsi="Times New Roman" w:cs="Times New Roman"/>
        </w:rPr>
      </w:pPr>
      <w:r w:rsidRPr="00E03474">
        <w:rPr>
          <w:rFonts w:ascii="Times New Roman" w:hAnsi="Times New Roman" w:cs="Times New Roman"/>
        </w:rPr>
        <w:t>Infusion must be performed through a pump device over three hours (at a fixed rate).</w:t>
      </w:r>
    </w:p>
    <w:p w14:paraId="42BADA32" w14:textId="0D50EF6D" w:rsidR="00541F94" w:rsidRPr="00B17CAD" w:rsidRDefault="00541F94" w:rsidP="00B17CAD">
      <w:pPr>
        <w:spacing w:after="0" w:line="240" w:lineRule="auto"/>
        <w:contextualSpacing/>
        <w:rPr>
          <w:rFonts w:ascii="Times New Roman" w:hAnsi="Times New Roman" w:cs="Times New Roman"/>
        </w:rPr>
      </w:pPr>
    </w:p>
    <w:p w14:paraId="509577CD" w14:textId="0E2FC8D4" w:rsidR="00541F94" w:rsidRPr="00EF50F8" w:rsidRDefault="00541F94" w:rsidP="00B17CAD">
      <w:pPr>
        <w:spacing w:after="0" w:line="240" w:lineRule="auto"/>
        <w:contextualSpacing/>
        <w:rPr>
          <w:rFonts w:ascii="Times New Roman" w:hAnsi="Times New Roman" w:cs="Times New Roman"/>
          <w:b/>
          <w:noProof/>
        </w:rPr>
      </w:pPr>
      <w:r w:rsidRPr="00EF50F8">
        <w:rPr>
          <w:rFonts w:ascii="Times New Roman" w:hAnsi="Times New Roman" w:cs="Times New Roman"/>
          <w:b/>
          <w:noProof/>
        </w:rPr>
        <w:t>Preparation for intravenous infusion</w:t>
      </w:r>
    </w:p>
    <w:p w14:paraId="1121C23A" w14:textId="504398BA" w:rsidR="00541F94" w:rsidRPr="00B17CAD" w:rsidRDefault="00541F94" w:rsidP="00B17CAD">
      <w:pPr>
        <w:spacing w:after="0" w:line="240" w:lineRule="auto"/>
        <w:contextualSpacing/>
        <w:rPr>
          <w:rFonts w:ascii="Times New Roman" w:hAnsi="Times New Roman" w:cs="Times New Roman"/>
          <w:noProof/>
        </w:rPr>
      </w:pPr>
      <w:r w:rsidRPr="00B17CAD">
        <w:rPr>
          <w:rFonts w:ascii="Times New Roman" w:hAnsi="Times New Roman" w:cs="Times New Roman"/>
          <w:noProof/>
        </w:rPr>
        <w:t>Appropriate aseptic techniques must be used. A</w:t>
      </w:r>
      <w:r w:rsidR="007E57D0">
        <w:rPr>
          <w:rFonts w:ascii="Times New Roman" w:hAnsi="Times New Roman" w:cs="Times New Roman"/>
          <w:noProof/>
        </w:rPr>
        <w:t>PLIDIN</w:t>
      </w:r>
      <w:r w:rsidRPr="00B17CAD">
        <w:rPr>
          <w:rFonts w:ascii="Times New Roman" w:hAnsi="Times New Roman" w:cs="Times New Roman"/>
          <w:noProof/>
        </w:rPr>
        <w:t xml:space="preserve"> must be reconstituted and further diluted prior to administration.</w:t>
      </w:r>
    </w:p>
    <w:p w14:paraId="5724DAE0" w14:textId="77777777" w:rsidR="00541F94" w:rsidRPr="00B17CAD" w:rsidRDefault="00541F94" w:rsidP="00B17CAD">
      <w:pPr>
        <w:spacing w:after="0" w:line="240" w:lineRule="auto"/>
        <w:contextualSpacing/>
        <w:rPr>
          <w:rFonts w:ascii="Times New Roman" w:hAnsi="Times New Roman" w:cs="Times New Roman"/>
          <w:noProof/>
        </w:rPr>
      </w:pPr>
    </w:p>
    <w:p w14:paraId="3BED98DE" w14:textId="1F49A2E3" w:rsidR="00541F94" w:rsidRPr="00B17CAD" w:rsidRDefault="00541F94" w:rsidP="00B17CAD">
      <w:pPr>
        <w:spacing w:after="0" w:line="240" w:lineRule="auto"/>
        <w:contextualSpacing/>
        <w:rPr>
          <w:rFonts w:ascii="Times New Roman" w:hAnsi="Times New Roman" w:cs="Times New Roman"/>
          <w:noProof/>
        </w:rPr>
      </w:pPr>
      <w:r w:rsidRPr="00B17CAD">
        <w:rPr>
          <w:rFonts w:ascii="Times New Roman" w:hAnsi="Times New Roman" w:cs="Times New Roman"/>
          <w:noProof/>
        </w:rPr>
        <w:t>Each vial of A</w:t>
      </w:r>
      <w:r w:rsidR="007E57D0">
        <w:rPr>
          <w:rFonts w:ascii="Times New Roman" w:hAnsi="Times New Roman" w:cs="Times New Roman"/>
          <w:noProof/>
        </w:rPr>
        <w:t>PLIDIN</w:t>
      </w:r>
      <w:r w:rsidRPr="00B17CAD">
        <w:rPr>
          <w:rFonts w:ascii="Times New Roman" w:hAnsi="Times New Roman" w:cs="Times New Roman"/>
          <w:noProof/>
        </w:rPr>
        <w:t xml:space="preserve"> is reconstituted with 4</w:t>
      </w:r>
      <w:r w:rsidR="007E57D0">
        <w:rPr>
          <w:rFonts w:ascii="Times New Roman" w:hAnsi="Times New Roman" w:cs="Times New Roman"/>
        </w:rPr>
        <w:t xml:space="preserve"> </w:t>
      </w:r>
      <w:r w:rsidRPr="00B17CAD">
        <w:rPr>
          <w:rFonts w:ascii="Times New Roman" w:hAnsi="Times New Roman" w:cs="Times New Roman"/>
          <w:noProof/>
        </w:rPr>
        <w:t>mL of A</w:t>
      </w:r>
      <w:r w:rsidR="007E57D0">
        <w:rPr>
          <w:rFonts w:ascii="Times New Roman" w:hAnsi="Times New Roman" w:cs="Times New Roman"/>
          <w:noProof/>
        </w:rPr>
        <w:t>PLIDIN</w:t>
      </w:r>
      <w:r w:rsidRPr="00B17CAD">
        <w:rPr>
          <w:rFonts w:ascii="Times New Roman" w:hAnsi="Times New Roman" w:cs="Times New Roman"/>
          <w:noProof/>
        </w:rPr>
        <w:t xml:space="preserve"> solvent for reconstitution. </w:t>
      </w:r>
    </w:p>
    <w:p w14:paraId="250E6028" w14:textId="77777777" w:rsidR="00541F94" w:rsidRPr="00B17CAD" w:rsidRDefault="00541F94" w:rsidP="00B17CAD">
      <w:pPr>
        <w:spacing w:after="0" w:line="240" w:lineRule="auto"/>
        <w:contextualSpacing/>
        <w:rPr>
          <w:rFonts w:ascii="Times New Roman" w:hAnsi="Times New Roman" w:cs="Times New Roman"/>
          <w:noProof/>
        </w:rPr>
      </w:pPr>
    </w:p>
    <w:p w14:paraId="338B9A66" w14:textId="77777777" w:rsidR="00541F94" w:rsidRPr="00B17CAD" w:rsidRDefault="00541F94" w:rsidP="00B17CAD">
      <w:pPr>
        <w:keepNext/>
        <w:spacing w:after="0" w:line="240" w:lineRule="auto"/>
        <w:contextualSpacing/>
        <w:rPr>
          <w:rFonts w:ascii="Times New Roman" w:hAnsi="Times New Roman" w:cs="Times New Roman"/>
          <w:noProof/>
          <w:u w:val="single"/>
        </w:rPr>
      </w:pPr>
      <w:r w:rsidRPr="00B17CAD">
        <w:rPr>
          <w:rFonts w:ascii="Times New Roman" w:hAnsi="Times New Roman" w:cs="Times New Roman"/>
          <w:noProof/>
          <w:u w:val="single"/>
        </w:rPr>
        <w:t>lnstructions for reconstitution</w:t>
      </w:r>
    </w:p>
    <w:p w14:paraId="0DAF19EB" w14:textId="5E52009E" w:rsidR="00541F94" w:rsidRPr="00B17CAD" w:rsidRDefault="00541F94" w:rsidP="00B17CAD">
      <w:pPr>
        <w:keepNext/>
        <w:spacing w:after="0" w:line="240" w:lineRule="auto"/>
        <w:contextualSpacing/>
        <w:rPr>
          <w:rFonts w:ascii="Times New Roman" w:hAnsi="Times New Roman" w:cs="Times New Roman"/>
          <w:noProof/>
        </w:rPr>
      </w:pPr>
      <w:r w:rsidRPr="00B17CAD">
        <w:rPr>
          <w:rFonts w:ascii="Times New Roman" w:hAnsi="Times New Roman" w:cs="Times New Roman"/>
          <w:noProof/>
        </w:rPr>
        <w:t>A syringe should be used to inject the 4</w:t>
      </w:r>
      <w:r w:rsidR="007E57D0">
        <w:rPr>
          <w:rFonts w:ascii="Times New Roman" w:hAnsi="Times New Roman" w:cs="Times New Roman"/>
        </w:rPr>
        <w:t xml:space="preserve"> </w:t>
      </w:r>
      <w:r w:rsidRPr="00B17CAD">
        <w:rPr>
          <w:rFonts w:ascii="Times New Roman" w:hAnsi="Times New Roman" w:cs="Times New Roman"/>
          <w:noProof/>
        </w:rPr>
        <w:t>mL of solvent into the vial. Shake the vial until complete dissolution. The reconstituted concentrate results in a clear, colourless or slightly yellowish solution, free of visible particles.</w:t>
      </w:r>
    </w:p>
    <w:p w14:paraId="1181FE34" w14:textId="5B2662DE" w:rsidR="00541F94" w:rsidRPr="00B17CAD" w:rsidRDefault="00541F94" w:rsidP="00B17CAD">
      <w:pPr>
        <w:spacing w:after="0" w:line="240" w:lineRule="auto"/>
        <w:contextualSpacing/>
        <w:rPr>
          <w:rFonts w:ascii="Times New Roman" w:hAnsi="Times New Roman" w:cs="Times New Roman"/>
          <w:noProof/>
        </w:rPr>
      </w:pPr>
      <w:r w:rsidRPr="00B17CAD">
        <w:rPr>
          <w:rFonts w:ascii="Times New Roman" w:hAnsi="Times New Roman" w:cs="Times New Roman"/>
          <w:noProof/>
        </w:rPr>
        <w:t>This reconstituted concentrate contains 0.5</w:t>
      </w:r>
      <w:r w:rsidR="007E57D0">
        <w:rPr>
          <w:rFonts w:ascii="Times New Roman" w:hAnsi="Times New Roman" w:cs="Times New Roman"/>
          <w:noProof/>
        </w:rPr>
        <w:t xml:space="preserve"> </w:t>
      </w:r>
      <w:r w:rsidRPr="00B17CAD">
        <w:rPr>
          <w:rFonts w:ascii="Times New Roman" w:hAnsi="Times New Roman" w:cs="Times New Roman"/>
          <w:noProof/>
        </w:rPr>
        <w:t>mg of plitidepsin per mL. lt requires further dilution and is for single-use only.</w:t>
      </w:r>
    </w:p>
    <w:p w14:paraId="4301BC59" w14:textId="77777777" w:rsidR="00541F94" w:rsidRPr="00B17CAD" w:rsidRDefault="00541F94" w:rsidP="00B17CAD">
      <w:pPr>
        <w:spacing w:after="0" w:line="240" w:lineRule="auto"/>
        <w:contextualSpacing/>
        <w:rPr>
          <w:rFonts w:ascii="Times New Roman" w:hAnsi="Times New Roman" w:cs="Times New Roman"/>
          <w:noProof/>
        </w:rPr>
      </w:pPr>
    </w:p>
    <w:p w14:paraId="34A389A9" w14:textId="77777777" w:rsidR="00541F94" w:rsidRPr="00B17CAD" w:rsidRDefault="00541F94" w:rsidP="00B17CAD">
      <w:pPr>
        <w:spacing w:after="0" w:line="240" w:lineRule="auto"/>
        <w:contextualSpacing/>
        <w:rPr>
          <w:rFonts w:ascii="Times New Roman" w:hAnsi="Times New Roman" w:cs="Times New Roman"/>
          <w:noProof/>
          <w:u w:val="single"/>
        </w:rPr>
      </w:pPr>
      <w:r w:rsidRPr="00B17CAD">
        <w:rPr>
          <w:rFonts w:ascii="Times New Roman" w:hAnsi="Times New Roman" w:cs="Times New Roman"/>
          <w:noProof/>
          <w:u w:val="single"/>
        </w:rPr>
        <w:t>lnstructions for dilution</w:t>
      </w:r>
    </w:p>
    <w:p w14:paraId="00E4DE62" w14:textId="34A56992" w:rsidR="00541F94" w:rsidRPr="00B17CAD" w:rsidRDefault="00541F94" w:rsidP="00B17CAD">
      <w:pPr>
        <w:spacing w:after="0" w:line="240" w:lineRule="auto"/>
        <w:contextualSpacing/>
        <w:rPr>
          <w:rFonts w:ascii="Times New Roman" w:hAnsi="Times New Roman" w:cs="Times New Roman"/>
          <w:noProof/>
        </w:rPr>
      </w:pPr>
      <w:r w:rsidRPr="00B17CAD">
        <w:rPr>
          <w:rFonts w:ascii="Times New Roman" w:hAnsi="Times New Roman" w:cs="Times New Roman"/>
          <w:noProof/>
        </w:rPr>
        <w:t>The reconstituted concentrate should be diluted with sodium chloride 9</w:t>
      </w:r>
      <w:r w:rsidR="007E57D0">
        <w:rPr>
          <w:rFonts w:ascii="Times New Roman" w:hAnsi="Times New Roman" w:cs="Times New Roman"/>
          <w:noProof/>
        </w:rPr>
        <w:t xml:space="preserve"> </w:t>
      </w:r>
      <w:r w:rsidRPr="00B17CAD">
        <w:rPr>
          <w:rFonts w:ascii="Times New Roman" w:hAnsi="Times New Roman" w:cs="Times New Roman"/>
          <w:noProof/>
        </w:rPr>
        <w:t>mg/mL (0.9%) solution for infusion or glucose 50</w:t>
      </w:r>
      <w:r w:rsidR="007E57D0">
        <w:rPr>
          <w:rFonts w:ascii="Times New Roman" w:hAnsi="Times New Roman" w:cs="Times New Roman"/>
          <w:noProof/>
        </w:rPr>
        <w:t xml:space="preserve"> </w:t>
      </w:r>
      <w:r w:rsidRPr="00B17CAD">
        <w:rPr>
          <w:rFonts w:ascii="Times New Roman" w:hAnsi="Times New Roman" w:cs="Times New Roman"/>
          <w:noProof/>
        </w:rPr>
        <w:t xml:space="preserve">mg/mL (5%) solution for infusion </w:t>
      </w:r>
      <w:r w:rsidRPr="00B17CAD">
        <w:rPr>
          <w:rFonts w:ascii="Times New Roman" w:hAnsi="Times New Roman" w:cs="Times New Roman"/>
        </w:rPr>
        <w:t>to a total volume of 500 mL for administration via a peripheral venous line or to a total volume of 250</w:t>
      </w:r>
      <w:r w:rsidR="007E57D0">
        <w:rPr>
          <w:rFonts w:ascii="Times New Roman" w:hAnsi="Times New Roman" w:cs="Times New Roman"/>
        </w:rPr>
        <w:t xml:space="preserve"> </w:t>
      </w:r>
      <w:r w:rsidRPr="00B17CAD">
        <w:rPr>
          <w:rFonts w:ascii="Times New Roman" w:hAnsi="Times New Roman" w:cs="Times New Roman"/>
        </w:rPr>
        <w:t>mL for administration via a central venous line</w:t>
      </w:r>
      <w:r w:rsidRPr="00B17CAD">
        <w:rPr>
          <w:rFonts w:ascii="Times New Roman" w:hAnsi="Times New Roman" w:cs="Times New Roman"/>
          <w:noProof/>
        </w:rPr>
        <w:t>. The required volume of reconstituted concentrate to be diluted for an individual dose should be calculated as follows:</w:t>
      </w:r>
    </w:p>
    <w:p w14:paraId="6733FBBD" w14:textId="77777777" w:rsidR="00541F94" w:rsidRPr="00B17CAD" w:rsidRDefault="00541F94" w:rsidP="00B17CAD">
      <w:pPr>
        <w:spacing w:after="0" w:line="240" w:lineRule="auto"/>
        <w:contextualSpacing/>
        <w:rPr>
          <w:rFonts w:ascii="Times New Roman" w:hAnsi="Times New Roman" w:cs="Times New Roman"/>
        </w:rPr>
      </w:pPr>
    </w:p>
    <w:p w14:paraId="504D6CF5" w14:textId="7B92952D" w:rsidR="00541F94" w:rsidRPr="00B17CAD" w:rsidRDefault="00541F94" w:rsidP="00B17CAD">
      <w:pPr>
        <w:spacing w:after="0" w:line="240" w:lineRule="auto"/>
        <w:contextualSpacing/>
        <w:rPr>
          <w:rFonts w:ascii="Times New Roman" w:hAnsi="Times New Roman" w:cs="Times New Roman"/>
        </w:rPr>
      </w:pPr>
      <w:r w:rsidRPr="00B17CAD">
        <w:rPr>
          <w:rFonts w:ascii="Times New Roman" w:hAnsi="Times New Roman" w:cs="Times New Roman"/>
        </w:rPr>
        <w:t>Volume (mL)</w:t>
      </w:r>
      <w:r w:rsidR="007E57D0">
        <w:rPr>
          <w:rFonts w:ascii="Times New Roman" w:hAnsi="Times New Roman" w:cs="Times New Roman"/>
        </w:rPr>
        <w:t xml:space="preserve"> </w:t>
      </w:r>
      <w:r w:rsidRPr="00B17CAD">
        <w:rPr>
          <w:rFonts w:ascii="Times New Roman" w:hAnsi="Times New Roman" w:cs="Times New Roman"/>
        </w:rPr>
        <w:t>=</w:t>
      </w:r>
      <w:r w:rsidR="007E57D0">
        <w:rPr>
          <w:rFonts w:ascii="Times New Roman" w:hAnsi="Times New Roman" w:cs="Times New Roman"/>
        </w:rPr>
        <w:t xml:space="preserve"> </w:t>
      </w:r>
      <w:r w:rsidRPr="00B17CAD">
        <w:rPr>
          <w:rFonts w:ascii="Times New Roman" w:hAnsi="Times New Roman" w:cs="Times New Roman"/>
          <w:u w:val="single"/>
        </w:rPr>
        <w:t>BSA</w:t>
      </w:r>
      <w:r w:rsidR="007E57D0">
        <w:rPr>
          <w:rFonts w:ascii="Times New Roman" w:hAnsi="Times New Roman" w:cs="Times New Roman"/>
          <w:u w:val="single"/>
        </w:rPr>
        <w:t xml:space="preserve"> </w:t>
      </w:r>
      <w:r w:rsidRPr="00B17CAD">
        <w:rPr>
          <w:rFonts w:ascii="Times New Roman" w:hAnsi="Times New Roman" w:cs="Times New Roman"/>
          <w:u w:val="single"/>
        </w:rPr>
        <w:t>(m</w:t>
      </w:r>
      <w:r w:rsidRPr="00B17CAD">
        <w:rPr>
          <w:rFonts w:ascii="Times New Roman" w:hAnsi="Times New Roman" w:cs="Times New Roman"/>
          <w:u w:val="single"/>
          <w:vertAlign w:val="superscript"/>
        </w:rPr>
        <w:t>2</w:t>
      </w:r>
      <w:r w:rsidRPr="00B17CAD">
        <w:rPr>
          <w:rFonts w:ascii="Times New Roman" w:hAnsi="Times New Roman" w:cs="Times New Roman"/>
          <w:u w:val="single"/>
        </w:rPr>
        <w:t>)</w:t>
      </w:r>
      <w:r w:rsidR="007E57D0">
        <w:rPr>
          <w:rFonts w:ascii="Times New Roman" w:hAnsi="Times New Roman" w:cs="Times New Roman"/>
          <w:u w:val="single"/>
        </w:rPr>
        <w:t xml:space="preserve"> </w:t>
      </w:r>
      <w:r w:rsidRPr="00B17CAD">
        <w:rPr>
          <w:rFonts w:ascii="Times New Roman" w:hAnsi="Times New Roman" w:cs="Times New Roman"/>
          <w:u w:val="single"/>
        </w:rPr>
        <w:t>x</w:t>
      </w:r>
      <w:r w:rsidR="007E57D0">
        <w:rPr>
          <w:rFonts w:ascii="Times New Roman" w:hAnsi="Times New Roman" w:cs="Times New Roman"/>
          <w:u w:val="single"/>
        </w:rPr>
        <w:t xml:space="preserve"> </w:t>
      </w:r>
      <w:r w:rsidRPr="00B17CAD">
        <w:rPr>
          <w:rFonts w:ascii="Times New Roman" w:hAnsi="Times New Roman" w:cs="Times New Roman"/>
          <w:u w:val="single"/>
        </w:rPr>
        <w:t>individual dose (mg/m</w:t>
      </w:r>
      <w:r w:rsidRPr="00B17CAD">
        <w:rPr>
          <w:rFonts w:ascii="Times New Roman" w:hAnsi="Times New Roman" w:cs="Times New Roman"/>
          <w:u w:val="single"/>
          <w:vertAlign w:val="superscript"/>
        </w:rPr>
        <w:t>2</w:t>
      </w:r>
      <w:r w:rsidRPr="00B17CAD">
        <w:rPr>
          <w:rFonts w:ascii="Times New Roman" w:hAnsi="Times New Roman" w:cs="Times New Roman"/>
          <w:u w:val="single"/>
        </w:rPr>
        <w:t>)</w:t>
      </w:r>
    </w:p>
    <w:p w14:paraId="4559DC81" w14:textId="07DF03E7" w:rsidR="00541F94" w:rsidRPr="00B17CAD" w:rsidRDefault="00541F94" w:rsidP="00B17CAD">
      <w:pPr>
        <w:spacing w:after="0" w:line="240" w:lineRule="auto"/>
        <w:contextualSpacing/>
        <w:rPr>
          <w:rFonts w:ascii="Times New Roman" w:hAnsi="Times New Roman" w:cs="Times New Roman"/>
        </w:rPr>
      </w:pPr>
      <w:r w:rsidRPr="00B17CAD">
        <w:rPr>
          <w:rFonts w:ascii="Times New Roman" w:hAnsi="Times New Roman" w:cs="Times New Roman"/>
        </w:rPr>
        <w:tab/>
      </w:r>
      <w:r w:rsidRPr="00B17CAD">
        <w:rPr>
          <w:rFonts w:ascii="Times New Roman" w:hAnsi="Times New Roman" w:cs="Times New Roman"/>
        </w:rPr>
        <w:tab/>
      </w:r>
      <w:r w:rsidRPr="00B17CAD">
        <w:rPr>
          <w:rFonts w:ascii="Times New Roman" w:hAnsi="Times New Roman" w:cs="Times New Roman"/>
        </w:rPr>
        <w:tab/>
      </w:r>
      <w:r w:rsidRPr="00B17CAD">
        <w:rPr>
          <w:rFonts w:ascii="Times New Roman" w:hAnsi="Times New Roman" w:cs="Times New Roman"/>
        </w:rPr>
        <w:tab/>
        <w:t>0.5</w:t>
      </w:r>
      <w:r w:rsidR="007E57D0">
        <w:rPr>
          <w:rFonts w:ascii="Times New Roman" w:hAnsi="Times New Roman" w:cs="Times New Roman"/>
        </w:rPr>
        <w:t xml:space="preserve"> </w:t>
      </w:r>
      <w:r w:rsidRPr="00B17CAD">
        <w:rPr>
          <w:rFonts w:ascii="Times New Roman" w:hAnsi="Times New Roman" w:cs="Times New Roman"/>
        </w:rPr>
        <w:t>mg/mL</w:t>
      </w:r>
    </w:p>
    <w:p w14:paraId="236D111D" w14:textId="77777777" w:rsidR="00541F94" w:rsidRPr="00B17CAD" w:rsidRDefault="00541F94" w:rsidP="00B17CAD">
      <w:pPr>
        <w:spacing w:after="0" w:line="240" w:lineRule="auto"/>
        <w:contextualSpacing/>
        <w:rPr>
          <w:rFonts w:ascii="Times New Roman" w:hAnsi="Times New Roman" w:cs="Times New Roman"/>
        </w:rPr>
      </w:pPr>
    </w:p>
    <w:p w14:paraId="004C7634" w14:textId="3AFC9CA5" w:rsidR="00541F94" w:rsidRPr="00B17CAD" w:rsidRDefault="00541F94" w:rsidP="00B17CAD">
      <w:pPr>
        <w:spacing w:after="0" w:line="240" w:lineRule="auto"/>
        <w:contextualSpacing/>
        <w:rPr>
          <w:rFonts w:ascii="Times New Roman" w:hAnsi="Times New Roman" w:cs="Times New Roman"/>
        </w:rPr>
      </w:pPr>
      <w:r w:rsidRPr="00B17CAD">
        <w:rPr>
          <w:rFonts w:ascii="Times New Roman" w:hAnsi="Times New Roman" w:cs="Times New Roman"/>
        </w:rPr>
        <w:t>BSA</w:t>
      </w:r>
      <w:r w:rsidR="007E57D0">
        <w:rPr>
          <w:rFonts w:ascii="Times New Roman" w:hAnsi="Times New Roman" w:cs="Times New Roman"/>
        </w:rPr>
        <w:t xml:space="preserve"> </w:t>
      </w:r>
      <w:r w:rsidRPr="00B17CAD">
        <w:rPr>
          <w:rFonts w:ascii="Times New Roman" w:hAnsi="Times New Roman" w:cs="Times New Roman"/>
        </w:rPr>
        <w:t>=</w:t>
      </w:r>
      <w:r w:rsidR="007E57D0">
        <w:rPr>
          <w:rFonts w:ascii="Times New Roman" w:hAnsi="Times New Roman" w:cs="Times New Roman"/>
        </w:rPr>
        <w:t xml:space="preserve"> </w:t>
      </w:r>
      <w:r w:rsidRPr="00B17CAD">
        <w:rPr>
          <w:rFonts w:ascii="Times New Roman" w:hAnsi="Times New Roman" w:cs="Times New Roman"/>
        </w:rPr>
        <w:t>Body Surface Area</w:t>
      </w:r>
    </w:p>
    <w:p w14:paraId="105F472A" w14:textId="77777777" w:rsidR="00541F94" w:rsidRPr="00B17CAD" w:rsidRDefault="00541F94" w:rsidP="00B17CAD">
      <w:pPr>
        <w:spacing w:after="0" w:line="240" w:lineRule="auto"/>
        <w:contextualSpacing/>
        <w:rPr>
          <w:rFonts w:ascii="Times New Roman" w:hAnsi="Times New Roman" w:cs="Times New Roman"/>
          <w:noProof/>
          <w:u w:val="single"/>
        </w:rPr>
      </w:pPr>
      <w:r w:rsidRPr="00B17CAD">
        <w:rPr>
          <w:rFonts w:ascii="Times New Roman" w:hAnsi="Times New Roman" w:cs="Times New Roman"/>
          <w:noProof/>
          <w:u w:val="single"/>
        </w:rPr>
        <w:lastRenderedPageBreak/>
        <w:t>Instructions for administration</w:t>
      </w:r>
    </w:p>
    <w:p w14:paraId="3239D86C" w14:textId="12318F71" w:rsidR="00541F94" w:rsidRPr="00B17CAD" w:rsidRDefault="00541F94" w:rsidP="00B17CAD">
      <w:pPr>
        <w:widowControl w:val="0"/>
        <w:autoSpaceDE w:val="0"/>
        <w:autoSpaceDN w:val="0"/>
        <w:adjustRightInd w:val="0"/>
        <w:spacing w:after="0" w:line="240" w:lineRule="auto"/>
        <w:contextualSpacing/>
        <w:rPr>
          <w:rFonts w:ascii="Times New Roman" w:hAnsi="Times New Roman" w:cs="Times New Roman"/>
        </w:rPr>
      </w:pPr>
      <w:r w:rsidRPr="00B17CAD">
        <w:rPr>
          <w:rFonts w:ascii="Times New Roman" w:hAnsi="Times New Roman" w:cs="Times New Roman"/>
          <w:noProof/>
        </w:rPr>
        <w:t>A</w:t>
      </w:r>
      <w:r w:rsidR="00C97762">
        <w:rPr>
          <w:rFonts w:ascii="Times New Roman" w:hAnsi="Times New Roman" w:cs="Times New Roman"/>
          <w:noProof/>
        </w:rPr>
        <w:t>PLIDIN</w:t>
      </w:r>
      <w:r w:rsidRPr="00B17CAD">
        <w:rPr>
          <w:rFonts w:ascii="Times New Roman" w:hAnsi="Times New Roman" w:cs="Times New Roman"/>
          <w:noProof/>
        </w:rPr>
        <w:t xml:space="preserve"> infusion solution should be administered with an infusion set and a sterile, non-pyrogenic, low-protein-binding filter (with a pore size of 0.2 μm) using an automated infusion pump.  </w:t>
      </w:r>
    </w:p>
    <w:p w14:paraId="703077FC" w14:textId="77777777" w:rsidR="00541F94" w:rsidRPr="00B17CAD" w:rsidRDefault="00541F94" w:rsidP="00B17CAD">
      <w:pPr>
        <w:spacing w:after="0" w:line="240" w:lineRule="auto"/>
        <w:contextualSpacing/>
        <w:rPr>
          <w:rFonts w:ascii="Times New Roman" w:hAnsi="Times New Roman" w:cs="Times New Roman"/>
          <w:noProof/>
        </w:rPr>
      </w:pPr>
    </w:p>
    <w:p w14:paraId="0E77FF47" w14:textId="451E7F21" w:rsidR="00541F94" w:rsidRPr="00B17CAD" w:rsidRDefault="00541F94" w:rsidP="00B17CAD">
      <w:pPr>
        <w:spacing w:after="0" w:line="240" w:lineRule="auto"/>
        <w:contextualSpacing/>
        <w:rPr>
          <w:rFonts w:ascii="Times New Roman" w:hAnsi="Times New Roman" w:cs="Times New Roman"/>
          <w:noProof/>
        </w:rPr>
      </w:pPr>
      <w:r w:rsidRPr="00B17CAD">
        <w:rPr>
          <w:rFonts w:ascii="Times New Roman" w:hAnsi="Times New Roman" w:cs="Times New Roman"/>
          <w:noProof/>
        </w:rPr>
        <w:t xml:space="preserve">A peripheral venous line </w:t>
      </w:r>
      <w:r w:rsidR="0047290D">
        <w:rPr>
          <w:rFonts w:ascii="Times New Roman" w:hAnsi="Times New Roman" w:cs="Times New Roman"/>
          <w:noProof/>
        </w:rPr>
        <w:t>or</w:t>
      </w:r>
      <w:r w:rsidRPr="00B17CAD">
        <w:rPr>
          <w:rFonts w:ascii="Times New Roman" w:hAnsi="Times New Roman" w:cs="Times New Roman"/>
          <w:noProof/>
        </w:rPr>
        <w:t xml:space="preserve"> a central venous </w:t>
      </w:r>
      <w:r w:rsidR="0047290D">
        <w:rPr>
          <w:rFonts w:ascii="Times New Roman" w:hAnsi="Times New Roman" w:cs="Times New Roman"/>
          <w:noProof/>
        </w:rPr>
        <w:t xml:space="preserve">line for </w:t>
      </w:r>
      <w:r w:rsidRPr="00B17CAD">
        <w:rPr>
          <w:rFonts w:ascii="Times New Roman" w:hAnsi="Times New Roman" w:cs="Times New Roman"/>
          <w:noProof/>
        </w:rPr>
        <w:t xml:space="preserve">administration may </w:t>
      </w:r>
      <w:r w:rsidR="0047290D">
        <w:rPr>
          <w:rFonts w:ascii="Times New Roman" w:hAnsi="Times New Roman" w:cs="Times New Roman"/>
          <w:noProof/>
        </w:rPr>
        <w:t>be used</w:t>
      </w:r>
      <w:r w:rsidRPr="00B17CAD">
        <w:rPr>
          <w:rFonts w:ascii="Times New Roman" w:hAnsi="Times New Roman" w:cs="Times New Roman"/>
          <w:noProof/>
        </w:rPr>
        <w:t>.</w:t>
      </w:r>
    </w:p>
    <w:p w14:paraId="2C88FCAB" w14:textId="77777777" w:rsidR="00541F94" w:rsidRPr="00B17CAD" w:rsidRDefault="00541F94" w:rsidP="00B17CAD">
      <w:pPr>
        <w:spacing w:after="0" w:line="240" w:lineRule="auto"/>
        <w:contextualSpacing/>
        <w:rPr>
          <w:rFonts w:ascii="Times New Roman" w:hAnsi="Times New Roman" w:cs="Times New Roman"/>
          <w:noProof/>
        </w:rPr>
      </w:pPr>
    </w:p>
    <w:p w14:paraId="1E51F69A" w14:textId="6EC1F14A" w:rsidR="00541F94" w:rsidRPr="00B17CAD" w:rsidRDefault="00541F94" w:rsidP="00B17CAD">
      <w:pPr>
        <w:spacing w:after="0" w:line="240" w:lineRule="auto"/>
        <w:contextualSpacing/>
        <w:rPr>
          <w:rFonts w:ascii="Times New Roman" w:hAnsi="Times New Roman" w:cs="Times New Roman"/>
          <w:noProof/>
        </w:rPr>
      </w:pPr>
      <w:r w:rsidRPr="00B17CAD">
        <w:rPr>
          <w:rFonts w:ascii="Times New Roman" w:hAnsi="Times New Roman" w:cs="Times New Roman"/>
          <w:noProof/>
        </w:rPr>
        <w:t>A</w:t>
      </w:r>
      <w:r w:rsidR="00C97762">
        <w:rPr>
          <w:rFonts w:ascii="Times New Roman" w:hAnsi="Times New Roman" w:cs="Times New Roman"/>
          <w:noProof/>
        </w:rPr>
        <w:t>PLIDIN</w:t>
      </w:r>
      <w:r w:rsidRPr="00B17CAD">
        <w:rPr>
          <w:rFonts w:ascii="Times New Roman" w:hAnsi="Times New Roman" w:cs="Times New Roman"/>
          <w:noProof/>
        </w:rPr>
        <w:t xml:space="preserve"> infusion is compatible with:</w:t>
      </w:r>
    </w:p>
    <w:p w14:paraId="496E3A8D" w14:textId="77777777" w:rsidR="00541F94" w:rsidRPr="00B17CAD" w:rsidRDefault="00541F94" w:rsidP="00B17CAD">
      <w:pPr>
        <w:spacing w:after="0" w:line="240" w:lineRule="auto"/>
        <w:contextualSpacing/>
        <w:rPr>
          <w:rFonts w:ascii="Times New Roman" w:hAnsi="Times New Roman" w:cs="Times New Roman"/>
          <w:noProof/>
        </w:rPr>
      </w:pPr>
    </w:p>
    <w:p w14:paraId="24C90D70" w14:textId="60303DA5" w:rsidR="00541F94" w:rsidRPr="00B17CAD" w:rsidRDefault="00541F94" w:rsidP="00EF50F8">
      <w:pPr>
        <w:numPr>
          <w:ilvl w:val="0"/>
          <w:numId w:val="31"/>
        </w:numPr>
        <w:spacing w:after="0" w:line="240" w:lineRule="auto"/>
        <w:ind w:left="284" w:hanging="284"/>
        <w:contextualSpacing/>
        <w:rPr>
          <w:rFonts w:ascii="Times New Roman" w:hAnsi="Times New Roman" w:cs="Times New Roman"/>
          <w:noProof/>
        </w:rPr>
      </w:pPr>
      <w:r w:rsidRPr="00B17CAD">
        <w:rPr>
          <w:rFonts w:ascii="Times New Roman" w:hAnsi="Times New Roman" w:cs="Times New Roman"/>
          <w:noProof/>
        </w:rPr>
        <w:t>Glass and polyolefin containers (polyethylene, polypropylene and mixtures).</w:t>
      </w:r>
    </w:p>
    <w:p w14:paraId="50154FD6" w14:textId="77777777" w:rsidR="00541F94" w:rsidRPr="00B17CAD" w:rsidRDefault="00541F94" w:rsidP="00EF50F8">
      <w:pPr>
        <w:numPr>
          <w:ilvl w:val="0"/>
          <w:numId w:val="31"/>
        </w:numPr>
        <w:spacing w:after="0" w:line="240" w:lineRule="auto"/>
        <w:ind w:left="284" w:hanging="284"/>
        <w:contextualSpacing/>
        <w:rPr>
          <w:rFonts w:ascii="Times New Roman" w:hAnsi="Times New Roman" w:cs="Times New Roman"/>
          <w:noProof/>
        </w:rPr>
      </w:pPr>
      <w:r w:rsidRPr="00B17CAD">
        <w:rPr>
          <w:rFonts w:ascii="Times New Roman" w:hAnsi="Times New Roman" w:cs="Times New Roman"/>
          <w:noProof/>
        </w:rPr>
        <w:t>PVC DEHP-free and polyolefin infusion sets (polyethylene, polypropylene and mixtures).</w:t>
      </w:r>
    </w:p>
    <w:p w14:paraId="5CA4AFE3" w14:textId="77777777" w:rsidR="00541F94" w:rsidRPr="00B17CAD" w:rsidRDefault="00541F94" w:rsidP="00EF50F8">
      <w:pPr>
        <w:numPr>
          <w:ilvl w:val="0"/>
          <w:numId w:val="31"/>
        </w:numPr>
        <w:spacing w:after="0" w:line="240" w:lineRule="auto"/>
        <w:ind w:left="284" w:hanging="284"/>
        <w:contextualSpacing/>
        <w:rPr>
          <w:rFonts w:ascii="Times New Roman" w:hAnsi="Times New Roman" w:cs="Times New Roman"/>
          <w:noProof/>
        </w:rPr>
      </w:pPr>
      <w:r w:rsidRPr="00B17CAD">
        <w:rPr>
          <w:rFonts w:ascii="Times New Roman" w:hAnsi="Times New Roman" w:cs="Times New Roman"/>
          <w:noProof/>
        </w:rPr>
        <w:t>Polyethersulfone and nylon in-line filters with pore sizes of 0.2</w:t>
      </w:r>
      <w:r w:rsidRPr="00B17CAD">
        <w:rPr>
          <w:rFonts w:ascii="Times New Roman" w:hAnsi="Times New Roman" w:cs="Times New Roman"/>
        </w:rPr>
        <w:t xml:space="preserve"> </w:t>
      </w:r>
      <w:r w:rsidRPr="00B17CAD">
        <w:rPr>
          <w:rFonts w:ascii="Times New Roman" w:hAnsi="Times New Roman" w:cs="Times New Roman"/>
          <w:noProof/>
        </w:rPr>
        <w:t>μm.</w:t>
      </w:r>
    </w:p>
    <w:p w14:paraId="34FC8DED" w14:textId="77777777" w:rsidR="00541F94" w:rsidRPr="00B17CAD" w:rsidRDefault="00541F94" w:rsidP="00EF50F8">
      <w:pPr>
        <w:numPr>
          <w:ilvl w:val="0"/>
          <w:numId w:val="31"/>
        </w:numPr>
        <w:spacing w:after="0" w:line="240" w:lineRule="auto"/>
        <w:ind w:left="284" w:hanging="284"/>
        <w:contextualSpacing/>
        <w:rPr>
          <w:rFonts w:ascii="Times New Roman" w:hAnsi="Times New Roman" w:cs="Times New Roman"/>
          <w:noProof/>
        </w:rPr>
      </w:pPr>
      <w:r w:rsidRPr="00B17CAD">
        <w:rPr>
          <w:rFonts w:ascii="Times New Roman" w:hAnsi="Times New Roman" w:cs="Times New Roman"/>
          <w:noProof/>
        </w:rPr>
        <w:t>Implantable venous access systems with titanium and plastic resin ports and with polyurethane or silicone intravenous catheters.</w:t>
      </w:r>
      <w:r w:rsidRPr="00B17CAD">
        <w:rPr>
          <w:rFonts w:ascii="Times New Roman" w:hAnsi="Times New Roman" w:cs="Times New Roman"/>
        </w:rPr>
        <w:t xml:space="preserve"> </w:t>
      </w:r>
      <w:r w:rsidRPr="00B17CAD">
        <w:rPr>
          <w:rFonts w:ascii="Times New Roman" w:hAnsi="Times New Roman" w:cs="Times New Roman"/>
          <w:noProof/>
        </w:rPr>
        <w:t>Polyurethane intravenous catheters can be used as no adsorption has been observed under these circumstances.</w:t>
      </w:r>
    </w:p>
    <w:p w14:paraId="57DD9D9B" w14:textId="77777777" w:rsidR="00541F94" w:rsidRPr="00B17CAD" w:rsidRDefault="00541F94" w:rsidP="00EF50F8">
      <w:pPr>
        <w:spacing w:after="0" w:line="240" w:lineRule="auto"/>
        <w:ind w:left="284"/>
        <w:contextualSpacing/>
        <w:rPr>
          <w:rFonts w:ascii="Times New Roman" w:hAnsi="Times New Roman" w:cs="Times New Roman"/>
          <w:noProof/>
        </w:rPr>
      </w:pPr>
    </w:p>
    <w:p w14:paraId="3B64F8C9" w14:textId="62CA7A4F" w:rsidR="00E37364" w:rsidRPr="00E37364" w:rsidRDefault="00541F94" w:rsidP="00E37364">
      <w:pPr>
        <w:pStyle w:val="Default"/>
        <w:rPr>
          <w:rFonts w:ascii="Cambria" w:eastAsiaTheme="minorHAnsi" w:hAnsi="Cambria" w:cs="Cambria"/>
          <w:sz w:val="22"/>
          <w:szCs w:val="22"/>
        </w:rPr>
      </w:pPr>
      <w:r w:rsidRPr="00E37364">
        <w:rPr>
          <w:rFonts w:ascii="Times New Roman" w:hAnsi="Times New Roman" w:cs="Times New Roman"/>
          <w:bCs/>
          <w:sz w:val="22"/>
          <w:szCs w:val="22"/>
        </w:rPr>
        <w:t>The A</w:t>
      </w:r>
      <w:r w:rsidR="008D541F" w:rsidRPr="00E37364">
        <w:rPr>
          <w:rFonts w:ascii="Times New Roman" w:hAnsi="Times New Roman" w:cs="Times New Roman"/>
          <w:bCs/>
          <w:sz w:val="22"/>
          <w:szCs w:val="22"/>
        </w:rPr>
        <w:t>PLIDIN</w:t>
      </w:r>
      <w:r w:rsidRPr="00E37364">
        <w:rPr>
          <w:rFonts w:ascii="Times New Roman" w:hAnsi="Times New Roman" w:cs="Times New Roman"/>
          <w:bCs/>
          <w:sz w:val="22"/>
          <w:szCs w:val="22"/>
        </w:rPr>
        <w:t xml:space="preserve"> solution for infusion </w:t>
      </w:r>
      <w:r w:rsidR="00E37364" w:rsidRPr="00E37364">
        <w:rPr>
          <w:rFonts w:ascii="Times New Roman" w:hAnsi="Times New Roman" w:cs="Times New Roman"/>
          <w:sz w:val="22"/>
          <w:szCs w:val="22"/>
        </w:rPr>
        <w:t xml:space="preserve">should be administered within 6 hours of reconstitution if stored at room temperature and under ambient lighting. </w:t>
      </w:r>
      <w:r w:rsidR="00C85FA4">
        <w:rPr>
          <w:rFonts w:ascii="Times New Roman" w:hAnsi="Times New Roman" w:cs="Times New Roman"/>
          <w:sz w:val="22"/>
          <w:szCs w:val="22"/>
        </w:rPr>
        <w:t xml:space="preserve"> </w:t>
      </w:r>
      <w:r w:rsidR="00E37364" w:rsidRPr="00E37364">
        <w:rPr>
          <w:rFonts w:ascii="Times New Roman" w:hAnsi="Times New Roman" w:cs="Times New Roman"/>
          <w:sz w:val="22"/>
          <w:szCs w:val="22"/>
        </w:rPr>
        <w:t xml:space="preserve">If storage is required prior to administration then solutions should be stored refrigerated and protected from light and should be used within 24 hours of reconstitution. </w:t>
      </w:r>
    </w:p>
    <w:p w14:paraId="0ECA0F95" w14:textId="77777777" w:rsidR="00541F94" w:rsidRPr="00E37364" w:rsidRDefault="00541F94" w:rsidP="00B17CAD">
      <w:pPr>
        <w:spacing w:after="0" w:line="240" w:lineRule="auto"/>
        <w:contextualSpacing/>
        <w:rPr>
          <w:rFonts w:ascii="Times New Roman" w:hAnsi="Times New Roman" w:cs="Times New Roman"/>
          <w:bCs/>
        </w:rPr>
      </w:pPr>
    </w:p>
    <w:p w14:paraId="78C4907B" w14:textId="33603000" w:rsidR="00541F94" w:rsidRPr="00B17CAD" w:rsidRDefault="00541F94" w:rsidP="00B17CAD">
      <w:pPr>
        <w:spacing w:after="0" w:line="240" w:lineRule="auto"/>
        <w:contextualSpacing/>
        <w:rPr>
          <w:rFonts w:ascii="Times New Roman" w:hAnsi="Times New Roman" w:cs="Times New Roman"/>
        </w:rPr>
      </w:pPr>
      <w:r w:rsidRPr="00B17CAD">
        <w:rPr>
          <w:rFonts w:ascii="Times New Roman" w:hAnsi="Times New Roman" w:cs="Times New Roman"/>
        </w:rPr>
        <w:t>A</w:t>
      </w:r>
      <w:r w:rsidR="008D541F">
        <w:rPr>
          <w:rFonts w:ascii="Times New Roman" w:hAnsi="Times New Roman" w:cs="Times New Roman"/>
        </w:rPr>
        <w:t>PLIDIN</w:t>
      </w:r>
      <w:r w:rsidRPr="00B17CAD">
        <w:rPr>
          <w:rFonts w:ascii="Times New Roman" w:hAnsi="Times New Roman" w:cs="Times New Roman"/>
        </w:rPr>
        <w:t xml:space="preserve"> is a cytotoxic anticancer medicinal product. Any unused medicinal product or waste material should be disposed of in accordance with local requirements.</w:t>
      </w:r>
    </w:p>
    <w:p w14:paraId="0957CBBE" w14:textId="77777777" w:rsidR="00541F94" w:rsidRPr="00B17CAD" w:rsidRDefault="00541F94" w:rsidP="00B17CAD">
      <w:pPr>
        <w:spacing w:after="0" w:line="240" w:lineRule="auto"/>
        <w:contextualSpacing/>
        <w:rPr>
          <w:rFonts w:ascii="Times New Roman" w:hAnsi="Times New Roman" w:cs="Times New Roman"/>
        </w:rPr>
      </w:pPr>
    </w:p>
    <w:p w14:paraId="5F17A3CB" w14:textId="189B35F2" w:rsidR="005C482D" w:rsidRPr="005C482D" w:rsidRDefault="005C482D" w:rsidP="005C482D">
      <w:pPr>
        <w:spacing w:after="0" w:line="240" w:lineRule="auto"/>
        <w:rPr>
          <w:rFonts w:ascii="Times New Roman" w:hAnsi="Times New Roman" w:cs="Times New Roman"/>
          <w:u w:val="single"/>
        </w:rPr>
      </w:pPr>
      <w:r w:rsidRPr="005C482D">
        <w:rPr>
          <w:rFonts w:ascii="Times New Roman" w:hAnsi="Times New Roman" w:cs="Times New Roman"/>
          <w:u w:val="single"/>
        </w:rPr>
        <w:t>Criteria for treatment continuation, dose delay or interruption</w:t>
      </w:r>
      <w:r w:rsidRPr="005C482D" w:rsidDel="00674FD8">
        <w:rPr>
          <w:rFonts w:ascii="Times New Roman" w:hAnsi="Times New Roman" w:cs="Times New Roman"/>
          <w:u w:val="single"/>
        </w:rPr>
        <w:t xml:space="preserve"> </w:t>
      </w:r>
    </w:p>
    <w:p w14:paraId="1F783E3F" w14:textId="074DB1EE" w:rsid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t xml:space="preserve">In </w:t>
      </w:r>
      <w:r w:rsidR="00317885">
        <w:rPr>
          <w:rFonts w:ascii="Times New Roman" w:hAnsi="Times New Roman" w:cs="Times New Roman"/>
        </w:rPr>
        <w:t>order to</w:t>
      </w:r>
      <w:r w:rsidRPr="005C482D">
        <w:rPr>
          <w:rFonts w:ascii="Times New Roman" w:hAnsi="Times New Roman" w:cs="Times New Roman"/>
        </w:rPr>
        <w:t xml:space="preserve"> receive the next planned dose of A</w:t>
      </w:r>
      <w:r w:rsidR="00C4771E">
        <w:rPr>
          <w:rFonts w:ascii="Times New Roman" w:hAnsi="Times New Roman" w:cs="Times New Roman"/>
        </w:rPr>
        <w:t>PLIDIN</w:t>
      </w:r>
      <w:r w:rsidRPr="005C482D">
        <w:rPr>
          <w:rFonts w:ascii="Times New Roman" w:hAnsi="Times New Roman" w:cs="Times New Roman"/>
        </w:rPr>
        <w:t>, patients have to meet the following criteria:</w:t>
      </w:r>
    </w:p>
    <w:p w14:paraId="4AAFB0EE" w14:textId="77777777" w:rsidR="00DD606D" w:rsidRPr="005C482D" w:rsidRDefault="00DD606D" w:rsidP="005C482D">
      <w:pPr>
        <w:spacing w:after="0" w:line="240" w:lineRule="auto"/>
        <w:rPr>
          <w:rFonts w:ascii="Times New Roman" w:hAnsi="Times New Roman" w:cs="Times New Roman"/>
        </w:rPr>
      </w:pPr>
    </w:p>
    <w:p w14:paraId="5D7C0B57" w14:textId="77777777" w:rsidR="00B9262C" w:rsidRPr="008849CB" w:rsidRDefault="001D1AD9" w:rsidP="00B9262C">
      <w:pPr>
        <w:spacing w:after="0" w:line="240" w:lineRule="auto"/>
        <w:rPr>
          <w:rFonts w:ascii="Times New Roman" w:hAnsi="Times New Roman" w:cs="Times New Roman"/>
          <w:b/>
        </w:rPr>
      </w:pPr>
      <w:r w:rsidRPr="008849CB">
        <w:rPr>
          <w:rFonts w:ascii="Times New Roman" w:hAnsi="Times New Roman" w:cs="Times New Roman"/>
          <w:b/>
        </w:rPr>
        <w:t>Tab</w:t>
      </w:r>
      <w:r w:rsidR="00B9262C" w:rsidRPr="008849CB">
        <w:rPr>
          <w:rFonts w:ascii="Times New Roman" w:hAnsi="Times New Roman" w:cs="Times New Roman"/>
          <w:b/>
        </w:rPr>
        <w:t>le 2. Criteria for treatment continuation, dose delay or interruption</w:t>
      </w:r>
      <w:r w:rsidR="00B9262C" w:rsidRPr="008849CB" w:rsidDel="00674FD8">
        <w:rPr>
          <w:rFonts w:ascii="Times New Roman" w:hAnsi="Times New Roman" w:cs="Times New Roman"/>
          <w:b/>
        </w:rPr>
        <w:t xml:space="preserve"> </w:t>
      </w:r>
    </w:p>
    <w:p w14:paraId="445B4BA0" w14:textId="77777777" w:rsidR="008849CB" w:rsidRPr="008849CB" w:rsidRDefault="008849CB" w:rsidP="00B9262C">
      <w:pPr>
        <w:spacing w:after="0" w:line="240" w:lineRule="auto"/>
        <w:rPr>
          <w:rFonts w:ascii="Times New Roman" w:hAnsi="Times New Roman" w:cs="Times New Roman"/>
          <w:b/>
          <w:u w:val="single"/>
        </w:rPr>
      </w:pPr>
    </w:p>
    <w:tbl>
      <w:tblPr>
        <w:tblStyle w:val="TableGrid"/>
        <w:tblW w:w="0" w:type="auto"/>
        <w:tblLook w:val="04A0" w:firstRow="1" w:lastRow="0" w:firstColumn="1" w:lastColumn="0" w:noHBand="0" w:noVBand="1"/>
      </w:tblPr>
      <w:tblGrid>
        <w:gridCol w:w="2660"/>
        <w:gridCol w:w="6582"/>
      </w:tblGrid>
      <w:tr w:rsidR="00B71A7D" w14:paraId="318CFC2C" w14:textId="77777777" w:rsidTr="00F11601">
        <w:tc>
          <w:tcPr>
            <w:tcW w:w="2660" w:type="dxa"/>
          </w:tcPr>
          <w:p w14:paraId="67FE51F5" w14:textId="77777777" w:rsidR="00B71A7D" w:rsidRDefault="00B71A7D" w:rsidP="00F11601">
            <w:pPr>
              <w:spacing w:after="0"/>
            </w:pPr>
            <w:r w:rsidRPr="00FD639B">
              <w:rPr>
                <w:b/>
              </w:rPr>
              <w:t>Lab</w:t>
            </w:r>
            <w:r>
              <w:rPr>
                <w:b/>
              </w:rPr>
              <w:t>oratory</w:t>
            </w:r>
            <w:r w:rsidRPr="00FD639B">
              <w:rPr>
                <w:b/>
              </w:rPr>
              <w:t xml:space="preserve"> value/Component</w:t>
            </w:r>
            <w:r>
              <w:rPr>
                <w:b/>
              </w:rPr>
              <w:t>/Test</w:t>
            </w:r>
          </w:p>
        </w:tc>
        <w:tc>
          <w:tcPr>
            <w:tcW w:w="6582" w:type="dxa"/>
          </w:tcPr>
          <w:p w14:paraId="229B0EA1" w14:textId="77777777" w:rsidR="00B71A7D" w:rsidRDefault="00B71A7D" w:rsidP="00F11601">
            <w:pPr>
              <w:spacing w:after="0"/>
            </w:pPr>
            <w:r w:rsidRPr="00FD639B">
              <w:rPr>
                <w:b/>
              </w:rPr>
              <w:t xml:space="preserve">Criteria </w:t>
            </w:r>
            <w:r>
              <w:rPr>
                <w:b/>
              </w:rPr>
              <w:t>for continuing</w:t>
            </w:r>
          </w:p>
        </w:tc>
      </w:tr>
      <w:tr w:rsidR="00B71A7D" w14:paraId="70BBE6B2" w14:textId="77777777" w:rsidTr="00F11601">
        <w:tc>
          <w:tcPr>
            <w:tcW w:w="2660" w:type="dxa"/>
          </w:tcPr>
          <w:p w14:paraId="08B2FAFB" w14:textId="77777777" w:rsidR="00B71A7D" w:rsidRDefault="00B71A7D" w:rsidP="00F11601">
            <w:pPr>
              <w:spacing w:after="0"/>
            </w:pPr>
            <w:r w:rsidRPr="005C482D">
              <w:t>ANC</w:t>
            </w:r>
          </w:p>
        </w:tc>
        <w:tc>
          <w:tcPr>
            <w:tcW w:w="6582" w:type="dxa"/>
          </w:tcPr>
          <w:p w14:paraId="55531E3D" w14:textId="77777777" w:rsidR="00B71A7D" w:rsidRDefault="00B71A7D" w:rsidP="00F11601">
            <w:pPr>
              <w:spacing w:after="0"/>
            </w:pPr>
            <w:r w:rsidRPr="005C482D">
              <w:t>≥ 1.0 x 10</w:t>
            </w:r>
            <w:r w:rsidRPr="00C4771E">
              <w:rPr>
                <w:vertAlign w:val="superscript"/>
              </w:rPr>
              <w:t>9</w:t>
            </w:r>
            <w:r w:rsidRPr="005C482D">
              <w:t>/L (≥ 0.5 x 10</w:t>
            </w:r>
            <w:r w:rsidRPr="00C4771E">
              <w:rPr>
                <w:vertAlign w:val="superscript"/>
              </w:rPr>
              <w:t>9</w:t>
            </w:r>
            <w:r w:rsidRPr="005C482D">
              <w:t>/L if due to extensive and documented BM disease involvement by ≥ 50% of plasma cells in BM biopsy)</w:t>
            </w:r>
          </w:p>
        </w:tc>
      </w:tr>
      <w:tr w:rsidR="00B71A7D" w14:paraId="36B9B6B8" w14:textId="77777777" w:rsidTr="00F11601">
        <w:tc>
          <w:tcPr>
            <w:tcW w:w="2660" w:type="dxa"/>
          </w:tcPr>
          <w:p w14:paraId="738E2103" w14:textId="77777777" w:rsidR="00B71A7D" w:rsidRDefault="00B71A7D" w:rsidP="00F11601">
            <w:pPr>
              <w:spacing w:after="0"/>
            </w:pPr>
            <w:r w:rsidRPr="005C482D">
              <w:t>Platelet count</w:t>
            </w:r>
          </w:p>
        </w:tc>
        <w:tc>
          <w:tcPr>
            <w:tcW w:w="6582" w:type="dxa"/>
          </w:tcPr>
          <w:p w14:paraId="2E957517" w14:textId="77777777" w:rsidR="00B71A7D" w:rsidRDefault="00B71A7D" w:rsidP="00F11601">
            <w:pPr>
              <w:spacing w:after="0"/>
            </w:pPr>
            <w:r w:rsidRPr="005C482D">
              <w:t>≥ 50 x 10</w:t>
            </w:r>
            <w:r w:rsidRPr="00C4771E">
              <w:rPr>
                <w:vertAlign w:val="superscript"/>
              </w:rPr>
              <w:t>9</w:t>
            </w:r>
            <w:r w:rsidRPr="005C482D">
              <w:t>/L (≥ 25 x 10</w:t>
            </w:r>
            <w:r w:rsidRPr="00C4771E">
              <w:rPr>
                <w:vertAlign w:val="superscript"/>
              </w:rPr>
              <w:t>9</w:t>
            </w:r>
            <w:r w:rsidRPr="005C482D">
              <w:t>/L if due to extensive and documented BM disease involvement)</w:t>
            </w:r>
          </w:p>
        </w:tc>
      </w:tr>
      <w:tr w:rsidR="00B71A7D" w14:paraId="2AE550C0" w14:textId="77777777" w:rsidTr="00F11601">
        <w:tc>
          <w:tcPr>
            <w:tcW w:w="2660" w:type="dxa"/>
          </w:tcPr>
          <w:p w14:paraId="0DA36FA3" w14:textId="77777777" w:rsidR="00B71A7D" w:rsidRDefault="00B71A7D" w:rsidP="00F11601">
            <w:pPr>
              <w:spacing w:after="0"/>
            </w:pPr>
            <w:r w:rsidRPr="005C482D">
              <w:t>Haemoglobin</w:t>
            </w:r>
          </w:p>
        </w:tc>
        <w:tc>
          <w:tcPr>
            <w:tcW w:w="6582" w:type="dxa"/>
          </w:tcPr>
          <w:p w14:paraId="51FE7BEF" w14:textId="77777777" w:rsidR="00B71A7D" w:rsidRDefault="00B71A7D" w:rsidP="00F11601">
            <w:pPr>
              <w:spacing w:after="0"/>
            </w:pPr>
            <w:r w:rsidRPr="005C482D">
              <w:t>≥ 8.0 g/dL</w:t>
            </w:r>
          </w:p>
        </w:tc>
      </w:tr>
      <w:tr w:rsidR="00B71A7D" w14:paraId="315983CB" w14:textId="77777777" w:rsidTr="00F11601">
        <w:tc>
          <w:tcPr>
            <w:tcW w:w="2660" w:type="dxa"/>
          </w:tcPr>
          <w:p w14:paraId="3A578FD2" w14:textId="77777777" w:rsidR="00B71A7D" w:rsidRDefault="00B71A7D" w:rsidP="00F11601">
            <w:pPr>
              <w:spacing w:after="0"/>
            </w:pPr>
            <w:r w:rsidRPr="005C482D">
              <w:t>AST and ALT</w:t>
            </w:r>
          </w:p>
        </w:tc>
        <w:tc>
          <w:tcPr>
            <w:tcW w:w="6582" w:type="dxa"/>
          </w:tcPr>
          <w:p w14:paraId="4C353C5C" w14:textId="77777777" w:rsidR="00B71A7D" w:rsidRDefault="00B71A7D" w:rsidP="00F11601">
            <w:pPr>
              <w:spacing w:after="0"/>
            </w:pPr>
            <w:r w:rsidRPr="005C482D">
              <w:t>≤ 5.0 x ULN</w:t>
            </w:r>
          </w:p>
        </w:tc>
      </w:tr>
      <w:tr w:rsidR="00B71A7D" w14:paraId="0BBF9778" w14:textId="77777777" w:rsidTr="00F11601">
        <w:tc>
          <w:tcPr>
            <w:tcW w:w="2660" w:type="dxa"/>
          </w:tcPr>
          <w:p w14:paraId="5221CB93" w14:textId="77777777" w:rsidR="00B71A7D" w:rsidRDefault="00B71A7D" w:rsidP="00F11601">
            <w:pPr>
              <w:spacing w:after="0"/>
            </w:pPr>
            <w:r w:rsidRPr="005C482D">
              <w:t>Total bilirubin</w:t>
            </w:r>
          </w:p>
        </w:tc>
        <w:tc>
          <w:tcPr>
            <w:tcW w:w="6582" w:type="dxa"/>
          </w:tcPr>
          <w:p w14:paraId="758BB585" w14:textId="77777777" w:rsidR="00B71A7D" w:rsidRDefault="00B71A7D" w:rsidP="00F11601">
            <w:pPr>
              <w:spacing w:after="0"/>
            </w:pPr>
            <w:r w:rsidRPr="005C482D">
              <w:t>≤ 1.0 x ULN</w:t>
            </w:r>
            <w:r>
              <w:t xml:space="preserve"> </w:t>
            </w:r>
            <w:r w:rsidRPr="005C482D">
              <w:t>or direct bilirubin ≤ 1.0 x ULN when total bilirubin is above the ULN</w:t>
            </w:r>
          </w:p>
        </w:tc>
      </w:tr>
      <w:tr w:rsidR="00B71A7D" w14:paraId="7286D3E3" w14:textId="77777777" w:rsidTr="00F11601">
        <w:tc>
          <w:tcPr>
            <w:tcW w:w="2660" w:type="dxa"/>
          </w:tcPr>
          <w:p w14:paraId="50229CA7" w14:textId="77777777" w:rsidR="00B71A7D" w:rsidRDefault="00B71A7D" w:rsidP="00F11601">
            <w:pPr>
              <w:spacing w:after="0"/>
            </w:pPr>
            <w:r w:rsidRPr="005C482D">
              <w:t>Muscular toxicity (e.g., myalgia, muscular weakness, CPK increase)</w:t>
            </w:r>
          </w:p>
        </w:tc>
        <w:tc>
          <w:tcPr>
            <w:tcW w:w="6582" w:type="dxa"/>
          </w:tcPr>
          <w:p w14:paraId="5AE08623" w14:textId="77777777" w:rsidR="00B71A7D" w:rsidRDefault="00B71A7D" w:rsidP="00F11601">
            <w:pPr>
              <w:spacing w:after="0"/>
            </w:pPr>
            <w:r w:rsidRPr="005C482D">
              <w:t>≤ grade 2</w:t>
            </w:r>
          </w:p>
        </w:tc>
      </w:tr>
    </w:tbl>
    <w:p w14:paraId="3BCB91F4" w14:textId="77777777" w:rsidR="00DD606D" w:rsidRPr="005C482D" w:rsidRDefault="00DD606D" w:rsidP="005C482D">
      <w:pPr>
        <w:spacing w:after="0" w:line="240" w:lineRule="auto"/>
        <w:rPr>
          <w:rFonts w:ascii="Times New Roman" w:hAnsi="Times New Roman" w:cs="Times New Roman"/>
        </w:rPr>
      </w:pPr>
    </w:p>
    <w:p w14:paraId="0F722B46" w14:textId="0E918C3F" w:rsidR="005C482D" w:rsidRPr="005C482D" w:rsidRDefault="005C482D" w:rsidP="005C482D">
      <w:pPr>
        <w:autoSpaceDE w:val="0"/>
        <w:autoSpaceDN w:val="0"/>
        <w:adjustRightInd w:val="0"/>
        <w:spacing w:after="0" w:line="240" w:lineRule="auto"/>
        <w:rPr>
          <w:rFonts w:ascii="Times New Roman" w:hAnsi="Times New Roman" w:cs="Times New Roman"/>
        </w:rPr>
      </w:pPr>
      <w:r w:rsidRPr="005C482D">
        <w:rPr>
          <w:rFonts w:ascii="Times New Roman" w:hAnsi="Times New Roman" w:cs="Times New Roman"/>
        </w:rPr>
        <w:t>If the requirements for treatment continuation are unmet on Day 1 of the followin</w:t>
      </w:r>
      <w:r w:rsidR="00E03474">
        <w:rPr>
          <w:rFonts w:ascii="Times New Roman" w:hAnsi="Times New Roman" w:cs="Times New Roman"/>
        </w:rPr>
        <w:t>g cycle, the infusion of APLIDIN</w:t>
      </w:r>
      <w:r w:rsidRPr="005C482D">
        <w:rPr>
          <w:rFonts w:ascii="Times New Roman" w:hAnsi="Times New Roman" w:cs="Times New Roman"/>
        </w:rPr>
        <w:t xml:space="preserve"> will be withheld until recovery or for a maximum of 14 days. After this period, if the delay is due to toxicity assessed as related to plitidepsin, a dose decrease from 5.0</w:t>
      </w:r>
      <w:r w:rsidR="00FA3AA6">
        <w:rPr>
          <w:rFonts w:ascii="Times New Roman" w:hAnsi="Times New Roman" w:cs="Times New Roman"/>
        </w:rPr>
        <w:t xml:space="preserve"> </w:t>
      </w:r>
      <w:r w:rsidRPr="005C482D">
        <w:rPr>
          <w:rFonts w:ascii="Times New Roman" w:hAnsi="Times New Roman" w:cs="Times New Roman"/>
        </w:rPr>
        <w:t>mg/m</w:t>
      </w:r>
      <w:r w:rsidRPr="00EB358C">
        <w:rPr>
          <w:rFonts w:ascii="Times New Roman" w:hAnsi="Times New Roman" w:cs="Times New Roman"/>
          <w:vertAlign w:val="superscript"/>
        </w:rPr>
        <w:t>2</w:t>
      </w:r>
      <w:r w:rsidRPr="005C482D">
        <w:rPr>
          <w:rFonts w:ascii="Times New Roman" w:hAnsi="Times New Roman" w:cs="Times New Roman"/>
        </w:rPr>
        <w:t xml:space="preserve"> to 4.0</w:t>
      </w:r>
      <w:r w:rsidR="00561F10">
        <w:rPr>
          <w:rFonts w:ascii="Times New Roman" w:hAnsi="Times New Roman" w:cs="Times New Roman"/>
        </w:rPr>
        <w:t xml:space="preserve"> </w:t>
      </w:r>
      <w:r w:rsidRPr="005C482D">
        <w:rPr>
          <w:rFonts w:ascii="Times New Roman" w:hAnsi="Times New Roman" w:cs="Times New Roman"/>
        </w:rPr>
        <w:t>mg/m</w:t>
      </w:r>
      <w:r w:rsidRPr="00EB358C">
        <w:rPr>
          <w:rFonts w:ascii="Times New Roman" w:hAnsi="Times New Roman" w:cs="Times New Roman"/>
          <w:vertAlign w:val="superscript"/>
        </w:rPr>
        <w:t>2</w:t>
      </w:r>
      <w:r w:rsidRPr="005C482D">
        <w:rPr>
          <w:rFonts w:ascii="Times New Roman" w:hAnsi="Times New Roman" w:cs="Times New Roman"/>
        </w:rPr>
        <w:t xml:space="preserve"> and then to 3.2</w:t>
      </w:r>
      <w:r w:rsidR="00561F10">
        <w:rPr>
          <w:rFonts w:ascii="Times New Roman" w:hAnsi="Times New Roman" w:cs="Times New Roman"/>
        </w:rPr>
        <w:t xml:space="preserve"> </w:t>
      </w:r>
      <w:r w:rsidRPr="005C482D">
        <w:rPr>
          <w:rFonts w:ascii="Times New Roman" w:hAnsi="Times New Roman" w:cs="Times New Roman"/>
        </w:rPr>
        <w:t>mg/m</w:t>
      </w:r>
      <w:r w:rsidRPr="00EB358C">
        <w:rPr>
          <w:rFonts w:ascii="Times New Roman" w:hAnsi="Times New Roman" w:cs="Times New Roman"/>
          <w:vertAlign w:val="superscript"/>
        </w:rPr>
        <w:t>2</w:t>
      </w:r>
      <w:r w:rsidRPr="005C482D">
        <w:rPr>
          <w:rFonts w:ascii="Times New Roman" w:hAnsi="Times New Roman" w:cs="Times New Roman"/>
        </w:rPr>
        <w:t xml:space="preserve"> is recommended. Further reductions might be performed according to clinical criteria.</w:t>
      </w:r>
    </w:p>
    <w:p w14:paraId="29F2CBA3" w14:textId="77777777" w:rsidR="005C482D" w:rsidRPr="005C482D" w:rsidRDefault="005C482D" w:rsidP="005C482D">
      <w:pPr>
        <w:autoSpaceDE w:val="0"/>
        <w:autoSpaceDN w:val="0"/>
        <w:adjustRightInd w:val="0"/>
        <w:spacing w:after="0" w:line="240" w:lineRule="auto"/>
        <w:rPr>
          <w:rFonts w:ascii="Times New Roman" w:hAnsi="Times New Roman" w:cs="Times New Roman"/>
        </w:rPr>
      </w:pPr>
    </w:p>
    <w:p w14:paraId="21627E44" w14:textId="08123F7C" w:rsidR="005C482D" w:rsidRPr="005C482D" w:rsidRDefault="005C482D" w:rsidP="005C482D">
      <w:pPr>
        <w:autoSpaceDE w:val="0"/>
        <w:autoSpaceDN w:val="0"/>
        <w:adjustRightInd w:val="0"/>
        <w:spacing w:after="0" w:line="240" w:lineRule="auto"/>
        <w:rPr>
          <w:rFonts w:ascii="Times New Roman" w:hAnsi="Times New Roman" w:cs="Times New Roman"/>
        </w:rPr>
      </w:pPr>
      <w:r w:rsidRPr="005C482D">
        <w:rPr>
          <w:rFonts w:ascii="Times New Roman" w:hAnsi="Times New Roman" w:cs="Times New Roman"/>
        </w:rPr>
        <w:t>If the requirements for treatment continuation are unmet on Day 15, the administration of plitidepsin will be omitted until recovery and restarted once re-treatment criteria are fulfilled. Patients requiring frequent dose omissions may have a dose reduction from 5.0</w:t>
      </w:r>
      <w:r w:rsidR="00561F10">
        <w:rPr>
          <w:rFonts w:ascii="Times New Roman" w:hAnsi="Times New Roman" w:cs="Times New Roman"/>
        </w:rPr>
        <w:t xml:space="preserve"> </w:t>
      </w:r>
      <w:r w:rsidRPr="005C482D">
        <w:rPr>
          <w:rFonts w:ascii="Times New Roman" w:hAnsi="Times New Roman" w:cs="Times New Roman"/>
        </w:rPr>
        <w:t>mg/m</w:t>
      </w:r>
      <w:r w:rsidRPr="00EB358C">
        <w:rPr>
          <w:rFonts w:ascii="Times New Roman" w:hAnsi="Times New Roman" w:cs="Times New Roman"/>
          <w:vertAlign w:val="superscript"/>
        </w:rPr>
        <w:t>2</w:t>
      </w:r>
      <w:r w:rsidRPr="005C482D">
        <w:rPr>
          <w:rFonts w:ascii="Times New Roman" w:hAnsi="Times New Roman" w:cs="Times New Roman"/>
        </w:rPr>
        <w:t xml:space="preserve"> to 4.0</w:t>
      </w:r>
      <w:r w:rsidR="00561F10">
        <w:rPr>
          <w:rFonts w:ascii="Times New Roman" w:hAnsi="Times New Roman" w:cs="Times New Roman"/>
        </w:rPr>
        <w:t xml:space="preserve"> </w:t>
      </w:r>
      <w:r w:rsidRPr="005C482D">
        <w:rPr>
          <w:rFonts w:ascii="Times New Roman" w:hAnsi="Times New Roman" w:cs="Times New Roman"/>
        </w:rPr>
        <w:t>mg/m</w:t>
      </w:r>
      <w:r w:rsidRPr="00EB358C">
        <w:rPr>
          <w:rFonts w:ascii="Times New Roman" w:hAnsi="Times New Roman" w:cs="Times New Roman"/>
          <w:vertAlign w:val="superscript"/>
        </w:rPr>
        <w:t>2</w:t>
      </w:r>
      <w:r w:rsidRPr="005C482D">
        <w:rPr>
          <w:rFonts w:ascii="Times New Roman" w:hAnsi="Times New Roman" w:cs="Times New Roman"/>
        </w:rPr>
        <w:t xml:space="preserve"> and then to 3.2</w:t>
      </w:r>
      <w:r w:rsidR="00561F10">
        <w:rPr>
          <w:rFonts w:ascii="Times New Roman" w:hAnsi="Times New Roman" w:cs="Times New Roman"/>
        </w:rPr>
        <w:t xml:space="preserve"> </w:t>
      </w:r>
      <w:r w:rsidRPr="005C482D">
        <w:rPr>
          <w:rFonts w:ascii="Times New Roman" w:hAnsi="Times New Roman" w:cs="Times New Roman"/>
        </w:rPr>
        <w:t>mg/m</w:t>
      </w:r>
      <w:r w:rsidRPr="00EB358C">
        <w:rPr>
          <w:rFonts w:ascii="Times New Roman" w:hAnsi="Times New Roman" w:cs="Times New Roman"/>
          <w:vertAlign w:val="superscript"/>
        </w:rPr>
        <w:t>2</w:t>
      </w:r>
      <w:r w:rsidRPr="005C482D">
        <w:rPr>
          <w:rFonts w:ascii="Times New Roman" w:hAnsi="Times New Roman" w:cs="Times New Roman"/>
        </w:rPr>
        <w:t xml:space="preserve">. </w:t>
      </w:r>
    </w:p>
    <w:p w14:paraId="48666F12" w14:textId="5678F885" w:rsidR="005C482D" w:rsidRDefault="005C482D" w:rsidP="005C482D">
      <w:pPr>
        <w:spacing w:after="0" w:line="240" w:lineRule="auto"/>
        <w:rPr>
          <w:rFonts w:ascii="Times New Roman" w:hAnsi="Times New Roman" w:cs="Times New Roman"/>
        </w:rPr>
      </w:pPr>
      <w:r w:rsidRPr="005C482D">
        <w:rPr>
          <w:rFonts w:ascii="Times New Roman" w:hAnsi="Times New Roman" w:cs="Times New Roman"/>
        </w:rPr>
        <w:lastRenderedPageBreak/>
        <w:t>Dose reduction criteria for both medicinal products, plitidepsin and dexamethasone, are summarised in the following table:</w:t>
      </w:r>
    </w:p>
    <w:p w14:paraId="79E2DA28" w14:textId="77777777" w:rsidR="00CA65AD" w:rsidRPr="005C482D" w:rsidRDefault="00CA65AD" w:rsidP="005C482D">
      <w:pPr>
        <w:spacing w:after="0" w:line="240" w:lineRule="auto"/>
        <w:rPr>
          <w:rFonts w:ascii="Times New Roman" w:hAnsi="Times New Roman" w:cs="Times New Roman"/>
        </w:rPr>
      </w:pPr>
    </w:p>
    <w:p w14:paraId="1CBFE91F" w14:textId="3756B42F" w:rsidR="005C482D" w:rsidRDefault="00B9262C" w:rsidP="005C482D">
      <w:pPr>
        <w:spacing w:after="0" w:line="240" w:lineRule="auto"/>
        <w:rPr>
          <w:rFonts w:ascii="Times New Roman" w:hAnsi="Times New Roman" w:cs="Times New Roman"/>
          <w:b/>
        </w:rPr>
      </w:pPr>
      <w:r w:rsidRPr="008849CB">
        <w:rPr>
          <w:rFonts w:ascii="Times New Roman" w:hAnsi="Times New Roman" w:cs="Times New Roman"/>
          <w:b/>
        </w:rPr>
        <w:t xml:space="preserve">Table 3. </w:t>
      </w:r>
      <w:r w:rsidR="00C26529" w:rsidRPr="008849CB">
        <w:rPr>
          <w:rFonts w:ascii="Times New Roman" w:hAnsi="Times New Roman" w:cs="Times New Roman"/>
          <w:b/>
        </w:rPr>
        <w:t>Dose reduction criteria</w:t>
      </w:r>
    </w:p>
    <w:p w14:paraId="7D710AB8" w14:textId="77777777" w:rsidR="008849CB" w:rsidRPr="008849CB" w:rsidRDefault="008849CB" w:rsidP="005C482D">
      <w:pPr>
        <w:spacing w:after="0" w:line="240" w:lineRule="auto"/>
        <w:rPr>
          <w:rFonts w:ascii="Times New Roman" w:hAnsi="Times New Roman" w:cs="Times New Roman"/>
          <w:b/>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0"/>
        <w:gridCol w:w="851"/>
        <w:gridCol w:w="2550"/>
        <w:gridCol w:w="2992"/>
      </w:tblGrid>
      <w:tr w:rsidR="00932F2E" w:rsidRPr="00561F10" w14:paraId="1BE4F7A5" w14:textId="77777777" w:rsidTr="00932F2E">
        <w:trPr>
          <w:trHeight w:val="538"/>
          <w:tblHeader/>
        </w:trPr>
        <w:tc>
          <w:tcPr>
            <w:tcW w:w="1438" w:type="pct"/>
            <w:tcBorders>
              <w:top w:val="single" w:sz="4" w:space="0" w:color="auto"/>
              <w:left w:val="single" w:sz="4" w:space="0" w:color="auto"/>
              <w:bottom w:val="single" w:sz="4" w:space="0" w:color="auto"/>
              <w:right w:val="single" w:sz="4" w:space="0" w:color="auto"/>
            </w:tcBorders>
            <w:shd w:val="clear" w:color="auto" w:fill="E6E6E6"/>
            <w:hideMark/>
          </w:tcPr>
          <w:p w14:paraId="095F0D1A" w14:textId="77777777" w:rsidR="005C482D" w:rsidRPr="00561F10" w:rsidRDefault="005C482D" w:rsidP="005C482D">
            <w:pPr>
              <w:spacing w:after="0" w:line="240" w:lineRule="auto"/>
              <w:rPr>
                <w:rFonts w:ascii="Times New Roman" w:hAnsi="Times New Roman" w:cs="Times New Roman"/>
                <w:b/>
                <w:sz w:val="20"/>
              </w:rPr>
            </w:pPr>
            <w:r w:rsidRPr="00561F10">
              <w:rPr>
                <w:rFonts w:ascii="Times New Roman" w:hAnsi="Times New Roman" w:cs="Times New Roman"/>
                <w:b/>
                <w:sz w:val="20"/>
              </w:rPr>
              <w:t>Toxicity</w:t>
            </w:r>
          </w:p>
        </w:tc>
        <w:tc>
          <w:tcPr>
            <w:tcW w:w="474" w:type="pct"/>
            <w:tcBorders>
              <w:top w:val="single" w:sz="4" w:space="0" w:color="auto"/>
              <w:left w:val="single" w:sz="4" w:space="0" w:color="auto"/>
              <w:bottom w:val="single" w:sz="4" w:space="0" w:color="auto"/>
              <w:right w:val="single" w:sz="4" w:space="0" w:color="auto"/>
            </w:tcBorders>
            <w:shd w:val="clear" w:color="auto" w:fill="E6E6E6"/>
            <w:hideMark/>
          </w:tcPr>
          <w:p w14:paraId="1E8652D3" w14:textId="77777777" w:rsidR="005C482D" w:rsidRPr="00561F10" w:rsidRDefault="005C482D" w:rsidP="005C482D">
            <w:pPr>
              <w:spacing w:after="0" w:line="240" w:lineRule="auto"/>
              <w:jc w:val="center"/>
              <w:rPr>
                <w:rFonts w:ascii="Times New Roman" w:hAnsi="Times New Roman" w:cs="Times New Roman"/>
                <w:b/>
                <w:sz w:val="20"/>
              </w:rPr>
            </w:pPr>
            <w:r w:rsidRPr="00561F10">
              <w:rPr>
                <w:rFonts w:ascii="Times New Roman" w:hAnsi="Times New Roman" w:cs="Times New Roman"/>
                <w:b/>
                <w:sz w:val="20"/>
              </w:rPr>
              <w:t>Worst grade</w:t>
            </w:r>
          </w:p>
        </w:tc>
        <w:tc>
          <w:tcPr>
            <w:tcW w:w="1421" w:type="pct"/>
            <w:tcBorders>
              <w:top w:val="single" w:sz="4" w:space="0" w:color="auto"/>
              <w:left w:val="single" w:sz="4" w:space="0" w:color="auto"/>
              <w:bottom w:val="single" w:sz="4" w:space="0" w:color="auto"/>
              <w:right w:val="single" w:sz="4" w:space="0" w:color="auto"/>
            </w:tcBorders>
            <w:shd w:val="clear" w:color="auto" w:fill="E6E6E6"/>
            <w:hideMark/>
          </w:tcPr>
          <w:p w14:paraId="22241ADB" w14:textId="77777777" w:rsidR="005C482D" w:rsidRPr="00561F10" w:rsidRDefault="005C482D" w:rsidP="005C482D">
            <w:pPr>
              <w:spacing w:after="0" w:line="240" w:lineRule="auto"/>
              <w:rPr>
                <w:rFonts w:ascii="Times New Roman" w:hAnsi="Times New Roman" w:cs="Times New Roman"/>
                <w:b/>
                <w:sz w:val="20"/>
              </w:rPr>
            </w:pPr>
            <w:r w:rsidRPr="00561F10">
              <w:rPr>
                <w:rFonts w:ascii="Times New Roman" w:hAnsi="Times New Roman" w:cs="Times New Roman"/>
                <w:b/>
                <w:sz w:val="20"/>
              </w:rPr>
              <w:t>Plitidepsin</w:t>
            </w:r>
          </w:p>
        </w:tc>
        <w:tc>
          <w:tcPr>
            <w:tcW w:w="1667" w:type="pct"/>
            <w:tcBorders>
              <w:top w:val="single" w:sz="4" w:space="0" w:color="auto"/>
              <w:left w:val="single" w:sz="4" w:space="0" w:color="auto"/>
              <w:bottom w:val="single" w:sz="4" w:space="0" w:color="auto"/>
              <w:right w:val="single" w:sz="4" w:space="0" w:color="auto"/>
            </w:tcBorders>
            <w:shd w:val="clear" w:color="auto" w:fill="E6E6E6"/>
            <w:hideMark/>
          </w:tcPr>
          <w:p w14:paraId="5E2711DB" w14:textId="77777777" w:rsidR="005C482D" w:rsidRPr="00561F10" w:rsidRDefault="005C482D" w:rsidP="005C482D">
            <w:pPr>
              <w:spacing w:after="0" w:line="240" w:lineRule="auto"/>
              <w:rPr>
                <w:rFonts w:ascii="Times New Roman" w:hAnsi="Times New Roman" w:cs="Times New Roman"/>
                <w:b/>
                <w:sz w:val="20"/>
              </w:rPr>
            </w:pPr>
            <w:r w:rsidRPr="00561F10">
              <w:rPr>
                <w:rFonts w:ascii="Times New Roman" w:hAnsi="Times New Roman" w:cs="Times New Roman"/>
                <w:b/>
                <w:sz w:val="20"/>
              </w:rPr>
              <w:t>Dexamethasone</w:t>
            </w:r>
          </w:p>
        </w:tc>
      </w:tr>
      <w:tr w:rsidR="00932F2E" w:rsidRPr="00561F10" w14:paraId="290A2F6C" w14:textId="77777777" w:rsidTr="00932F2E">
        <w:trPr>
          <w:trHeight w:val="81"/>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39FD3CCC"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Less than 50% compliance with treatment schedule</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43123F5E" w14:textId="77777777" w:rsidR="005C482D" w:rsidRPr="00561F10" w:rsidRDefault="005C482D" w:rsidP="005C482D">
            <w:pPr>
              <w:spacing w:after="0" w:line="240" w:lineRule="auto"/>
              <w:jc w:val="center"/>
              <w:rPr>
                <w:rFonts w:ascii="Times New Roman" w:hAnsi="Times New Roman" w:cs="Times New Roman"/>
                <w:sz w:val="20"/>
              </w:rPr>
            </w:pP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2E15CA26" w14:textId="02613096"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Decrease to 4</w:t>
            </w:r>
            <w:r w:rsidR="00561F10" w:rsidRPr="00561F10">
              <w:rPr>
                <w:rFonts w:ascii="Times New Roman" w:hAnsi="Times New Roman" w:cs="Times New Roman"/>
                <w:sz w:val="20"/>
              </w:rPr>
              <w:t xml:space="preserve"> </w:t>
            </w:r>
            <w:r w:rsidRPr="00561F10">
              <w:rPr>
                <w:rFonts w:ascii="Times New Roman" w:hAnsi="Times New Roman" w:cs="Times New Roman"/>
                <w:sz w:val="20"/>
              </w:rPr>
              <w:t>mg/m</w:t>
            </w:r>
            <w:r w:rsidRPr="00561F10">
              <w:rPr>
                <w:rFonts w:ascii="Times New Roman" w:hAnsi="Times New Roman" w:cs="Times New Roman"/>
                <w:sz w:val="20"/>
                <w:vertAlign w:val="superscript"/>
              </w:rPr>
              <w:t>2</w:t>
            </w:r>
            <w:r w:rsidRPr="00561F10">
              <w:rPr>
                <w:rFonts w:ascii="Times New Roman" w:hAnsi="Times New Roman" w:cs="Times New Roman"/>
                <w:sz w:val="20"/>
              </w:rPr>
              <w:t>, then to 3.2</w:t>
            </w:r>
            <w:r w:rsidR="00561F10" w:rsidRPr="00561F10">
              <w:rPr>
                <w:rFonts w:ascii="Times New Roman" w:hAnsi="Times New Roman" w:cs="Times New Roman"/>
                <w:sz w:val="20"/>
              </w:rPr>
              <w:t xml:space="preserve"> </w:t>
            </w:r>
            <w:r w:rsidRPr="00561F10">
              <w:rPr>
                <w:rFonts w:ascii="Times New Roman" w:hAnsi="Times New Roman" w:cs="Times New Roman"/>
                <w:sz w:val="20"/>
              </w:rPr>
              <w:t>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14F8D4D8"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No reduction</w:t>
            </w:r>
          </w:p>
        </w:tc>
      </w:tr>
      <w:tr w:rsidR="00932F2E" w:rsidRPr="00561F10" w14:paraId="481CDA3C" w14:textId="77777777" w:rsidTr="00932F2E">
        <w:trPr>
          <w:trHeight w:val="70"/>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06CA0A9E"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Febrile neutropenia</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100614B6"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 3</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54553E44" w14:textId="7B4DBB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Decrease to 4</w:t>
            </w:r>
            <w:r w:rsidR="00561F10" w:rsidRPr="00561F10">
              <w:rPr>
                <w:rFonts w:ascii="Times New Roman" w:hAnsi="Times New Roman" w:cs="Times New Roman"/>
                <w:sz w:val="20"/>
              </w:rPr>
              <w:t xml:space="preserve"> </w:t>
            </w:r>
            <w:r w:rsidRPr="00561F10">
              <w:rPr>
                <w:rFonts w:ascii="Times New Roman" w:hAnsi="Times New Roman" w:cs="Times New Roman"/>
                <w:sz w:val="20"/>
              </w:rPr>
              <w:t>mg/m</w:t>
            </w:r>
            <w:r w:rsidRPr="00561F10">
              <w:rPr>
                <w:rFonts w:ascii="Times New Roman" w:hAnsi="Times New Roman" w:cs="Times New Roman"/>
                <w:sz w:val="20"/>
                <w:vertAlign w:val="superscript"/>
              </w:rPr>
              <w:t>2</w:t>
            </w:r>
            <w:r w:rsidRPr="00561F10">
              <w:rPr>
                <w:rFonts w:ascii="Times New Roman" w:hAnsi="Times New Roman" w:cs="Times New Roman"/>
                <w:sz w:val="20"/>
              </w:rPr>
              <w:t>, then to 3.2</w:t>
            </w:r>
            <w:r w:rsidR="00561F10" w:rsidRPr="00561F10">
              <w:rPr>
                <w:rFonts w:ascii="Times New Roman" w:hAnsi="Times New Roman" w:cs="Times New Roman"/>
                <w:sz w:val="20"/>
              </w:rPr>
              <w:t xml:space="preserve"> </w:t>
            </w:r>
            <w:r w:rsidRPr="00561F10">
              <w:rPr>
                <w:rFonts w:ascii="Times New Roman" w:hAnsi="Times New Roman" w:cs="Times New Roman"/>
                <w:sz w:val="20"/>
              </w:rPr>
              <w:t>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6542A0BA"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No reduction</w:t>
            </w:r>
          </w:p>
        </w:tc>
      </w:tr>
      <w:tr w:rsidR="00932F2E" w:rsidRPr="00561F10" w14:paraId="10BAD534" w14:textId="77777777" w:rsidTr="00932F2E">
        <w:trPr>
          <w:trHeight w:val="505"/>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15ED0166"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Neutropenia lasting &gt; 7 days</w:t>
            </w:r>
          </w:p>
          <w:p w14:paraId="405B521D"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(except for patients with extensive BM involvement)</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0A69F4E3"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4</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1DE44D7B" w14:textId="60824DEB"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Decrease to 4</w:t>
            </w:r>
            <w:r w:rsidR="00561F10" w:rsidRPr="00561F10">
              <w:rPr>
                <w:rFonts w:ascii="Times New Roman" w:hAnsi="Times New Roman" w:cs="Times New Roman"/>
                <w:sz w:val="20"/>
              </w:rPr>
              <w:t xml:space="preserve"> </w:t>
            </w:r>
            <w:r w:rsidRPr="00561F10">
              <w:rPr>
                <w:rFonts w:ascii="Times New Roman" w:hAnsi="Times New Roman" w:cs="Times New Roman"/>
                <w:sz w:val="20"/>
              </w:rPr>
              <w:t>mg/m</w:t>
            </w:r>
            <w:r w:rsidRPr="00561F10">
              <w:rPr>
                <w:rFonts w:ascii="Times New Roman" w:hAnsi="Times New Roman" w:cs="Times New Roman"/>
                <w:sz w:val="20"/>
                <w:vertAlign w:val="superscript"/>
              </w:rPr>
              <w:t>2</w:t>
            </w:r>
            <w:r w:rsidRPr="00561F10">
              <w:rPr>
                <w:rFonts w:ascii="Times New Roman" w:hAnsi="Times New Roman" w:cs="Times New Roman"/>
                <w:sz w:val="20"/>
              </w:rPr>
              <w:t>, then to 3.2</w:t>
            </w:r>
            <w:r w:rsidR="00561F10" w:rsidRPr="00561F10">
              <w:rPr>
                <w:rFonts w:ascii="Times New Roman" w:hAnsi="Times New Roman" w:cs="Times New Roman"/>
                <w:sz w:val="20"/>
              </w:rPr>
              <w:t xml:space="preserve"> </w:t>
            </w:r>
            <w:r w:rsidRPr="00561F10">
              <w:rPr>
                <w:rFonts w:ascii="Times New Roman" w:hAnsi="Times New Roman" w:cs="Times New Roman"/>
                <w:sz w:val="20"/>
              </w:rPr>
              <w:t>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A7D372E"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No reduction</w:t>
            </w:r>
          </w:p>
        </w:tc>
      </w:tr>
      <w:tr w:rsidR="00932F2E" w:rsidRPr="00561F10" w14:paraId="1E4219E7" w14:textId="77777777" w:rsidTr="00932F2E">
        <w:trPr>
          <w:trHeight w:val="553"/>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6A91D82C"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 xml:space="preserve">Thrombocytopenia </w:t>
            </w:r>
          </w:p>
          <w:p w14:paraId="781EF73C" w14:textId="5394C50E"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(except for patients with extensive BM involvement)</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56FF9E2C"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4</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2763F50C"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Decrease to 4 mg/m</w:t>
            </w:r>
            <w:r w:rsidRPr="00561F10">
              <w:rPr>
                <w:rFonts w:ascii="Times New Roman" w:hAnsi="Times New Roman" w:cs="Times New Roman"/>
                <w:sz w:val="20"/>
                <w:vertAlign w:val="superscript"/>
              </w:rPr>
              <w:t>2</w:t>
            </w:r>
            <w:r w:rsidRPr="00561F10">
              <w:rPr>
                <w:rFonts w:ascii="Times New Roman" w:hAnsi="Times New Roman" w:cs="Times New Roman"/>
                <w:sz w:val="20"/>
              </w:rPr>
              <w:t>, then to 3.2 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0BC98E3"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No reduction</w:t>
            </w:r>
          </w:p>
        </w:tc>
      </w:tr>
      <w:tr w:rsidR="00932F2E" w:rsidRPr="00561F10" w14:paraId="7CF891A4" w14:textId="77777777" w:rsidTr="00932F2E">
        <w:trPr>
          <w:trHeight w:val="605"/>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68E879CC"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Thrombocytopenia</w:t>
            </w:r>
          </w:p>
          <w:p w14:paraId="399580DE"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 xml:space="preserve">with grade ≥ 3 bleeding </w:t>
            </w:r>
          </w:p>
          <w:p w14:paraId="377DA4DB"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(in patients with extensive BM involvement)</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6A2A4816"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4</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731C6EB9"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Decrease to 4 mg/m</w:t>
            </w:r>
            <w:r w:rsidRPr="00561F10">
              <w:rPr>
                <w:rFonts w:ascii="Times New Roman" w:hAnsi="Times New Roman" w:cs="Times New Roman"/>
                <w:sz w:val="20"/>
                <w:vertAlign w:val="superscript"/>
              </w:rPr>
              <w:t>2</w:t>
            </w:r>
            <w:r w:rsidRPr="00561F10">
              <w:rPr>
                <w:rFonts w:ascii="Times New Roman" w:hAnsi="Times New Roman" w:cs="Times New Roman"/>
                <w:sz w:val="20"/>
              </w:rPr>
              <w:t>, then to 3.2 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24D09D47"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No reduction</w:t>
            </w:r>
          </w:p>
          <w:p w14:paraId="722E802F" w14:textId="77777777" w:rsidR="005C482D" w:rsidRPr="00561F10" w:rsidRDefault="005C482D" w:rsidP="005C482D">
            <w:pPr>
              <w:spacing w:after="0" w:line="240" w:lineRule="auto"/>
              <w:rPr>
                <w:rFonts w:ascii="Times New Roman" w:hAnsi="Times New Roman" w:cs="Times New Roman"/>
                <w:sz w:val="20"/>
              </w:rPr>
            </w:pPr>
          </w:p>
        </w:tc>
      </w:tr>
      <w:tr w:rsidR="00932F2E" w:rsidRPr="00561F10" w14:paraId="543F90FC" w14:textId="77777777" w:rsidTr="00932F2E">
        <w:trPr>
          <w:trHeight w:val="133"/>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66F84978" w14:textId="4DA6F09A"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Any clinically relevant and/or non-haematological toxicity (except non-optimally treated nausea and vomiting, diarrhoea &lt; 48 hours and/or asthenia/fatigue lasting &lt; 5 days)</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5E277B66"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 3</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2BB5ED18"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Decrease to 4 mg/m</w:t>
            </w:r>
            <w:r w:rsidRPr="00561F10">
              <w:rPr>
                <w:rFonts w:ascii="Times New Roman" w:hAnsi="Times New Roman" w:cs="Times New Roman"/>
                <w:sz w:val="20"/>
                <w:vertAlign w:val="superscript"/>
              </w:rPr>
              <w:t>2</w:t>
            </w:r>
            <w:r w:rsidRPr="00561F10">
              <w:rPr>
                <w:rFonts w:ascii="Times New Roman" w:hAnsi="Times New Roman" w:cs="Times New Roman"/>
                <w:sz w:val="20"/>
              </w:rPr>
              <w:t>, then to 3.2 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D5580EA"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No reduction</w:t>
            </w:r>
          </w:p>
        </w:tc>
      </w:tr>
      <w:tr w:rsidR="00932F2E" w:rsidRPr="00561F10" w14:paraId="1A5A4348" w14:textId="77777777" w:rsidTr="00932F2E">
        <w:trPr>
          <w:trHeight w:val="1853"/>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25A9F6AE"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Muscular toxicity (weakness, myalgia and/or CPK elevations)</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0469309B"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 3</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527A510C"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First episode: decrease to 4 mg/m</w:t>
            </w:r>
            <w:r w:rsidRPr="00561F10">
              <w:rPr>
                <w:rFonts w:ascii="Times New Roman" w:hAnsi="Times New Roman" w:cs="Times New Roman"/>
                <w:sz w:val="20"/>
                <w:vertAlign w:val="superscript"/>
              </w:rPr>
              <w:t>2</w:t>
            </w:r>
            <w:r w:rsidRPr="00561F10">
              <w:rPr>
                <w:rFonts w:ascii="Times New Roman" w:hAnsi="Times New Roman" w:cs="Times New Roman"/>
                <w:sz w:val="20"/>
              </w:rPr>
              <w:t>, then reduce dexamethasone; if toxicity recurs, reduce to 3.2 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9840FAD" w14:textId="7106D7B9"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 xml:space="preserve">First </w:t>
            </w:r>
            <w:r w:rsidRPr="00C7080D">
              <w:rPr>
                <w:rFonts w:ascii="Times New Roman" w:hAnsi="Times New Roman" w:cs="Times New Roman"/>
                <w:sz w:val="20"/>
              </w:rPr>
              <w:t xml:space="preserve">reduce plitidepsin; if </w:t>
            </w:r>
            <w:r w:rsidR="00C7080D" w:rsidRPr="00A05065">
              <w:rPr>
                <w:rFonts w:ascii="Times New Roman" w:hAnsi="Times New Roman" w:cs="Times New Roman"/>
                <w:sz w:val="20"/>
              </w:rPr>
              <w:t>this persists</w:t>
            </w:r>
            <w:r w:rsidRPr="00A05065">
              <w:rPr>
                <w:rFonts w:ascii="Times New Roman" w:hAnsi="Times New Roman" w:cs="Times New Roman"/>
                <w:sz w:val="20"/>
              </w:rPr>
              <w:t>,</w:t>
            </w:r>
            <w:r w:rsidRPr="00C7080D">
              <w:rPr>
                <w:rFonts w:ascii="Times New Roman" w:hAnsi="Times New Roman" w:cs="Times New Roman"/>
                <w:sz w:val="20"/>
              </w:rPr>
              <w:t xml:space="preserve"> decrease</w:t>
            </w:r>
            <w:r w:rsidRPr="00561F10">
              <w:rPr>
                <w:rFonts w:ascii="Times New Roman" w:hAnsi="Times New Roman" w:cs="Times New Roman"/>
                <w:sz w:val="20"/>
              </w:rPr>
              <w:t xml:space="preserve"> dexamethasone to 20 mg Days 1, 8, 15, 22 of each cycle; if toxicity recurs, first decrease plitidepsin again and, if persistent, decrease dexamethasone to 20 mg Days 1 and 15 of each cycle. </w:t>
            </w:r>
          </w:p>
        </w:tc>
      </w:tr>
      <w:tr w:rsidR="00932F2E" w:rsidRPr="00561F10" w14:paraId="1E0210F8" w14:textId="77777777" w:rsidTr="00932F2E">
        <w:trPr>
          <w:trHeight w:val="301"/>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13D3D60F"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Mood disturbances/agitation</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40C7BA11"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 2</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4939F5FE"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No reduction</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4F9EE69E"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First reduce to 20 mg Days 1, 8, 15, 22 of each cycle, then to 20 mg Days 1 and 15 of each cycle.</w:t>
            </w:r>
          </w:p>
        </w:tc>
      </w:tr>
      <w:tr w:rsidR="00932F2E" w:rsidRPr="00561F10" w14:paraId="7A9664AD" w14:textId="77777777" w:rsidTr="00932F2E">
        <w:trPr>
          <w:trHeight w:val="445"/>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5051BE34"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Fluid retention</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6AFAAF00"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 3</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2E18723C"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No reduction</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7AE33C8A"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First reduce to 20 mg Days 1, 8, 15, 22 of each cycle, then to 20 mg Days 1 and 15 of each cycle.</w:t>
            </w:r>
          </w:p>
        </w:tc>
      </w:tr>
      <w:tr w:rsidR="00932F2E" w:rsidRPr="00561F10" w14:paraId="1C593F7F" w14:textId="77777777" w:rsidTr="00932F2E">
        <w:trPr>
          <w:trHeight w:val="181"/>
        </w:trPr>
        <w:tc>
          <w:tcPr>
            <w:tcW w:w="1438" w:type="pct"/>
            <w:tcBorders>
              <w:top w:val="single" w:sz="4" w:space="0" w:color="auto"/>
              <w:left w:val="single" w:sz="4" w:space="0" w:color="auto"/>
              <w:bottom w:val="single" w:sz="4" w:space="0" w:color="auto"/>
              <w:right w:val="single" w:sz="4" w:space="0" w:color="auto"/>
            </w:tcBorders>
            <w:shd w:val="clear" w:color="auto" w:fill="auto"/>
            <w:hideMark/>
          </w:tcPr>
          <w:p w14:paraId="76A14C70"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Clinically documented infection</w:t>
            </w:r>
          </w:p>
        </w:tc>
        <w:tc>
          <w:tcPr>
            <w:tcW w:w="474" w:type="pct"/>
            <w:tcBorders>
              <w:top w:val="single" w:sz="4" w:space="0" w:color="auto"/>
              <w:left w:val="single" w:sz="4" w:space="0" w:color="auto"/>
              <w:bottom w:val="single" w:sz="4" w:space="0" w:color="auto"/>
              <w:right w:val="single" w:sz="4" w:space="0" w:color="auto"/>
            </w:tcBorders>
            <w:shd w:val="clear" w:color="auto" w:fill="auto"/>
            <w:hideMark/>
          </w:tcPr>
          <w:p w14:paraId="24FE4DD0"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4</w:t>
            </w:r>
          </w:p>
        </w:tc>
        <w:tc>
          <w:tcPr>
            <w:tcW w:w="1421" w:type="pct"/>
            <w:tcBorders>
              <w:top w:val="single" w:sz="4" w:space="0" w:color="auto"/>
              <w:left w:val="single" w:sz="4" w:space="0" w:color="auto"/>
              <w:bottom w:val="single" w:sz="4" w:space="0" w:color="auto"/>
              <w:right w:val="single" w:sz="4" w:space="0" w:color="auto"/>
            </w:tcBorders>
            <w:shd w:val="clear" w:color="auto" w:fill="auto"/>
            <w:hideMark/>
          </w:tcPr>
          <w:p w14:paraId="4AFBF868" w14:textId="77777777" w:rsidR="005C482D" w:rsidRPr="00561F10" w:rsidRDefault="005C482D" w:rsidP="005C482D">
            <w:pPr>
              <w:spacing w:after="0" w:line="240" w:lineRule="auto"/>
              <w:jc w:val="center"/>
              <w:rPr>
                <w:rFonts w:ascii="Times New Roman" w:hAnsi="Times New Roman" w:cs="Times New Roman"/>
                <w:sz w:val="20"/>
              </w:rPr>
            </w:pPr>
            <w:r w:rsidRPr="00561F10">
              <w:rPr>
                <w:rFonts w:ascii="Times New Roman" w:hAnsi="Times New Roman" w:cs="Times New Roman"/>
                <w:sz w:val="20"/>
              </w:rPr>
              <w:t>No reduction</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3F759170" w14:textId="77777777" w:rsidR="005C482D" w:rsidRPr="00561F10" w:rsidRDefault="005C482D" w:rsidP="005C482D">
            <w:pPr>
              <w:spacing w:after="0" w:line="240" w:lineRule="auto"/>
              <w:rPr>
                <w:rFonts w:ascii="Times New Roman" w:hAnsi="Times New Roman" w:cs="Times New Roman"/>
                <w:sz w:val="20"/>
              </w:rPr>
            </w:pPr>
            <w:r w:rsidRPr="00561F10">
              <w:rPr>
                <w:rFonts w:ascii="Times New Roman" w:hAnsi="Times New Roman" w:cs="Times New Roman"/>
                <w:sz w:val="20"/>
              </w:rPr>
              <w:t>First reduce to 20 mg Days 1, 8, 15, 22 of each cycle, then to 20 mg Days 1 and 15 of each cycle.</w:t>
            </w:r>
          </w:p>
        </w:tc>
      </w:tr>
      <w:tr w:rsidR="00A15C44" w:rsidRPr="00561F10" w14:paraId="4B8074C3" w14:textId="77777777" w:rsidTr="00932F2E">
        <w:trPr>
          <w:trHeight w:val="181"/>
        </w:trPr>
        <w:tc>
          <w:tcPr>
            <w:tcW w:w="1438" w:type="pct"/>
            <w:tcBorders>
              <w:top w:val="single" w:sz="4" w:space="0" w:color="auto"/>
              <w:left w:val="single" w:sz="4" w:space="0" w:color="auto"/>
              <w:bottom w:val="single" w:sz="4" w:space="0" w:color="auto"/>
              <w:right w:val="single" w:sz="4" w:space="0" w:color="auto"/>
            </w:tcBorders>
            <w:shd w:val="clear" w:color="auto" w:fill="auto"/>
          </w:tcPr>
          <w:p w14:paraId="35B38D45" w14:textId="1A0C3C87" w:rsidR="00A15C44" w:rsidRPr="00561F10" w:rsidRDefault="00A15C44" w:rsidP="00A15C44">
            <w:pPr>
              <w:spacing w:after="0" w:line="240" w:lineRule="auto"/>
              <w:rPr>
                <w:rFonts w:ascii="Times New Roman" w:hAnsi="Times New Roman" w:cs="Times New Roman"/>
                <w:sz w:val="20"/>
              </w:rPr>
            </w:pPr>
            <w:r>
              <w:rPr>
                <w:rFonts w:ascii="Times New Roman" w:hAnsi="Times New Roman" w:cs="Times New Roman"/>
                <w:sz w:val="20"/>
                <w:szCs w:val="20"/>
                <w:lang w:val="en-US"/>
              </w:rPr>
              <w:t>ALT/AST increase</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443F5513" w14:textId="3AEF6C80" w:rsidR="00A15C44" w:rsidRPr="00561F10" w:rsidRDefault="00A15C44" w:rsidP="00A15C44">
            <w:pPr>
              <w:spacing w:after="0" w:line="240" w:lineRule="auto"/>
              <w:jc w:val="center"/>
              <w:rPr>
                <w:rFonts w:ascii="Times New Roman" w:hAnsi="Times New Roman" w:cs="Times New Roman"/>
                <w:sz w:val="20"/>
              </w:rPr>
            </w:pPr>
            <w:r w:rsidRPr="00561F10">
              <w:rPr>
                <w:rFonts w:ascii="Times New Roman" w:hAnsi="Times New Roman" w:cs="Times New Roman"/>
                <w:sz w:val="20"/>
              </w:rPr>
              <w:t>≥ 3</w:t>
            </w:r>
          </w:p>
        </w:tc>
        <w:tc>
          <w:tcPr>
            <w:tcW w:w="1421" w:type="pct"/>
            <w:tcBorders>
              <w:top w:val="single" w:sz="4" w:space="0" w:color="auto"/>
              <w:left w:val="single" w:sz="4" w:space="0" w:color="auto"/>
              <w:bottom w:val="single" w:sz="4" w:space="0" w:color="auto"/>
              <w:right w:val="single" w:sz="4" w:space="0" w:color="auto"/>
            </w:tcBorders>
            <w:shd w:val="clear" w:color="auto" w:fill="auto"/>
          </w:tcPr>
          <w:p w14:paraId="4CAF9EE8" w14:textId="0E223B6D" w:rsidR="00A15C44" w:rsidRPr="00561F10" w:rsidRDefault="00A15C44" w:rsidP="00A15C44">
            <w:pPr>
              <w:spacing w:after="0" w:line="240" w:lineRule="auto"/>
              <w:rPr>
                <w:rFonts w:ascii="Times New Roman" w:hAnsi="Times New Roman" w:cs="Times New Roman"/>
                <w:sz w:val="20"/>
              </w:rPr>
            </w:pPr>
            <w:r w:rsidRPr="00561F10">
              <w:rPr>
                <w:rFonts w:ascii="Times New Roman" w:hAnsi="Times New Roman" w:cs="Times New Roman"/>
                <w:sz w:val="20"/>
              </w:rPr>
              <w:t>Decrease to 4 mg/m</w:t>
            </w:r>
            <w:r w:rsidRPr="00561F10">
              <w:rPr>
                <w:rFonts w:ascii="Times New Roman" w:hAnsi="Times New Roman" w:cs="Times New Roman"/>
                <w:sz w:val="20"/>
                <w:vertAlign w:val="superscript"/>
              </w:rPr>
              <w:t>2</w:t>
            </w:r>
            <w:r w:rsidRPr="00561F10">
              <w:rPr>
                <w:rFonts w:ascii="Times New Roman" w:hAnsi="Times New Roman" w:cs="Times New Roman"/>
                <w:sz w:val="20"/>
              </w:rPr>
              <w:t>, then to 3.2 mg/m</w:t>
            </w:r>
            <w:r w:rsidRPr="00561F10">
              <w:rPr>
                <w:rFonts w:ascii="Times New Roman" w:hAnsi="Times New Roman" w:cs="Times New Roman"/>
                <w:sz w:val="20"/>
                <w:vertAlign w:val="superscript"/>
              </w:rPr>
              <w:t>2</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86FFE6E" w14:textId="524E7EAB" w:rsidR="00A15C44" w:rsidRPr="00561F10" w:rsidRDefault="00A15C44" w:rsidP="00A15C44">
            <w:pPr>
              <w:spacing w:after="0" w:line="240" w:lineRule="auto"/>
              <w:rPr>
                <w:rFonts w:ascii="Times New Roman" w:hAnsi="Times New Roman" w:cs="Times New Roman"/>
                <w:sz w:val="20"/>
              </w:rPr>
            </w:pPr>
            <w:r w:rsidRPr="00561F10">
              <w:rPr>
                <w:rFonts w:ascii="Times New Roman" w:hAnsi="Times New Roman" w:cs="Times New Roman"/>
                <w:sz w:val="20"/>
              </w:rPr>
              <w:t>No reduction</w:t>
            </w:r>
          </w:p>
        </w:tc>
      </w:tr>
    </w:tbl>
    <w:p w14:paraId="4689CFB9" w14:textId="77777777" w:rsidR="005C482D" w:rsidRDefault="005C482D" w:rsidP="005C482D">
      <w:pPr>
        <w:spacing w:after="0" w:line="240" w:lineRule="auto"/>
        <w:rPr>
          <w:rFonts w:ascii="Times New Roman" w:hAnsi="Times New Roman" w:cs="Times New Roman"/>
        </w:rPr>
      </w:pPr>
    </w:p>
    <w:p w14:paraId="2FF2CD8A" w14:textId="3169C4CA" w:rsidR="005C482D" w:rsidRPr="00250B4F" w:rsidRDefault="00AE25AB" w:rsidP="00C41E30">
      <w:pPr>
        <w:spacing w:after="0" w:line="240" w:lineRule="auto"/>
        <w:rPr>
          <w:rFonts w:ascii="Times New Roman" w:hAnsi="Times New Roman" w:cs="Times New Roman"/>
          <w:u w:val="single"/>
        </w:rPr>
      </w:pPr>
      <w:r w:rsidRPr="00250B4F">
        <w:rPr>
          <w:rFonts w:ascii="Times New Roman" w:hAnsi="Times New Roman" w:cs="Times New Roman"/>
          <w:u w:val="single"/>
        </w:rPr>
        <w:t>Special populations</w:t>
      </w:r>
    </w:p>
    <w:p w14:paraId="278F5E3C" w14:textId="77777777" w:rsidR="00250B4F" w:rsidRPr="00250B4F" w:rsidRDefault="00250B4F" w:rsidP="00250B4F">
      <w:pPr>
        <w:keepNext/>
        <w:spacing w:after="0" w:line="240" w:lineRule="auto"/>
        <w:rPr>
          <w:rFonts w:ascii="Times New Roman" w:hAnsi="Times New Roman" w:cs="Times New Roman"/>
          <w:i/>
        </w:rPr>
      </w:pPr>
      <w:r w:rsidRPr="00250B4F">
        <w:rPr>
          <w:rFonts w:ascii="Times New Roman" w:hAnsi="Times New Roman" w:cs="Times New Roman"/>
          <w:i/>
        </w:rPr>
        <w:t>Paediatric population</w:t>
      </w:r>
    </w:p>
    <w:p w14:paraId="3671705E" w14:textId="73644295" w:rsidR="00250B4F" w:rsidRPr="00250B4F" w:rsidRDefault="00835495" w:rsidP="00250B4F">
      <w:pPr>
        <w:spacing w:after="0" w:line="240" w:lineRule="auto"/>
        <w:rPr>
          <w:rFonts w:ascii="Times New Roman" w:hAnsi="Times New Roman" w:cs="Times New Roman"/>
        </w:rPr>
      </w:pPr>
      <w:r w:rsidRPr="00835495">
        <w:rPr>
          <w:rFonts w:ascii="Times New Roman" w:hAnsi="Times New Roman" w:cs="Times New Roman"/>
        </w:rPr>
        <w:t xml:space="preserve">The safety and efficacy of APLIDIN has not been studied in </w:t>
      </w:r>
      <w:r w:rsidR="00275281">
        <w:rPr>
          <w:rFonts w:ascii="Times New Roman" w:hAnsi="Times New Roman" w:cs="Times New Roman"/>
        </w:rPr>
        <w:t>paediatric patients</w:t>
      </w:r>
      <w:r w:rsidRPr="00835495">
        <w:rPr>
          <w:rFonts w:ascii="Times New Roman" w:hAnsi="Times New Roman" w:cs="Times New Roman"/>
        </w:rPr>
        <w:t>.</w:t>
      </w:r>
    </w:p>
    <w:p w14:paraId="203E13E2" w14:textId="77777777" w:rsidR="00DD606D" w:rsidRDefault="00DD606D" w:rsidP="00250B4F">
      <w:pPr>
        <w:spacing w:after="0" w:line="240" w:lineRule="auto"/>
        <w:rPr>
          <w:rFonts w:ascii="Times New Roman" w:hAnsi="Times New Roman" w:cs="Times New Roman"/>
          <w:i/>
        </w:rPr>
      </w:pPr>
    </w:p>
    <w:p w14:paraId="38F09114" w14:textId="26A4EDA8" w:rsidR="00250B4F" w:rsidRPr="00250B4F" w:rsidRDefault="00250B4F" w:rsidP="00250B4F">
      <w:pPr>
        <w:spacing w:after="0" w:line="240" w:lineRule="auto"/>
        <w:rPr>
          <w:rFonts w:ascii="Times New Roman" w:hAnsi="Times New Roman" w:cs="Times New Roman"/>
          <w:i/>
        </w:rPr>
      </w:pPr>
      <w:r w:rsidRPr="00250B4F">
        <w:rPr>
          <w:rFonts w:ascii="Times New Roman" w:hAnsi="Times New Roman" w:cs="Times New Roman"/>
          <w:i/>
        </w:rPr>
        <w:t>Elderly</w:t>
      </w:r>
    </w:p>
    <w:p w14:paraId="46E6A347" w14:textId="3F1A2DD9" w:rsidR="00250B4F" w:rsidRPr="00250B4F" w:rsidRDefault="00250B4F" w:rsidP="00250B4F">
      <w:pPr>
        <w:spacing w:after="0" w:line="240" w:lineRule="auto"/>
        <w:rPr>
          <w:rFonts w:ascii="Times New Roman" w:hAnsi="Times New Roman" w:cs="Times New Roman"/>
        </w:rPr>
      </w:pPr>
      <w:r w:rsidRPr="00250B4F">
        <w:rPr>
          <w:rFonts w:ascii="Times New Roman" w:hAnsi="Times New Roman" w:cs="Times New Roman"/>
        </w:rPr>
        <w:t xml:space="preserve">No age-related dose adjustment is required for </w:t>
      </w:r>
      <w:proofErr w:type="spellStart"/>
      <w:r w:rsidRPr="00250B4F">
        <w:rPr>
          <w:rFonts w:ascii="Times New Roman" w:hAnsi="Times New Roman" w:cs="Times New Roman"/>
        </w:rPr>
        <w:t>plitidepsin</w:t>
      </w:r>
      <w:proofErr w:type="spellEnd"/>
      <w:r w:rsidRPr="00250B4F">
        <w:rPr>
          <w:rFonts w:ascii="Times New Roman" w:hAnsi="Times New Roman" w:cs="Times New Roman"/>
        </w:rPr>
        <w:t>.</w:t>
      </w:r>
    </w:p>
    <w:p w14:paraId="1912AB58" w14:textId="77777777" w:rsidR="00250B4F" w:rsidRPr="00250B4F" w:rsidRDefault="00250B4F" w:rsidP="00917B17">
      <w:pPr>
        <w:keepNext/>
        <w:spacing w:after="0" w:line="240" w:lineRule="auto"/>
        <w:rPr>
          <w:rFonts w:ascii="Times New Roman" w:hAnsi="Times New Roman" w:cs="Times New Roman"/>
          <w:i/>
        </w:rPr>
      </w:pPr>
      <w:r w:rsidRPr="00250B4F">
        <w:rPr>
          <w:rFonts w:ascii="Times New Roman" w:hAnsi="Times New Roman" w:cs="Times New Roman"/>
          <w:i/>
        </w:rPr>
        <w:lastRenderedPageBreak/>
        <w:t>Renal impairment</w:t>
      </w:r>
    </w:p>
    <w:p w14:paraId="7C440C8E" w14:textId="77777777" w:rsidR="00250B4F" w:rsidRPr="00250B4F" w:rsidRDefault="00250B4F" w:rsidP="00250B4F">
      <w:pPr>
        <w:spacing w:after="0" w:line="240" w:lineRule="auto"/>
        <w:rPr>
          <w:rFonts w:ascii="Times New Roman" w:hAnsi="Times New Roman" w:cs="Times New Roman"/>
        </w:rPr>
      </w:pPr>
      <w:r w:rsidRPr="00250B4F">
        <w:rPr>
          <w:rFonts w:ascii="Times New Roman" w:hAnsi="Times New Roman" w:cs="Times New Roman"/>
        </w:rPr>
        <w:t xml:space="preserve">No dose adjustment is necessary in patients with mild, moderate or severe renal impairment. </w:t>
      </w:r>
    </w:p>
    <w:p w14:paraId="59A2AFA0" w14:textId="31A6A6E6" w:rsidR="00250B4F" w:rsidRPr="00250B4F" w:rsidRDefault="00345C40" w:rsidP="00250B4F">
      <w:pPr>
        <w:spacing w:after="0" w:line="240" w:lineRule="auto"/>
        <w:rPr>
          <w:rFonts w:ascii="Times New Roman" w:hAnsi="Times New Roman" w:cs="Times New Roman"/>
        </w:rPr>
      </w:pPr>
      <w:r>
        <w:rPr>
          <w:rFonts w:ascii="Times New Roman" w:hAnsi="Times New Roman" w:cs="Times New Roman"/>
          <w:lang w:val="en-GB"/>
        </w:rPr>
        <w:t>Caution is recommended in patients with severe renal impairment (GFR 15</w:t>
      </w:r>
      <w:r>
        <w:rPr>
          <w:rFonts w:ascii="Times New Roman" w:hAnsi="Times New Roman" w:cs="Times New Roman"/>
          <w:lang w:val="en-GB"/>
        </w:rPr>
        <w:noBreakHyphen/>
        <w:t>29 ml/min), as experience in this population is limited.</w:t>
      </w:r>
      <w:r w:rsidRPr="00250B4F">
        <w:rPr>
          <w:rFonts w:ascii="Times New Roman" w:hAnsi="Times New Roman" w:cs="Times New Roman"/>
        </w:rPr>
        <w:t xml:space="preserve"> </w:t>
      </w:r>
      <w:r w:rsidR="00250B4F" w:rsidRPr="00250B4F">
        <w:rPr>
          <w:rFonts w:ascii="Times New Roman" w:hAnsi="Times New Roman" w:cs="Times New Roman"/>
        </w:rPr>
        <w:t>Patients with end stage renal impairment (GFR &lt; 15 mL/min) have not been included in any clinical study with plitidepsin. There is no data on the safety and efficacy of plitidepsin in patients with end stage renal impairment.</w:t>
      </w:r>
    </w:p>
    <w:p w14:paraId="7EA18311" w14:textId="77777777" w:rsidR="00250B4F" w:rsidRPr="00250B4F" w:rsidRDefault="00250B4F" w:rsidP="00250B4F">
      <w:pPr>
        <w:spacing w:after="0" w:line="240" w:lineRule="auto"/>
        <w:rPr>
          <w:rFonts w:ascii="Times New Roman" w:hAnsi="Times New Roman" w:cs="Times New Roman"/>
        </w:rPr>
      </w:pPr>
    </w:p>
    <w:p w14:paraId="152E287A" w14:textId="77777777" w:rsidR="00250B4F" w:rsidRPr="00250B4F" w:rsidRDefault="00250B4F" w:rsidP="00250B4F">
      <w:pPr>
        <w:spacing w:after="0" w:line="240" w:lineRule="auto"/>
        <w:rPr>
          <w:rFonts w:ascii="Times New Roman" w:hAnsi="Times New Roman" w:cs="Times New Roman"/>
          <w:i/>
        </w:rPr>
      </w:pPr>
      <w:r w:rsidRPr="00250B4F">
        <w:rPr>
          <w:rFonts w:ascii="Times New Roman" w:hAnsi="Times New Roman" w:cs="Times New Roman"/>
          <w:i/>
        </w:rPr>
        <w:t>Hepatic impairment</w:t>
      </w:r>
    </w:p>
    <w:p w14:paraId="26D38931" w14:textId="77777777" w:rsidR="00250B4F" w:rsidRPr="00250B4F" w:rsidRDefault="00250B4F" w:rsidP="00250B4F">
      <w:pPr>
        <w:spacing w:after="0" w:line="240" w:lineRule="auto"/>
        <w:rPr>
          <w:rFonts w:ascii="Times New Roman" w:hAnsi="Times New Roman" w:cs="Times New Roman"/>
        </w:rPr>
      </w:pPr>
      <w:r w:rsidRPr="00250B4F">
        <w:rPr>
          <w:rFonts w:ascii="Times New Roman" w:hAnsi="Times New Roman" w:cs="Times New Roman"/>
        </w:rPr>
        <w:t>Plitidepsin has not been formally studied in patients with impaired hepatic function. Patients with AST &gt; 3 x ULN and/or bilirubin &gt; ULN were not allowed to participate in most clinical studies with plitidepsin. Since most administered plitidepsin is eliminated by biliary excretion, patients with impaired hepatic function (AST &gt; 3 x ULN and/or bilirubin &gt; 1 × ULN) should not be treated with plitidepsin.</w:t>
      </w:r>
    </w:p>
    <w:p w14:paraId="41AF5A44" w14:textId="77777777" w:rsidR="00AE25AB" w:rsidRPr="00C41E30" w:rsidRDefault="00AE25AB" w:rsidP="00C41E30">
      <w:pPr>
        <w:spacing w:after="0" w:line="240" w:lineRule="auto"/>
        <w:rPr>
          <w:rFonts w:ascii="Times New Roman" w:hAnsi="Times New Roman" w:cs="Times New Roman"/>
        </w:rPr>
      </w:pPr>
    </w:p>
    <w:p w14:paraId="2CDA4C05" w14:textId="644DEE0E" w:rsidR="003171B2" w:rsidRDefault="00BC7299" w:rsidP="00645AC8">
      <w:pPr>
        <w:pStyle w:val="Heading2"/>
        <w:spacing w:before="0" w:after="0"/>
        <w:ind w:left="0" w:hanging="426"/>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Contraindications</w:t>
      </w:r>
    </w:p>
    <w:p w14:paraId="741D5361" w14:textId="77777777" w:rsidR="007058E3" w:rsidRPr="007058E3" w:rsidRDefault="007058E3" w:rsidP="007058E3">
      <w:pPr>
        <w:tabs>
          <w:tab w:val="left" w:pos="567"/>
        </w:tabs>
        <w:spacing w:after="0" w:line="240" w:lineRule="auto"/>
        <w:rPr>
          <w:rFonts w:ascii="Times New Roman" w:hAnsi="Times New Roman" w:cs="Times New Roman"/>
        </w:rPr>
      </w:pPr>
      <w:r w:rsidRPr="007058E3">
        <w:rPr>
          <w:rFonts w:ascii="Times New Roman" w:hAnsi="Times New Roman" w:cs="Times New Roman"/>
        </w:rPr>
        <w:t>Hypersensitivity to the active substance, plitidepsin, or to the excipients PEG-35 castor oil or ethanol.</w:t>
      </w:r>
    </w:p>
    <w:p w14:paraId="33EB715F" w14:textId="77777777" w:rsidR="001A0BC8" w:rsidRPr="00A448C9" w:rsidRDefault="001A0BC8" w:rsidP="007058E3">
      <w:pPr>
        <w:spacing w:after="0" w:line="240" w:lineRule="auto"/>
      </w:pPr>
    </w:p>
    <w:p w14:paraId="669AAB2B" w14:textId="037E7D20" w:rsidR="00077EC3" w:rsidRDefault="00A3708B" w:rsidP="007058E3">
      <w:pPr>
        <w:pStyle w:val="Heading2"/>
        <w:spacing w:before="0" w:after="0" w:line="240" w:lineRule="auto"/>
        <w:ind w:left="0" w:hanging="426"/>
        <w:rPr>
          <w:rFonts w:ascii="Times New Roman" w:eastAsiaTheme="majorEastAsia" w:hAnsi="Times New Roman" w:cs="Times New Roman"/>
          <w:b w:val="0"/>
          <w:bCs/>
          <w:smallCaps w:val="0"/>
          <w:spacing w:val="-1"/>
          <w:sz w:val="22"/>
          <w:szCs w:val="28"/>
          <w:lang w:val="en-US"/>
        </w:rPr>
      </w:pPr>
      <w:r w:rsidRPr="00355185">
        <w:rPr>
          <w:rFonts w:ascii="Times New Roman" w:eastAsiaTheme="majorEastAsia" w:hAnsi="Times New Roman" w:cs="Times New Roman"/>
          <w:b w:val="0"/>
          <w:bCs/>
          <w:smallCaps w:val="0"/>
          <w:spacing w:val="-1"/>
          <w:sz w:val="26"/>
          <w:szCs w:val="26"/>
          <w:lang w:val="en-US"/>
        </w:rPr>
        <w:t>Special warnings and precautions for u</w:t>
      </w:r>
      <w:r w:rsidR="00BC7299" w:rsidRPr="00355185">
        <w:rPr>
          <w:rFonts w:ascii="Times New Roman" w:eastAsiaTheme="majorEastAsia" w:hAnsi="Times New Roman" w:cs="Times New Roman"/>
          <w:b w:val="0"/>
          <w:bCs/>
          <w:smallCaps w:val="0"/>
          <w:spacing w:val="-1"/>
          <w:sz w:val="26"/>
          <w:szCs w:val="26"/>
          <w:lang w:val="en-US"/>
        </w:rPr>
        <w:t>se</w:t>
      </w:r>
    </w:p>
    <w:p w14:paraId="5F2759EA" w14:textId="77777777" w:rsidR="00141239" w:rsidRDefault="00141239" w:rsidP="00141239">
      <w:pPr>
        <w:spacing w:after="0" w:line="240" w:lineRule="auto"/>
        <w:contextualSpacing/>
        <w:rPr>
          <w:rFonts w:ascii="Times New Roman" w:hAnsi="Times New Roman" w:cs="Times New Roman"/>
          <w:b/>
          <w:noProof/>
        </w:rPr>
      </w:pPr>
    </w:p>
    <w:p w14:paraId="500CE3F3" w14:textId="7B9A07BA" w:rsidR="001A0BC8" w:rsidRPr="00141239" w:rsidRDefault="001A0BC8" w:rsidP="00141239">
      <w:pPr>
        <w:spacing w:after="0" w:line="240" w:lineRule="auto"/>
        <w:contextualSpacing/>
        <w:rPr>
          <w:rFonts w:ascii="Times New Roman" w:hAnsi="Times New Roman" w:cs="Times New Roman"/>
          <w:b/>
          <w:noProof/>
        </w:rPr>
      </w:pPr>
      <w:r w:rsidRPr="00141239">
        <w:rPr>
          <w:rFonts w:ascii="Times New Roman" w:hAnsi="Times New Roman" w:cs="Times New Roman"/>
          <w:b/>
          <w:noProof/>
        </w:rPr>
        <w:t>Musculoskeletal and connective tissue disorders and investigations</w:t>
      </w:r>
    </w:p>
    <w:p w14:paraId="2350226B" w14:textId="77777777" w:rsidR="00141239" w:rsidRDefault="00141239" w:rsidP="00141239">
      <w:pPr>
        <w:spacing w:after="0" w:line="240" w:lineRule="auto"/>
        <w:contextualSpacing/>
        <w:rPr>
          <w:rFonts w:ascii="Times New Roman" w:hAnsi="Times New Roman" w:cs="Times New Roman"/>
          <w:noProof/>
          <w:u w:val="single"/>
        </w:rPr>
      </w:pPr>
    </w:p>
    <w:p w14:paraId="4AF2A79F" w14:textId="77777777" w:rsidR="00C634B7" w:rsidRPr="00AE7852" w:rsidRDefault="00C634B7" w:rsidP="00C634B7">
      <w:pPr>
        <w:spacing w:after="0" w:line="240" w:lineRule="auto"/>
        <w:contextualSpacing/>
        <w:rPr>
          <w:rFonts w:ascii="Times New Roman" w:hAnsi="Times New Roman" w:cs="Times New Roman"/>
          <w:noProof/>
        </w:rPr>
      </w:pPr>
      <w:r w:rsidRPr="00AE7852">
        <w:rPr>
          <w:rFonts w:ascii="Times New Roman" w:hAnsi="Times New Roman" w:cs="Times New Roman"/>
          <w:noProof/>
        </w:rPr>
        <w:t>Musculoskeletal and connective tissue disorders and investigations</w:t>
      </w:r>
    </w:p>
    <w:p w14:paraId="5A155AFF" w14:textId="77777777" w:rsidR="00C634B7" w:rsidRPr="00322F5A" w:rsidRDefault="00C634B7" w:rsidP="00C634B7">
      <w:pPr>
        <w:spacing w:after="0" w:line="240" w:lineRule="auto"/>
        <w:contextualSpacing/>
        <w:rPr>
          <w:rFonts w:ascii="Times New Roman" w:hAnsi="Times New Roman" w:cs="Times New Roman"/>
          <w:noProof/>
        </w:rPr>
      </w:pPr>
      <w:r w:rsidRPr="00322F5A">
        <w:rPr>
          <w:rFonts w:ascii="Times New Roman" w:hAnsi="Times New Roman" w:cs="Times New Roman"/>
          <w:i/>
          <w:noProof/>
        </w:rPr>
        <w:t>Myopathy including rhabdomyolysis</w:t>
      </w:r>
      <w:r w:rsidRPr="00322F5A">
        <w:rPr>
          <w:rFonts w:ascii="Times New Roman" w:hAnsi="Times New Roman" w:cs="Times New Roman"/>
          <w:noProof/>
        </w:rPr>
        <w:t>: muscle weakness, myalgia and/or CPK elevation were frequently reported during treatment with plitidepsin plus dexamethasone. Isolated cases of rhabdomyolysis have also been observed. In order to minimise the risk of musculoskeletal events:</w:t>
      </w:r>
    </w:p>
    <w:p w14:paraId="0050D97C" w14:textId="77777777" w:rsidR="00C634B7" w:rsidRPr="00322F5A" w:rsidRDefault="00C634B7" w:rsidP="00AE7852">
      <w:pPr>
        <w:pStyle w:val="ListParagraph"/>
        <w:numPr>
          <w:ilvl w:val="0"/>
          <w:numId w:val="33"/>
        </w:numPr>
        <w:spacing w:after="0" w:line="240" w:lineRule="auto"/>
        <w:rPr>
          <w:rFonts w:ascii="Times New Roman" w:hAnsi="Times New Roman" w:cs="Times New Roman"/>
          <w:noProof/>
        </w:rPr>
      </w:pPr>
      <w:r w:rsidRPr="00322F5A">
        <w:rPr>
          <w:rFonts w:ascii="Times New Roman" w:hAnsi="Times New Roman" w:cs="Times New Roman"/>
          <w:noProof/>
        </w:rPr>
        <w:t>CPK should be monitored prior to each infusion (Day 1 and Day 15) from Cycle 1 to Cycle 4.</w:t>
      </w:r>
    </w:p>
    <w:p w14:paraId="38B40C4A" w14:textId="77777777" w:rsidR="00C634B7" w:rsidRPr="00322F5A" w:rsidRDefault="00C634B7" w:rsidP="00AE7852">
      <w:pPr>
        <w:pStyle w:val="ListParagraph"/>
        <w:numPr>
          <w:ilvl w:val="0"/>
          <w:numId w:val="33"/>
        </w:numPr>
        <w:spacing w:after="0" w:line="240" w:lineRule="auto"/>
        <w:rPr>
          <w:rFonts w:ascii="Times New Roman" w:hAnsi="Times New Roman" w:cs="Times New Roman"/>
          <w:noProof/>
        </w:rPr>
      </w:pPr>
      <w:r w:rsidRPr="00322F5A">
        <w:rPr>
          <w:rFonts w:ascii="Times New Roman" w:hAnsi="Times New Roman" w:cs="Times New Roman"/>
          <w:noProof/>
        </w:rPr>
        <w:t>The treatment with plitidepsin should not be started in patients with grade &gt; 2 myopathy or any clinical condition that causes significant and persistent elevation of CPK (i.e., &gt; 2.5 x ULN in two different determinations performed one week apart). See section 4.2 for dose recommendations.</w:t>
      </w:r>
    </w:p>
    <w:p w14:paraId="6E484D18" w14:textId="77777777" w:rsidR="00C634B7" w:rsidRPr="00322F5A" w:rsidRDefault="00C634B7" w:rsidP="00AE7852">
      <w:pPr>
        <w:pStyle w:val="ListParagraph"/>
        <w:numPr>
          <w:ilvl w:val="0"/>
          <w:numId w:val="33"/>
        </w:numPr>
        <w:spacing w:after="0" w:line="240" w:lineRule="auto"/>
        <w:rPr>
          <w:rFonts w:ascii="Times New Roman" w:hAnsi="Times New Roman" w:cs="Times New Roman"/>
          <w:noProof/>
        </w:rPr>
      </w:pPr>
      <w:r w:rsidRPr="00322F5A">
        <w:rPr>
          <w:rFonts w:ascii="Times New Roman" w:hAnsi="Times New Roman" w:cs="Times New Roman"/>
          <w:noProof/>
        </w:rPr>
        <w:t>If rhabdomyolysis occurs, plitidepsin treatment should be stopped. Supportive measures such as parenteral hydration, urine alkalinisation and dialysis should be promptly established. Caution should be taken if medicinal products associated with rhabdomyolysis (e.g., statins), are administered concomitantly with plitidepsin plus dexamethasone, since the risk of rhabdomyolysis may be increased.</w:t>
      </w:r>
    </w:p>
    <w:p w14:paraId="66C2949E" w14:textId="77777777" w:rsidR="00C634B7" w:rsidRPr="00322F5A" w:rsidRDefault="00C634B7" w:rsidP="00C634B7">
      <w:pPr>
        <w:spacing w:after="0" w:line="240" w:lineRule="auto"/>
        <w:contextualSpacing/>
        <w:rPr>
          <w:rFonts w:ascii="Times New Roman" w:hAnsi="Times New Roman" w:cs="Times New Roman"/>
          <w:noProof/>
        </w:rPr>
      </w:pPr>
      <w:r w:rsidRPr="00322F5A">
        <w:rPr>
          <w:rFonts w:ascii="Times New Roman" w:hAnsi="Times New Roman" w:cs="Times New Roman"/>
          <w:noProof/>
        </w:rPr>
        <w:t>The clinicians are recommended to report all severe and fatal musculoskeletal events.</w:t>
      </w:r>
    </w:p>
    <w:p w14:paraId="49D6DD57" w14:textId="77777777" w:rsidR="001A0BC8" w:rsidRPr="00141239" w:rsidRDefault="001A0BC8" w:rsidP="00141239">
      <w:pPr>
        <w:spacing w:after="0" w:line="240" w:lineRule="auto"/>
        <w:contextualSpacing/>
        <w:rPr>
          <w:rFonts w:ascii="Times New Roman" w:hAnsi="Times New Roman" w:cs="Times New Roman"/>
          <w:noProof/>
          <w:u w:val="single"/>
        </w:rPr>
      </w:pPr>
    </w:p>
    <w:p w14:paraId="52F6283F" w14:textId="77777777" w:rsidR="001A0BC8" w:rsidRPr="00141239" w:rsidRDefault="001A0BC8" w:rsidP="00141239">
      <w:pPr>
        <w:spacing w:after="0" w:line="240" w:lineRule="auto"/>
        <w:contextualSpacing/>
        <w:rPr>
          <w:rFonts w:ascii="Times New Roman" w:hAnsi="Times New Roman" w:cs="Times New Roman"/>
          <w:b/>
          <w:noProof/>
        </w:rPr>
      </w:pPr>
      <w:r w:rsidRPr="00141239">
        <w:rPr>
          <w:rFonts w:ascii="Times New Roman" w:hAnsi="Times New Roman" w:cs="Times New Roman"/>
          <w:b/>
          <w:noProof/>
        </w:rPr>
        <w:t>Injecton site reactions and hypersensitivity reactions</w:t>
      </w:r>
    </w:p>
    <w:p w14:paraId="4872EA54" w14:textId="77777777" w:rsidR="001A0BC8" w:rsidRPr="00141239" w:rsidRDefault="001A0BC8" w:rsidP="00141239">
      <w:pPr>
        <w:spacing w:after="0" w:line="240" w:lineRule="auto"/>
        <w:contextualSpacing/>
        <w:rPr>
          <w:rFonts w:ascii="Times New Roman" w:hAnsi="Times New Roman" w:cs="Times New Roman"/>
          <w:noProof/>
        </w:rPr>
      </w:pPr>
      <w:r w:rsidRPr="00141239">
        <w:rPr>
          <w:rFonts w:ascii="Times New Roman" w:hAnsi="Times New Roman" w:cs="Times New Roman"/>
          <w:noProof/>
        </w:rPr>
        <w:t>Infusion reactions have been reported in patients who received plitidepsin. Symptoms may include, pain, catheter site phlebitis, infusion site reaction, injection site extravasation or thrombosis in device. These reactions can occur during or immediately after the administration of plitidepsin.</w:t>
      </w:r>
    </w:p>
    <w:p w14:paraId="7B947280" w14:textId="77777777" w:rsidR="001A0BC8" w:rsidRPr="00141239" w:rsidRDefault="001A0BC8" w:rsidP="00141239">
      <w:pPr>
        <w:spacing w:after="0" w:line="240" w:lineRule="auto"/>
        <w:contextualSpacing/>
        <w:rPr>
          <w:rFonts w:ascii="Times New Roman" w:hAnsi="Times New Roman" w:cs="Times New Roman"/>
          <w:noProof/>
        </w:rPr>
      </w:pPr>
    </w:p>
    <w:p w14:paraId="08F99E7A" w14:textId="3061085A" w:rsidR="001A0BC8" w:rsidRPr="00141239" w:rsidRDefault="001A0BC8" w:rsidP="00141239">
      <w:pPr>
        <w:spacing w:after="0" w:line="240" w:lineRule="auto"/>
        <w:contextualSpacing/>
        <w:rPr>
          <w:rFonts w:ascii="Times New Roman" w:hAnsi="Times New Roman" w:cs="Times New Roman"/>
          <w:noProof/>
        </w:rPr>
      </w:pPr>
      <w:r w:rsidRPr="00141239">
        <w:rPr>
          <w:rFonts w:ascii="Times New Roman" w:hAnsi="Times New Roman" w:cs="Times New Roman"/>
          <w:noProof/>
        </w:rPr>
        <w:t xml:space="preserve">Treatment-related (or with unknown relationship) hypersensitivity reactions were reported in 6.6% of patients in Arm A (plitidepsin plus DXM) and in 5.4% of patients who crossed over from Arm B to Arm A. The frequency of grade ≥ 3 hypersensitivity reactions was 1.2% in Arm A and 2.7% in the crossover patients. </w:t>
      </w:r>
    </w:p>
    <w:p w14:paraId="6B41591A" w14:textId="77777777" w:rsidR="001A0BC8" w:rsidRPr="00141239" w:rsidRDefault="001A0BC8" w:rsidP="00141239">
      <w:pPr>
        <w:spacing w:after="0" w:line="240" w:lineRule="auto"/>
        <w:contextualSpacing/>
        <w:rPr>
          <w:rFonts w:ascii="Times New Roman" w:hAnsi="Times New Roman" w:cs="Times New Roman"/>
          <w:noProof/>
        </w:rPr>
      </w:pPr>
    </w:p>
    <w:p w14:paraId="45042FC8" w14:textId="502B4D95" w:rsidR="001A0BC8" w:rsidRPr="00141239" w:rsidRDefault="001A0BC8" w:rsidP="00141239">
      <w:pPr>
        <w:spacing w:after="0" w:line="240" w:lineRule="auto"/>
        <w:contextualSpacing/>
        <w:rPr>
          <w:rFonts w:ascii="Times New Roman" w:hAnsi="Times New Roman" w:cs="Times New Roman"/>
          <w:noProof/>
        </w:rPr>
      </w:pPr>
      <w:r w:rsidRPr="00141239">
        <w:rPr>
          <w:rFonts w:ascii="Times New Roman" w:hAnsi="Times New Roman" w:cs="Times New Roman"/>
          <w:noProof/>
        </w:rPr>
        <w:t xml:space="preserve">Premedication must be administered prior to plitidepsin to reduce the incidence of the reactions </w:t>
      </w:r>
      <w:r w:rsidR="001C1F90">
        <w:rPr>
          <w:rFonts w:ascii="Times New Roman" w:hAnsi="Times New Roman" w:cs="Times New Roman"/>
          <w:noProof/>
        </w:rPr>
        <w:t>[</w:t>
      </w:r>
      <w:r w:rsidRPr="001C1F90">
        <w:rPr>
          <w:rFonts w:ascii="Times New Roman" w:hAnsi="Times New Roman" w:cs="Times New Roman"/>
          <w:noProof/>
        </w:rPr>
        <w:t>see</w:t>
      </w:r>
      <w:r w:rsidRPr="003D4C2E">
        <w:rPr>
          <w:rFonts w:ascii="Times New Roman" w:hAnsi="Times New Roman" w:cs="Times New Roman"/>
          <w:b/>
          <w:noProof/>
        </w:rPr>
        <w:t xml:space="preserve"> </w:t>
      </w:r>
      <w:r w:rsidR="001C1F90" w:rsidRPr="001C1F90">
        <w:rPr>
          <w:rFonts w:ascii="Times New Roman" w:hAnsi="Times New Roman" w:cs="Times New Roman"/>
          <w:b/>
          <w:i/>
          <w:noProof/>
        </w:rPr>
        <w:t xml:space="preserve">Section 4.2 </w:t>
      </w:r>
      <w:r w:rsidRPr="001C1F90">
        <w:rPr>
          <w:rFonts w:ascii="Times New Roman" w:hAnsi="Times New Roman" w:cs="Times New Roman"/>
          <w:b/>
          <w:i/>
          <w:noProof/>
        </w:rPr>
        <w:t xml:space="preserve">Dose and </w:t>
      </w:r>
      <w:r w:rsidR="001C1F90" w:rsidRPr="001C1F90">
        <w:rPr>
          <w:rFonts w:ascii="Times New Roman" w:hAnsi="Times New Roman" w:cs="Times New Roman"/>
          <w:b/>
          <w:i/>
          <w:noProof/>
        </w:rPr>
        <w:t>method of a</w:t>
      </w:r>
      <w:r w:rsidRPr="001C1F90">
        <w:rPr>
          <w:rFonts w:ascii="Times New Roman" w:hAnsi="Times New Roman" w:cs="Times New Roman"/>
          <w:b/>
          <w:i/>
          <w:noProof/>
        </w:rPr>
        <w:t xml:space="preserve">dministration </w:t>
      </w:r>
      <w:r w:rsidR="001C1F90" w:rsidRPr="001C1F90">
        <w:rPr>
          <w:rFonts w:ascii="Times New Roman" w:hAnsi="Times New Roman" w:cs="Times New Roman"/>
          <w:b/>
          <w:i/>
          <w:noProof/>
        </w:rPr>
        <w:t>(</w:t>
      </w:r>
      <w:r w:rsidRPr="001C1F90">
        <w:rPr>
          <w:rFonts w:ascii="Times New Roman" w:hAnsi="Times New Roman" w:cs="Times New Roman"/>
          <w:b/>
          <w:i/>
          <w:noProof/>
        </w:rPr>
        <w:t>Management of Infusion reaction)</w:t>
      </w:r>
      <w:r w:rsidR="001C1F90">
        <w:rPr>
          <w:rFonts w:ascii="Times New Roman" w:hAnsi="Times New Roman" w:cs="Times New Roman"/>
          <w:noProof/>
        </w:rPr>
        <w:t>]</w:t>
      </w:r>
      <w:r w:rsidRPr="003D4C2E">
        <w:rPr>
          <w:rFonts w:ascii="Times New Roman" w:hAnsi="Times New Roman" w:cs="Times New Roman"/>
          <w:noProof/>
        </w:rPr>
        <w:t>.</w:t>
      </w:r>
    </w:p>
    <w:p w14:paraId="4CA9F6E1" w14:textId="77777777" w:rsidR="001A0BC8" w:rsidRPr="00141239" w:rsidRDefault="001A0BC8" w:rsidP="00141239">
      <w:pPr>
        <w:spacing w:after="0" w:line="240" w:lineRule="auto"/>
        <w:contextualSpacing/>
        <w:rPr>
          <w:rFonts w:ascii="Times New Roman" w:hAnsi="Times New Roman" w:cs="Times New Roman"/>
          <w:noProof/>
        </w:rPr>
      </w:pPr>
    </w:p>
    <w:p w14:paraId="6B81F1FC" w14:textId="77777777" w:rsidR="001A0BC8" w:rsidRPr="00141239" w:rsidRDefault="001A0BC8" w:rsidP="00917B17">
      <w:pPr>
        <w:keepNext/>
        <w:spacing w:after="0" w:line="240" w:lineRule="auto"/>
        <w:contextualSpacing/>
        <w:rPr>
          <w:rFonts w:ascii="Times New Roman" w:hAnsi="Times New Roman" w:cs="Times New Roman"/>
          <w:b/>
          <w:noProof/>
        </w:rPr>
      </w:pPr>
      <w:r w:rsidRPr="00141239">
        <w:rPr>
          <w:rFonts w:ascii="Times New Roman" w:hAnsi="Times New Roman" w:cs="Times New Roman"/>
          <w:b/>
          <w:noProof/>
        </w:rPr>
        <w:lastRenderedPageBreak/>
        <w:t>Liver enzyme increase (ALT/AST)</w:t>
      </w:r>
    </w:p>
    <w:p w14:paraId="732D51DF" w14:textId="77777777" w:rsidR="001A0BC8" w:rsidRPr="00141239" w:rsidRDefault="001A0BC8" w:rsidP="00141239">
      <w:pPr>
        <w:spacing w:after="0" w:line="240" w:lineRule="auto"/>
        <w:contextualSpacing/>
        <w:rPr>
          <w:rFonts w:ascii="Times New Roman" w:hAnsi="Times New Roman" w:cs="Times New Roman"/>
          <w:noProof/>
        </w:rPr>
      </w:pPr>
      <w:r w:rsidRPr="00141239">
        <w:rPr>
          <w:rFonts w:ascii="Times New Roman" w:hAnsi="Times New Roman" w:cs="Times New Roman"/>
          <w:noProof/>
        </w:rPr>
        <w:t>Aspartate aminotransferase (AST) and alanine aminotransferase (ALT) increases according to laboratory values were reported in 66.0% and 84.9% of patients, respectively, during treatment with plitidepsin. Most of them were grade 1 or 2. Transaminase increases occurred mostly during the first 2 cycles of treatment, and they were transient and reversible. Before plitidepsin plus dexamethasone administration, the patients must have total bilirubin ≤ 1.0 x ULN (or direct bilirubin ≤ 1.0 x ULN when total bilirubin is above the ULN) and AST/ALT ≤ 3.0 x ULN. AST and ALT measurements should be performed before the administration of plitidepsin.</w:t>
      </w:r>
    </w:p>
    <w:p w14:paraId="2CAAC5A2" w14:textId="77777777" w:rsidR="001A0BC8" w:rsidRPr="00141239" w:rsidRDefault="001A0BC8" w:rsidP="00141239">
      <w:pPr>
        <w:spacing w:after="0" w:line="240" w:lineRule="auto"/>
        <w:contextualSpacing/>
        <w:rPr>
          <w:rFonts w:ascii="Times New Roman" w:hAnsi="Times New Roman" w:cs="Times New Roman"/>
          <w:noProof/>
        </w:rPr>
      </w:pPr>
    </w:p>
    <w:p w14:paraId="2E6CA7CD" w14:textId="77777777" w:rsidR="001A0BC8" w:rsidRPr="00141239" w:rsidRDefault="001A0BC8" w:rsidP="00141239">
      <w:pPr>
        <w:spacing w:after="0" w:line="240" w:lineRule="auto"/>
        <w:contextualSpacing/>
        <w:rPr>
          <w:rFonts w:ascii="Times New Roman" w:hAnsi="Times New Roman" w:cs="Times New Roman"/>
          <w:b/>
          <w:noProof/>
        </w:rPr>
      </w:pPr>
      <w:r w:rsidRPr="00141239">
        <w:rPr>
          <w:rFonts w:ascii="Times New Roman" w:hAnsi="Times New Roman" w:cs="Times New Roman"/>
          <w:b/>
          <w:noProof/>
        </w:rPr>
        <w:t>Cardiac effects, including QT prolonged</w:t>
      </w:r>
    </w:p>
    <w:p w14:paraId="196E360C" w14:textId="1EA46F6C" w:rsidR="001A0BC8" w:rsidRPr="00141239" w:rsidRDefault="001A0BC8" w:rsidP="003E5ECC">
      <w:pPr>
        <w:pStyle w:val="ListParagraph"/>
        <w:numPr>
          <w:ilvl w:val="0"/>
          <w:numId w:val="30"/>
        </w:numPr>
        <w:spacing w:after="0" w:line="240" w:lineRule="auto"/>
        <w:ind w:left="284" w:hanging="284"/>
        <w:rPr>
          <w:rFonts w:ascii="Times New Roman" w:hAnsi="Times New Roman" w:cs="Times New Roman"/>
          <w:noProof/>
        </w:rPr>
      </w:pPr>
      <w:r w:rsidRPr="00141239">
        <w:rPr>
          <w:rFonts w:ascii="Times New Roman" w:hAnsi="Times New Roman" w:cs="Times New Roman"/>
          <w:noProof/>
        </w:rPr>
        <w:t>Cardiac effects such as bradycardia; electrocardiogram QT prolonged; sinus</w:t>
      </w:r>
      <w:r w:rsidR="00670F4B">
        <w:rPr>
          <w:rFonts w:ascii="Times New Roman" w:hAnsi="Times New Roman" w:cs="Times New Roman"/>
          <w:noProof/>
        </w:rPr>
        <w:t xml:space="preserve"> ta</w:t>
      </w:r>
      <w:r w:rsidRPr="00141239">
        <w:rPr>
          <w:rFonts w:ascii="Times New Roman" w:hAnsi="Times New Roman" w:cs="Times New Roman"/>
          <w:noProof/>
        </w:rPr>
        <w:t>chycardia; and orthostatic hypotension have been observed in patients treated with the combination plitidepsin plus dexamethasone in the phase</w:t>
      </w:r>
      <w:r w:rsidRPr="007F56DD">
        <w:rPr>
          <w:rFonts w:ascii="Times New Roman" w:hAnsi="Times New Roman" w:cs="Times New Roman"/>
          <w:noProof/>
        </w:rPr>
        <w:t xml:space="preserve"> III</w:t>
      </w:r>
      <w:r w:rsidRPr="00141239">
        <w:rPr>
          <w:rFonts w:ascii="Times New Roman" w:hAnsi="Times New Roman" w:cs="Times New Roman"/>
          <w:noProof/>
        </w:rPr>
        <w:t xml:space="preserve"> study. The causal relationship has not been established yet, since most of cardiovascular events reported had confounding factors, such as cardiovascular medical history or concomitant medications known to induce such cardiovascular effects. Therefore, patients with risk factors for or existing heart disease should be closely monitored. Appropriate caution should be exercised when considering the treatment of such patients with plitidepsin plus dexamethasone, including periodic electrocardiogram monitoring.</w:t>
      </w:r>
    </w:p>
    <w:p w14:paraId="341C2448" w14:textId="77777777" w:rsidR="001A0BC8" w:rsidRPr="00141239" w:rsidRDefault="001A0BC8" w:rsidP="003E5ECC">
      <w:pPr>
        <w:pStyle w:val="ListParagraph"/>
        <w:numPr>
          <w:ilvl w:val="0"/>
          <w:numId w:val="30"/>
        </w:numPr>
        <w:spacing w:after="0" w:line="240" w:lineRule="auto"/>
        <w:ind w:left="284" w:hanging="284"/>
        <w:rPr>
          <w:rFonts w:ascii="Times New Roman" w:hAnsi="Times New Roman" w:cs="Times New Roman"/>
          <w:noProof/>
        </w:rPr>
      </w:pPr>
      <w:r w:rsidRPr="00141239">
        <w:rPr>
          <w:rFonts w:ascii="Times New Roman" w:hAnsi="Times New Roman" w:cs="Times New Roman"/>
          <w:noProof/>
        </w:rPr>
        <w:t>Patients with symptomatic arrhythmia (excluding anaemia-related sinusal tachycardia grade ≤ 2) or any arrhythmia requiring ongoing treatment, and/or prolonged QT/QTc grade ≥ 2; or presence of unstable atrial fibrillation, should not be treated with plitidepsin plus dexamethasone.</w:t>
      </w:r>
    </w:p>
    <w:p w14:paraId="36A8A14B" w14:textId="77777777" w:rsidR="001A0BC8" w:rsidRPr="00141239" w:rsidRDefault="001A0BC8" w:rsidP="003E5ECC">
      <w:pPr>
        <w:pStyle w:val="ListParagraph"/>
        <w:numPr>
          <w:ilvl w:val="0"/>
          <w:numId w:val="30"/>
        </w:numPr>
        <w:spacing w:after="0" w:line="240" w:lineRule="auto"/>
        <w:ind w:left="284" w:hanging="284"/>
        <w:rPr>
          <w:rFonts w:ascii="Times New Roman" w:hAnsi="Times New Roman" w:cs="Times New Roman"/>
          <w:noProof/>
        </w:rPr>
      </w:pPr>
      <w:r w:rsidRPr="00141239">
        <w:rPr>
          <w:rFonts w:ascii="Times New Roman" w:hAnsi="Times New Roman" w:cs="Times New Roman"/>
          <w:noProof/>
        </w:rPr>
        <w:t>It is recommended to monitor patients for clinical cardiac signs or symptoms. To include only patients with left ventricular ejection fraction (LVEF) by echocardiography above the lower limit of normal at baseline and to measure LVEF periodically during the treatment. LVEF assessment has to be performed every 12 weeks. If there is a decrease in LVEF, treatment should be interrupted until LVEF returns to normal values.</w:t>
      </w:r>
    </w:p>
    <w:p w14:paraId="7E408A7E" w14:textId="77777777" w:rsidR="001A0BC8" w:rsidRPr="00141239" w:rsidRDefault="001A0BC8" w:rsidP="00141239">
      <w:pPr>
        <w:spacing w:after="0" w:line="240" w:lineRule="auto"/>
        <w:contextualSpacing/>
        <w:rPr>
          <w:rFonts w:ascii="Times New Roman" w:hAnsi="Times New Roman" w:cs="Times New Roman"/>
          <w:noProof/>
        </w:rPr>
      </w:pPr>
    </w:p>
    <w:p w14:paraId="0D0DF239" w14:textId="77777777" w:rsidR="001A0BC8" w:rsidRPr="00141239" w:rsidRDefault="001A0BC8" w:rsidP="00141239">
      <w:pPr>
        <w:spacing w:after="0" w:line="240" w:lineRule="auto"/>
        <w:contextualSpacing/>
        <w:rPr>
          <w:rFonts w:ascii="Times New Roman" w:hAnsi="Times New Roman" w:cs="Times New Roman"/>
          <w:b/>
          <w:noProof/>
        </w:rPr>
      </w:pPr>
      <w:r w:rsidRPr="00141239">
        <w:rPr>
          <w:rFonts w:ascii="Times New Roman" w:hAnsi="Times New Roman" w:cs="Times New Roman"/>
          <w:b/>
          <w:noProof/>
        </w:rPr>
        <w:t>Other</w:t>
      </w:r>
    </w:p>
    <w:p w14:paraId="6B121E4A" w14:textId="03205FA9" w:rsidR="001A0BC8" w:rsidRDefault="001A0BC8" w:rsidP="00141239">
      <w:pPr>
        <w:spacing w:after="0" w:line="240" w:lineRule="auto"/>
        <w:contextualSpacing/>
        <w:rPr>
          <w:rFonts w:ascii="Times New Roman" w:hAnsi="Times New Roman" w:cs="Times New Roman"/>
          <w:noProof/>
        </w:rPr>
      </w:pPr>
      <w:r w:rsidRPr="00141239">
        <w:rPr>
          <w:rFonts w:ascii="Times New Roman" w:hAnsi="Times New Roman" w:cs="Times New Roman"/>
          <w:noProof/>
        </w:rPr>
        <w:t>Since A</w:t>
      </w:r>
      <w:r w:rsidR="00CD2F07">
        <w:rPr>
          <w:rFonts w:ascii="Times New Roman" w:hAnsi="Times New Roman" w:cs="Times New Roman"/>
          <w:noProof/>
        </w:rPr>
        <w:t>PLIDIN</w:t>
      </w:r>
      <w:r w:rsidRPr="00141239">
        <w:rPr>
          <w:rFonts w:ascii="Times New Roman" w:hAnsi="Times New Roman" w:cs="Times New Roman"/>
          <w:noProof/>
        </w:rPr>
        <w:t xml:space="preserve"> contains </w:t>
      </w:r>
      <w:r w:rsidRPr="00141239">
        <w:rPr>
          <w:rFonts w:ascii="Times New Roman" w:hAnsi="Times New Roman" w:cs="Times New Roman"/>
          <w:i/>
          <w:noProof/>
        </w:rPr>
        <w:t>ethanol</w:t>
      </w:r>
      <w:r w:rsidRPr="00141239">
        <w:rPr>
          <w:rFonts w:ascii="Times New Roman" w:hAnsi="Times New Roman" w:cs="Times New Roman"/>
          <w:noProof/>
        </w:rPr>
        <w:t xml:space="preserve"> (up to 2137.5 mg per dose), possible central nervous system and other effects might occur. Plitidepsin contains Polyoxyl 35 castor oil (Macrogolglycerol ricinoleate), which may cause severe allergic reactions. </w:t>
      </w:r>
    </w:p>
    <w:p w14:paraId="6BC8E446" w14:textId="77777777" w:rsidR="006F4F9A" w:rsidRDefault="006F4F9A" w:rsidP="006F4F9A">
      <w:pPr>
        <w:spacing w:after="0" w:line="240" w:lineRule="auto"/>
        <w:contextualSpacing/>
        <w:rPr>
          <w:rFonts w:ascii="Times New Roman" w:hAnsi="Times New Roman" w:cs="Times New Roman"/>
          <w:noProof/>
          <w:lang w:val="en-US"/>
        </w:rPr>
      </w:pPr>
    </w:p>
    <w:p w14:paraId="7B61B42E" w14:textId="0B60677D" w:rsidR="006F4F9A" w:rsidRPr="006F4F9A" w:rsidRDefault="006F4F9A" w:rsidP="006F4F9A">
      <w:pPr>
        <w:spacing w:after="0" w:line="240" w:lineRule="auto"/>
        <w:contextualSpacing/>
        <w:rPr>
          <w:rFonts w:ascii="Times New Roman" w:hAnsi="Times New Roman" w:cs="Times New Roman"/>
          <w:noProof/>
          <w:lang w:val="en-GB"/>
        </w:rPr>
      </w:pPr>
      <w:r w:rsidRPr="006F4F9A">
        <w:rPr>
          <w:rFonts w:ascii="Times New Roman" w:hAnsi="Times New Roman" w:cs="Times New Roman"/>
          <w:noProof/>
          <w:lang w:val="en-US"/>
        </w:rPr>
        <w:t xml:space="preserve">Fertile female and male patients should use effective methods of contraception during treatment and for up to six months after treatment (see </w:t>
      </w:r>
      <w:r w:rsidR="00C32FC5" w:rsidRPr="00124F89">
        <w:rPr>
          <w:rFonts w:ascii="Times New Roman" w:hAnsi="Times New Roman" w:cs="Times New Roman"/>
          <w:b/>
          <w:i/>
          <w:noProof/>
          <w:lang w:val="en-US"/>
        </w:rPr>
        <w:t>S</w:t>
      </w:r>
      <w:r w:rsidRPr="00124F89">
        <w:rPr>
          <w:rFonts w:ascii="Times New Roman" w:hAnsi="Times New Roman" w:cs="Times New Roman"/>
          <w:b/>
          <w:i/>
          <w:noProof/>
          <w:lang w:val="en-US"/>
        </w:rPr>
        <w:t>ection 4.6</w:t>
      </w:r>
      <w:r w:rsidR="00EC6515" w:rsidRPr="00124F89">
        <w:rPr>
          <w:rFonts w:ascii="Times New Roman" w:hAnsi="Times New Roman" w:cs="Times New Roman"/>
          <w:b/>
          <w:i/>
          <w:noProof/>
          <w:lang w:val="en-US"/>
        </w:rPr>
        <w:t xml:space="preserve"> Fertility, Pregnancy </w:t>
      </w:r>
      <w:r w:rsidR="00C32FC5" w:rsidRPr="00124F89">
        <w:rPr>
          <w:rFonts w:ascii="Times New Roman" w:hAnsi="Times New Roman" w:cs="Times New Roman"/>
          <w:b/>
          <w:i/>
          <w:noProof/>
          <w:lang w:val="en-US"/>
        </w:rPr>
        <w:t xml:space="preserve">and </w:t>
      </w:r>
      <w:r w:rsidR="00C32FC5">
        <w:rPr>
          <w:rFonts w:ascii="Times New Roman" w:hAnsi="Times New Roman" w:cs="Times New Roman"/>
          <w:b/>
          <w:i/>
          <w:noProof/>
          <w:lang w:val="en-US"/>
        </w:rPr>
        <w:t>L</w:t>
      </w:r>
      <w:r w:rsidR="00C32FC5" w:rsidRPr="00124F89">
        <w:rPr>
          <w:rFonts w:ascii="Times New Roman" w:hAnsi="Times New Roman" w:cs="Times New Roman"/>
          <w:b/>
          <w:i/>
          <w:noProof/>
          <w:lang w:val="en-US"/>
        </w:rPr>
        <w:t>actation</w:t>
      </w:r>
      <w:r w:rsidRPr="006F4F9A">
        <w:rPr>
          <w:rFonts w:ascii="Times New Roman" w:hAnsi="Times New Roman" w:cs="Times New Roman"/>
          <w:noProof/>
          <w:lang w:val="en-US"/>
        </w:rPr>
        <w:t>).</w:t>
      </w:r>
    </w:p>
    <w:p w14:paraId="3FE7266F" w14:textId="77777777" w:rsidR="006F4F9A" w:rsidRPr="00141239" w:rsidRDefault="006F4F9A" w:rsidP="00141239">
      <w:pPr>
        <w:spacing w:after="0" w:line="240" w:lineRule="auto"/>
        <w:contextualSpacing/>
        <w:rPr>
          <w:rFonts w:ascii="Times New Roman" w:hAnsi="Times New Roman" w:cs="Times New Roman"/>
          <w:noProof/>
        </w:rPr>
      </w:pPr>
    </w:p>
    <w:p w14:paraId="12D63B8D" w14:textId="77777777" w:rsidR="00FD226B" w:rsidRPr="00FD226B" w:rsidRDefault="00FD226B" w:rsidP="00FD226B">
      <w:pPr>
        <w:spacing w:after="0" w:line="240" w:lineRule="auto"/>
        <w:contextualSpacing/>
        <w:rPr>
          <w:rFonts w:ascii="Times New Roman" w:hAnsi="Times New Roman" w:cs="Times New Roman"/>
          <w:noProof/>
          <w:u w:val="single"/>
          <w:lang w:val="en-GB"/>
        </w:rPr>
      </w:pPr>
      <w:r w:rsidRPr="00FD226B">
        <w:rPr>
          <w:rFonts w:ascii="Times New Roman" w:hAnsi="Times New Roman" w:cs="Times New Roman"/>
          <w:noProof/>
          <w:u w:val="single"/>
          <w:lang w:val="en-GB"/>
        </w:rPr>
        <w:t>Interactions</w:t>
      </w:r>
    </w:p>
    <w:p w14:paraId="3FB74A71" w14:textId="77777777" w:rsidR="00FD226B" w:rsidRPr="00FD226B" w:rsidRDefault="00FD226B" w:rsidP="00FD226B">
      <w:pPr>
        <w:numPr>
          <w:ilvl w:val="0"/>
          <w:numId w:val="32"/>
        </w:numPr>
        <w:spacing w:after="0" w:line="240" w:lineRule="auto"/>
        <w:contextualSpacing/>
        <w:rPr>
          <w:rFonts w:ascii="Times New Roman" w:hAnsi="Times New Roman" w:cs="Times New Roman"/>
          <w:noProof/>
          <w:lang w:val="en-GB"/>
        </w:rPr>
      </w:pPr>
      <w:r w:rsidRPr="00FD226B">
        <w:rPr>
          <w:rFonts w:ascii="Times New Roman" w:hAnsi="Times New Roman" w:cs="Times New Roman"/>
          <w:noProof/>
          <w:lang w:val="en-GB"/>
        </w:rPr>
        <w:t>Co</w:t>
      </w:r>
      <w:r w:rsidRPr="00FD226B">
        <w:rPr>
          <w:rFonts w:ascii="Times New Roman" w:hAnsi="Times New Roman" w:cs="Times New Roman"/>
          <w:noProof/>
          <w:lang w:val="en-GB"/>
        </w:rPr>
        <w:noBreakHyphen/>
        <w:t>administration with strong CY3A4 inhibitors and inducers should be avoided since they may affect the plasma concentration of plitidepsin (see section 4.5).</w:t>
      </w:r>
    </w:p>
    <w:p w14:paraId="75AFB00F" w14:textId="77777777" w:rsidR="00FD226B" w:rsidRPr="00FD226B" w:rsidRDefault="00FD226B" w:rsidP="00FD226B">
      <w:pPr>
        <w:numPr>
          <w:ilvl w:val="0"/>
          <w:numId w:val="32"/>
        </w:numPr>
        <w:spacing w:after="0" w:line="240" w:lineRule="auto"/>
        <w:contextualSpacing/>
        <w:rPr>
          <w:rFonts w:ascii="Times New Roman" w:hAnsi="Times New Roman" w:cs="Times New Roman"/>
          <w:noProof/>
          <w:lang w:val="en-GB"/>
        </w:rPr>
      </w:pPr>
      <w:r w:rsidRPr="00FD226B">
        <w:rPr>
          <w:rFonts w:ascii="Times New Roman" w:hAnsi="Times New Roman" w:cs="Times New Roman"/>
          <w:noProof/>
          <w:lang w:val="en-GB"/>
        </w:rPr>
        <w:t>Co</w:t>
      </w:r>
      <w:r w:rsidRPr="00FD226B">
        <w:rPr>
          <w:rFonts w:ascii="Times New Roman" w:hAnsi="Times New Roman" w:cs="Times New Roman"/>
          <w:noProof/>
          <w:lang w:val="en-GB"/>
        </w:rPr>
        <w:noBreakHyphen/>
        <w:t>administration with moderate CY3A4 inhibitors and inducers should be used cautiously, since an effect on plitidepsin exposure cannot be excluded (see section 4.5).</w:t>
      </w:r>
    </w:p>
    <w:p w14:paraId="3C56217F" w14:textId="77777777" w:rsidR="001A0BC8" w:rsidRPr="00141239" w:rsidRDefault="001A0BC8" w:rsidP="00141239">
      <w:pPr>
        <w:pStyle w:val="List3"/>
        <w:keepNext/>
        <w:tabs>
          <w:tab w:val="clear" w:pos="2016"/>
        </w:tabs>
        <w:spacing w:before="0" w:after="0"/>
        <w:ind w:left="0" w:firstLine="0"/>
        <w:contextualSpacing/>
        <w:rPr>
          <w:i/>
          <w:sz w:val="22"/>
          <w:szCs w:val="22"/>
          <w:lang w:val="en-AU"/>
        </w:rPr>
      </w:pPr>
    </w:p>
    <w:p w14:paraId="4F4FCD24" w14:textId="660CFA85" w:rsidR="001A0BC8" w:rsidRPr="00141239" w:rsidRDefault="00526315" w:rsidP="00141239">
      <w:pPr>
        <w:spacing w:after="0" w:line="240" w:lineRule="auto"/>
        <w:contextualSpacing/>
        <w:rPr>
          <w:rFonts w:ascii="Times New Roman" w:hAnsi="Times New Roman" w:cs="Times New Roman"/>
          <w:noProof/>
          <w:u w:val="single"/>
        </w:rPr>
      </w:pPr>
      <w:r>
        <w:rPr>
          <w:rFonts w:ascii="Times New Roman" w:hAnsi="Times New Roman" w:cs="Times New Roman"/>
          <w:noProof/>
          <w:u w:val="single"/>
        </w:rPr>
        <w:t xml:space="preserve">Use in </w:t>
      </w:r>
      <w:r w:rsidR="00AE3589">
        <w:rPr>
          <w:rFonts w:ascii="Times New Roman" w:hAnsi="Times New Roman" w:cs="Times New Roman"/>
          <w:noProof/>
          <w:u w:val="single"/>
        </w:rPr>
        <w:t>hepatic impairment</w:t>
      </w:r>
    </w:p>
    <w:p w14:paraId="437DCD46" w14:textId="41907EDD" w:rsidR="001A0BC8" w:rsidRDefault="001A0BC8" w:rsidP="00141239">
      <w:pPr>
        <w:spacing w:after="0" w:line="240" w:lineRule="auto"/>
        <w:contextualSpacing/>
        <w:rPr>
          <w:rFonts w:ascii="Times New Roman" w:hAnsi="Times New Roman" w:cs="Times New Roman"/>
          <w:noProof/>
        </w:rPr>
      </w:pPr>
      <w:r w:rsidRPr="00141239">
        <w:rPr>
          <w:rFonts w:ascii="Times New Roman" w:hAnsi="Times New Roman" w:cs="Times New Roman"/>
          <w:noProof/>
        </w:rPr>
        <w:t>As most plitidepsin is eliminated via the liver, patients with impaired hepatic function (AST &gt; 3 x ULN and/or bilirubin &gt; 1 × ULN) may be at risk of increased exposure to plitidepsin (</w:t>
      </w:r>
      <w:r w:rsidRPr="000C02AE">
        <w:rPr>
          <w:rFonts w:ascii="Times New Roman" w:hAnsi="Times New Roman" w:cs="Times New Roman"/>
          <w:noProof/>
        </w:rPr>
        <w:t>see</w:t>
      </w:r>
      <w:r w:rsidRPr="00141239">
        <w:rPr>
          <w:rFonts w:ascii="Times New Roman" w:hAnsi="Times New Roman" w:cs="Times New Roman"/>
          <w:b/>
          <w:noProof/>
        </w:rPr>
        <w:t xml:space="preserve"> </w:t>
      </w:r>
      <w:r w:rsidR="000C02AE" w:rsidRPr="000C02AE">
        <w:rPr>
          <w:rFonts w:ascii="Times New Roman" w:hAnsi="Times New Roman" w:cs="Times New Roman"/>
          <w:b/>
          <w:i/>
          <w:noProof/>
        </w:rPr>
        <w:t xml:space="preserve">Section 4.2 </w:t>
      </w:r>
      <w:r w:rsidRPr="000C02AE">
        <w:rPr>
          <w:rFonts w:ascii="Times New Roman" w:hAnsi="Times New Roman" w:cs="Times New Roman"/>
          <w:b/>
          <w:i/>
          <w:noProof/>
        </w:rPr>
        <w:t>Dose and</w:t>
      </w:r>
      <w:r w:rsidR="000C02AE" w:rsidRPr="000C02AE">
        <w:rPr>
          <w:rFonts w:ascii="Times New Roman" w:hAnsi="Times New Roman" w:cs="Times New Roman"/>
          <w:b/>
          <w:i/>
          <w:noProof/>
        </w:rPr>
        <w:t xml:space="preserve"> method of</w:t>
      </w:r>
      <w:r w:rsidRPr="000C02AE">
        <w:rPr>
          <w:rFonts w:ascii="Times New Roman" w:hAnsi="Times New Roman" w:cs="Times New Roman"/>
          <w:b/>
          <w:i/>
          <w:noProof/>
        </w:rPr>
        <w:t xml:space="preserve"> </w:t>
      </w:r>
      <w:r w:rsidR="000C02AE" w:rsidRPr="000C02AE">
        <w:rPr>
          <w:rFonts w:ascii="Times New Roman" w:hAnsi="Times New Roman" w:cs="Times New Roman"/>
          <w:b/>
          <w:i/>
          <w:noProof/>
        </w:rPr>
        <w:t>a</w:t>
      </w:r>
      <w:r w:rsidRPr="000C02AE">
        <w:rPr>
          <w:rFonts w:ascii="Times New Roman" w:hAnsi="Times New Roman" w:cs="Times New Roman"/>
          <w:b/>
          <w:i/>
          <w:noProof/>
        </w:rPr>
        <w:t>dministration</w:t>
      </w:r>
      <w:r w:rsidRPr="00141239">
        <w:rPr>
          <w:rFonts w:ascii="Times New Roman" w:hAnsi="Times New Roman" w:cs="Times New Roman"/>
          <w:b/>
          <w:noProof/>
        </w:rPr>
        <w:t xml:space="preserve"> </w:t>
      </w:r>
      <w:r w:rsidRPr="000C02AE">
        <w:rPr>
          <w:rFonts w:ascii="Times New Roman" w:hAnsi="Times New Roman" w:cs="Times New Roman"/>
          <w:noProof/>
        </w:rPr>
        <w:t>and</w:t>
      </w:r>
      <w:r w:rsidRPr="00141239">
        <w:rPr>
          <w:rFonts w:ascii="Times New Roman" w:hAnsi="Times New Roman" w:cs="Times New Roman"/>
          <w:b/>
          <w:noProof/>
        </w:rPr>
        <w:t xml:space="preserve"> </w:t>
      </w:r>
      <w:r w:rsidR="000C02AE" w:rsidRPr="000C02AE">
        <w:rPr>
          <w:rFonts w:ascii="Times New Roman" w:hAnsi="Times New Roman" w:cs="Times New Roman"/>
          <w:b/>
          <w:i/>
          <w:noProof/>
        </w:rPr>
        <w:t xml:space="preserve">Section 5 </w:t>
      </w:r>
      <w:r w:rsidRPr="000C02AE">
        <w:rPr>
          <w:rFonts w:ascii="Times New Roman" w:hAnsi="Times New Roman" w:cs="Times New Roman"/>
          <w:b/>
          <w:i/>
          <w:noProof/>
        </w:rPr>
        <w:t>Pharmacolog</w:t>
      </w:r>
      <w:r w:rsidR="000C02AE" w:rsidRPr="000C02AE">
        <w:rPr>
          <w:rFonts w:ascii="Times New Roman" w:hAnsi="Times New Roman" w:cs="Times New Roman"/>
          <w:b/>
          <w:i/>
          <w:noProof/>
        </w:rPr>
        <w:t>ical properties</w:t>
      </w:r>
      <w:r w:rsidRPr="00141239">
        <w:rPr>
          <w:rFonts w:ascii="Times New Roman" w:hAnsi="Times New Roman" w:cs="Times New Roman"/>
          <w:noProof/>
        </w:rPr>
        <w:t>).</w:t>
      </w:r>
    </w:p>
    <w:p w14:paraId="31767BC7" w14:textId="0D0462B1" w:rsidR="000D78E1" w:rsidRDefault="000D78E1" w:rsidP="00141239">
      <w:pPr>
        <w:spacing w:after="0" w:line="240" w:lineRule="auto"/>
        <w:contextualSpacing/>
        <w:rPr>
          <w:rFonts w:ascii="Times New Roman" w:hAnsi="Times New Roman" w:cs="Times New Roman"/>
          <w:noProof/>
        </w:rPr>
      </w:pPr>
    </w:p>
    <w:p w14:paraId="68A118C8" w14:textId="52124B0B" w:rsidR="00FA70CA" w:rsidRPr="00250B4F" w:rsidRDefault="000D78E1" w:rsidP="00FA70CA">
      <w:pPr>
        <w:spacing w:after="0" w:line="240" w:lineRule="auto"/>
        <w:contextualSpacing/>
        <w:rPr>
          <w:rFonts w:ascii="Times New Roman" w:hAnsi="Times New Roman" w:cs="Times New Roman"/>
          <w:i/>
        </w:rPr>
      </w:pPr>
      <w:r>
        <w:rPr>
          <w:rFonts w:ascii="Times New Roman" w:hAnsi="Times New Roman" w:cs="Times New Roman"/>
          <w:noProof/>
          <w:u w:val="single"/>
        </w:rPr>
        <w:t>Use in the elderly</w:t>
      </w:r>
    </w:p>
    <w:p w14:paraId="07409643" w14:textId="77777777" w:rsidR="00FA70CA" w:rsidRPr="00250B4F" w:rsidRDefault="00FA70CA" w:rsidP="00FA70CA">
      <w:pPr>
        <w:spacing w:after="0" w:line="240" w:lineRule="auto"/>
        <w:rPr>
          <w:rFonts w:ascii="Times New Roman" w:hAnsi="Times New Roman" w:cs="Times New Roman"/>
        </w:rPr>
      </w:pPr>
      <w:r w:rsidRPr="00250B4F">
        <w:rPr>
          <w:rFonts w:ascii="Times New Roman" w:hAnsi="Times New Roman" w:cs="Times New Roman"/>
        </w:rPr>
        <w:t>No age-related dose adjustment is required for plitidepsin.</w:t>
      </w:r>
    </w:p>
    <w:p w14:paraId="4CCA6FCC" w14:textId="77777777" w:rsidR="000D78E1" w:rsidRDefault="000D78E1" w:rsidP="00141239">
      <w:pPr>
        <w:spacing w:after="0" w:line="240" w:lineRule="auto"/>
        <w:contextualSpacing/>
        <w:rPr>
          <w:rFonts w:ascii="Times New Roman" w:hAnsi="Times New Roman" w:cs="Times New Roman"/>
          <w:noProof/>
          <w:u w:val="single"/>
        </w:rPr>
      </w:pPr>
    </w:p>
    <w:p w14:paraId="43BEB47C" w14:textId="30FD3452" w:rsidR="000D78E1" w:rsidRDefault="000D78E1" w:rsidP="00141239">
      <w:pPr>
        <w:spacing w:after="0" w:line="240" w:lineRule="auto"/>
        <w:contextualSpacing/>
        <w:rPr>
          <w:rFonts w:ascii="Times New Roman" w:hAnsi="Times New Roman" w:cs="Times New Roman"/>
          <w:noProof/>
          <w:u w:val="single"/>
        </w:rPr>
      </w:pPr>
      <w:r>
        <w:rPr>
          <w:rFonts w:ascii="Times New Roman" w:hAnsi="Times New Roman" w:cs="Times New Roman"/>
          <w:noProof/>
          <w:u w:val="single"/>
        </w:rPr>
        <w:t>Paediatric use</w:t>
      </w:r>
    </w:p>
    <w:p w14:paraId="0B6AA8B0" w14:textId="6002C228" w:rsidR="000D78E1" w:rsidRPr="00917B17" w:rsidRDefault="00FA70CA" w:rsidP="00141239">
      <w:pPr>
        <w:spacing w:after="0" w:line="240" w:lineRule="auto"/>
        <w:rPr>
          <w:rFonts w:ascii="Times New Roman" w:hAnsi="Times New Roman" w:cs="Times New Roman"/>
        </w:rPr>
      </w:pPr>
      <w:r w:rsidRPr="00835495">
        <w:rPr>
          <w:rFonts w:ascii="Times New Roman" w:hAnsi="Times New Roman" w:cs="Times New Roman"/>
        </w:rPr>
        <w:t>The safety and efficacy of APLIDIN in the paediatric population has not been studied in MM.</w:t>
      </w:r>
    </w:p>
    <w:p w14:paraId="3DE7FEDF" w14:textId="77777777" w:rsidR="00124F89" w:rsidRPr="000D78E1" w:rsidRDefault="00124F89" w:rsidP="00124F89">
      <w:pPr>
        <w:spacing w:after="0" w:line="240" w:lineRule="auto"/>
        <w:contextualSpacing/>
        <w:rPr>
          <w:rFonts w:ascii="Times New Roman" w:hAnsi="Times New Roman" w:cs="Times New Roman"/>
          <w:noProof/>
          <w:u w:val="single"/>
        </w:rPr>
      </w:pPr>
      <w:r w:rsidRPr="00427729">
        <w:rPr>
          <w:rFonts w:ascii="Times New Roman" w:hAnsi="Times New Roman" w:cs="Times New Roman"/>
          <w:noProof/>
          <w:u w:val="single"/>
        </w:rPr>
        <w:lastRenderedPageBreak/>
        <w:t>Effects on laboratory tests</w:t>
      </w:r>
    </w:p>
    <w:p w14:paraId="082994E5" w14:textId="77777777" w:rsidR="00124F89" w:rsidRDefault="00124F89" w:rsidP="00124F89">
      <w:pPr>
        <w:spacing w:after="0" w:line="240" w:lineRule="auto"/>
        <w:contextualSpacing/>
        <w:rPr>
          <w:rFonts w:ascii="Times New Roman" w:hAnsi="Times New Roman" w:cs="Times New Roman"/>
        </w:rPr>
      </w:pPr>
      <w:r>
        <w:rPr>
          <w:rFonts w:ascii="Times New Roman" w:hAnsi="Times New Roman" w:cs="Times New Roman"/>
        </w:rPr>
        <w:t>No effects on laboratory test have been observed.</w:t>
      </w:r>
    </w:p>
    <w:p w14:paraId="225CF80B" w14:textId="77777777" w:rsidR="00012C49" w:rsidRPr="00141239" w:rsidRDefault="00012C49" w:rsidP="00141239">
      <w:pPr>
        <w:spacing w:after="0" w:line="240" w:lineRule="auto"/>
        <w:contextualSpacing/>
        <w:rPr>
          <w:rFonts w:ascii="Times New Roman" w:hAnsi="Times New Roman" w:cs="Times New Roman"/>
        </w:rPr>
      </w:pPr>
    </w:p>
    <w:p w14:paraId="16F711BB" w14:textId="6F77013E" w:rsidR="00156494" w:rsidRDefault="001A3992" w:rsidP="00645AC8">
      <w:pPr>
        <w:pStyle w:val="Heading2"/>
        <w:spacing w:before="0" w:after="0"/>
        <w:ind w:left="0" w:hanging="426"/>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Interactions with other medicines and other forms of interactions</w:t>
      </w:r>
    </w:p>
    <w:p w14:paraId="3C4A2AF0" w14:textId="77777777" w:rsidR="00E57003" w:rsidRDefault="00E57003" w:rsidP="00BC74BF">
      <w:pPr>
        <w:spacing w:after="0" w:line="240" w:lineRule="auto"/>
        <w:rPr>
          <w:rFonts w:ascii="Times New Roman" w:hAnsi="Times New Roman" w:cs="Times New Roman"/>
          <w:noProof/>
        </w:rPr>
      </w:pPr>
    </w:p>
    <w:p w14:paraId="703723B6" w14:textId="2E959A38" w:rsidR="00DF32D9" w:rsidRPr="00BC74BF" w:rsidRDefault="00DF32D9" w:rsidP="00BC74BF">
      <w:pPr>
        <w:spacing w:after="0" w:line="240" w:lineRule="auto"/>
        <w:rPr>
          <w:rFonts w:ascii="Times New Roman" w:hAnsi="Times New Roman" w:cs="Times New Roman"/>
          <w:noProof/>
        </w:rPr>
      </w:pPr>
      <w:r w:rsidRPr="00BC74BF">
        <w:rPr>
          <w:rFonts w:ascii="Times New Roman" w:hAnsi="Times New Roman" w:cs="Times New Roman"/>
          <w:noProof/>
        </w:rPr>
        <w:t>No interaction studies have been performed.</w:t>
      </w:r>
    </w:p>
    <w:p w14:paraId="2410079D" w14:textId="77777777" w:rsidR="00DF32D9" w:rsidRPr="00BC74BF" w:rsidRDefault="00DF32D9" w:rsidP="00BC74BF">
      <w:pPr>
        <w:pStyle w:val="Default"/>
        <w:rPr>
          <w:rFonts w:ascii="Times New Roman" w:hAnsi="Times New Roman" w:cs="Times New Roman"/>
          <w:sz w:val="22"/>
          <w:szCs w:val="22"/>
        </w:rPr>
      </w:pPr>
    </w:p>
    <w:p w14:paraId="1600E582" w14:textId="61B5354A" w:rsidR="00DF32D9" w:rsidRPr="00BC74BF" w:rsidRDefault="00DF32D9" w:rsidP="00BC74BF">
      <w:pPr>
        <w:pStyle w:val="Default"/>
        <w:rPr>
          <w:rFonts w:ascii="Times New Roman" w:hAnsi="Times New Roman" w:cs="Times New Roman"/>
          <w:b/>
          <w:sz w:val="22"/>
          <w:szCs w:val="22"/>
        </w:rPr>
      </w:pPr>
      <w:r w:rsidRPr="00BC74BF">
        <w:rPr>
          <w:rFonts w:ascii="Times New Roman" w:hAnsi="Times New Roman" w:cs="Times New Roman"/>
          <w:b/>
          <w:sz w:val="22"/>
          <w:szCs w:val="22"/>
        </w:rPr>
        <w:t>Effect of other medicinal products on A</w:t>
      </w:r>
      <w:r w:rsidR="00E57003">
        <w:rPr>
          <w:rFonts w:ascii="Times New Roman" w:hAnsi="Times New Roman" w:cs="Times New Roman"/>
          <w:b/>
          <w:sz w:val="22"/>
          <w:szCs w:val="22"/>
        </w:rPr>
        <w:t>PLIDIN</w:t>
      </w:r>
      <w:r w:rsidRPr="00BC74BF">
        <w:rPr>
          <w:rFonts w:ascii="Times New Roman" w:hAnsi="Times New Roman" w:cs="Times New Roman"/>
          <w:b/>
          <w:sz w:val="22"/>
          <w:szCs w:val="22"/>
        </w:rPr>
        <w:t xml:space="preserve"> </w:t>
      </w:r>
    </w:p>
    <w:p w14:paraId="3B716D0A" w14:textId="77777777" w:rsidR="00DF32D9" w:rsidRPr="00BC74BF" w:rsidRDefault="00DF32D9" w:rsidP="00BC74BF">
      <w:pPr>
        <w:pStyle w:val="Default"/>
        <w:rPr>
          <w:rFonts w:ascii="Times New Roman" w:hAnsi="Times New Roman" w:cs="Times New Roman"/>
          <w:i/>
          <w:sz w:val="22"/>
          <w:szCs w:val="22"/>
        </w:rPr>
      </w:pPr>
      <w:r w:rsidRPr="00BC74BF">
        <w:rPr>
          <w:rFonts w:ascii="Times New Roman" w:hAnsi="Times New Roman" w:cs="Times New Roman"/>
          <w:i/>
          <w:sz w:val="22"/>
          <w:szCs w:val="22"/>
        </w:rPr>
        <w:t>Interactions with CYP3A4 inhibitors</w:t>
      </w:r>
    </w:p>
    <w:p w14:paraId="0970F70C" w14:textId="77777777" w:rsidR="00DF32D9" w:rsidRPr="00BC74BF" w:rsidRDefault="00DF32D9" w:rsidP="00BC74BF">
      <w:pPr>
        <w:pStyle w:val="Default"/>
        <w:rPr>
          <w:rFonts w:ascii="Times New Roman" w:hAnsi="Times New Roman" w:cs="Times New Roman"/>
          <w:sz w:val="22"/>
          <w:szCs w:val="22"/>
        </w:rPr>
      </w:pPr>
      <w:r w:rsidRPr="00BC74BF">
        <w:rPr>
          <w:rFonts w:ascii="Times New Roman" w:hAnsi="Times New Roman" w:cs="Times New Roman"/>
          <w:i/>
          <w:sz w:val="22"/>
          <w:szCs w:val="22"/>
        </w:rPr>
        <w:t>In vitro</w:t>
      </w:r>
      <w:r w:rsidRPr="00BC74BF">
        <w:rPr>
          <w:rFonts w:ascii="Times New Roman" w:hAnsi="Times New Roman" w:cs="Times New Roman"/>
          <w:sz w:val="22"/>
          <w:szCs w:val="22"/>
        </w:rPr>
        <w:t xml:space="preserve"> studies indicate that CYP3A4 is the main enzyme involved in the metabolism of plitidepsin. Plitidepsin should not be administered with strong CYP3A4-enzyme inhibitors (e.g. grapefruit juice, clarithromycin, itraconazole, nefazodone, telithromycin, voriconazole). Strong CYP3A4 inhibitors should be discontinued at least 1 week prior to starting treatment and while on treatment with plitidepsin.</w:t>
      </w:r>
    </w:p>
    <w:p w14:paraId="4DC235BD" w14:textId="77777777" w:rsidR="00DF32D9" w:rsidRPr="00BC74BF" w:rsidRDefault="00DF32D9" w:rsidP="00BC74BF">
      <w:pPr>
        <w:pStyle w:val="Default"/>
        <w:rPr>
          <w:rFonts w:ascii="Times New Roman" w:hAnsi="Times New Roman" w:cs="Times New Roman"/>
          <w:sz w:val="22"/>
          <w:szCs w:val="22"/>
        </w:rPr>
      </w:pPr>
    </w:p>
    <w:p w14:paraId="2E947E36" w14:textId="77777777" w:rsidR="00DF32D9" w:rsidRPr="00BC74BF" w:rsidRDefault="00DF32D9" w:rsidP="00BC74BF">
      <w:pPr>
        <w:pStyle w:val="Default"/>
        <w:rPr>
          <w:rFonts w:ascii="Times New Roman" w:hAnsi="Times New Roman" w:cs="Times New Roman"/>
          <w:sz w:val="22"/>
          <w:szCs w:val="22"/>
        </w:rPr>
      </w:pPr>
      <w:r w:rsidRPr="00BC74BF">
        <w:rPr>
          <w:rFonts w:ascii="Times New Roman" w:hAnsi="Times New Roman" w:cs="Times New Roman"/>
          <w:sz w:val="22"/>
          <w:szCs w:val="22"/>
        </w:rPr>
        <w:t>Moderate CYP3A4-enzyme inhibitors (e.g. aprepitant, diltiazem, erythromycin, fluconazole, verapamil) should be used cautiously, since an increase of plitidepsin exposure cannot be excluded.</w:t>
      </w:r>
    </w:p>
    <w:p w14:paraId="11BA9C56" w14:textId="77777777" w:rsidR="00DF32D9" w:rsidRPr="00BC74BF" w:rsidRDefault="00DF32D9" w:rsidP="00BC74BF">
      <w:pPr>
        <w:pStyle w:val="Default"/>
        <w:rPr>
          <w:rFonts w:ascii="Times New Roman" w:hAnsi="Times New Roman" w:cs="Times New Roman"/>
          <w:sz w:val="22"/>
          <w:szCs w:val="22"/>
        </w:rPr>
      </w:pPr>
    </w:p>
    <w:p w14:paraId="3F0C43FE" w14:textId="77777777" w:rsidR="00DF32D9" w:rsidRPr="00BC74BF" w:rsidRDefault="00DF32D9" w:rsidP="00BC74BF">
      <w:pPr>
        <w:pStyle w:val="Default"/>
        <w:rPr>
          <w:rFonts w:ascii="Times New Roman" w:hAnsi="Times New Roman" w:cs="Times New Roman"/>
          <w:i/>
          <w:sz w:val="22"/>
          <w:szCs w:val="22"/>
        </w:rPr>
      </w:pPr>
      <w:r w:rsidRPr="00BC74BF">
        <w:rPr>
          <w:rFonts w:ascii="Times New Roman" w:hAnsi="Times New Roman" w:cs="Times New Roman"/>
          <w:i/>
          <w:sz w:val="22"/>
          <w:szCs w:val="22"/>
        </w:rPr>
        <w:t>Interactions with CYP3A4 inducers</w:t>
      </w:r>
    </w:p>
    <w:p w14:paraId="54993C51" w14:textId="77777777" w:rsidR="00DF32D9" w:rsidRPr="00BC74BF" w:rsidRDefault="00DF32D9" w:rsidP="00BC74BF">
      <w:pPr>
        <w:pStyle w:val="Default"/>
        <w:rPr>
          <w:rFonts w:ascii="Times New Roman" w:hAnsi="Times New Roman" w:cs="Times New Roman"/>
          <w:sz w:val="22"/>
          <w:szCs w:val="22"/>
        </w:rPr>
      </w:pPr>
      <w:r w:rsidRPr="00BC74BF">
        <w:rPr>
          <w:rFonts w:ascii="Times New Roman" w:hAnsi="Times New Roman" w:cs="Times New Roman"/>
          <w:sz w:val="22"/>
          <w:szCs w:val="22"/>
        </w:rPr>
        <w:t>In order to avoid a loss of plitidepsin efficacy, plitidepsin should not be administered with strong CYP3A4-enzyme inducers such as anticonvulsants (phenytoin, phenobarbital or carbamazepine), rifampin, rifabutin and St. John’s wort unless there are no therapeutic alternatives. The appropriate starting dose for patients taking these anticonvulsants or other strong inducers has not been defined. Consideration should be given to substituting with non-enzyme inducing therapies at least 2 weeks prior to initiation and while on treatment with plitidepsin therapy.</w:t>
      </w:r>
    </w:p>
    <w:p w14:paraId="15ABCF7D" w14:textId="77777777" w:rsidR="00DF32D9" w:rsidRPr="00BC74BF" w:rsidRDefault="00DF32D9" w:rsidP="00BC74BF">
      <w:pPr>
        <w:pStyle w:val="Default"/>
        <w:rPr>
          <w:rFonts w:ascii="Times New Roman" w:hAnsi="Times New Roman" w:cs="Times New Roman"/>
          <w:sz w:val="22"/>
          <w:szCs w:val="22"/>
        </w:rPr>
      </w:pPr>
    </w:p>
    <w:p w14:paraId="7B439CA3" w14:textId="77777777" w:rsidR="00DF32D9" w:rsidRPr="00BC74BF" w:rsidRDefault="00DF32D9" w:rsidP="00BC74BF">
      <w:pPr>
        <w:pStyle w:val="Default"/>
        <w:rPr>
          <w:rFonts w:ascii="Times New Roman" w:hAnsi="Times New Roman" w:cs="Times New Roman"/>
          <w:sz w:val="22"/>
          <w:szCs w:val="22"/>
        </w:rPr>
      </w:pPr>
      <w:r w:rsidRPr="00BC74BF">
        <w:rPr>
          <w:rFonts w:ascii="Times New Roman" w:hAnsi="Times New Roman" w:cs="Times New Roman"/>
          <w:sz w:val="22"/>
          <w:szCs w:val="22"/>
        </w:rPr>
        <w:t xml:space="preserve">Moderate CYP3A4-enzyme inducers (e.g. </w:t>
      </w:r>
      <w:proofErr w:type="spellStart"/>
      <w:r w:rsidRPr="00BC74BF">
        <w:rPr>
          <w:rFonts w:ascii="Times New Roman" w:hAnsi="Times New Roman" w:cs="Times New Roman"/>
          <w:sz w:val="22"/>
          <w:szCs w:val="22"/>
        </w:rPr>
        <w:t>bosentan</w:t>
      </w:r>
      <w:proofErr w:type="spellEnd"/>
      <w:r w:rsidRPr="00BC74BF">
        <w:rPr>
          <w:rFonts w:ascii="Times New Roman" w:hAnsi="Times New Roman" w:cs="Times New Roman"/>
          <w:sz w:val="22"/>
          <w:szCs w:val="22"/>
        </w:rPr>
        <w:t xml:space="preserve">, </w:t>
      </w:r>
      <w:proofErr w:type="spellStart"/>
      <w:r w:rsidRPr="00BC74BF">
        <w:rPr>
          <w:rFonts w:ascii="Times New Roman" w:hAnsi="Times New Roman" w:cs="Times New Roman"/>
          <w:sz w:val="22"/>
          <w:szCs w:val="22"/>
        </w:rPr>
        <w:t>modafinil</w:t>
      </w:r>
      <w:proofErr w:type="spellEnd"/>
      <w:r w:rsidRPr="00BC74BF">
        <w:rPr>
          <w:rFonts w:ascii="Times New Roman" w:hAnsi="Times New Roman" w:cs="Times New Roman"/>
          <w:sz w:val="22"/>
          <w:szCs w:val="22"/>
        </w:rPr>
        <w:t xml:space="preserve">, </w:t>
      </w:r>
      <w:proofErr w:type="spellStart"/>
      <w:r w:rsidRPr="00BC74BF">
        <w:rPr>
          <w:rFonts w:ascii="Times New Roman" w:hAnsi="Times New Roman" w:cs="Times New Roman"/>
          <w:sz w:val="22"/>
          <w:szCs w:val="22"/>
        </w:rPr>
        <w:t>nafcillin</w:t>
      </w:r>
      <w:proofErr w:type="spellEnd"/>
      <w:r w:rsidRPr="00BC74BF">
        <w:rPr>
          <w:rFonts w:ascii="Times New Roman" w:hAnsi="Times New Roman" w:cs="Times New Roman"/>
          <w:sz w:val="22"/>
          <w:szCs w:val="22"/>
        </w:rPr>
        <w:t>) should be used cautiously, since a reduction of plitidepsin exposure cannot be excluded.</w:t>
      </w:r>
    </w:p>
    <w:p w14:paraId="6BDD1C30" w14:textId="77777777" w:rsidR="00DF32D9" w:rsidRPr="00BC74BF" w:rsidRDefault="00DF32D9" w:rsidP="00BC74BF">
      <w:pPr>
        <w:pStyle w:val="Default"/>
        <w:rPr>
          <w:rFonts w:ascii="Times New Roman" w:hAnsi="Times New Roman" w:cs="Times New Roman"/>
          <w:sz w:val="22"/>
          <w:szCs w:val="22"/>
          <w:u w:val="single"/>
        </w:rPr>
      </w:pPr>
    </w:p>
    <w:p w14:paraId="1C8F4AC3" w14:textId="314905DC" w:rsidR="00DF32D9" w:rsidRPr="00BC74BF" w:rsidRDefault="00DF32D9" w:rsidP="00BC74BF">
      <w:pPr>
        <w:pStyle w:val="Default"/>
        <w:rPr>
          <w:rFonts w:ascii="Times New Roman" w:hAnsi="Times New Roman" w:cs="Times New Roman"/>
          <w:b/>
          <w:sz w:val="22"/>
          <w:szCs w:val="22"/>
        </w:rPr>
      </w:pPr>
      <w:r w:rsidRPr="00BC74BF">
        <w:rPr>
          <w:rFonts w:ascii="Times New Roman" w:hAnsi="Times New Roman" w:cs="Times New Roman"/>
          <w:b/>
          <w:sz w:val="22"/>
          <w:szCs w:val="22"/>
        </w:rPr>
        <w:t>Effect of A</w:t>
      </w:r>
      <w:r w:rsidR="00E57003">
        <w:rPr>
          <w:rFonts w:ascii="Times New Roman" w:hAnsi="Times New Roman" w:cs="Times New Roman"/>
          <w:b/>
          <w:sz w:val="22"/>
          <w:szCs w:val="22"/>
        </w:rPr>
        <w:t>PLIDIN</w:t>
      </w:r>
      <w:r w:rsidRPr="00BC74BF">
        <w:rPr>
          <w:rFonts w:ascii="Times New Roman" w:hAnsi="Times New Roman" w:cs="Times New Roman"/>
          <w:b/>
          <w:sz w:val="22"/>
          <w:szCs w:val="22"/>
        </w:rPr>
        <w:t xml:space="preserve"> on other medicinal products </w:t>
      </w:r>
    </w:p>
    <w:p w14:paraId="4033CEEA" w14:textId="6E0B231E" w:rsidR="00DF32D9" w:rsidRPr="00BC74BF" w:rsidRDefault="00AB3CA9" w:rsidP="00BC74BF">
      <w:pPr>
        <w:keepNext/>
        <w:spacing w:after="0" w:line="240" w:lineRule="auto"/>
        <w:rPr>
          <w:rFonts w:ascii="Times New Roman" w:hAnsi="Times New Roman" w:cs="Times New Roman"/>
          <w:lang w:val="en-GB"/>
        </w:rPr>
      </w:pPr>
      <w:r>
        <w:rPr>
          <w:rFonts w:ascii="Times New Roman" w:hAnsi="Times New Roman" w:cs="Times New Roman"/>
          <w:lang w:val="en-GB"/>
        </w:rPr>
        <w:t xml:space="preserve">No relevant inhibition of key CYP isozymes (1A2, 2B6, 2C8, 2C9, 2C19, 2D6, 2E1 and 3A4) or transporters (P-glycoprotein, OATP1B1, OATP1B3, BCRP, BSEP, MRP2, OAT1, OAT3 and OCT2) was observed with plitidepsin at therapeutic concentrations </w:t>
      </w:r>
      <w:r>
        <w:rPr>
          <w:rFonts w:ascii="Times New Roman" w:hAnsi="Times New Roman" w:cs="Times New Roman"/>
          <w:i/>
          <w:lang w:val="en-GB"/>
        </w:rPr>
        <w:t xml:space="preserve">in </w:t>
      </w:r>
      <w:r w:rsidRPr="009B6E08">
        <w:rPr>
          <w:rFonts w:ascii="Times New Roman" w:hAnsi="Times New Roman" w:cs="Times New Roman"/>
          <w:lang w:val="en-GB"/>
        </w:rPr>
        <w:t>vitro</w:t>
      </w:r>
      <w:r>
        <w:rPr>
          <w:rFonts w:ascii="Times New Roman" w:hAnsi="Times New Roman" w:cs="Times New Roman"/>
          <w:lang w:val="en-GB"/>
        </w:rPr>
        <w:t>.  Accordingly</w:t>
      </w:r>
      <w:r w:rsidR="00DF32D9" w:rsidRPr="00BC74BF">
        <w:rPr>
          <w:rFonts w:ascii="Times New Roman" w:hAnsi="Times New Roman" w:cs="Times New Roman"/>
          <w:lang w:val="en-GB"/>
        </w:rPr>
        <w:t xml:space="preserve">, pharmacokinetic drug-drug interactions caused by plitidepsin on co-administered substances </w:t>
      </w:r>
      <w:r w:rsidR="004F0D82">
        <w:rPr>
          <w:rFonts w:ascii="Times New Roman" w:hAnsi="Times New Roman" w:cs="Times New Roman"/>
          <w:lang w:val="en-GB"/>
        </w:rPr>
        <w:t>are not expected</w:t>
      </w:r>
      <w:r w:rsidR="00DF32D9" w:rsidRPr="00BC74BF">
        <w:rPr>
          <w:rFonts w:ascii="Times New Roman" w:hAnsi="Times New Roman" w:cs="Times New Roman"/>
          <w:lang w:val="en-GB"/>
        </w:rPr>
        <w:t>.</w:t>
      </w:r>
    </w:p>
    <w:p w14:paraId="1E95CA11" w14:textId="77777777" w:rsidR="00DF32D9" w:rsidRPr="00BC74BF" w:rsidRDefault="00DF32D9" w:rsidP="00BC74BF">
      <w:pPr>
        <w:keepNext/>
        <w:spacing w:after="0" w:line="240" w:lineRule="auto"/>
        <w:rPr>
          <w:rFonts w:ascii="Times New Roman" w:hAnsi="Times New Roman" w:cs="Times New Roman"/>
          <w:lang w:val="en-GB"/>
        </w:rPr>
      </w:pPr>
    </w:p>
    <w:p w14:paraId="7375A698" w14:textId="77777777" w:rsidR="00DF32D9" w:rsidRPr="00BC74BF" w:rsidRDefault="00DF32D9" w:rsidP="00BC74BF">
      <w:pPr>
        <w:keepNext/>
        <w:spacing w:after="0" w:line="240" w:lineRule="auto"/>
        <w:rPr>
          <w:rFonts w:ascii="Times New Roman" w:hAnsi="Times New Roman" w:cs="Times New Roman"/>
          <w:b/>
          <w:lang w:val="en-GB"/>
        </w:rPr>
      </w:pPr>
      <w:r w:rsidRPr="00BC74BF">
        <w:rPr>
          <w:rFonts w:ascii="Times New Roman" w:hAnsi="Times New Roman" w:cs="Times New Roman"/>
          <w:b/>
          <w:lang w:val="en-GB"/>
        </w:rPr>
        <w:t>Oral contraceptives</w:t>
      </w:r>
    </w:p>
    <w:p w14:paraId="03850CCF" w14:textId="77777777" w:rsidR="00DF32D9" w:rsidRPr="00BC74BF" w:rsidRDefault="00DF32D9" w:rsidP="00BC74BF">
      <w:pPr>
        <w:keepNext/>
        <w:spacing w:after="0" w:line="240" w:lineRule="auto"/>
        <w:rPr>
          <w:rFonts w:ascii="Times New Roman" w:hAnsi="Times New Roman" w:cs="Times New Roman"/>
          <w:lang w:val="en-GB"/>
        </w:rPr>
      </w:pPr>
      <w:r w:rsidRPr="00BC74BF">
        <w:rPr>
          <w:rFonts w:ascii="Times New Roman" w:hAnsi="Times New Roman" w:cs="Times New Roman"/>
          <w:lang w:val="en-GB"/>
        </w:rPr>
        <w:t>Since dexamethasone is a moderate inducer of CYP3A4, efficacy of oral contraceptives may be reduced when administered concomitantly. Consequently, effective measures to avoid pregnancy must be taken.</w:t>
      </w:r>
    </w:p>
    <w:p w14:paraId="224910C8" w14:textId="77777777" w:rsidR="00DF32D9" w:rsidRPr="00BC74BF" w:rsidRDefault="00DF32D9" w:rsidP="00BC74BF">
      <w:pPr>
        <w:keepNext/>
        <w:spacing w:after="0" w:line="240" w:lineRule="auto"/>
        <w:rPr>
          <w:rFonts w:ascii="Times New Roman" w:hAnsi="Times New Roman" w:cs="Times New Roman"/>
          <w:lang w:val="en-GB"/>
        </w:rPr>
      </w:pPr>
    </w:p>
    <w:p w14:paraId="6815893E" w14:textId="77777777" w:rsidR="00DF32D9" w:rsidRPr="00BC74BF" w:rsidRDefault="00DF32D9" w:rsidP="00BC74BF">
      <w:pPr>
        <w:keepNext/>
        <w:spacing w:after="0" w:line="240" w:lineRule="auto"/>
        <w:rPr>
          <w:rFonts w:ascii="Times New Roman" w:hAnsi="Times New Roman" w:cs="Times New Roman"/>
          <w:b/>
          <w:lang w:val="en-GB"/>
        </w:rPr>
      </w:pPr>
      <w:r w:rsidRPr="00BC74BF">
        <w:rPr>
          <w:rFonts w:ascii="Times New Roman" w:hAnsi="Times New Roman" w:cs="Times New Roman"/>
          <w:b/>
          <w:lang w:val="en-GB"/>
        </w:rPr>
        <w:t>Concomitant medication frequently used in malignancies</w:t>
      </w:r>
    </w:p>
    <w:p w14:paraId="1D3EFF65" w14:textId="77777777" w:rsidR="00DF32D9" w:rsidRPr="00BC74BF" w:rsidRDefault="00DF32D9" w:rsidP="00BC74BF">
      <w:pPr>
        <w:keepNext/>
        <w:spacing w:after="0" w:line="240" w:lineRule="auto"/>
        <w:rPr>
          <w:rFonts w:ascii="Times New Roman" w:hAnsi="Times New Roman" w:cs="Times New Roman"/>
          <w:lang w:val="en-GB"/>
        </w:rPr>
      </w:pPr>
      <w:r w:rsidRPr="00BC74BF">
        <w:rPr>
          <w:rFonts w:ascii="Times New Roman" w:hAnsi="Times New Roman" w:cs="Times New Roman"/>
          <w:lang w:val="en-GB"/>
        </w:rPr>
        <w:t xml:space="preserve">In multiple myeloma patients, there is experience of co-administering plitidepsin and dexamethasone with antiemetics (i.e. serotonin antagonists such as </w:t>
      </w:r>
      <w:proofErr w:type="spellStart"/>
      <w:r w:rsidRPr="00BC74BF">
        <w:rPr>
          <w:rFonts w:ascii="Times New Roman" w:hAnsi="Times New Roman" w:cs="Times New Roman"/>
          <w:lang w:val="en-GB"/>
        </w:rPr>
        <w:t>ondansetron</w:t>
      </w:r>
      <w:proofErr w:type="spellEnd"/>
      <w:r w:rsidRPr="00BC74BF">
        <w:rPr>
          <w:rFonts w:ascii="Times New Roman" w:hAnsi="Times New Roman" w:cs="Times New Roman"/>
          <w:lang w:val="en-GB"/>
        </w:rPr>
        <w:t xml:space="preserve"> or </w:t>
      </w:r>
      <w:proofErr w:type="spellStart"/>
      <w:r w:rsidRPr="00BC74BF">
        <w:rPr>
          <w:rFonts w:ascii="Times New Roman" w:hAnsi="Times New Roman" w:cs="Times New Roman"/>
          <w:lang w:val="en-GB"/>
        </w:rPr>
        <w:t>granisetron</w:t>
      </w:r>
      <w:proofErr w:type="spellEnd"/>
      <w:r w:rsidRPr="00BC74BF">
        <w:rPr>
          <w:rFonts w:ascii="Times New Roman" w:hAnsi="Times New Roman" w:cs="Times New Roman"/>
          <w:lang w:val="en-GB"/>
        </w:rPr>
        <w:t>, and metoclopramide), antihistamines (i.e. diphenhydramine), proton pump inhibitors (i.e. ranitidine) and bisphosphonates (i.e. zoledronate). Changes in the effects of these drugs have not been reported, but drug-drug interactions between plitidepsin plus dexamethasone and these drugs have not been formally investigated.</w:t>
      </w:r>
    </w:p>
    <w:p w14:paraId="43778808" w14:textId="77777777" w:rsidR="00A448C9" w:rsidRPr="00BC74BF" w:rsidRDefault="00A448C9" w:rsidP="00BC74BF">
      <w:pPr>
        <w:spacing w:after="0" w:line="240" w:lineRule="auto"/>
        <w:rPr>
          <w:rFonts w:ascii="Times New Roman" w:hAnsi="Times New Roman" w:cs="Times New Roman"/>
        </w:rPr>
      </w:pPr>
    </w:p>
    <w:p w14:paraId="32742DC4" w14:textId="56A7F5F4" w:rsidR="001A3992" w:rsidRDefault="001A3992" w:rsidP="00917B17">
      <w:pPr>
        <w:pStyle w:val="Heading2"/>
        <w:pageBreakBefore/>
        <w:spacing w:before="0" w:after="0"/>
        <w:ind w:left="0" w:hanging="425"/>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lastRenderedPageBreak/>
        <w:t xml:space="preserve">Fertility, pregnancy and lactation </w:t>
      </w:r>
    </w:p>
    <w:p w14:paraId="25C24C77" w14:textId="07C8D034" w:rsidR="00A448C9" w:rsidRPr="008F7C39" w:rsidRDefault="008F7C39" w:rsidP="008F7C39">
      <w:pPr>
        <w:spacing w:after="0" w:line="240" w:lineRule="auto"/>
        <w:rPr>
          <w:rFonts w:ascii="Times New Roman" w:hAnsi="Times New Roman" w:cs="Times New Roman"/>
          <w:u w:val="single"/>
        </w:rPr>
      </w:pPr>
      <w:r w:rsidRPr="008F7C39">
        <w:rPr>
          <w:rFonts w:ascii="Times New Roman" w:hAnsi="Times New Roman" w:cs="Times New Roman"/>
          <w:u w:val="single"/>
        </w:rPr>
        <w:t>Effects on fertility</w:t>
      </w:r>
    </w:p>
    <w:p w14:paraId="447DEA9B" w14:textId="415AA920" w:rsidR="008F7C39" w:rsidRDefault="008F7C39" w:rsidP="008F7C39">
      <w:pPr>
        <w:spacing w:after="0" w:line="240" w:lineRule="auto"/>
        <w:rPr>
          <w:rFonts w:ascii="Times New Roman" w:hAnsi="Times New Roman" w:cs="Times New Roman"/>
        </w:rPr>
      </w:pPr>
      <w:r w:rsidRPr="008F7C39">
        <w:rPr>
          <w:rFonts w:ascii="Times New Roman" w:hAnsi="Times New Roman" w:cs="Times New Roman"/>
        </w:rPr>
        <w:t xml:space="preserve">Studies in </w:t>
      </w:r>
      <w:r w:rsidR="00EA2D45">
        <w:rPr>
          <w:rFonts w:ascii="Times New Roman" w:hAnsi="Times New Roman" w:cs="Times New Roman"/>
        </w:rPr>
        <w:t>rats and dogs</w:t>
      </w:r>
      <w:r w:rsidRPr="008F7C39">
        <w:rPr>
          <w:rFonts w:ascii="Times New Roman" w:hAnsi="Times New Roman" w:cs="Times New Roman"/>
        </w:rPr>
        <w:t xml:space="preserve"> have shown that the compound may affect reproductive capacity.</w:t>
      </w:r>
      <w:r w:rsidR="00EA2D45">
        <w:rPr>
          <w:rFonts w:ascii="Times New Roman" w:hAnsi="Times New Roman" w:cs="Times New Roman"/>
        </w:rPr>
        <w:t xml:space="preserve">  Impairment of male and female fertility, sperm degeneration and inhibition of ovulation were observed in animals treated with plitidepsin at doses yielding systemic exposure levels (plasma AUC) below that of patients at the recommended dose.</w:t>
      </w:r>
    </w:p>
    <w:p w14:paraId="334AA803" w14:textId="77777777" w:rsidR="008F7C39" w:rsidRPr="008F7C39" w:rsidRDefault="008F7C39" w:rsidP="008F7C39">
      <w:pPr>
        <w:spacing w:after="0" w:line="240" w:lineRule="auto"/>
        <w:rPr>
          <w:rFonts w:ascii="Times New Roman" w:hAnsi="Times New Roman" w:cs="Times New Roman"/>
        </w:rPr>
      </w:pPr>
    </w:p>
    <w:p w14:paraId="656250F6" w14:textId="4E171ADF" w:rsidR="008F7C39" w:rsidRPr="008F7C39" w:rsidRDefault="008F7C39" w:rsidP="008F7C39">
      <w:pPr>
        <w:spacing w:after="0" w:line="240" w:lineRule="auto"/>
        <w:rPr>
          <w:rFonts w:ascii="Times New Roman" w:hAnsi="Times New Roman" w:cs="Times New Roman"/>
          <w:u w:val="single"/>
        </w:rPr>
      </w:pPr>
      <w:r w:rsidRPr="008F7C39">
        <w:rPr>
          <w:rFonts w:ascii="Times New Roman" w:hAnsi="Times New Roman" w:cs="Times New Roman"/>
          <w:u w:val="single"/>
        </w:rPr>
        <w:t>Use in pregnancy (</w:t>
      </w:r>
      <w:r w:rsidRPr="007D4A97">
        <w:rPr>
          <w:rFonts w:ascii="Times New Roman" w:hAnsi="Times New Roman" w:cs="Times New Roman"/>
          <w:b/>
          <w:u w:val="single"/>
        </w:rPr>
        <w:t xml:space="preserve">Category </w:t>
      </w:r>
      <w:r w:rsidR="00323E1A">
        <w:rPr>
          <w:rFonts w:ascii="Times New Roman" w:hAnsi="Times New Roman" w:cs="Times New Roman"/>
          <w:b/>
          <w:u w:val="single"/>
        </w:rPr>
        <w:t>D</w:t>
      </w:r>
      <w:r w:rsidRPr="008F7C39">
        <w:rPr>
          <w:rFonts w:ascii="Times New Roman" w:hAnsi="Times New Roman" w:cs="Times New Roman"/>
          <w:u w:val="single"/>
        </w:rPr>
        <w:t>)</w:t>
      </w:r>
    </w:p>
    <w:p w14:paraId="3E289786" w14:textId="77777777" w:rsidR="008F7C39" w:rsidRPr="008F7C39" w:rsidRDefault="008F7C39" w:rsidP="008F7C39">
      <w:pPr>
        <w:spacing w:after="0" w:line="240" w:lineRule="auto"/>
        <w:rPr>
          <w:rFonts w:ascii="Times New Roman" w:hAnsi="Times New Roman" w:cs="Times New Roman"/>
        </w:rPr>
      </w:pPr>
      <w:r w:rsidRPr="008F7C39">
        <w:rPr>
          <w:rFonts w:ascii="Times New Roman" w:hAnsi="Times New Roman" w:cs="Times New Roman"/>
        </w:rPr>
        <w:t xml:space="preserve">There is no human experience with plitidepsin during pregnancy. </w:t>
      </w:r>
    </w:p>
    <w:p w14:paraId="3649BCC8" w14:textId="676ECC94" w:rsidR="008F7C39" w:rsidRPr="008F7C39" w:rsidRDefault="004917AD" w:rsidP="008F7C39">
      <w:pPr>
        <w:spacing w:after="0" w:line="240" w:lineRule="auto"/>
        <w:rPr>
          <w:rFonts w:ascii="Times New Roman" w:hAnsi="Times New Roman" w:cs="Times New Roman"/>
        </w:rPr>
      </w:pPr>
      <w:r>
        <w:rPr>
          <w:rFonts w:ascii="Times New Roman" w:hAnsi="Times New Roman" w:cs="Times New Roman"/>
        </w:rPr>
        <w:t>Administration of a single intravenous dose of plitidepsin (0.6 mg/kg) to rats during ge</w:t>
      </w:r>
      <w:r w:rsidR="00780759">
        <w:rPr>
          <w:rFonts w:ascii="Times New Roman" w:hAnsi="Times New Roman" w:cs="Times New Roman"/>
        </w:rPr>
        <w:t>station caused complete embryof</w:t>
      </w:r>
      <w:r>
        <w:rPr>
          <w:rFonts w:ascii="Times New Roman" w:hAnsi="Times New Roman" w:cs="Times New Roman"/>
        </w:rPr>
        <w:t>etal lethality in all animals.  Systemic exposure (plasma AUC) in animals at this dose was below that of patients at the recommended dose.</w:t>
      </w:r>
      <w:r w:rsidR="008F7C39" w:rsidRPr="008F7C39">
        <w:rPr>
          <w:rFonts w:ascii="Times New Roman" w:hAnsi="Times New Roman" w:cs="Times New Roman"/>
        </w:rPr>
        <w:t xml:space="preserve"> </w:t>
      </w:r>
    </w:p>
    <w:p w14:paraId="45DC1AF9" w14:textId="20AB355D" w:rsidR="008F7C39" w:rsidRDefault="007D4A97" w:rsidP="008F7C39">
      <w:pPr>
        <w:spacing w:after="0" w:line="240" w:lineRule="auto"/>
        <w:rPr>
          <w:rFonts w:ascii="Times New Roman" w:hAnsi="Times New Roman" w:cs="Times New Roman"/>
          <w:noProof/>
        </w:rPr>
      </w:pPr>
      <w:r>
        <w:rPr>
          <w:rFonts w:ascii="Times New Roman" w:hAnsi="Times New Roman" w:cs="Times New Roman"/>
          <w:noProof/>
        </w:rPr>
        <w:t>APLIDIN</w:t>
      </w:r>
      <w:r w:rsidR="008F7C39" w:rsidRPr="008F7C39">
        <w:rPr>
          <w:rFonts w:ascii="Times New Roman" w:hAnsi="Times New Roman" w:cs="Times New Roman"/>
          <w:noProof/>
        </w:rPr>
        <w:t xml:space="preserve"> should not be used during pregnancy unless the clinical </w:t>
      </w:r>
      <w:r w:rsidR="004917AD">
        <w:rPr>
          <w:rFonts w:ascii="Times New Roman" w:hAnsi="Times New Roman" w:cs="Times New Roman"/>
          <w:noProof/>
        </w:rPr>
        <w:t>benefit outwei</w:t>
      </w:r>
      <w:r w:rsidR="00780759">
        <w:rPr>
          <w:rFonts w:ascii="Times New Roman" w:hAnsi="Times New Roman" w:cs="Times New Roman"/>
          <w:noProof/>
        </w:rPr>
        <w:t>ghs the potential risk to the f</w:t>
      </w:r>
      <w:r w:rsidR="004917AD">
        <w:rPr>
          <w:rFonts w:ascii="Times New Roman" w:hAnsi="Times New Roman" w:cs="Times New Roman"/>
          <w:noProof/>
        </w:rPr>
        <w:t>etus.</w:t>
      </w:r>
    </w:p>
    <w:p w14:paraId="2A226FD0" w14:textId="77777777" w:rsidR="007E5B9B" w:rsidRDefault="007E5B9B" w:rsidP="007E5B9B">
      <w:pPr>
        <w:autoSpaceDE w:val="0"/>
        <w:autoSpaceDN w:val="0"/>
        <w:adjustRightInd w:val="0"/>
        <w:spacing w:after="0" w:line="240" w:lineRule="auto"/>
        <w:rPr>
          <w:rFonts w:ascii="Times New Roman" w:eastAsia="SimSun" w:hAnsi="Times New Roman" w:cs="Times New Roman"/>
          <w:color w:val="000000"/>
          <w:lang w:eastAsia="zh-CN"/>
        </w:rPr>
      </w:pPr>
      <w:r w:rsidRPr="008F7C39">
        <w:rPr>
          <w:rFonts w:ascii="Times New Roman" w:eastAsia="SimSun" w:hAnsi="Times New Roman" w:cs="Times New Roman"/>
          <w:color w:val="000000"/>
          <w:lang w:eastAsia="zh-CN"/>
        </w:rPr>
        <w:t>Women of childbearing potential must use effective contraception during and for up to 6 months after treatment.</w:t>
      </w:r>
    </w:p>
    <w:p w14:paraId="7E7EF46C" w14:textId="7B7B32AE" w:rsidR="007E5B9B" w:rsidRPr="008F7C39" w:rsidRDefault="007E5B9B" w:rsidP="007E5B9B">
      <w:pPr>
        <w:autoSpaceDE w:val="0"/>
        <w:autoSpaceDN w:val="0"/>
        <w:adjustRightInd w:val="0"/>
        <w:spacing w:after="0" w:line="240" w:lineRule="auto"/>
        <w:rPr>
          <w:rFonts w:ascii="Times New Roman" w:eastAsia="SimSun" w:hAnsi="Times New Roman" w:cs="Times New Roman"/>
          <w:color w:val="000000"/>
          <w:lang w:eastAsia="zh-CN"/>
        </w:rPr>
      </w:pPr>
      <w:r w:rsidRPr="008F7C39">
        <w:rPr>
          <w:rFonts w:ascii="Times New Roman" w:eastAsia="SimSun" w:hAnsi="Times New Roman" w:cs="Times New Roman"/>
          <w:color w:val="000000"/>
          <w:lang w:eastAsia="zh-CN"/>
        </w:rPr>
        <w:t>Male patients must use effective contraception measures during and for up to 6 months after treatment if their partner is pregnant or of childbearing potential and is not using effective contraception.</w:t>
      </w:r>
    </w:p>
    <w:p w14:paraId="228B5B16" w14:textId="77777777" w:rsidR="008F7C39" w:rsidRPr="008F7C39" w:rsidRDefault="008F7C39" w:rsidP="008F7C39">
      <w:pPr>
        <w:spacing w:after="0" w:line="240" w:lineRule="auto"/>
        <w:rPr>
          <w:rFonts w:ascii="Times New Roman" w:hAnsi="Times New Roman" w:cs="Times New Roman"/>
        </w:rPr>
      </w:pPr>
    </w:p>
    <w:p w14:paraId="3DE7FE68" w14:textId="112F1FF8" w:rsidR="008F7C39" w:rsidRPr="008F7C39" w:rsidRDefault="008F7C39" w:rsidP="008F7C39">
      <w:pPr>
        <w:spacing w:after="0" w:line="240" w:lineRule="auto"/>
        <w:rPr>
          <w:rFonts w:ascii="Times New Roman" w:hAnsi="Times New Roman" w:cs="Times New Roman"/>
          <w:u w:val="single"/>
        </w:rPr>
      </w:pPr>
      <w:r w:rsidRPr="008F7C39">
        <w:rPr>
          <w:rFonts w:ascii="Times New Roman" w:hAnsi="Times New Roman" w:cs="Times New Roman"/>
          <w:u w:val="single"/>
        </w:rPr>
        <w:t>Use in lactation</w:t>
      </w:r>
    </w:p>
    <w:p w14:paraId="2D79DA02" w14:textId="77777777" w:rsidR="008F7C39" w:rsidRPr="008F7C39" w:rsidRDefault="008F7C39" w:rsidP="008F7C39">
      <w:pPr>
        <w:spacing w:after="0" w:line="240" w:lineRule="auto"/>
        <w:rPr>
          <w:rFonts w:ascii="Times New Roman" w:hAnsi="Times New Roman" w:cs="Times New Roman"/>
        </w:rPr>
      </w:pPr>
      <w:r w:rsidRPr="008F7C39">
        <w:rPr>
          <w:rFonts w:ascii="Times New Roman" w:hAnsi="Times New Roman" w:cs="Times New Roman"/>
        </w:rPr>
        <w:t>It is unknown whether plitidepsin and/or its metabolites are excreted in human breast milk.</w:t>
      </w:r>
    </w:p>
    <w:p w14:paraId="36AD4DB4" w14:textId="77777777" w:rsidR="008F7C39" w:rsidRPr="008F7C39" w:rsidRDefault="008F7C39" w:rsidP="008F7C39">
      <w:pPr>
        <w:autoSpaceDE w:val="0"/>
        <w:autoSpaceDN w:val="0"/>
        <w:adjustRightInd w:val="0"/>
        <w:spacing w:after="0" w:line="240" w:lineRule="auto"/>
        <w:rPr>
          <w:rFonts w:ascii="Times New Roman" w:eastAsia="SimSun" w:hAnsi="Times New Roman" w:cs="Times New Roman"/>
          <w:color w:val="000000"/>
          <w:lang w:eastAsia="zh-CN"/>
        </w:rPr>
      </w:pPr>
      <w:r w:rsidRPr="008F7C39">
        <w:rPr>
          <w:rFonts w:ascii="Times New Roman" w:eastAsia="SimSun" w:hAnsi="Times New Roman" w:cs="Times New Roman"/>
          <w:color w:val="000000"/>
          <w:lang w:eastAsia="zh-CN"/>
        </w:rPr>
        <w:t xml:space="preserve">A risk to newborns/infants cannot be excluded. </w:t>
      </w:r>
    </w:p>
    <w:p w14:paraId="318AB71A" w14:textId="77777777" w:rsidR="008F7C39" w:rsidRDefault="008F7C39" w:rsidP="008F7C39">
      <w:pPr>
        <w:autoSpaceDE w:val="0"/>
        <w:autoSpaceDN w:val="0"/>
        <w:adjustRightInd w:val="0"/>
        <w:spacing w:after="0" w:line="240" w:lineRule="auto"/>
        <w:rPr>
          <w:rFonts w:ascii="Times New Roman" w:eastAsia="SimSun" w:hAnsi="Times New Roman" w:cs="Times New Roman"/>
          <w:color w:val="000000"/>
          <w:lang w:eastAsia="zh-CN"/>
        </w:rPr>
      </w:pPr>
      <w:r w:rsidRPr="008F7C39">
        <w:rPr>
          <w:rFonts w:ascii="Times New Roman" w:eastAsia="SimSun" w:hAnsi="Times New Roman" w:cs="Times New Roman"/>
          <w:color w:val="000000"/>
          <w:lang w:eastAsia="zh-CN"/>
        </w:rPr>
        <w:t>Breast-feeding should be discontinued during treatment with plitidepsin.</w:t>
      </w:r>
    </w:p>
    <w:p w14:paraId="37DD5232" w14:textId="77777777" w:rsidR="008F7C39" w:rsidRPr="008F7C39" w:rsidRDefault="008F7C39" w:rsidP="008F7C39">
      <w:pPr>
        <w:spacing w:after="0" w:line="240" w:lineRule="auto"/>
        <w:rPr>
          <w:rFonts w:ascii="Times New Roman" w:hAnsi="Times New Roman" w:cs="Times New Roman"/>
          <w:u w:val="single"/>
        </w:rPr>
      </w:pPr>
    </w:p>
    <w:p w14:paraId="55720E0D" w14:textId="5BAA72F2" w:rsidR="00743F1C" w:rsidRDefault="001A3992" w:rsidP="00645AC8">
      <w:pPr>
        <w:pStyle w:val="Heading2"/>
        <w:spacing w:before="0" w:after="0"/>
        <w:ind w:left="0" w:hanging="425"/>
        <w:rPr>
          <w:rFonts w:ascii="Times New Roman" w:eastAsiaTheme="majorEastAsia" w:hAnsi="Times New Roman" w:cs="Times New Roman"/>
          <w:b w:val="0"/>
          <w:bCs/>
          <w:smallCaps w:val="0"/>
          <w:sz w:val="22"/>
        </w:rPr>
      </w:pPr>
      <w:r w:rsidRPr="00355185">
        <w:rPr>
          <w:rFonts w:ascii="Times New Roman" w:eastAsiaTheme="majorEastAsia" w:hAnsi="Times New Roman" w:cs="Times New Roman"/>
          <w:b w:val="0"/>
          <w:bCs/>
          <w:smallCaps w:val="0"/>
          <w:sz w:val="26"/>
          <w:szCs w:val="26"/>
        </w:rPr>
        <w:t xml:space="preserve">Effects on ability to drive and use machines </w:t>
      </w:r>
    </w:p>
    <w:p w14:paraId="3508982A" w14:textId="67AAC4CD" w:rsidR="00A448C9" w:rsidRDefault="007F54BB" w:rsidP="007F54BB">
      <w:pPr>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APLIDIN</w:t>
      </w:r>
      <w:r w:rsidRPr="007F54BB">
        <w:rPr>
          <w:rFonts w:ascii="Times New Roman" w:eastAsia="SimSun" w:hAnsi="Times New Roman" w:cs="Times New Roman"/>
          <w:color w:val="000000"/>
          <w:lang w:eastAsia="zh-CN"/>
        </w:rPr>
        <w:t xml:space="preserve"> has moderate influence on the ability to drive and use machines. Fatigue/asthenia and somnolence have been reported in patients receiving plitidepsin. Furthermore, the plitidepsin formulation contains ethanol. The ability to drive and use machines may be affected. Therefore, patients who experience such events during therapy should not drive or operate machinery.</w:t>
      </w:r>
    </w:p>
    <w:p w14:paraId="310A8F5D" w14:textId="77777777" w:rsidR="007F54BB" w:rsidRPr="007F54BB" w:rsidRDefault="007F54BB" w:rsidP="007F54BB">
      <w:pPr>
        <w:spacing w:after="0" w:line="240" w:lineRule="auto"/>
        <w:rPr>
          <w:rFonts w:ascii="Times New Roman" w:eastAsia="SimSun" w:hAnsi="Times New Roman" w:cs="Times New Roman"/>
          <w:color w:val="000000"/>
          <w:lang w:eastAsia="zh-CN"/>
        </w:rPr>
      </w:pPr>
    </w:p>
    <w:p w14:paraId="2AC40056" w14:textId="421E3CF5" w:rsidR="00BA0999" w:rsidRPr="00F24A55" w:rsidRDefault="001A3992" w:rsidP="00F24A55">
      <w:pPr>
        <w:pStyle w:val="Heading2"/>
        <w:tabs>
          <w:tab w:val="left" w:pos="1418"/>
        </w:tabs>
        <w:spacing w:before="0" w:after="0" w:line="240" w:lineRule="auto"/>
        <w:ind w:left="0" w:hanging="425"/>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Adverse effects (Undesirable effects)</w:t>
      </w:r>
    </w:p>
    <w:p w14:paraId="6D8D3870" w14:textId="77777777" w:rsidR="009D4078" w:rsidRDefault="009D4078" w:rsidP="00AF02B1">
      <w:pPr>
        <w:spacing w:after="0" w:line="240" w:lineRule="auto"/>
        <w:rPr>
          <w:rFonts w:ascii="Times New Roman" w:hAnsi="Times New Roman" w:cs="Times New Roman"/>
          <w:i/>
        </w:rPr>
      </w:pPr>
    </w:p>
    <w:p w14:paraId="5C0A5CC9" w14:textId="1216A872" w:rsidR="00AF02B1" w:rsidRPr="00AF02B1" w:rsidRDefault="00AF02B1" w:rsidP="00AF02B1">
      <w:pPr>
        <w:spacing w:after="0" w:line="240" w:lineRule="auto"/>
        <w:rPr>
          <w:rFonts w:ascii="Times New Roman" w:hAnsi="Times New Roman" w:cs="Times New Roman"/>
        </w:rPr>
      </w:pPr>
      <w:r w:rsidRPr="00AF02B1">
        <w:rPr>
          <w:rFonts w:ascii="Times New Roman" w:hAnsi="Times New Roman" w:cs="Times New Roman"/>
        </w:rPr>
        <w:t>A total of 250 of 255 patients randomi</w:t>
      </w:r>
      <w:r w:rsidR="00E446BB">
        <w:rPr>
          <w:rFonts w:ascii="Times New Roman" w:hAnsi="Times New Roman" w:cs="Times New Roman"/>
        </w:rPr>
        <w:t>s</w:t>
      </w:r>
      <w:r w:rsidRPr="00AF02B1">
        <w:rPr>
          <w:rFonts w:ascii="Times New Roman" w:hAnsi="Times New Roman" w:cs="Times New Roman"/>
        </w:rPr>
        <w:t xml:space="preserve">ed in </w:t>
      </w:r>
      <w:r>
        <w:rPr>
          <w:rFonts w:ascii="Times New Roman" w:hAnsi="Times New Roman" w:cs="Times New Roman"/>
        </w:rPr>
        <w:t>the ADMYRE</w:t>
      </w:r>
      <w:r w:rsidRPr="00AF02B1">
        <w:rPr>
          <w:rFonts w:ascii="Times New Roman" w:hAnsi="Times New Roman" w:cs="Times New Roman"/>
        </w:rPr>
        <w:t xml:space="preserve"> study were treated (n=167 in</w:t>
      </w:r>
    </w:p>
    <w:p w14:paraId="2A4EBC24" w14:textId="13F6D7D5" w:rsidR="00AF02B1" w:rsidRDefault="00AF02B1" w:rsidP="00AF02B1">
      <w:pPr>
        <w:spacing w:after="0" w:line="240" w:lineRule="auto"/>
        <w:rPr>
          <w:rFonts w:ascii="Times New Roman" w:hAnsi="Times New Roman" w:cs="Times New Roman"/>
        </w:rPr>
      </w:pPr>
      <w:r>
        <w:rPr>
          <w:rFonts w:ascii="Times New Roman" w:hAnsi="Times New Roman" w:cs="Times New Roman"/>
        </w:rPr>
        <w:t>P+</w:t>
      </w:r>
      <w:r w:rsidRPr="00AF02B1">
        <w:rPr>
          <w:rFonts w:ascii="Times New Roman" w:hAnsi="Times New Roman" w:cs="Times New Roman"/>
        </w:rPr>
        <w:t>DXM</w:t>
      </w:r>
      <w:r>
        <w:rPr>
          <w:rFonts w:ascii="Times New Roman" w:hAnsi="Times New Roman" w:cs="Times New Roman"/>
        </w:rPr>
        <w:t xml:space="preserve"> arm and</w:t>
      </w:r>
      <w:r w:rsidRPr="00AF02B1">
        <w:rPr>
          <w:rFonts w:ascii="Times New Roman" w:hAnsi="Times New Roman" w:cs="Times New Roman"/>
        </w:rPr>
        <w:t xml:space="preserve"> n=83 in </w:t>
      </w:r>
      <w:r>
        <w:rPr>
          <w:rFonts w:ascii="Times New Roman" w:hAnsi="Times New Roman" w:cs="Times New Roman"/>
        </w:rPr>
        <w:t xml:space="preserve">the </w:t>
      </w:r>
      <w:r w:rsidRPr="00AF02B1">
        <w:rPr>
          <w:rFonts w:ascii="Times New Roman" w:hAnsi="Times New Roman" w:cs="Times New Roman"/>
        </w:rPr>
        <w:t>DXM</w:t>
      </w:r>
      <w:r w:rsidR="005E60A6" w:rsidRPr="005E60A6">
        <w:rPr>
          <w:rFonts w:ascii="Times New Roman" w:hAnsi="Times New Roman" w:cs="Times New Roman"/>
        </w:rPr>
        <w:t xml:space="preserve"> </w:t>
      </w:r>
      <w:r>
        <w:rPr>
          <w:rFonts w:ascii="Times New Roman" w:hAnsi="Times New Roman" w:cs="Times New Roman"/>
        </w:rPr>
        <w:t>arm</w:t>
      </w:r>
      <w:r w:rsidR="00E446BB">
        <w:rPr>
          <w:rFonts w:ascii="Times New Roman" w:hAnsi="Times New Roman" w:cs="Times New Roman"/>
        </w:rPr>
        <w:t>)</w:t>
      </w:r>
      <w:r>
        <w:rPr>
          <w:rFonts w:ascii="Times New Roman" w:hAnsi="Times New Roman" w:cs="Times New Roman"/>
        </w:rPr>
        <w:t>.</w:t>
      </w:r>
    </w:p>
    <w:p w14:paraId="51DC87B9" w14:textId="77777777" w:rsidR="00124F89" w:rsidRDefault="00124F89" w:rsidP="005E60A6">
      <w:pPr>
        <w:spacing w:after="0" w:line="240" w:lineRule="auto"/>
        <w:rPr>
          <w:rFonts w:ascii="Times New Roman" w:hAnsi="Times New Roman" w:cs="Times New Roman"/>
        </w:rPr>
      </w:pPr>
    </w:p>
    <w:p w14:paraId="4DEB49B1" w14:textId="087D8178" w:rsidR="005E60A6" w:rsidRDefault="005E60A6" w:rsidP="005E60A6">
      <w:pPr>
        <w:spacing w:after="0" w:line="240" w:lineRule="auto"/>
        <w:rPr>
          <w:rFonts w:ascii="Times New Roman" w:hAnsi="Times New Roman" w:cs="Times New Roman"/>
        </w:rPr>
      </w:pPr>
      <w:r w:rsidRPr="00F24A55">
        <w:rPr>
          <w:rFonts w:ascii="Times New Roman" w:hAnsi="Times New Roman" w:cs="Times New Roman"/>
        </w:rPr>
        <w:t>The most common adverse reactions were gastrointestinal disorders (nausea, 37.1% of patients; vomiting, 16.8%; diarrhoea, 14.4%); general disorders (fatigue, 36.5%; oedema peripheral, 12.0%); metabolism and nutrition disorders (decreased appetite, 12.6%); and musculoskeletal disorders (myalgia, 14.4%; muscular weakness, 9.6%). The most common grade ≥ 3 adverse reactions were fatigue (10.8%), myalgia (5.4%), muscular weakness (3.6%) and nausea (3.6%).</w:t>
      </w:r>
    </w:p>
    <w:p w14:paraId="79F9EB59" w14:textId="3B959257" w:rsidR="005E60A6" w:rsidRDefault="005E60A6" w:rsidP="005E60A6">
      <w:pPr>
        <w:spacing w:after="0" w:line="240" w:lineRule="auto"/>
        <w:rPr>
          <w:rFonts w:ascii="Times New Roman" w:hAnsi="Times New Roman" w:cs="Times New Roman"/>
        </w:rPr>
      </w:pPr>
    </w:p>
    <w:p w14:paraId="1B5EC070" w14:textId="0A48DA09" w:rsidR="00686520" w:rsidRDefault="00686520" w:rsidP="00917B17">
      <w:pPr>
        <w:keepNext/>
        <w:adjustRightInd w:val="0"/>
        <w:spacing w:line="240" w:lineRule="auto"/>
        <w:rPr>
          <w:rFonts w:ascii="Times New Roman" w:hAnsi="Times New Roman" w:cs="Times New Roman"/>
          <w:b/>
        </w:rPr>
      </w:pPr>
      <w:r w:rsidRPr="00BA0999">
        <w:rPr>
          <w:rFonts w:ascii="Times New Roman" w:hAnsi="Times New Roman" w:cs="Times New Roman"/>
          <w:b/>
        </w:rPr>
        <w:lastRenderedPageBreak/>
        <w:t xml:space="preserve">Table </w:t>
      </w:r>
      <w:r w:rsidR="00C26529">
        <w:rPr>
          <w:rFonts w:ascii="Times New Roman" w:hAnsi="Times New Roman" w:cs="Times New Roman"/>
          <w:b/>
        </w:rPr>
        <w:t>4</w:t>
      </w:r>
      <w:r w:rsidRPr="00BA0999">
        <w:rPr>
          <w:rFonts w:ascii="Times New Roman" w:hAnsi="Times New Roman" w:cs="Times New Roman"/>
          <w:b/>
        </w:rPr>
        <w:t>. Adverse Events Reported frequency ≥</w:t>
      </w:r>
      <w:r w:rsidR="00F24A55">
        <w:rPr>
          <w:rFonts w:ascii="Times New Roman" w:hAnsi="Times New Roman" w:cs="Times New Roman"/>
          <w:b/>
        </w:rPr>
        <w:t xml:space="preserve"> </w:t>
      </w:r>
      <w:r w:rsidRPr="00BA0999">
        <w:rPr>
          <w:rFonts w:ascii="Times New Roman" w:hAnsi="Times New Roman" w:cs="Times New Roman"/>
          <w:b/>
        </w:rPr>
        <w:t>5% regardless of relationship; APL-C-001-09 (ADMYRE trial).</w:t>
      </w:r>
    </w:p>
    <w:tbl>
      <w:tblPr>
        <w:tblW w:w="0" w:type="auto"/>
        <w:jc w:val="center"/>
        <w:tblLayout w:type="fixed"/>
        <w:tblCellMar>
          <w:left w:w="0" w:type="dxa"/>
          <w:right w:w="0" w:type="dxa"/>
        </w:tblCellMar>
        <w:tblLook w:val="0000" w:firstRow="0" w:lastRow="0" w:firstColumn="0" w:lastColumn="0" w:noHBand="0" w:noVBand="0"/>
      </w:tblPr>
      <w:tblGrid>
        <w:gridCol w:w="1821"/>
        <w:gridCol w:w="2340"/>
        <w:gridCol w:w="1080"/>
        <w:gridCol w:w="1080"/>
        <w:gridCol w:w="1080"/>
        <w:gridCol w:w="1062"/>
      </w:tblGrid>
      <w:tr w:rsidR="004036D4" w:rsidRPr="00A739B8" w14:paraId="5E58E342" w14:textId="77777777" w:rsidTr="003C3701">
        <w:trPr>
          <w:cantSplit/>
          <w:tblHeader/>
          <w:jc w:val="center"/>
        </w:trPr>
        <w:tc>
          <w:tcPr>
            <w:tcW w:w="4161" w:type="dxa"/>
            <w:gridSpan w:val="2"/>
            <w:tcBorders>
              <w:top w:val="single" w:sz="6" w:space="0" w:color="000000"/>
              <w:left w:val="single" w:sz="6" w:space="0" w:color="000000"/>
              <w:bottom w:val="single" w:sz="2" w:space="0" w:color="000000"/>
              <w:right w:val="nil"/>
            </w:tcBorders>
            <w:shd w:val="clear" w:color="auto" w:fill="FFFFFF"/>
            <w:tcMar>
              <w:left w:w="80" w:type="dxa"/>
              <w:right w:w="80" w:type="dxa"/>
            </w:tcMar>
            <w:vAlign w:val="bottom"/>
          </w:tcPr>
          <w:p w14:paraId="64415283"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p>
        </w:tc>
        <w:tc>
          <w:tcPr>
            <w:tcW w:w="2160" w:type="dxa"/>
            <w:gridSpan w:val="2"/>
            <w:tcBorders>
              <w:top w:val="single" w:sz="6" w:space="0" w:color="000000"/>
              <w:left w:val="single" w:sz="2" w:space="0" w:color="000000"/>
              <w:bottom w:val="single" w:sz="2" w:space="0" w:color="000000"/>
              <w:right w:val="nil"/>
            </w:tcBorders>
            <w:shd w:val="clear" w:color="auto" w:fill="FFFFFF"/>
            <w:tcMar>
              <w:left w:w="80" w:type="dxa"/>
              <w:right w:w="80" w:type="dxa"/>
            </w:tcMar>
            <w:vAlign w:val="center"/>
          </w:tcPr>
          <w:p w14:paraId="39075CBB" w14:textId="77777777" w:rsidR="004036D4" w:rsidRPr="00F24A55" w:rsidRDefault="004036D4" w:rsidP="003C3701">
            <w:pPr>
              <w:keepNext/>
              <w:adjustRightInd w:val="0"/>
              <w:spacing w:before="80" w:after="80"/>
              <w:jc w:val="center"/>
              <w:rPr>
                <w:rFonts w:ascii="Times New Roman" w:hAnsi="Times New Roman" w:cs="Times New Roman"/>
                <w:b/>
                <w:bCs/>
                <w:sz w:val="18"/>
                <w:szCs w:val="18"/>
              </w:rPr>
            </w:pPr>
            <w:r w:rsidRPr="00F24A55">
              <w:rPr>
                <w:rFonts w:ascii="Times New Roman" w:hAnsi="Times New Roman" w:cs="Times New Roman"/>
                <w:b/>
                <w:bCs/>
                <w:sz w:val="18"/>
                <w:szCs w:val="18"/>
              </w:rPr>
              <w:t>Arm A (P+DXM)</w:t>
            </w:r>
          </w:p>
          <w:p w14:paraId="6A7D5669"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sz w:val="18"/>
                <w:szCs w:val="18"/>
              </w:rPr>
              <w:t>N=167</w:t>
            </w:r>
          </w:p>
        </w:tc>
        <w:tc>
          <w:tcPr>
            <w:tcW w:w="2142" w:type="dxa"/>
            <w:gridSpan w:val="2"/>
            <w:tcBorders>
              <w:top w:val="single" w:sz="6" w:space="0" w:color="000000"/>
              <w:left w:val="single" w:sz="2" w:space="0" w:color="000000"/>
              <w:bottom w:val="single" w:sz="2" w:space="0" w:color="000000"/>
              <w:right w:val="single" w:sz="6" w:space="0" w:color="000000"/>
            </w:tcBorders>
            <w:shd w:val="clear" w:color="auto" w:fill="FFFFFF"/>
            <w:tcMar>
              <w:left w:w="80" w:type="dxa"/>
              <w:right w:w="80" w:type="dxa"/>
            </w:tcMar>
            <w:vAlign w:val="center"/>
          </w:tcPr>
          <w:p w14:paraId="6568EA3C"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Arm B (DXM)</w:t>
            </w:r>
          </w:p>
          <w:p w14:paraId="04EEF5D0"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N=83</w:t>
            </w:r>
          </w:p>
        </w:tc>
      </w:tr>
      <w:tr w:rsidR="004036D4" w:rsidRPr="00A739B8" w14:paraId="22374FF1" w14:textId="77777777" w:rsidTr="003C3701">
        <w:trPr>
          <w:cantSplit/>
          <w:tblHeader/>
          <w:jc w:val="center"/>
        </w:trPr>
        <w:tc>
          <w:tcPr>
            <w:tcW w:w="4161" w:type="dxa"/>
            <w:gridSpan w:val="2"/>
            <w:tcBorders>
              <w:top w:val="nil"/>
              <w:left w:val="single" w:sz="6" w:space="0" w:color="000000"/>
              <w:bottom w:val="single" w:sz="2" w:space="0" w:color="000000"/>
              <w:right w:val="nil"/>
            </w:tcBorders>
            <w:shd w:val="clear" w:color="auto" w:fill="FFFFFF"/>
            <w:tcMar>
              <w:left w:w="80" w:type="dxa"/>
              <w:right w:w="80" w:type="dxa"/>
            </w:tcMar>
            <w:vAlign w:val="bottom"/>
          </w:tcPr>
          <w:p w14:paraId="13134BBF"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p>
        </w:tc>
        <w:tc>
          <w:tcPr>
            <w:tcW w:w="1080" w:type="dxa"/>
            <w:tcBorders>
              <w:top w:val="nil"/>
              <w:left w:val="single" w:sz="2" w:space="0" w:color="000000"/>
              <w:bottom w:val="single" w:sz="2" w:space="0" w:color="000000"/>
              <w:right w:val="nil"/>
            </w:tcBorders>
            <w:shd w:val="clear" w:color="auto" w:fill="FFFFFF"/>
            <w:tcMar>
              <w:left w:w="80" w:type="dxa"/>
              <w:right w:w="80" w:type="dxa"/>
            </w:tcMar>
            <w:vAlign w:val="center"/>
          </w:tcPr>
          <w:p w14:paraId="664DA006"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Any grade</w:t>
            </w:r>
          </w:p>
        </w:tc>
        <w:tc>
          <w:tcPr>
            <w:tcW w:w="1080" w:type="dxa"/>
            <w:tcBorders>
              <w:top w:val="nil"/>
              <w:left w:val="single" w:sz="2" w:space="0" w:color="000000"/>
              <w:bottom w:val="single" w:sz="2" w:space="0" w:color="000000"/>
              <w:right w:val="nil"/>
            </w:tcBorders>
            <w:shd w:val="clear" w:color="auto" w:fill="FFFFFF"/>
            <w:tcMar>
              <w:left w:w="80" w:type="dxa"/>
              <w:right w:w="80" w:type="dxa"/>
            </w:tcMar>
            <w:vAlign w:val="center"/>
          </w:tcPr>
          <w:p w14:paraId="4B00E484"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Grade &gt;=3</w:t>
            </w:r>
          </w:p>
        </w:tc>
        <w:tc>
          <w:tcPr>
            <w:tcW w:w="1080" w:type="dxa"/>
            <w:tcBorders>
              <w:top w:val="nil"/>
              <w:left w:val="single" w:sz="2" w:space="0" w:color="000000"/>
              <w:bottom w:val="single" w:sz="2" w:space="0" w:color="000000"/>
              <w:right w:val="nil"/>
            </w:tcBorders>
            <w:shd w:val="clear" w:color="auto" w:fill="FFFFFF"/>
            <w:tcMar>
              <w:left w:w="80" w:type="dxa"/>
              <w:right w:w="80" w:type="dxa"/>
            </w:tcMar>
            <w:vAlign w:val="center"/>
          </w:tcPr>
          <w:p w14:paraId="7C4B69BA"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Any grade</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vAlign w:val="center"/>
          </w:tcPr>
          <w:p w14:paraId="7423F33D"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Grade &gt;=3</w:t>
            </w:r>
          </w:p>
        </w:tc>
      </w:tr>
      <w:tr w:rsidR="004036D4" w:rsidRPr="00A739B8" w14:paraId="00C93556" w14:textId="77777777" w:rsidTr="003C3701">
        <w:trPr>
          <w:cantSplit/>
          <w:tblHeader/>
          <w:jc w:val="center"/>
        </w:trPr>
        <w:tc>
          <w:tcPr>
            <w:tcW w:w="1821" w:type="dxa"/>
            <w:tcBorders>
              <w:top w:val="nil"/>
              <w:left w:val="single" w:sz="6" w:space="0" w:color="000000"/>
              <w:bottom w:val="single" w:sz="2" w:space="0" w:color="000000"/>
              <w:right w:val="nil"/>
            </w:tcBorders>
            <w:shd w:val="clear" w:color="auto" w:fill="FFFFFF"/>
            <w:tcMar>
              <w:left w:w="80" w:type="dxa"/>
              <w:right w:w="80" w:type="dxa"/>
            </w:tcMar>
            <w:vAlign w:val="center"/>
          </w:tcPr>
          <w:p w14:paraId="3F028FDE"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System Organ Class</w:t>
            </w:r>
          </w:p>
        </w:tc>
        <w:tc>
          <w:tcPr>
            <w:tcW w:w="2340" w:type="dxa"/>
            <w:tcBorders>
              <w:top w:val="nil"/>
              <w:left w:val="single" w:sz="2" w:space="0" w:color="000000"/>
              <w:bottom w:val="single" w:sz="2" w:space="0" w:color="000000"/>
              <w:right w:val="nil"/>
            </w:tcBorders>
            <w:shd w:val="clear" w:color="auto" w:fill="FFFFFF"/>
            <w:tcMar>
              <w:left w:w="80" w:type="dxa"/>
              <w:right w:w="80" w:type="dxa"/>
            </w:tcMar>
            <w:vAlign w:val="center"/>
          </w:tcPr>
          <w:p w14:paraId="6055FDC8"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Preferred term</w:t>
            </w:r>
          </w:p>
        </w:tc>
        <w:tc>
          <w:tcPr>
            <w:tcW w:w="1080" w:type="dxa"/>
            <w:tcBorders>
              <w:top w:val="nil"/>
              <w:left w:val="single" w:sz="2" w:space="0" w:color="000000"/>
              <w:bottom w:val="single" w:sz="2" w:space="0" w:color="000000"/>
              <w:right w:val="nil"/>
            </w:tcBorders>
            <w:shd w:val="clear" w:color="auto" w:fill="FFFFFF"/>
            <w:tcMar>
              <w:left w:w="80" w:type="dxa"/>
              <w:right w:w="80" w:type="dxa"/>
            </w:tcMar>
            <w:vAlign w:val="center"/>
          </w:tcPr>
          <w:p w14:paraId="5DF5BC18"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n(%)</w:t>
            </w:r>
          </w:p>
        </w:tc>
        <w:tc>
          <w:tcPr>
            <w:tcW w:w="1080" w:type="dxa"/>
            <w:tcBorders>
              <w:top w:val="nil"/>
              <w:left w:val="single" w:sz="2" w:space="0" w:color="000000"/>
              <w:bottom w:val="single" w:sz="2" w:space="0" w:color="000000"/>
              <w:right w:val="nil"/>
            </w:tcBorders>
            <w:shd w:val="clear" w:color="auto" w:fill="FFFFFF"/>
            <w:tcMar>
              <w:left w:w="80" w:type="dxa"/>
              <w:right w:w="80" w:type="dxa"/>
            </w:tcMar>
            <w:vAlign w:val="center"/>
          </w:tcPr>
          <w:p w14:paraId="373DC7C6"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n(%)</w:t>
            </w:r>
          </w:p>
        </w:tc>
        <w:tc>
          <w:tcPr>
            <w:tcW w:w="1080" w:type="dxa"/>
            <w:tcBorders>
              <w:top w:val="nil"/>
              <w:left w:val="single" w:sz="2" w:space="0" w:color="000000"/>
              <w:bottom w:val="single" w:sz="2" w:space="0" w:color="000000"/>
              <w:right w:val="nil"/>
            </w:tcBorders>
            <w:shd w:val="clear" w:color="auto" w:fill="FFFFFF"/>
            <w:tcMar>
              <w:left w:w="80" w:type="dxa"/>
              <w:right w:w="80" w:type="dxa"/>
            </w:tcMar>
            <w:vAlign w:val="center"/>
          </w:tcPr>
          <w:p w14:paraId="5825D5B6"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n(%)</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vAlign w:val="center"/>
          </w:tcPr>
          <w:p w14:paraId="3E849EB4" w14:textId="77777777" w:rsidR="004036D4" w:rsidRPr="00F24A55" w:rsidRDefault="004036D4" w:rsidP="003C3701">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n(%)</w:t>
            </w:r>
          </w:p>
        </w:tc>
      </w:tr>
      <w:tr w:rsidR="004036D4" w:rsidRPr="00A739B8" w14:paraId="4DD8FBFA"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420FE4D5"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Blood and lymphatic system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76CA88E2"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Anaemia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2F232A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74 (44.3%)</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08ED1F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59 (35.3%)</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219D6A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36 (43.4%)</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644BDFE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35 (42.2%)</w:t>
            </w:r>
          </w:p>
        </w:tc>
      </w:tr>
      <w:tr w:rsidR="004036D4" w:rsidRPr="00A739B8" w14:paraId="310E336E"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184790F8"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0C914A32"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Neutropenia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CD81A4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13 (7.8%)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97620B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13 (7.8%)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3D2DCE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(2.4%)</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5B719FD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1C001B4B"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08D7D682"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5B4D0102"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Thrombocytopenia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42C840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18 (10.8%)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AD1629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17 (10.2%)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DBF621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8 (9.6%)</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7221F6A5"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8 (9.6%)</w:t>
            </w:r>
          </w:p>
        </w:tc>
      </w:tr>
      <w:tr w:rsidR="004036D4" w:rsidRPr="00A739B8" w14:paraId="788CB25D" w14:textId="77777777" w:rsidTr="003C3701">
        <w:trPr>
          <w:cantSplit/>
          <w:jc w:val="center"/>
        </w:trPr>
        <w:tc>
          <w:tcPr>
            <w:tcW w:w="1821" w:type="dxa"/>
            <w:tcBorders>
              <w:top w:val="nil"/>
              <w:left w:val="single" w:sz="6" w:space="0" w:color="000000"/>
              <w:bottom w:val="single" w:sz="2" w:space="0" w:color="000000"/>
              <w:right w:val="nil"/>
            </w:tcBorders>
            <w:shd w:val="clear" w:color="auto" w:fill="FFFFFF"/>
            <w:tcMar>
              <w:left w:w="80" w:type="dxa"/>
              <w:right w:w="80" w:type="dxa"/>
            </w:tcMar>
          </w:tcPr>
          <w:p w14:paraId="4B23CFC2"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Cardiac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37E61234"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Atrial fibrillation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0552EB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EEE8D9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(1.8%)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0BB4CB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7C7A3D4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1ED7C884"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48A38C33"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Gastrointestinal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5466874"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Abdominal pain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922018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10 (6.0%)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8A0AA1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6AB558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25FE10D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0774928"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57343855"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0962008E"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Abdominal pain upper</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FBBFBB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16 (9.6%)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9B5455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A31357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4CDC74B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79911570"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3B3E5CD9"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27CB816"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Constipation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5AF1A3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23 (13.8%)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98E150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AC9DEA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 (7.2%)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D70559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5F456849"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4DF06CBD"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1B885CAA"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Diarrhoea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9579C9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60 (35.9%)</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11FBEA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(3.0%)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9E1C61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8 (9.6%)</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57832E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369A3873"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04BEA458"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0B3860F"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Dyspepsia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22AA8D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99D280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D16B85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6BABBDB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A8F7283"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55747050"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F059369"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Nausea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3F527F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82 (49.1%)</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F0C171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(4.2%)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DDD87D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19 (22.9%)</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6B14AC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31C2092F"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7C28F5D6"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A6C024F"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Vomiting</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CA17C5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44 (26.3%)</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A2D230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(2.4%)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0A5873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2940B08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35338245"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7BE7227E"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General disorders and administration site conditions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D23347B"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Chest pain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AA1447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7CDB90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A40AD0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(2.4%)</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2E3B54D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3C5E97D"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14195EB2"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C528D09"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Fatigue</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5F958D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90 (53.9%)</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9D2811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20 (12.0%)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BAECD0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31 (37.3%)</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BFC93F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(10.8%)</w:t>
            </w:r>
          </w:p>
        </w:tc>
      </w:tr>
      <w:tr w:rsidR="004036D4" w:rsidRPr="00A739B8" w14:paraId="4E0D9722"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1A9B2A11"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DA996DB"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Oedema peripheral</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E0D30B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34 (20.4%)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B13B30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(1.2%)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DC8E53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(8.4%)</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F0F6E7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5F3C798D"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7A6BCD43"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14AE8259"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Pain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5CB3F5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13 (7.8%)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148B5A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(2.4%)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D6CCBF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1D97A7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13A7153D"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2E101142"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3972CE32"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Pyrexia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45D170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37 (22.2%)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24835B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7426C3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12 (14.5%)</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A3EBB6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145977D" w14:textId="77777777" w:rsidTr="003C3701">
        <w:trPr>
          <w:cantSplit/>
          <w:jc w:val="center"/>
        </w:trPr>
        <w:tc>
          <w:tcPr>
            <w:tcW w:w="1821" w:type="dxa"/>
            <w:vMerge w:val="restart"/>
            <w:tcBorders>
              <w:top w:val="single" w:sz="2" w:space="0" w:color="000000"/>
              <w:left w:val="single" w:sz="6" w:space="0" w:color="000000"/>
              <w:bottom w:val="single" w:sz="2" w:space="0" w:color="000000"/>
              <w:right w:val="nil"/>
            </w:tcBorders>
            <w:shd w:val="clear" w:color="auto" w:fill="FFFFFF"/>
            <w:tcMar>
              <w:left w:w="80" w:type="dxa"/>
              <w:right w:w="80" w:type="dxa"/>
            </w:tcMar>
          </w:tcPr>
          <w:p w14:paraId="0BE683F4"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Infections and infestations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560E35C"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Infection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0FF115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4493D6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(1.2%)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8C5697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86CCEC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2CD29560"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25D15F2B"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C3CB668"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Nasopharyngitis</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02EA00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(4.2%)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7BEFEB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53DC2C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(6.0%)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2D65935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1C6AB19B"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25B947C3"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5002CD0B"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Pneumonia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6810A9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16 (9.6%)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F803CC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10 (6.0%)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5A7F2F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72187F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(3.6%)</w:t>
            </w:r>
          </w:p>
        </w:tc>
      </w:tr>
      <w:tr w:rsidR="004036D4" w:rsidRPr="00A739B8" w14:paraId="3900B003"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442C3FBB"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7095BA27"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Sepsis</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B13667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24F16F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F319205"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(2.4%)</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BBBA6F5"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(2.4%)</w:t>
            </w:r>
          </w:p>
        </w:tc>
      </w:tr>
      <w:tr w:rsidR="004036D4" w:rsidRPr="00A739B8" w14:paraId="11CE4064"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6A6D46F8"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7D4876CD"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Upper respiratory tract infection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002871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15 (9.0%)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C05577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(1.2%)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3FA6A5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 (7.2%)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48CD94B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D15E85E"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3088F9FF"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11EB71EC"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Urinary tract infection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07E2CC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14 (8.4%)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387763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(1.8%)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ECE621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(3.6%)</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E94C9F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4183F2B5"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5C8048D8"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077797C"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Viral infection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27C5CE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805792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506194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604642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39F921A7"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7E02D3DB"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Investigations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D866B0C"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Alanine aminotransferase increased</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8C59A2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27 (16.2%)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FB8A2F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17 (10.2%)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9519A4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A99666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06695D4D"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258CE706"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987A57A"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Aspartate aminotransferase increased</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3E3FA0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15 (9.0%)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BFCE8E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10 (6.0%)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07F4BB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E87AFA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1EF89589"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132D1417"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36863E9"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Blood creatine phosphokinase increased</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6CDCC45"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29 (17.4%)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02238B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26 (15.6%)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BE7F4B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CA4F28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1DED1A10"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418D6B9B"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965F40B"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Electrocardiogram QT prolonged</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75048E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16 (9.6%)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E0A7A6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(2.4%)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3066DC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(3.6%)</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8AE332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125F7A0"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2C0DA8D0"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311F49A"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Platelet count decreased</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2E184E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(4.2%)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0B433F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 (3.6%)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C39438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(6.0%)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7BDF50A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(6.0%)</w:t>
            </w:r>
          </w:p>
        </w:tc>
      </w:tr>
      <w:tr w:rsidR="004036D4" w:rsidRPr="00A739B8" w14:paraId="4B3FB239"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689990C3"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653684C"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Weight decreased</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8D5152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13 (7.8%)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19A834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FAB983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24FAF96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52B8472"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65A51690"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Metabolism and nutrition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095F74B2"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Decreased appetite</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E0C971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36 (21.6%)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40D6A0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(1.2%)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1A9877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 (7.2%)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5FBF339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5C3DCD74"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3184E521"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5256E30D"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Hypercalcaemia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A514F2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12 (7.2%)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C5748F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(4.2%)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B9605F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(10.8%)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55709CD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r>
      <w:tr w:rsidR="004036D4" w:rsidRPr="00A739B8" w14:paraId="56DDFD6F"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49FFC3D1"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7407F93F"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Hyperglycaemia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0F1DB4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12 (7.2%)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976E4B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(2.4%)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1317FA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(3.6%)</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52F9DE9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5C8EC178"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1D506158"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FB33487"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Hypokalaemia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8F2E46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20 (12.0%)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9320B14"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(4.2%)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FDFE42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 (7.2%)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B4120A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34625A46"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6BA0FCC5"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1A0E0C27"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Hypomagnesaemia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7F4EDF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10 (6.0%)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A58EBB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058FD3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0F7FAE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0464B185"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3C2DF2CA"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Musculoskeletal and connective tissue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9C81489"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Arthralgia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BC8ADD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10 (6.0%)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CC2551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(1.2%)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6484055"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(8.4%)</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5CD8CE0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2B74ED99"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25FB0007"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93CD5AD"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Back pain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DDE0C1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23 (13.8%)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A838C3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(2.4%)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3A66E4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17 (20.5%)</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2E2376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 (7.2%)</w:t>
            </w:r>
          </w:p>
        </w:tc>
      </w:tr>
      <w:tr w:rsidR="004036D4" w:rsidRPr="00A739B8" w14:paraId="133324ED"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3FCBC55F"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075FAF99"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Bone pain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CE02B2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16 (9.6%)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EE3E48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(1.8%)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7C246B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23 (27.7%)</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3208FA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(3.6%)</w:t>
            </w:r>
          </w:p>
        </w:tc>
      </w:tr>
      <w:tr w:rsidR="004036D4" w:rsidRPr="00A739B8" w14:paraId="246EE277"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2C1C613B"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57CAE9B3"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Muscular weakness</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E746CF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21 (12.6%)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386148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7 (4.2%)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9CD769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5A4BAE6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58585215"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4CF2AD6C"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14F3D8EF"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Musculoskeletal pain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9D6145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15 (9.0%)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4D79E2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(2.4%)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EDA453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469EE23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25CA153F"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4F51D921"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1203973D"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Myalgia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ECDC73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30 (18.0%)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761655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(5.4%)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E78E5C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5F14388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15A98808"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549DE92D"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490754A4"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Pain in extremity</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946E3A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10 (6.0%)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F977F5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(1.2%)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1FCFD0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(4.8%)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182E57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(2.4%)</w:t>
            </w:r>
          </w:p>
        </w:tc>
      </w:tr>
      <w:tr w:rsidR="004036D4" w:rsidRPr="00A739B8" w14:paraId="25405582"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23D45C2C"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Nervous system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24E0CAFB"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Headache</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ED7C9D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21 (12.6%)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767770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74E9DA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(6.0%)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E0447B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3889010C"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301D12C7"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66618C2"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Neuropathy peripheral</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5D0BAB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17 (10.2%)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398026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9A20ADA"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88745A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2029C3A3"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7AFA0538"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4A729B5"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Peripheral sensory neuropathy</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BF7E20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4 (2.4%)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FA778F0"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6D79131"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6 (7.2%)</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6E9BDF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6FC9A994"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7D43174F"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11E21C66"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Polyneuropathy</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A6841B5"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(1.8%)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CAD8F9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96BC2E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(6.0%)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26218A7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01BCCAB9" w14:textId="77777777" w:rsidTr="003C3701">
        <w:trPr>
          <w:cantSplit/>
          <w:jc w:val="center"/>
        </w:trPr>
        <w:tc>
          <w:tcPr>
            <w:tcW w:w="1821" w:type="dxa"/>
            <w:tcBorders>
              <w:top w:val="nil"/>
              <w:left w:val="single" w:sz="6" w:space="0" w:color="000000"/>
              <w:bottom w:val="single" w:sz="2" w:space="0" w:color="000000"/>
              <w:right w:val="nil"/>
            </w:tcBorders>
            <w:shd w:val="clear" w:color="auto" w:fill="FFFFFF"/>
            <w:tcMar>
              <w:left w:w="80" w:type="dxa"/>
              <w:right w:w="80" w:type="dxa"/>
            </w:tcMar>
          </w:tcPr>
          <w:p w14:paraId="267B955E"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Psychiatric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E1E01B3"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Insomnia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03425F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19 (11.4%)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BA14AF9"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(0.6%)</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5C60EE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12 (14.5%)</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0A372CC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0D52B0B6"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42B9D02E"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Respiratory, thoracic and mediastinal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6D745EA9"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Cough</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4606418"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33 (19.8%)</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20ECB95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490446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12 (14.5%)</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1D9C396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48D54769" w14:textId="77777777" w:rsidTr="003C3701">
        <w:trPr>
          <w:cantSplit/>
          <w:jc w:val="center"/>
        </w:trPr>
        <w:tc>
          <w:tcPr>
            <w:tcW w:w="1821" w:type="dxa"/>
            <w:vMerge/>
            <w:tcBorders>
              <w:left w:val="single" w:sz="6" w:space="0" w:color="000000"/>
              <w:right w:val="nil"/>
            </w:tcBorders>
            <w:shd w:val="clear" w:color="auto" w:fill="FFFFFF"/>
            <w:tcMar>
              <w:left w:w="80" w:type="dxa"/>
              <w:right w:w="80" w:type="dxa"/>
            </w:tcMar>
          </w:tcPr>
          <w:p w14:paraId="3851E180"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3844CBDC"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Dyspnoea</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424D8107"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24 (14.4%)</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325BB5AC"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(3.0%)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3554FF2"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(3.6%)</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7AE89CD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 (1.2%)</w:t>
            </w:r>
          </w:p>
        </w:tc>
      </w:tr>
      <w:tr w:rsidR="004036D4" w:rsidRPr="00A739B8" w14:paraId="468CBBA0" w14:textId="77777777" w:rsidTr="003C3701">
        <w:trPr>
          <w:cantSplit/>
          <w:jc w:val="center"/>
        </w:trPr>
        <w:tc>
          <w:tcPr>
            <w:tcW w:w="1821" w:type="dxa"/>
            <w:vMerge/>
            <w:tcBorders>
              <w:left w:val="single" w:sz="6" w:space="0" w:color="000000"/>
              <w:bottom w:val="single" w:sz="2" w:space="0" w:color="000000"/>
              <w:right w:val="nil"/>
            </w:tcBorders>
            <w:shd w:val="clear" w:color="auto" w:fill="FFFFFF"/>
            <w:tcMar>
              <w:left w:w="80" w:type="dxa"/>
              <w:right w:w="80" w:type="dxa"/>
            </w:tcMar>
          </w:tcPr>
          <w:p w14:paraId="3921622F"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50C07326"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Epistaxis</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020E5CFD"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10 (6.0%)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C1203C3"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(1.2%)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5A27565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9 (10.8%)</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322813CF"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3 (3.6%)</w:t>
            </w:r>
          </w:p>
        </w:tc>
      </w:tr>
      <w:tr w:rsidR="004036D4" w:rsidRPr="00A739B8" w14:paraId="72197DC8" w14:textId="77777777" w:rsidTr="003C3701">
        <w:trPr>
          <w:cantSplit/>
          <w:jc w:val="center"/>
        </w:trPr>
        <w:tc>
          <w:tcPr>
            <w:tcW w:w="1821" w:type="dxa"/>
            <w:vMerge w:val="restart"/>
            <w:tcBorders>
              <w:top w:val="nil"/>
              <w:left w:val="single" w:sz="6" w:space="0" w:color="000000"/>
              <w:right w:val="nil"/>
            </w:tcBorders>
            <w:shd w:val="clear" w:color="auto" w:fill="FFFFFF"/>
            <w:tcMar>
              <w:left w:w="80" w:type="dxa"/>
              <w:right w:w="80" w:type="dxa"/>
            </w:tcMar>
          </w:tcPr>
          <w:p w14:paraId="2006B149" w14:textId="77777777" w:rsidR="004036D4" w:rsidRPr="00F24A55" w:rsidRDefault="004036D4" w:rsidP="003C3701">
            <w:pPr>
              <w:keepNext/>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Vascular disorders</w:t>
            </w:r>
          </w:p>
        </w:tc>
        <w:tc>
          <w:tcPr>
            <w:tcW w:w="2340" w:type="dxa"/>
            <w:tcBorders>
              <w:top w:val="nil"/>
              <w:left w:val="single" w:sz="2" w:space="0" w:color="000000"/>
              <w:bottom w:val="single" w:sz="2" w:space="0" w:color="000000"/>
              <w:right w:val="nil"/>
            </w:tcBorders>
            <w:shd w:val="clear" w:color="auto" w:fill="FFFFFF"/>
            <w:tcMar>
              <w:left w:w="80" w:type="dxa"/>
              <w:right w:w="80" w:type="dxa"/>
            </w:tcMar>
          </w:tcPr>
          <w:p w14:paraId="3BCBEDEC" w14:textId="77777777" w:rsidR="004036D4" w:rsidRPr="00F24A55" w:rsidRDefault="004036D4" w:rsidP="003C3701">
            <w:pPr>
              <w:keepNext/>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Hypertension</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19735D9D" w14:textId="77777777" w:rsidR="004036D4" w:rsidRPr="00F24A55" w:rsidRDefault="004036D4" w:rsidP="003C3701">
            <w:pPr>
              <w:keepNext/>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17 (10.2%)</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79DB1291" w14:textId="77777777" w:rsidR="004036D4" w:rsidRPr="00F24A55" w:rsidRDefault="004036D4" w:rsidP="003C3701">
            <w:pPr>
              <w:keepNext/>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c>
          <w:tcPr>
            <w:tcW w:w="1080" w:type="dxa"/>
            <w:tcBorders>
              <w:top w:val="nil"/>
              <w:left w:val="single" w:sz="2" w:space="0" w:color="000000"/>
              <w:bottom w:val="single" w:sz="2" w:space="0" w:color="000000"/>
              <w:right w:val="nil"/>
            </w:tcBorders>
            <w:shd w:val="clear" w:color="auto" w:fill="FFFFFF"/>
            <w:tcMar>
              <w:left w:w="80" w:type="dxa"/>
              <w:right w:w="80" w:type="dxa"/>
            </w:tcMar>
          </w:tcPr>
          <w:p w14:paraId="64645044" w14:textId="77777777" w:rsidR="004036D4" w:rsidRPr="00F24A55" w:rsidRDefault="004036D4" w:rsidP="003C3701">
            <w:pPr>
              <w:keepNext/>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(6.0%)</w:t>
            </w:r>
          </w:p>
        </w:tc>
        <w:tc>
          <w:tcPr>
            <w:tcW w:w="1062" w:type="dxa"/>
            <w:tcBorders>
              <w:top w:val="nil"/>
              <w:left w:val="single" w:sz="2" w:space="0" w:color="000000"/>
              <w:bottom w:val="single" w:sz="2" w:space="0" w:color="000000"/>
              <w:right w:val="single" w:sz="6" w:space="0" w:color="000000"/>
            </w:tcBorders>
            <w:shd w:val="clear" w:color="auto" w:fill="FFFFFF"/>
            <w:tcMar>
              <w:left w:w="80" w:type="dxa"/>
              <w:right w:w="80" w:type="dxa"/>
            </w:tcMar>
          </w:tcPr>
          <w:p w14:paraId="776829D3" w14:textId="77777777" w:rsidR="004036D4" w:rsidRPr="00F24A55" w:rsidRDefault="004036D4" w:rsidP="003C3701">
            <w:pPr>
              <w:keepNext/>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r w:rsidR="004036D4" w:rsidRPr="00A739B8" w14:paraId="14D29FD1" w14:textId="77777777" w:rsidTr="003C3701">
        <w:trPr>
          <w:cantSplit/>
          <w:jc w:val="center"/>
        </w:trPr>
        <w:tc>
          <w:tcPr>
            <w:tcW w:w="1821" w:type="dxa"/>
            <w:vMerge/>
            <w:tcBorders>
              <w:left w:val="single" w:sz="6" w:space="0" w:color="000000"/>
              <w:bottom w:val="single" w:sz="6" w:space="0" w:color="000000"/>
              <w:right w:val="nil"/>
            </w:tcBorders>
            <w:shd w:val="clear" w:color="auto" w:fill="FFFFFF"/>
            <w:tcMar>
              <w:left w:w="80" w:type="dxa"/>
              <w:right w:w="80" w:type="dxa"/>
            </w:tcMar>
          </w:tcPr>
          <w:p w14:paraId="56FB64DB" w14:textId="77777777" w:rsidR="004036D4" w:rsidRPr="00F24A55" w:rsidRDefault="004036D4" w:rsidP="003C3701">
            <w:pPr>
              <w:adjustRightInd w:val="0"/>
              <w:spacing w:before="80" w:after="80"/>
              <w:ind w:left="240"/>
              <w:jc w:val="center"/>
              <w:rPr>
                <w:rFonts w:ascii="Times New Roman" w:hAnsi="Times New Roman" w:cs="Times New Roman"/>
                <w:color w:val="000000"/>
                <w:sz w:val="18"/>
                <w:szCs w:val="18"/>
              </w:rPr>
            </w:pPr>
          </w:p>
        </w:tc>
        <w:tc>
          <w:tcPr>
            <w:tcW w:w="2340" w:type="dxa"/>
            <w:tcBorders>
              <w:top w:val="nil"/>
              <w:left w:val="single" w:sz="2" w:space="0" w:color="000000"/>
              <w:bottom w:val="single" w:sz="6" w:space="0" w:color="000000"/>
              <w:right w:val="nil"/>
            </w:tcBorders>
            <w:shd w:val="clear" w:color="auto" w:fill="FFFFFF"/>
            <w:tcMar>
              <w:left w:w="80" w:type="dxa"/>
              <w:right w:w="80" w:type="dxa"/>
            </w:tcMar>
          </w:tcPr>
          <w:p w14:paraId="05590180" w14:textId="77777777" w:rsidR="004036D4" w:rsidRPr="00F24A55" w:rsidRDefault="004036D4" w:rsidP="003C3701">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Hypotension</w:t>
            </w:r>
          </w:p>
        </w:tc>
        <w:tc>
          <w:tcPr>
            <w:tcW w:w="1080" w:type="dxa"/>
            <w:tcBorders>
              <w:top w:val="nil"/>
              <w:left w:val="single" w:sz="2" w:space="0" w:color="000000"/>
              <w:bottom w:val="single" w:sz="6" w:space="0" w:color="000000"/>
              <w:right w:val="nil"/>
            </w:tcBorders>
            <w:shd w:val="clear" w:color="auto" w:fill="FFFFFF"/>
            <w:tcMar>
              <w:left w:w="80" w:type="dxa"/>
              <w:right w:w="80" w:type="dxa"/>
            </w:tcMar>
          </w:tcPr>
          <w:p w14:paraId="429B3A1B"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17 (10.2%)</w:t>
            </w:r>
          </w:p>
        </w:tc>
        <w:tc>
          <w:tcPr>
            <w:tcW w:w="1080" w:type="dxa"/>
            <w:tcBorders>
              <w:top w:val="nil"/>
              <w:left w:val="single" w:sz="2" w:space="0" w:color="000000"/>
              <w:bottom w:val="single" w:sz="6" w:space="0" w:color="000000"/>
              <w:right w:val="nil"/>
            </w:tcBorders>
            <w:shd w:val="clear" w:color="auto" w:fill="FFFFFF"/>
            <w:tcMar>
              <w:left w:w="80" w:type="dxa"/>
              <w:right w:w="80" w:type="dxa"/>
            </w:tcMar>
          </w:tcPr>
          <w:p w14:paraId="5810F6E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5 (3.0%)</w:t>
            </w:r>
          </w:p>
        </w:tc>
        <w:tc>
          <w:tcPr>
            <w:tcW w:w="1080" w:type="dxa"/>
            <w:tcBorders>
              <w:top w:val="nil"/>
              <w:left w:val="single" w:sz="2" w:space="0" w:color="000000"/>
              <w:bottom w:val="single" w:sz="6" w:space="0" w:color="000000"/>
              <w:right w:val="nil"/>
            </w:tcBorders>
            <w:shd w:val="clear" w:color="auto" w:fill="FFFFFF"/>
            <w:tcMar>
              <w:left w:w="80" w:type="dxa"/>
              <w:right w:w="80" w:type="dxa"/>
            </w:tcMar>
          </w:tcPr>
          <w:p w14:paraId="1DDCAE46"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2 (2.4%)</w:t>
            </w:r>
          </w:p>
        </w:tc>
        <w:tc>
          <w:tcPr>
            <w:tcW w:w="1062" w:type="dxa"/>
            <w:tcBorders>
              <w:top w:val="nil"/>
              <w:left w:val="single" w:sz="2" w:space="0" w:color="000000"/>
              <w:bottom w:val="single" w:sz="6" w:space="0" w:color="000000"/>
              <w:right w:val="single" w:sz="6" w:space="0" w:color="000000"/>
            </w:tcBorders>
            <w:shd w:val="clear" w:color="auto" w:fill="FFFFFF"/>
            <w:tcMar>
              <w:left w:w="80" w:type="dxa"/>
              <w:right w:w="80" w:type="dxa"/>
            </w:tcMar>
          </w:tcPr>
          <w:p w14:paraId="3616694E" w14:textId="77777777" w:rsidR="004036D4" w:rsidRPr="00F24A55" w:rsidRDefault="004036D4" w:rsidP="003C3701">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0 (0%)</w:t>
            </w:r>
          </w:p>
        </w:tc>
      </w:tr>
    </w:tbl>
    <w:p w14:paraId="2EF2F2F0" w14:textId="65432FF9" w:rsidR="00686520" w:rsidRPr="00F24A55" w:rsidRDefault="00686520" w:rsidP="00322F5A">
      <w:pPr>
        <w:spacing w:before="120"/>
        <w:ind w:left="284"/>
        <w:rPr>
          <w:rFonts w:ascii="Times New Roman" w:hAnsi="Times New Roman" w:cs="Times New Roman"/>
        </w:rPr>
      </w:pPr>
      <w:r w:rsidRPr="00F24A55">
        <w:rPr>
          <w:rFonts w:ascii="Times New Roman" w:hAnsi="Times New Roman" w:cs="Times New Roman"/>
          <w:sz w:val="20"/>
        </w:rPr>
        <w:lastRenderedPageBreak/>
        <w:t>*Multiple occurrences of the same event from a patient were counted only once (under the worst grade) within each preferred term.</w:t>
      </w:r>
    </w:p>
    <w:p w14:paraId="6D83A8E6" w14:textId="77777777" w:rsidR="00686520" w:rsidRDefault="00686520" w:rsidP="00F24A55">
      <w:pPr>
        <w:keepNext/>
        <w:spacing w:after="0" w:line="240" w:lineRule="auto"/>
        <w:rPr>
          <w:rFonts w:ascii="Times New Roman" w:hAnsi="Times New Roman" w:cs="Times New Roman"/>
          <w:b/>
        </w:rPr>
      </w:pPr>
      <w:r w:rsidRPr="00F24A55">
        <w:rPr>
          <w:rFonts w:ascii="Times New Roman" w:hAnsi="Times New Roman" w:cs="Times New Roman"/>
          <w:b/>
        </w:rPr>
        <w:t>Tabulated List of Adverse Reactions</w:t>
      </w:r>
    </w:p>
    <w:p w14:paraId="0720873F" w14:textId="77777777" w:rsidR="00917B17" w:rsidRPr="00F24A55" w:rsidRDefault="00917B17" w:rsidP="00917B17"/>
    <w:p w14:paraId="0DE38DF4" w14:textId="27E13CB9" w:rsidR="00686520" w:rsidRPr="00F24A55" w:rsidRDefault="00686520" w:rsidP="00F24A55">
      <w:pPr>
        <w:keepNext/>
        <w:spacing w:after="0" w:line="240" w:lineRule="auto"/>
        <w:rPr>
          <w:rFonts w:ascii="Times New Roman" w:hAnsi="Times New Roman" w:cs="Times New Roman"/>
        </w:rPr>
      </w:pPr>
      <w:r w:rsidRPr="00F24A55">
        <w:rPr>
          <w:rFonts w:ascii="Times New Roman" w:hAnsi="Times New Roman" w:cs="Times New Roman"/>
        </w:rPr>
        <w:t xml:space="preserve">The adverse reactions observed in patients with MM treated with plitidepsin are listed in the table below, sorted by MedDRA System Organ Class (SOC), that fall below </w:t>
      </w:r>
      <w:r w:rsidR="003F6BB4">
        <w:rPr>
          <w:rFonts w:ascii="Times New Roman" w:hAnsi="Times New Roman" w:cs="Times New Roman"/>
        </w:rPr>
        <w:t>1</w:t>
      </w:r>
      <w:r w:rsidRPr="00F24A55">
        <w:rPr>
          <w:rFonts w:ascii="Times New Roman" w:hAnsi="Times New Roman" w:cs="Times New Roman"/>
        </w:rPr>
        <w:t>% frequency.</w:t>
      </w:r>
    </w:p>
    <w:p w14:paraId="6DC973D3" w14:textId="77777777" w:rsidR="00686520" w:rsidRPr="00F24A55" w:rsidRDefault="00686520" w:rsidP="00F24A55">
      <w:pPr>
        <w:spacing w:after="0" w:line="240" w:lineRule="auto"/>
        <w:rPr>
          <w:rFonts w:ascii="Times New Roman" w:hAnsi="Times New Roman" w:cs="Times New Roman"/>
        </w:rPr>
      </w:pPr>
    </w:p>
    <w:p w14:paraId="646D499B" w14:textId="77777777" w:rsidR="00686520" w:rsidRPr="00F24A55" w:rsidRDefault="00686520" w:rsidP="00F24A55">
      <w:pPr>
        <w:spacing w:after="0" w:line="240" w:lineRule="auto"/>
        <w:rPr>
          <w:rFonts w:ascii="Times New Roman" w:hAnsi="Times New Roman" w:cs="Times New Roman"/>
        </w:rPr>
      </w:pPr>
      <w:r w:rsidRPr="00F24A55">
        <w:rPr>
          <w:rFonts w:ascii="Times New Roman" w:hAnsi="Times New Roman" w:cs="Times New Roman"/>
        </w:rPr>
        <w:t xml:space="preserve">Within each SOC and frequency grouping, adverse reactions are presented in order of decreasing frequencies. Frequencies are defined using the following convention: Very common (≥ 1/10); common (≥ 1/100 to &lt; 1/10); and uncommon (≥ 1/1,000 to &lt; 1/100); </w:t>
      </w:r>
      <w:r w:rsidRPr="00F24A55">
        <w:rPr>
          <w:rFonts w:ascii="Times New Roman" w:eastAsia="SimSun" w:hAnsi="Times New Roman" w:cs="Times New Roman"/>
          <w:lang w:eastAsia="es-ES"/>
        </w:rPr>
        <w:t>rare (</w:t>
      </w:r>
      <w:r w:rsidRPr="00F24A55">
        <w:rPr>
          <w:rFonts w:ascii="Times New Roman" w:hAnsi="Times New Roman" w:cs="Times New Roman"/>
        </w:rPr>
        <w:t xml:space="preserve">≥ </w:t>
      </w:r>
      <w:r w:rsidRPr="00F24A55">
        <w:rPr>
          <w:rFonts w:ascii="Times New Roman" w:eastAsia="SimSun" w:hAnsi="Times New Roman" w:cs="Times New Roman"/>
          <w:lang w:eastAsia="es-ES"/>
        </w:rPr>
        <w:t>1/10,000 to &lt; 1/1,000); very rare (&lt; 1/10,000) and unknown (</w:t>
      </w:r>
      <w:r w:rsidRPr="00F24A55">
        <w:rPr>
          <w:rFonts w:ascii="Times New Roman" w:hAnsi="Times New Roman" w:cs="Times New Roman"/>
        </w:rPr>
        <w:t>cannot be estimated from available data).</w:t>
      </w:r>
    </w:p>
    <w:p w14:paraId="4FADA523" w14:textId="77777777" w:rsidR="00686520" w:rsidRPr="00F24A55" w:rsidRDefault="00686520" w:rsidP="00F24A55">
      <w:pPr>
        <w:spacing w:after="0" w:line="240" w:lineRule="auto"/>
        <w:rPr>
          <w:rFonts w:ascii="Times New Roman" w:hAnsi="Times New Roman" w:cs="Times New Roman"/>
        </w:rPr>
      </w:pPr>
    </w:p>
    <w:p w14:paraId="7C8F0836" w14:textId="5B15A8CA" w:rsidR="00686520" w:rsidRDefault="00686520" w:rsidP="00F24A55">
      <w:pPr>
        <w:adjustRightInd w:val="0"/>
        <w:spacing w:after="0" w:line="240" w:lineRule="auto"/>
        <w:rPr>
          <w:rFonts w:ascii="Times New Roman" w:hAnsi="Times New Roman" w:cs="Times New Roman"/>
          <w:b/>
        </w:rPr>
      </w:pPr>
      <w:r w:rsidRPr="00F24A55">
        <w:rPr>
          <w:rFonts w:ascii="Times New Roman" w:hAnsi="Times New Roman" w:cs="Times New Roman"/>
          <w:b/>
        </w:rPr>
        <w:t xml:space="preserve">Table </w:t>
      </w:r>
      <w:r w:rsidR="00C26529">
        <w:rPr>
          <w:rFonts w:ascii="Times New Roman" w:hAnsi="Times New Roman" w:cs="Times New Roman"/>
          <w:b/>
        </w:rPr>
        <w:t>5</w:t>
      </w:r>
      <w:r w:rsidRPr="00F24A55">
        <w:rPr>
          <w:rFonts w:ascii="Times New Roman" w:hAnsi="Times New Roman" w:cs="Times New Roman"/>
          <w:b/>
        </w:rPr>
        <w:t xml:space="preserve">: Adverse Drug Reactions (treatment-related or unknown causality) &lt; </w:t>
      </w:r>
      <w:r w:rsidR="003F6BB4">
        <w:rPr>
          <w:rFonts w:ascii="Times New Roman" w:hAnsi="Times New Roman" w:cs="Times New Roman"/>
          <w:b/>
        </w:rPr>
        <w:t>1</w:t>
      </w:r>
      <w:r w:rsidRPr="00F24A55">
        <w:rPr>
          <w:rFonts w:ascii="Times New Roman" w:hAnsi="Times New Roman" w:cs="Times New Roman"/>
          <w:b/>
        </w:rPr>
        <w:t xml:space="preserve">% frequency* (APL-C-001-09 [ADMYRE trial]) </w:t>
      </w:r>
    </w:p>
    <w:p w14:paraId="13BD871F" w14:textId="77777777" w:rsidR="00F24A55" w:rsidRPr="00F24A55" w:rsidRDefault="00F24A55" w:rsidP="00F24A55">
      <w:pPr>
        <w:adjustRightInd w:val="0"/>
        <w:spacing w:after="0" w:line="240" w:lineRule="auto"/>
        <w:rPr>
          <w:rFonts w:ascii="Times New Roman" w:hAnsi="Times New Roman" w:cs="Times New Roman"/>
          <w:b/>
        </w:rPr>
      </w:pPr>
    </w:p>
    <w:tbl>
      <w:tblPr>
        <w:tblW w:w="0" w:type="auto"/>
        <w:jc w:val="center"/>
        <w:tblLayout w:type="fixed"/>
        <w:tblCellMar>
          <w:left w:w="0" w:type="dxa"/>
          <w:right w:w="0" w:type="dxa"/>
        </w:tblCellMar>
        <w:tblLook w:val="0000" w:firstRow="0" w:lastRow="0" w:firstColumn="0" w:lastColumn="0" w:noHBand="0" w:noVBand="0"/>
      </w:tblPr>
      <w:tblGrid>
        <w:gridCol w:w="2835"/>
        <w:gridCol w:w="4253"/>
        <w:gridCol w:w="1732"/>
      </w:tblGrid>
      <w:tr w:rsidR="00187535" w:rsidRPr="00F24A55" w14:paraId="4810C07E" w14:textId="77777777" w:rsidTr="00F42486">
        <w:trPr>
          <w:cantSplit/>
          <w:tblHeader/>
          <w:jc w:val="center"/>
        </w:trPr>
        <w:tc>
          <w:tcPr>
            <w:tcW w:w="7088" w:type="dxa"/>
            <w:gridSpan w:val="2"/>
            <w:tcBorders>
              <w:top w:val="single" w:sz="4" w:space="0" w:color="000000"/>
              <w:left w:val="single" w:sz="6" w:space="0" w:color="000000"/>
              <w:bottom w:val="single" w:sz="4" w:space="0" w:color="auto"/>
              <w:right w:val="nil"/>
            </w:tcBorders>
            <w:shd w:val="clear" w:color="auto" w:fill="FFFFFF"/>
            <w:tcMar>
              <w:left w:w="80" w:type="dxa"/>
              <w:right w:w="80" w:type="dxa"/>
            </w:tcMar>
            <w:vAlign w:val="bottom"/>
          </w:tcPr>
          <w:p w14:paraId="45EBF5D2" w14:textId="77777777" w:rsidR="00187535" w:rsidRPr="00F24A55" w:rsidRDefault="00187535" w:rsidP="00335E88">
            <w:pPr>
              <w:keepNext/>
              <w:adjustRightInd w:val="0"/>
              <w:spacing w:before="80" w:after="80"/>
              <w:jc w:val="center"/>
              <w:rPr>
                <w:rFonts w:ascii="Times New Roman" w:hAnsi="Times New Roman" w:cs="Times New Roman"/>
                <w:b/>
                <w:bCs/>
                <w:color w:val="000000"/>
                <w:sz w:val="18"/>
                <w:szCs w:val="18"/>
              </w:rPr>
            </w:pPr>
          </w:p>
        </w:tc>
        <w:tc>
          <w:tcPr>
            <w:tcW w:w="1732" w:type="dxa"/>
            <w:tcBorders>
              <w:top w:val="single" w:sz="4" w:space="0" w:color="000000"/>
              <w:left w:val="single" w:sz="2" w:space="0" w:color="000000"/>
              <w:bottom w:val="single" w:sz="2" w:space="0" w:color="000000"/>
              <w:right w:val="single" w:sz="4" w:space="0" w:color="auto"/>
            </w:tcBorders>
            <w:shd w:val="clear" w:color="auto" w:fill="FFFFFF"/>
            <w:tcMar>
              <w:left w:w="80" w:type="dxa"/>
              <w:right w:w="80" w:type="dxa"/>
            </w:tcMar>
            <w:vAlign w:val="bottom"/>
          </w:tcPr>
          <w:p w14:paraId="08424AF7" w14:textId="77777777" w:rsidR="00187535" w:rsidRPr="00F24A55" w:rsidRDefault="00187535" w:rsidP="00335E88">
            <w:pPr>
              <w:keepNext/>
              <w:adjustRightInd w:val="0"/>
              <w:spacing w:before="80" w:after="80"/>
              <w:jc w:val="center"/>
              <w:rPr>
                <w:rFonts w:ascii="Times New Roman" w:hAnsi="Times New Roman" w:cs="Times New Roman"/>
                <w:b/>
                <w:bCs/>
                <w:sz w:val="18"/>
                <w:szCs w:val="18"/>
              </w:rPr>
            </w:pPr>
            <w:r w:rsidRPr="00F24A55">
              <w:rPr>
                <w:rFonts w:ascii="Times New Roman" w:hAnsi="Times New Roman" w:cs="Times New Roman"/>
                <w:b/>
                <w:bCs/>
                <w:sz w:val="18"/>
                <w:szCs w:val="18"/>
              </w:rPr>
              <w:t>Arm A (P+DXM)</w:t>
            </w:r>
          </w:p>
          <w:p w14:paraId="724298C1" w14:textId="77777777" w:rsidR="00187535" w:rsidRPr="00F24A55" w:rsidRDefault="00187535" w:rsidP="00335E88">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sz w:val="18"/>
                <w:szCs w:val="18"/>
              </w:rPr>
              <w:t>N=167</w:t>
            </w:r>
          </w:p>
        </w:tc>
      </w:tr>
      <w:tr w:rsidR="00187535" w:rsidRPr="00F24A55" w14:paraId="66788E3E" w14:textId="77777777" w:rsidTr="00F42486">
        <w:trPr>
          <w:cantSplit/>
          <w:tblHeader/>
          <w:jc w:val="center"/>
        </w:trPr>
        <w:tc>
          <w:tcPr>
            <w:tcW w:w="2835" w:type="dxa"/>
            <w:tcBorders>
              <w:top w:val="single" w:sz="4" w:space="0" w:color="auto"/>
              <w:left w:val="single" w:sz="6" w:space="0" w:color="000000"/>
              <w:right w:val="nil"/>
            </w:tcBorders>
            <w:shd w:val="clear" w:color="auto" w:fill="FFFFFF"/>
            <w:tcMar>
              <w:left w:w="80" w:type="dxa"/>
              <w:right w:w="80" w:type="dxa"/>
            </w:tcMar>
            <w:vAlign w:val="bottom"/>
          </w:tcPr>
          <w:p w14:paraId="45B589B3" w14:textId="77777777" w:rsidR="00187535" w:rsidRPr="00F24A55" w:rsidRDefault="00187535" w:rsidP="00335E88">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System Organ Class</w:t>
            </w:r>
          </w:p>
        </w:tc>
        <w:tc>
          <w:tcPr>
            <w:tcW w:w="4253" w:type="dxa"/>
            <w:tcBorders>
              <w:top w:val="single" w:sz="4" w:space="0" w:color="auto"/>
              <w:left w:val="single" w:sz="2" w:space="0" w:color="000000"/>
              <w:bottom w:val="single" w:sz="4" w:space="0" w:color="auto"/>
              <w:right w:val="nil"/>
            </w:tcBorders>
            <w:shd w:val="clear" w:color="auto" w:fill="FFFFFF"/>
            <w:tcMar>
              <w:left w:w="80" w:type="dxa"/>
              <w:right w:w="80" w:type="dxa"/>
            </w:tcMar>
            <w:vAlign w:val="bottom"/>
          </w:tcPr>
          <w:p w14:paraId="60706F64" w14:textId="77777777" w:rsidR="00187535" w:rsidRPr="00F24A55" w:rsidRDefault="00187535" w:rsidP="00335E88">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Preferred term</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vAlign w:val="bottom"/>
          </w:tcPr>
          <w:p w14:paraId="546E4796" w14:textId="77777777" w:rsidR="00187535" w:rsidRPr="00F24A55" w:rsidRDefault="00187535" w:rsidP="00335E88">
            <w:pPr>
              <w:keepNext/>
              <w:adjustRightInd w:val="0"/>
              <w:spacing w:before="80" w:after="80"/>
              <w:jc w:val="center"/>
              <w:rPr>
                <w:rFonts w:ascii="Times New Roman" w:hAnsi="Times New Roman" w:cs="Times New Roman"/>
                <w:b/>
                <w:bCs/>
                <w:color w:val="000000"/>
                <w:sz w:val="18"/>
                <w:szCs w:val="18"/>
              </w:rPr>
            </w:pPr>
            <w:r w:rsidRPr="00F24A55">
              <w:rPr>
                <w:rFonts w:ascii="Times New Roman" w:hAnsi="Times New Roman" w:cs="Times New Roman"/>
                <w:b/>
                <w:bCs/>
                <w:color w:val="000000"/>
                <w:sz w:val="18"/>
                <w:szCs w:val="18"/>
              </w:rPr>
              <w:t>CIOMs category</w:t>
            </w:r>
          </w:p>
        </w:tc>
      </w:tr>
      <w:tr w:rsidR="00187535" w:rsidRPr="00F24A55" w14:paraId="410F3A2A" w14:textId="77777777" w:rsidTr="00322F5A">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6D89DF10" w14:textId="185618C8" w:rsidR="00187535" w:rsidRPr="00F24A55" w:rsidRDefault="00187535" w:rsidP="00322F5A">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Blood and lymphatic system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5D3F4858" w14:textId="77777777" w:rsidR="00187535" w:rsidRPr="00F24A55" w:rsidRDefault="00187535" w:rsidP="00335E88">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Coagulopathy, Disseminated intravascular coagulation, Febrile neutropenia, Pancytopenia</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5FC74896" w14:textId="77777777" w:rsidR="00187535" w:rsidRPr="00F24A55" w:rsidRDefault="00187535" w:rsidP="00335E88">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776B36" w:rsidRPr="00F24A55" w14:paraId="2982314D" w14:textId="77777777" w:rsidTr="00776B36">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3FBF5658" w14:textId="0487949E" w:rsidR="00776B36" w:rsidRPr="00F24A55" w:rsidRDefault="00776B36" w:rsidP="00322F5A">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Cardiac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2A603E72" w14:textId="77777777" w:rsidR="00776B36" w:rsidRPr="00F24A55" w:rsidRDefault="00776B36" w:rsidP="00335E88">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Angina pectoris, Atrial tachycardia, Cardiac arrest, Cardiac failure chronic, Cardiac failure congestive, Left ventricular failure, Mitral valve incompetence, Myocardial infarction, Palpitations, Supraventricular tachycardia, Systolic dysfunction</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49485209" w14:textId="77777777" w:rsidR="00776B36" w:rsidRPr="00F24A55" w:rsidRDefault="00776B36" w:rsidP="00335E88">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187535" w:rsidRPr="00F24A55" w14:paraId="7DDCB08B" w14:textId="77777777" w:rsidTr="00322F5A">
        <w:trPr>
          <w:cantSplit/>
          <w:jc w:val="center"/>
        </w:trPr>
        <w:tc>
          <w:tcPr>
            <w:tcW w:w="2835" w:type="dxa"/>
            <w:tcBorders>
              <w:top w:val="nil"/>
              <w:left w:val="single" w:sz="6" w:space="0" w:color="000000"/>
              <w:bottom w:val="single" w:sz="2" w:space="0" w:color="000000"/>
              <w:right w:val="nil"/>
            </w:tcBorders>
            <w:shd w:val="clear" w:color="auto" w:fill="FFFFFF"/>
            <w:tcMar>
              <w:left w:w="80" w:type="dxa"/>
              <w:right w:w="80" w:type="dxa"/>
            </w:tcMar>
          </w:tcPr>
          <w:p w14:paraId="02AA0EA6" w14:textId="77777777" w:rsidR="00187535" w:rsidRPr="00F24A55" w:rsidRDefault="00187535" w:rsidP="00322F5A">
            <w:pPr>
              <w:adjustRightInd w:val="0"/>
              <w:spacing w:before="80" w:after="80"/>
              <w:ind w:left="240"/>
              <w:rPr>
                <w:rFonts w:ascii="Times New Roman" w:eastAsiaTheme="majorEastAsia" w:hAnsi="Times New Roman" w:cs="Times New Roman"/>
                <w:i/>
                <w:iCs/>
                <w:color w:val="000000"/>
                <w:sz w:val="18"/>
                <w:szCs w:val="18"/>
              </w:rPr>
            </w:pPr>
            <w:r w:rsidRPr="00F24A55">
              <w:rPr>
                <w:rFonts w:ascii="Times New Roman" w:hAnsi="Times New Roman" w:cs="Times New Roman"/>
                <w:color w:val="000000"/>
                <w:sz w:val="18"/>
                <w:szCs w:val="18"/>
              </w:rPr>
              <w:t>Endocrine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5100A835" w14:textId="77777777" w:rsidR="00187535" w:rsidRPr="00F24A55" w:rsidRDefault="00187535" w:rsidP="00335E88">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Cushingoid</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2141D20C" w14:textId="77777777" w:rsidR="00187535" w:rsidRPr="00F24A55" w:rsidRDefault="00187535" w:rsidP="00335E88">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776B36" w:rsidRPr="00F24A55" w14:paraId="580FDFCF" w14:textId="77777777" w:rsidTr="00776B36">
        <w:trPr>
          <w:cantSplit/>
          <w:jc w:val="center"/>
        </w:trPr>
        <w:tc>
          <w:tcPr>
            <w:tcW w:w="2835" w:type="dxa"/>
            <w:tcBorders>
              <w:top w:val="nil"/>
              <w:left w:val="single" w:sz="6" w:space="0" w:color="000000"/>
              <w:right w:val="nil"/>
            </w:tcBorders>
            <w:shd w:val="clear" w:color="auto" w:fill="FFFFFF"/>
            <w:tcMar>
              <w:left w:w="80" w:type="dxa"/>
              <w:right w:w="80" w:type="dxa"/>
            </w:tcMar>
          </w:tcPr>
          <w:p w14:paraId="166DB4D1" w14:textId="77777777" w:rsidR="00776B36" w:rsidRPr="00F24A55" w:rsidRDefault="00776B36" w:rsidP="00322F5A">
            <w:pPr>
              <w:adjustRightInd w:val="0"/>
              <w:spacing w:before="80" w:after="80"/>
              <w:ind w:left="240"/>
              <w:rPr>
                <w:rFonts w:ascii="Times New Roman" w:eastAsiaTheme="majorEastAsia" w:hAnsi="Times New Roman" w:cs="Times New Roman"/>
                <w:i/>
                <w:iCs/>
                <w:color w:val="000000"/>
                <w:sz w:val="18"/>
                <w:szCs w:val="18"/>
              </w:rPr>
            </w:pPr>
            <w:r w:rsidRPr="00F24A55">
              <w:rPr>
                <w:rFonts w:ascii="Times New Roman" w:hAnsi="Times New Roman" w:cs="Times New Roman"/>
                <w:color w:val="000000"/>
                <w:sz w:val="18"/>
                <w:szCs w:val="18"/>
              </w:rPr>
              <w:t>Eye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09BE7432" w14:textId="0062A96F" w:rsidR="00776B36" w:rsidRPr="00F24A55" w:rsidRDefault="00776B36" w:rsidP="00776B36">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Diplopia, Dry eye, Eye pain, Eyelid oedema, Visual impairment</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6A7C5377" w14:textId="0EC20434" w:rsidR="00776B36" w:rsidRPr="00F24A55" w:rsidRDefault="00776B36" w:rsidP="00776B36">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FE1AFE" w:rsidRPr="00F24A55" w14:paraId="4FFB2874" w14:textId="77777777" w:rsidTr="00322F5A">
        <w:trPr>
          <w:cantSplit/>
          <w:jc w:val="center"/>
        </w:trPr>
        <w:tc>
          <w:tcPr>
            <w:tcW w:w="2835" w:type="dxa"/>
            <w:tcBorders>
              <w:top w:val="single" w:sz="2" w:space="0" w:color="000000"/>
              <w:left w:val="single" w:sz="6" w:space="0" w:color="000000"/>
              <w:right w:val="nil"/>
            </w:tcBorders>
            <w:shd w:val="clear" w:color="auto" w:fill="FFFFFF"/>
            <w:tcMar>
              <w:left w:w="80" w:type="dxa"/>
              <w:right w:w="80" w:type="dxa"/>
            </w:tcMar>
          </w:tcPr>
          <w:p w14:paraId="596FFFD6" w14:textId="77777777" w:rsidR="00FE1AFE" w:rsidRPr="00F24A55" w:rsidRDefault="00FE1AFE" w:rsidP="00322F5A">
            <w:pPr>
              <w:adjustRightInd w:val="0"/>
              <w:spacing w:before="80" w:after="80"/>
              <w:ind w:left="240"/>
              <w:rPr>
                <w:rFonts w:ascii="Times New Roman" w:eastAsiaTheme="majorEastAsia" w:hAnsi="Times New Roman" w:cs="Times New Roman"/>
                <w:i/>
                <w:iCs/>
                <w:color w:val="000000"/>
                <w:sz w:val="18"/>
                <w:szCs w:val="18"/>
              </w:rPr>
            </w:pPr>
            <w:r w:rsidRPr="00F24A55">
              <w:rPr>
                <w:rFonts w:ascii="Times New Roman" w:hAnsi="Times New Roman" w:cs="Times New Roman"/>
              </w:rPr>
              <w:br w:type="page"/>
            </w:r>
            <w:r w:rsidRPr="00F24A55">
              <w:rPr>
                <w:rFonts w:ascii="Times New Roman" w:hAnsi="Times New Roman" w:cs="Times New Roman"/>
                <w:color w:val="000000"/>
                <w:sz w:val="18"/>
                <w:szCs w:val="18"/>
              </w:rPr>
              <w:t>Gastrointestinal disorders</w:t>
            </w:r>
          </w:p>
        </w:tc>
        <w:tc>
          <w:tcPr>
            <w:tcW w:w="4253" w:type="dxa"/>
            <w:tcBorders>
              <w:top w:val="single" w:sz="2" w:space="0" w:color="000000"/>
              <w:left w:val="single" w:sz="2" w:space="0" w:color="000000"/>
              <w:bottom w:val="single" w:sz="2" w:space="0" w:color="000000"/>
              <w:right w:val="nil"/>
            </w:tcBorders>
            <w:shd w:val="clear" w:color="auto" w:fill="FFFFFF"/>
            <w:tcMar>
              <w:left w:w="80" w:type="dxa"/>
              <w:right w:w="80" w:type="dxa"/>
            </w:tcMar>
          </w:tcPr>
          <w:p w14:paraId="38B68D15" w14:textId="640AC5E3" w:rsidR="00FE1AFE" w:rsidRPr="00F24A55" w:rsidRDefault="00FE1AFE" w:rsidP="00FE1AFE">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Abdominal distension, Dry mouth</w:t>
            </w:r>
          </w:p>
        </w:tc>
        <w:tc>
          <w:tcPr>
            <w:tcW w:w="1732" w:type="dxa"/>
            <w:tcBorders>
              <w:top w:val="single" w:sz="2" w:space="0" w:color="000000"/>
              <w:left w:val="single" w:sz="2" w:space="0" w:color="000000"/>
              <w:bottom w:val="single" w:sz="2" w:space="0" w:color="000000"/>
              <w:right w:val="single" w:sz="4" w:space="0" w:color="auto"/>
            </w:tcBorders>
            <w:shd w:val="clear" w:color="auto" w:fill="FFFFFF"/>
            <w:tcMar>
              <w:left w:w="80" w:type="dxa"/>
              <w:right w:w="80" w:type="dxa"/>
            </w:tcMar>
          </w:tcPr>
          <w:p w14:paraId="4E4F3E63" w14:textId="0C568902" w:rsidR="00FE1AFE" w:rsidRPr="00F24A55" w:rsidRDefault="00FE1AFE" w:rsidP="00FE1AFE">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FE1AFE" w:rsidRPr="00F24A55" w14:paraId="334007F5" w14:textId="77777777" w:rsidTr="00322F5A">
        <w:trPr>
          <w:cantSplit/>
          <w:jc w:val="center"/>
        </w:trPr>
        <w:tc>
          <w:tcPr>
            <w:tcW w:w="2835" w:type="dxa"/>
            <w:tcBorders>
              <w:left w:val="single" w:sz="6" w:space="0" w:color="000000"/>
              <w:bottom w:val="single" w:sz="4" w:space="0" w:color="000000"/>
              <w:right w:val="nil"/>
            </w:tcBorders>
            <w:shd w:val="clear" w:color="auto" w:fill="FFFFFF"/>
            <w:tcMar>
              <w:left w:w="80" w:type="dxa"/>
              <w:right w:w="80" w:type="dxa"/>
            </w:tcMar>
          </w:tcPr>
          <w:p w14:paraId="714BD5F6" w14:textId="77777777" w:rsidR="00FE1AFE" w:rsidRPr="00F24A55" w:rsidRDefault="00FE1AFE" w:rsidP="000426ED">
            <w:pPr>
              <w:adjustRightInd w:val="0"/>
              <w:spacing w:before="80" w:after="80"/>
              <w:ind w:left="240"/>
              <w:rPr>
                <w:rFonts w:ascii="Times New Roman" w:hAnsi="Times New Roman" w:cs="Times New Roman"/>
                <w:color w:val="000000"/>
                <w:sz w:val="18"/>
                <w:szCs w:val="18"/>
              </w:rPr>
            </w:pP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055C26D2" w14:textId="2B3602AF" w:rsidR="00FE1AFE" w:rsidRPr="00F24A55" w:rsidRDefault="00FE1AFE" w:rsidP="00FE1AFE">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 xml:space="preserve">Abdominal discomfort, </w:t>
            </w:r>
            <w:proofErr w:type="spellStart"/>
            <w:r w:rsidRPr="00F24A55">
              <w:rPr>
                <w:rFonts w:ascii="Times New Roman" w:hAnsi="Times New Roman" w:cs="Times New Roman"/>
                <w:color w:val="000000"/>
                <w:sz w:val="18"/>
                <w:szCs w:val="18"/>
              </w:rPr>
              <w:t>Gastrooesophageal</w:t>
            </w:r>
            <w:proofErr w:type="spellEnd"/>
            <w:r w:rsidRPr="00F24A55">
              <w:rPr>
                <w:rFonts w:ascii="Times New Roman" w:hAnsi="Times New Roman" w:cs="Times New Roman"/>
                <w:color w:val="000000"/>
                <w:sz w:val="18"/>
                <w:szCs w:val="18"/>
              </w:rPr>
              <w:t xml:space="preserve"> reflux disease, Oesophageal pain, Stomatitis, Duodenitis, Dysphagia, Epigastric discomfort</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3B4A01DC" w14:textId="5211AE8B" w:rsidR="00FE1AFE" w:rsidRPr="00F24A55" w:rsidRDefault="00FE1AFE" w:rsidP="00FE1AFE">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35AC16A5" w14:textId="77777777" w:rsidTr="00322F5A">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485A517A" w14:textId="77777777" w:rsidR="00D358F4" w:rsidRPr="00F24A55" w:rsidRDefault="00D358F4" w:rsidP="00322F5A">
            <w:pPr>
              <w:adjustRightInd w:val="0"/>
              <w:spacing w:before="80" w:after="80"/>
              <w:ind w:left="240"/>
              <w:rPr>
                <w:rFonts w:ascii="Times New Roman" w:eastAsiaTheme="majorEastAsia" w:hAnsi="Times New Roman" w:cs="Times New Roman"/>
                <w:i/>
                <w:iCs/>
                <w:color w:val="000000"/>
                <w:sz w:val="18"/>
                <w:szCs w:val="18"/>
              </w:rPr>
            </w:pPr>
            <w:r w:rsidRPr="00F24A55">
              <w:rPr>
                <w:rFonts w:ascii="Times New Roman" w:hAnsi="Times New Roman" w:cs="Times New Roman"/>
                <w:color w:val="000000"/>
                <w:sz w:val="18"/>
                <w:szCs w:val="18"/>
              </w:rPr>
              <w:t>General disorders and administration site conditions</w:t>
            </w:r>
          </w:p>
        </w:tc>
        <w:tc>
          <w:tcPr>
            <w:tcW w:w="4253" w:type="dxa"/>
            <w:tcBorders>
              <w:top w:val="single" w:sz="4" w:space="0" w:color="000000"/>
              <w:left w:val="single" w:sz="2" w:space="0" w:color="000000"/>
              <w:bottom w:val="single" w:sz="2" w:space="0" w:color="000000"/>
              <w:right w:val="nil"/>
            </w:tcBorders>
            <w:shd w:val="clear" w:color="auto" w:fill="FFFFFF"/>
            <w:tcMar>
              <w:left w:w="80" w:type="dxa"/>
              <w:right w:w="80" w:type="dxa"/>
            </w:tcMar>
          </w:tcPr>
          <w:p w14:paraId="4BF48019" w14:textId="1253BBAB"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Catheter site pain, Infusion site reaction, Injection site extravasation, Malaise, Thrombosis in device</w:t>
            </w:r>
          </w:p>
        </w:tc>
        <w:tc>
          <w:tcPr>
            <w:tcW w:w="1732" w:type="dxa"/>
            <w:tcBorders>
              <w:top w:val="single" w:sz="4" w:space="0" w:color="000000"/>
              <w:left w:val="single" w:sz="2" w:space="0" w:color="000000"/>
              <w:bottom w:val="single" w:sz="2" w:space="0" w:color="000000"/>
              <w:right w:val="single" w:sz="4" w:space="0" w:color="auto"/>
            </w:tcBorders>
            <w:shd w:val="clear" w:color="auto" w:fill="FFFFFF"/>
            <w:tcMar>
              <w:left w:w="80" w:type="dxa"/>
              <w:right w:w="80" w:type="dxa"/>
            </w:tcMar>
          </w:tcPr>
          <w:p w14:paraId="7DE3238F" w14:textId="20626A92"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770C1E4D" w14:textId="77777777" w:rsidTr="008F2F68">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60D832EE" w14:textId="0091BB05" w:rsidR="00D358F4" w:rsidRPr="00F24A55" w:rsidRDefault="00960811" w:rsidP="004B48FD">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Hepatobiliary disorders</w:t>
            </w:r>
          </w:p>
        </w:tc>
        <w:tc>
          <w:tcPr>
            <w:tcW w:w="4253" w:type="dxa"/>
            <w:tcBorders>
              <w:top w:val="single" w:sz="2" w:space="0" w:color="000000"/>
              <w:left w:val="single" w:sz="2" w:space="0" w:color="000000"/>
              <w:bottom w:val="single" w:sz="2" w:space="0" w:color="000000"/>
              <w:right w:val="nil"/>
            </w:tcBorders>
            <w:shd w:val="clear" w:color="auto" w:fill="FFFFFF"/>
            <w:tcMar>
              <w:left w:w="80" w:type="dxa"/>
              <w:right w:w="80" w:type="dxa"/>
            </w:tcMar>
          </w:tcPr>
          <w:p w14:paraId="6126C873"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Hepatocellular injury, Cholestasis, Hepatomegaly, Portal vein thrombosis</w:t>
            </w:r>
          </w:p>
        </w:tc>
        <w:tc>
          <w:tcPr>
            <w:tcW w:w="1732" w:type="dxa"/>
            <w:tcBorders>
              <w:top w:val="single" w:sz="2" w:space="0" w:color="000000"/>
              <w:left w:val="single" w:sz="2" w:space="0" w:color="000000"/>
              <w:bottom w:val="single" w:sz="2" w:space="0" w:color="000000"/>
              <w:right w:val="single" w:sz="4" w:space="0" w:color="auto"/>
            </w:tcBorders>
            <w:shd w:val="clear" w:color="auto" w:fill="FFFFFF"/>
            <w:tcMar>
              <w:left w:w="80" w:type="dxa"/>
              <w:right w:w="80" w:type="dxa"/>
            </w:tcMar>
          </w:tcPr>
          <w:p w14:paraId="27E4DB84"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2C0C9590" w14:textId="77777777" w:rsidTr="00C0562C">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123C557F" w14:textId="23C6821C" w:rsidR="00D358F4" w:rsidRPr="00F24A55" w:rsidRDefault="00960811" w:rsidP="000426ED">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Immune system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2FA8AF6C"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Drug hypersensitivity, Anaphylactic Shock</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755E843E"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5543B17E" w14:textId="77777777" w:rsidTr="008F2F68">
        <w:trPr>
          <w:cantSplit/>
          <w:jc w:val="center"/>
        </w:trPr>
        <w:tc>
          <w:tcPr>
            <w:tcW w:w="2835" w:type="dxa"/>
            <w:tcBorders>
              <w:top w:val="single" w:sz="4" w:space="0" w:color="000000"/>
              <w:left w:val="single" w:sz="6" w:space="0" w:color="000000"/>
              <w:right w:val="nil"/>
            </w:tcBorders>
            <w:shd w:val="clear" w:color="auto" w:fill="FFFFFF"/>
            <w:tcMar>
              <w:left w:w="80" w:type="dxa"/>
              <w:right w:w="80" w:type="dxa"/>
            </w:tcMar>
          </w:tcPr>
          <w:p w14:paraId="5649DC75" w14:textId="381ED28E" w:rsidR="00D358F4" w:rsidRPr="00F24A55" w:rsidRDefault="00960811" w:rsidP="000426ED">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Infections and infestations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6A9B4DAB"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Herpes simplex</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62FF78CD"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13C60CF6" w14:textId="77777777" w:rsidTr="008F2F68">
        <w:trPr>
          <w:cantSplit/>
          <w:jc w:val="center"/>
        </w:trPr>
        <w:tc>
          <w:tcPr>
            <w:tcW w:w="2835" w:type="dxa"/>
            <w:tcBorders>
              <w:left w:val="single" w:sz="6" w:space="0" w:color="000000"/>
              <w:bottom w:val="single" w:sz="2" w:space="0" w:color="000000"/>
              <w:right w:val="nil"/>
            </w:tcBorders>
            <w:shd w:val="clear" w:color="auto" w:fill="FFFFFF"/>
            <w:tcMar>
              <w:left w:w="80" w:type="dxa"/>
              <w:right w:w="80" w:type="dxa"/>
            </w:tcMar>
          </w:tcPr>
          <w:p w14:paraId="20FD1A4C" w14:textId="77777777" w:rsidR="00D358F4" w:rsidRPr="00F24A55" w:rsidRDefault="00D358F4" w:rsidP="008F2F68">
            <w:pPr>
              <w:adjustRightInd w:val="0"/>
              <w:spacing w:before="80" w:after="80"/>
              <w:ind w:left="240"/>
              <w:rPr>
                <w:rFonts w:ascii="Times New Roman" w:hAnsi="Times New Roman" w:cs="Times New Roman"/>
                <w:color w:val="000000"/>
                <w:sz w:val="18"/>
                <w:szCs w:val="18"/>
              </w:rPr>
            </w:pP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28E6A230"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Atypical pneumonia, Bacteraemia, Catheter site cellulitis, Cystitis, Enterocolitis infectious, Escherichia sepsis, Febrile infection, Herpes virus infection, Influenza, Localised infection, Neutropenic sepsis, Oesophageal candidiasis, Septic shock, Wound infection</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32E8D757"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04D98126" w14:textId="77777777" w:rsidTr="00C915F8">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0F26E7AF" w14:textId="1B709463" w:rsidR="00D358F4" w:rsidRPr="00F24A55" w:rsidRDefault="00C915F8"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Injury, poisoning and procedural complications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6292DFEA"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Fall, Procedural nausea, Transfusion reaction</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37A50ED1"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7DA6EE5A" w14:textId="77777777" w:rsidTr="004B48FD">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54B9C0D0" w14:textId="0394ADC3" w:rsidR="00D358F4" w:rsidRPr="00F24A55" w:rsidRDefault="00C915F8"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Investigations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7526DCED" w14:textId="583D6CA8"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Activated partial thromboplastin time prolonged, Amylase, Bilirubin conjugated increased, Blood creatine phosphokinase</w:t>
            </w:r>
            <w:r w:rsidRPr="00F24A55">
              <w:rPr>
                <w:rFonts w:ascii="Times New Roman" w:hAnsi="Times New Roman" w:cs="Times New Roman"/>
                <w:color w:val="000000"/>
                <w:sz w:val="18"/>
                <w:szCs w:val="18"/>
                <w:vertAlign w:val="superscript"/>
              </w:rPr>
              <w:t>#</w:t>
            </w:r>
            <w:r w:rsidRPr="00F24A55">
              <w:rPr>
                <w:rFonts w:ascii="Times New Roman" w:hAnsi="Times New Roman" w:cs="Times New Roman"/>
                <w:color w:val="000000"/>
                <w:sz w:val="18"/>
                <w:szCs w:val="18"/>
              </w:rPr>
              <w:t>, Blood creatine phosphokinase MB increased, C-reactive protein increased, Ejection fraction abnormal, Electrocardiogram T wave inversion, Electrocardiogram abnormal, Hepatic enzyme increased, International normalised ratio increased, N-terminal prohormone brain natriuretic peptide increased, Troponin T increased, Troponin increased</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6EF6697B"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21167F6A" w14:textId="77777777" w:rsidTr="00C915F8">
        <w:trPr>
          <w:cantSplit/>
          <w:jc w:val="center"/>
        </w:trPr>
        <w:tc>
          <w:tcPr>
            <w:tcW w:w="2835" w:type="dxa"/>
            <w:vMerge w:val="restart"/>
            <w:tcBorders>
              <w:top w:val="single" w:sz="4" w:space="0" w:color="000000"/>
              <w:left w:val="single" w:sz="6" w:space="0" w:color="000000"/>
              <w:right w:val="nil"/>
            </w:tcBorders>
            <w:shd w:val="clear" w:color="auto" w:fill="FFFFFF"/>
            <w:tcMar>
              <w:left w:w="80" w:type="dxa"/>
              <w:right w:w="80" w:type="dxa"/>
            </w:tcMar>
          </w:tcPr>
          <w:p w14:paraId="5297A59F" w14:textId="0DE7B54B" w:rsidR="002733C6" w:rsidRPr="00F24A55" w:rsidRDefault="002733C6"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Metabolism and nutrition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1EB9B455" w14:textId="77777777" w:rsidR="002733C6" w:rsidRPr="00F24A55" w:rsidRDefault="002733C6"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Hyperuricaemia, Hypokalaemia</w:t>
            </w:r>
            <w:r w:rsidRPr="00F24A55">
              <w:rPr>
                <w:rFonts w:ascii="Times New Roman" w:hAnsi="Times New Roman" w:cs="Times New Roman"/>
                <w:color w:val="000000"/>
                <w:sz w:val="18"/>
                <w:szCs w:val="18"/>
                <w:vertAlign w:val="superscript"/>
              </w:rPr>
              <w:t>#</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5547E61D"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415FC4A5" w14:textId="77777777" w:rsidTr="006424C9">
        <w:trPr>
          <w:cantSplit/>
          <w:jc w:val="center"/>
        </w:trPr>
        <w:tc>
          <w:tcPr>
            <w:tcW w:w="2835" w:type="dxa"/>
            <w:vMerge/>
            <w:tcBorders>
              <w:left w:val="single" w:sz="6" w:space="0" w:color="000000"/>
              <w:bottom w:val="single" w:sz="2" w:space="0" w:color="000000"/>
              <w:right w:val="nil"/>
            </w:tcBorders>
            <w:shd w:val="clear" w:color="auto" w:fill="FFFFFF"/>
            <w:tcMar>
              <w:left w:w="80" w:type="dxa"/>
              <w:right w:w="80" w:type="dxa"/>
            </w:tcMar>
          </w:tcPr>
          <w:p w14:paraId="7722B96E" w14:textId="77777777" w:rsidR="002733C6" w:rsidRPr="00F24A55" w:rsidRDefault="002733C6" w:rsidP="004B48FD">
            <w:pPr>
              <w:adjustRightInd w:val="0"/>
              <w:spacing w:before="80" w:after="80"/>
              <w:ind w:left="240"/>
              <w:rPr>
                <w:rFonts w:ascii="Times New Roman" w:hAnsi="Times New Roman" w:cs="Times New Roman"/>
                <w:color w:val="000000"/>
                <w:sz w:val="18"/>
                <w:szCs w:val="18"/>
              </w:rPr>
            </w:pP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0A30AC72" w14:textId="77777777" w:rsidR="002733C6" w:rsidRPr="00F24A55" w:rsidRDefault="002733C6" w:rsidP="00D358F4">
            <w:pPr>
              <w:adjustRightInd w:val="0"/>
              <w:spacing w:before="80" w:after="80"/>
              <w:rPr>
                <w:rFonts w:ascii="Times New Roman" w:hAnsi="Times New Roman" w:cs="Times New Roman"/>
                <w:color w:val="000000"/>
                <w:sz w:val="18"/>
                <w:szCs w:val="18"/>
              </w:rPr>
            </w:pPr>
            <w:proofErr w:type="spellStart"/>
            <w:r w:rsidRPr="00F24A55">
              <w:rPr>
                <w:rFonts w:ascii="Times New Roman" w:hAnsi="Times New Roman" w:cs="Times New Roman"/>
                <w:color w:val="000000"/>
                <w:sz w:val="18"/>
                <w:szCs w:val="18"/>
              </w:rPr>
              <w:t>Hypernatraemia</w:t>
            </w:r>
            <w:proofErr w:type="spellEnd"/>
            <w:r w:rsidRPr="00F24A55">
              <w:rPr>
                <w:rFonts w:ascii="Times New Roman" w:hAnsi="Times New Roman" w:cs="Times New Roman"/>
                <w:color w:val="000000"/>
                <w:sz w:val="18"/>
                <w:szCs w:val="18"/>
                <w:vertAlign w:val="superscript"/>
              </w:rPr>
              <w:t>#</w:t>
            </w:r>
            <w:r w:rsidRPr="00F24A55">
              <w:rPr>
                <w:rFonts w:ascii="Times New Roman" w:hAnsi="Times New Roman" w:cs="Times New Roman"/>
                <w:color w:val="000000"/>
                <w:sz w:val="18"/>
                <w:szCs w:val="18"/>
              </w:rPr>
              <w:t xml:space="preserve">, </w:t>
            </w:r>
            <w:proofErr w:type="spellStart"/>
            <w:r w:rsidRPr="00F24A55">
              <w:rPr>
                <w:rFonts w:ascii="Times New Roman" w:hAnsi="Times New Roman" w:cs="Times New Roman"/>
                <w:color w:val="000000"/>
                <w:sz w:val="18"/>
                <w:szCs w:val="18"/>
              </w:rPr>
              <w:t>Hyponatraemia</w:t>
            </w:r>
            <w:proofErr w:type="spellEnd"/>
            <w:r w:rsidRPr="00F24A55">
              <w:rPr>
                <w:rFonts w:ascii="Times New Roman" w:hAnsi="Times New Roman" w:cs="Times New Roman"/>
                <w:color w:val="000000"/>
                <w:sz w:val="18"/>
                <w:szCs w:val="18"/>
                <w:vertAlign w:val="superscript"/>
              </w:rPr>
              <w:t>#</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08545215"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09D35F1A" w14:textId="77777777" w:rsidTr="00C915F8">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75866B51" w14:textId="329E2CA1" w:rsidR="00D358F4" w:rsidRPr="00F24A55" w:rsidRDefault="00C915F8"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Musculoskeletal and connective tissue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40D00447"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Bone pain, Muscle contracture, Myopathy toxic, Myositis</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0740E965"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7E8AB344" w14:textId="77777777" w:rsidTr="00C915F8">
        <w:trPr>
          <w:cantSplit/>
          <w:jc w:val="center"/>
        </w:trPr>
        <w:tc>
          <w:tcPr>
            <w:tcW w:w="2835" w:type="dxa"/>
            <w:vMerge w:val="restart"/>
            <w:tcBorders>
              <w:top w:val="single" w:sz="4" w:space="0" w:color="000000"/>
              <w:left w:val="single" w:sz="6" w:space="0" w:color="000000"/>
              <w:right w:val="nil"/>
            </w:tcBorders>
            <w:shd w:val="clear" w:color="auto" w:fill="FFFFFF"/>
            <w:tcMar>
              <w:left w:w="80" w:type="dxa"/>
              <w:right w:w="80" w:type="dxa"/>
            </w:tcMar>
          </w:tcPr>
          <w:p w14:paraId="2F33E0E1" w14:textId="54B59D99" w:rsidR="002733C6" w:rsidRPr="00F24A55" w:rsidRDefault="002733C6"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Nervous system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7446D3FA" w14:textId="77777777" w:rsidR="002733C6" w:rsidRPr="00F24A55" w:rsidRDefault="002733C6"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Dizziness</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5C3F1F85"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473DBF75" w14:textId="77777777" w:rsidTr="006424C9">
        <w:trPr>
          <w:cantSplit/>
          <w:jc w:val="center"/>
        </w:trPr>
        <w:tc>
          <w:tcPr>
            <w:tcW w:w="2835" w:type="dxa"/>
            <w:vMerge/>
            <w:tcBorders>
              <w:left w:val="single" w:sz="6" w:space="0" w:color="000000"/>
              <w:bottom w:val="single" w:sz="2" w:space="0" w:color="000000"/>
              <w:right w:val="nil"/>
            </w:tcBorders>
            <w:shd w:val="clear" w:color="auto" w:fill="FFFFFF"/>
            <w:tcMar>
              <w:left w:w="80" w:type="dxa"/>
              <w:right w:w="80" w:type="dxa"/>
            </w:tcMar>
          </w:tcPr>
          <w:p w14:paraId="2A0C2FD1" w14:textId="77777777" w:rsidR="002733C6" w:rsidRPr="00F24A55" w:rsidRDefault="002733C6" w:rsidP="004B48FD">
            <w:pPr>
              <w:adjustRightInd w:val="0"/>
              <w:spacing w:before="80" w:after="80"/>
              <w:ind w:left="240"/>
              <w:rPr>
                <w:rFonts w:ascii="Times New Roman" w:hAnsi="Times New Roman" w:cs="Times New Roman"/>
                <w:color w:val="000000"/>
                <w:sz w:val="18"/>
                <w:szCs w:val="18"/>
              </w:rPr>
            </w:pP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30931EFF" w14:textId="77777777" w:rsidR="002733C6" w:rsidRPr="00F24A55" w:rsidRDefault="002733C6" w:rsidP="00D358F4">
            <w:pPr>
              <w:adjustRightInd w:val="0"/>
              <w:spacing w:before="80" w:after="80"/>
              <w:rPr>
                <w:rFonts w:ascii="Times New Roman" w:hAnsi="Times New Roman" w:cs="Times New Roman"/>
                <w:color w:val="000000"/>
                <w:sz w:val="18"/>
                <w:szCs w:val="18"/>
              </w:rPr>
            </w:pPr>
            <w:proofErr w:type="spellStart"/>
            <w:r w:rsidRPr="00F24A55">
              <w:rPr>
                <w:rFonts w:ascii="Times New Roman" w:hAnsi="Times New Roman" w:cs="Times New Roman"/>
                <w:color w:val="000000"/>
                <w:sz w:val="18"/>
                <w:szCs w:val="18"/>
              </w:rPr>
              <w:t>Hypoaesthesia</w:t>
            </w:r>
            <w:proofErr w:type="spellEnd"/>
            <w:r w:rsidRPr="00F24A55">
              <w:rPr>
                <w:rFonts w:ascii="Times New Roman" w:hAnsi="Times New Roman" w:cs="Times New Roman"/>
                <w:color w:val="000000"/>
                <w:sz w:val="18"/>
                <w:szCs w:val="18"/>
              </w:rPr>
              <w:t>, Neuropathy peripheral, Peripheral sensory neuropathy, Polyneuropathy, Somnolence, Syncope</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1718EDB6"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69673E1E" w14:textId="77777777" w:rsidTr="00C915F8">
        <w:trPr>
          <w:cantSplit/>
          <w:jc w:val="center"/>
        </w:trPr>
        <w:tc>
          <w:tcPr>
            <w:tcW w:w="2835" w:type="dxa"/>
            <w:vMerge w:val="restart"/>
            <w:tcBorders>
              <w:top w:val="single" w:sz="4" w:space="0" w:color="000000"/>
              <w:left w:val="single" w:sz="6" w:space="0" w:color="000000"/>
              <w:right w:val="nil"/>
            </w:tcBorders>
            <w:shd w:val="clear" w:color="auto" w:fill="FFFFFF"/>
            <w:tcMar>
              <w:left w:w="80" w:type="dxa"/>
              <w:right w:w="80" w:type="dxa"/>
            </w:tcMar>
          </w:tcPr>
          <w:p w14:paraId="16227762" w14:textId="7CB4DB09" w:rsidR="002733C6" w:rsidRPr="00F24A55" w:rsidRDefault="002733C6"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Psychiatric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434A96BC" w14:textId="77777777" w:rsidR="002733C6" w:rsidRPr="00F24A55" w:rsidRDefault="002733C6"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Psychotic disorder</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1F85839D"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42BD16D1" w14:textId="77777777" w:rsidTr="006424C9">
        <w:trPr>
          <w:cantSplit/>
          <w:jc w:val="center"/>
        </w:trPr>
        <w:tc>
          <w:tcPr>
            <w:tcW w:w="2835" w:type="dxa"/>
            <w:vMerge/>
            <w:tcBorders>
              <w:left w:val="single" w:sz="6" w:space="0" w:color="000000"/>
              <w:bottom w:val="single" w:sz="2" w:space="0" w:color="000000"/>
              <w:right w:val="nil"/>
            </w:tcBorders>
            <w:shd w:val="clear" w:color="auto" w:fill="FFFFFF"/>
            <w:tcMar>
              <w:left w:w="80" w:type="dxa"/>
              <w:right w:w="80" w:type="dxa"/>
            </w:tcMar>
          </w:tcPr>
          <w:p w14:paraId="38C6F6DD" w14:textId="77777777" w:rsidR="002733C6" w:rsidRPr="00F24A55" w:rsidRDefault="002733C6" w:rsidP="004B48FD">
            <w:pPr>
              <w:adjustRightInd w:val="0"/>
              <w:spacing w:before="80" w:after="80"/>
              <w:ind w:left="240"/>
              <w:rPr>
                <w:rFonts w:ascii="Times New Roman" w:hAnsi="Times New Roman" w:cs="Times New Roman"/>
                <w:color w:val="000000"/>
                <w:sz w:val="18"/>
                <w:szCs w:val="18"/>
              </w:rPr>
            </w:pP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43F960B0" w14:textId="77777777" w:rsidR="002733C6" w:rsidRPr="00F24A55" w:rsidRDefault="002733C6"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Depressed mood, Depression, Delirium, Anxiety, Dysthymic disorder, Restlessness</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50FF2910"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1BB40CE5" w14:textId="77777777" w:rsidTr="00C915F8">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35DF8321" w14:textId="04F012BE" w:rsidR="00D358F4" w:rsidRPr="00F24A55" w:rsidRDefault="00C915F8"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Renal and urinary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5AB6466E"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Pollakiuria</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1DB8C1B4"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27ED3C3B" w14:textId="77777777" w:rsidTr="00C915F8">
        <w:trPr>
          <w:cantSplit/>
          <w:jc w:val="center"/>
        </w:trPr>
        <w:tc>
          <w:tcPr>
            <w:tcW w:w="2835" w:type="dxa"/>
            <w:tcBorders>
              <w:top w:val="single" w:sz="4" w:space="0" w:color="000000"/>
              <w:left w:val="single" w:sz="6" w:space="0" w:color="000000"/>
              <w:bottom w:val="single" w:sz="2" w:space="0" w:color="000000"/>
              <w:right w:val="nil"/>
            </w:tcBorders>
            <w:shd w:val="clear" w:color="auto" w:fill="FFFFFF"/>
            <w:tcMar>
              <w:left w:w="80" w:type="dxa"/>
              <w:right w:w="80" w:type="dxa"/>
            </w:tcMar>
          </w:tcPr>
          <w:p w14:paraId="61268FE7" w14:textId="50983782" w:rsidR="00D358F4" w:rsidRPr="00F24A55" w:rsidRDefault="00C915F8"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Respiratory, thoracic and mediastinal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1F6B74A6"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Haemothorax, Apnoea, Hypoxia, Pleural effusion, Productive cough</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7866D513"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7C2F14CD" w14:textId="77777777" w:rsidTr="00C915F8">
        <w:trPr>
          <w:cantSplit/>
          <w:jc w:val="center"/>
        </w:trPr>
        <w:tc>
          <w:tcPr>
            <w:tcW w:w="2835" w:type="dxa"/>
            <w:vMerge w:val="restart"/>
            <w:tcBorders>
              <w:top w:val="single" w:sz="4" w:space="0" w:color="000000"/>
              <w:left w:val="single" w:sz="6" w:space="0" w:color="000000"/>
              <w:right w:val="nil"/>
            </w:tcBorders>
            <w:shd w:val="clear" w:color="auto" w:fill="FFFFFF"/>
            <w:tcMar>
              <w:left w:w="80" w:type="dxa"/>
              <w:right w:w="80" w:type="dxa"/>
            </w:tcMar>
          </w:tcPr>
          <w:p w14:paraId="6C7A71B0" w14:textId="70F82552" w:rsidR="002733C6" w:rsidRPr="00F24A55" w:rsidRDefault="002733C6"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Skin and subcutaneous tissue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30686FEA" w14:textId="77777777" w:rsidR="002733C6" w:rsidRPr="00F24A55" w:rsidRDefault="002733C6"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Erythema</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319A2AF7"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2733C6" w:rsidRPr="00F24A55" w14:paraId="468F7D1D" w14:textId="77777777" w:rsidTr="006424C9">
        <w:trPr>
          <w:cantSplit/>
          <w:jc w:val="center"/>
        </w:trPr>
        <w:tc>
          <w:tcPr>
            <w:tcW w:w="2835" w:type="dxa"/>
            <w:vMerge/>
            <w:tcBorders>
              <w:left w:val="single" w:sz="6" w:space="0" w:color="000000"/>
              <w:bottom w:val="single" w:sz="2" w:space="0" w:color="000000"/>
              <w:right w:val="nil"/>
            </w:tcBorders>
            <w:shd w:val="clear" w:color="auto" w:fill="FFFFFF"/>
            <w:tcMar>
              <w:left w:w="80" w:type="dxa"/>
              <w:right w:w="80" w:type="dxa"/>
            </w:tcMar>
          </w:tcPr>
          <w:p w14:paraId="353E05BF" w14:textId="77777777" w:rsidR="002733C6" w:rsidRPr="00F24A55" w:rsidRDefault="002733C6" w:rsidP="004B48FD">
            <w:pPr>
              <w:adjustRightInd w:val="0"/>
              <w:spacing w:before="80" w:after="80"/>
              <w:ind w:left="240"/>
              <w:rPr>
                <w:rFonts w:ascii="Times New Roman" w:hAnsi="Times New Roman" w:cs="Times New Roman"/>
                <w:color w:val="000000"/>
                <w:sz w:val="18"/>
                <w:szCs w:val="18"/>
              </w:rPr>
            </w:pP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276F31F3" w14:textId="77777777" w:rsidR="002733C6" w:rsidRPr="00F24A55" w:rsidRDefault="002733C6"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Eczema, Night sweats, Onychomadesis, Pruritus, Rash popular, Skin hyperpigmentation, Urticaria</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6FDC0EA4" w14:textId="77777777" w:rsidR="002733C6" w:rsidRPr="00F24A55" w:rsidRDefault="002733C6"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75B15EBC" w14:textId="77777777" w:rsidTr="00C915F8">
        <w:trPr>
          <w:cantSplit/>
          <w:jc w:val="center"/>
        </w:trPr>
        <w:tc>
          <w:tcPr>
            <w:tcW w:w="2835" w:type="dxa"/>
            <w:tcBorders>
              <w:top w:val="single" w:sz="4" w:space="0" w:color="000000"/>
              <w:left w:val="single" w:sz="6" w:space="0" w:color="000000"/>
              <w:right w:val="nil"/>
            </w:tcBorders>
            <w:shd w:val="clear" w:color="auto" w:fill="FFFFFF"/>
            <w:tcMar>
              <w:left w:w="80" w:type="dxa"/>
              <w:right w:w="80" w:type="dxa"/>
            </w:tcMar>
          </w:tcPr>
          <w:p w14:paraId="5A714F86" w14:textId="26BE05E0" w:rsidR="00D358F4" w:rsidRPr="00F24A55" w:rsidRDefault="00C915F8" w:rsidP="008F2F68">
            <w:pPr>
              <w:adjustRightInd w:val="0"/>
              <w:spacing w:before="80" w:after="80"/>
              <w:ind w:left="240"/>
              <w:rPr>
                <w:rFonts w:ascii="Times New Roman" w:hAnsi="Times New Roman" w:cs="Times New Roman"/>
                <w:color w:val="000000"/>
                <w:sz w:val="18"/>
                <w:szCs w:val="18"/>
              </w:rPr>
            </w:pPr>
            <w:r w:rsidRPr="00F24A55">
              <w:rPr>
                <w:rFonts w:ascii="Times New Roman" w:hAnsi="Times New Roman" w:cs="Times New Roman"/>
                <w:color w:val="000000"/>
                <w:sz w:val="18"/>
                <w:szCs w:val="18"/>
              </w:rPr>
              <w:t>Vascular disorders</w:t>
            </w: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4804A8B6"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Hot flush</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75C93092"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r w:rsidR="00D358F4" w:rsidRPr="00F24A55" w14:paraId="4EB60091" w14:textId="77777777" w:rsidTr="006424C9">
        <w:trPr>
          <w:cantSplit/>
          <w:jc w:val="center"/>
        </w:trPr>
        <w:tc>
          <w:tcPr>
            <w:tcW w:w="2835" w:type="dxa"/>
            <w:tcBorders>
              <w:left w:val="single" w:sz="6" w:space="0" w:color="000000"/>
              <w:bottom w:val="single" w:sz="2" w:space="0" w:color="000000"/>
              <w:right w:val="nil"/>
            </w:tcBorders>
            <w:shd w:val="clear" w:color="auto" w:fill="FFFFFF"/>
            <w:tcMar>
              <w:left w:w="80" w:type="dxa"/>
              <w:right w:w="80" w:type="dxa"/>
            </w:tcMar>
          </w:tcPr>
          <w:p w14:paraId="308C5293" w14:textId="77777777" w:rsidR="00D358F4" w:rsidRPr="00F24A55" w:rsidRDefault="00D358F4" w:rsidP="000426ED">
            <w:pPr>
              <w:adjustRightInd w:val="0"/>
              <w:spacing w:before="80" w:after="80"/>
              <w:ind w:left="240"/>
              <w:jc w:val="center"/>
              <w:rPr>
                <w:rFonts w:ascii="Times New Roman" w:hAnsi="Times New Roman" w:cs="Times New Roman"/>
                <w:color w:val="000000"/>
                <w:sz w:val="18"/>
                <w:szCs w:val="18"/>
              </w:rPr>
            </w:pPr>
          </w:p>
        </w:tc>
        <w:tc>
          <w:tcPr>
            <w:tcW w:w="4253" w:type="dxa"/>
            <w:tcBorders>
              <w:top w:val="nil"/>
              <w:left w:val="single" w:sz="2" w:space="0" w:color="000000"/>
              <w:bottom w:val="single" w:sz="2" w:space="0" w:color="000000"/>
              <w:right w:val="nil"/>
            </w:tcBorders>
            <w:shd w:val="clear" w:color="auto" w:fill="FFFFFF"/>
            <w:tcMar>
              <w:left w:w="80" w:type="dxa"/>
              <w:right w:w="80" w:type="dxa"/>
            </w:tcMar>
          </w:tcPr>
          <w:p w14:paraId="1248AA0C" w14:textId="77777777" w:rsidR="00D358F4" w:rsidRPr="00F24A55" w:rsidRDefault="00D358F4" w:rsidP="00D358F4">
            <w:pPr>
              <w:adjustRightInd w:val="0"/>
              <w:spacing w:before="80" w:after="80"/>
              <w:rPr>
                <w:rFonts w:ascii="Times New Roman" w:hAnsi="Times New Roman" w:cs="Times New Roman"/>
                <w:color w:val="000000"/>
                <w:sz w:val="18"/>
                <w:szCs w:val="18"/>
              </w:rPr>
            </w:pPr>
            <w:r w:rsidRPr="00F24A55">
              <w:rPr>
                <w:rFonts w:ascii="Times New Roman" w:hAnsi="Times New Roman" w:cs="Times New Roman"/>
                <w:color w:val="000000"/>
                <w:sz w:val="18"/>
                <w:szCs w:val="18"/>
              </w:rPr>
              <w:t>Circulatory collapse, Deep vein thrombosis, Flushing, Orthostatic hypotension, Thrombophlebitis, Venous thrombosis</w:t>
            </w:r>
          </w:p>
        </w:tc>
        <w:tc>
          <w:tcPr>
            <w:tcW w:w="1732" w:type="dxa"/>
            <w:tcBorders>
              <w:top w:val="nil"/>
              <w:left w:val="single" w:sz="2" w:space="0" w:color="000000"/>
              <w:bottom w:val="single" w:sz="2" w:space="0" w:color="000000"/>
              <w:right w:val="single" w:sz="4" w:space="0" w:color="auto"/>
            </w:tcBorders>
            <w:shd w:val="clear" w:color="auto" w:fill="FFFFFF"/>
            <w:tcMar>
              <w:left w:w="80" w:type="dxa"/>
              <w:right w:w="80" w:type="dxa"/>
            </w:tcMar>
          </w:tcPr>
          <w:p w14:paraId="08B03D45" w14:textId="77777777" w:rsidR="00D358F4" w:rsidRPr="00F24A55" w:rsidRDefault="00D358F4" w:rsidP="00D358F4">
            <w:pPr>
              <w:adjustRightInd w:val="0"/>
              <w:spacing w:before="80" w:after="80"/>
              <w:jc w:val="center"/>
              <w:rPr>
                <w:rFonts w:ascii="Times New Roman" w:hAnsi="Times New Roman" w:cs="Times New Roman"/>
                <w:color w:val="000000"/>
                <w:sz w:val="18"/>
                <w:szCs w:val="18"/>
              </w:rPr>
            </w:pPr>
            <w:r w:rsidRPr="00F24A55">
              <w:rPr>
                <w:rFonts w:ascii="Times New Roman" w:hAnsi="Times New Roman" w:cs="Times New Roman"/>
                <w:color w:val="000000"/>
                <w:sz w:val="18"/>
                <w:szCs w:val="18"/>
              </w:rPr>
              <w:t>Uncommon</w:t>
            </w:r>
          </w:p>
        </w:tc>
      </w:tr>
    </w:tbl>
    <w:p w14:paraId="2DF81ED5" w14:textId="1ACF42D6" w:rsidR="00686520" w:rsidRDefault="00686520" w:rsidP="00F24A55">
      <w:pPr>
        <w:adjustRightInd w:val="0"/>
        <w:ind w:left="284"/>
        <w:rPr>
          <w:rFonts w:ascii="Times New Roman" w:hAnsi="Times New Roman" w:cs="Times New Roman"/>
          <w:sz w:val="20"/>
        </w:rPr>
      </w:pPr>
      <w:r w:rsidRPr="00F24A55">
        <w:rPr>
          <w:rFonts w:ascii="Times New Roman" w:hAnsi="Times New Roman" w:cs="Times New Roman"/>
          <w:sz w:val="20"/>
        </w:rPr>
        <w:lastRenderedPageBreak/>
        <w:t>*Multiple occurrences of the same event from a patient were counted only once (under the worst grade) within each preferred term.</w:t>
      </w:r>
      <w:r w:rsidR="00F24A55">
        <w:rPr>
          <w:rFonts w:ascii="Times New Roman" w:hAnsi="Times New Roman" w:cs="Times New Roman"/>
          <w:sz w:val="20"/>
        </w:rPr>
        <w:br/>
      </w:r>
      <w:r w:rsidRPr="00F24A55">
        <w:rPr>
          <w:rFonts w:ascii="Times New Roman" w:hAnsi="Times New Roman" w:cs="Times New Roman"/>
          <w:sz w:val="20"/>
          <w:vertAlign w:val="superscript"/>
        </w:rPr>
        <w:t>#</w:t>
      </w:r>
      <w:r w:rsidRPr="00F24A55">
        <w:rPr>
          <w:rFonts w:ascii="Times New Roman" w:hAnsi="Times New Roman" w:cs="Times New Roman"/>
          <w:sz w:val="20"/>
        </w:rPr>
        <w:t xml:space="preserve"> Laboratory abnormalities, assessed by sponsor (company) as treatment-related</w:t>
      </w:r>
      <w:bookmarkStart w:id="0" w:name="IDX"/>
      <w:bookmarkEnd w:id="0"/>
    </w:p>
    <w:p w14:paraId="2C0F8CBB" w14:textId="3D2310ED" w:rsidR="00EE593A" w:rsidRPr="00B725F4" w:rsidRDefault="00953C12" w:rsidP="00EE593A">
      <w:pPr>
        <w:adjustRightInd w:val="0"/>
        <w:ind w:left="284"/>
        <w:rPr>
          <w:rFonts w:ascii="Times New Roman" w:hAnsi="Times New Roman" w:cs="Times New Roman"/>
          <w:sz w:val="20"/>
          <w:szCs w:val="20"/>
        </w:rPr>
      </w:pPr>
      <w:r w:rsidRPr="00B725F4">
        <w:rPr>
          <w:rFonts w:ascii="Times New Roman" w:hAnsi="Times New Roman" w:cs="Times New Roman"/>
          <w:sz w:val="20"/>
          <w:szCs w:val="20"/>
        </w:rPr>
        <w:t>The s</w:t>
      </w:r>
      <w:r w:rsidR="00EE593A" w:rsidRPr="00B725F4">
        <w:rPr>
          <w:rFonts w:ascii="Times New Roman" w:hAnsi="Times New Roman" w:cs="Times New Roman"/>
          <w:sz w:val="20"/>
          <w:szCs w:val="20"/>
        </w:rPr>
        <w:t>afety population include</w:t>
      </w:r>
      <w:r w:rsidR="001856C4" w:rsidRPr="00B725F4">
        <w:rPr>
          <w:rFonts w:ascii="Times New Roman" w:hAnsi="Times New Roman" w:cs="Times New Roman"/>
          <w:sz w:val="20"/>
          <w:szCs w:val="20"/>
        </w:rPr>
        <w:t>s</w:t>
      </w:r>
      <w:r w:rsidR="00EE593A" w:rsidRPr="00B725F4">
        <w:rPr>
          <w:rFonts w:ascii="Times New Roman" w:hAnsi="Times New Roman" w:cs="Times New Roman"/>
          <w:sz w:val="20"/>
          <w:szCs w:val="20"/>
        </w:rPr>
        <w:t xml:space="preserve"> all subjects that took at least one dose of study treatment.</w:t>
      </w:r>
    </w:p>
    <w:p w14:paraId="42FA69A7" w14:textId="607EC791" w:rsidR="00686520" w:rsidRPr="00F24A55" w:rsidRDefault="00686520" w:rsidP="00686520">
      <w:pPr>
        <w:widowControl w:val="0"/>
        <w:tabs>
          <w:tab w:val="left" w:pos="567"/>
          <w:tab w:val="left" w:pos="1560"/>
        </w:tabs>
        <w:spacing w:line="260" w:lineRule="exact"/>
        <w:rPr>
          <w:rFonts w:ascii="Times New Roman" w:hAnsi="Times New Roman" w:cs="Times New Roman"/>
          <w:b/>
        </w:rPr>
      </w:pPr>
      <w:r w:rsidRPr="00F24A55">
        <w:rPr>
          <w:rFonts w:ascii="Times New Roman" w:hAnsi="Times New Roman" w:cs="Times New Roman"/>
          <w:b/>
        </w:rPr>
        <w:t>Description of selected adverse reactions</w:t>
      </w:r>
    </w:p>
    <w:p w14:paraId="705CB9CA" w14:textId="7BD5AD86" w:rsidR="00F24A55" w:rsidRDefault="00686520" w:rsidP="00F24A55">
      <w:pPr>
        <w:widowControl w:val="0"/>
        <w:tabs>
          <w:tab w:val="left" w:pos="1560"/>
        </w:tabs>
        <w:spacing w:after="0" w:line="240" w:lineRule="auto"/>
        <w:rPr>
          <w:rFonts w:ascii="Times New Roman" w:hAnsi="Times New Roman" w:cs="Times New Roman"/>
          <w:u w:val="single"/>
        </w:rPr>
      </w:pPr>
      <w:r w:rsidRPr="00F24A55">
        <w:rPr>
          <w:rFonts w:ascii="Times New Roman" w:hAnsi="Times New Roman" w:cs="Times New Roman"/>
          <w:u w:val="single"/>
        </w:rPr>
        <w:t>Musculoskeletal and connective tissue disorders and investigations</w:t>
      </w:r>
    </w:p>
    <w:p w14:paraId="7540383B" w14:textId="72934FFC" w:rsidR="00686520" w:rsidRDefault="00686520" w:rsidP="00F24A55">
      <w:pPr>
        <w:widowControl w:val="0"/>
        <w:tabs>
          <w:tab w:val="left" w:pos="1560"/>
        </w:tabs>
        <w:spacing w:after="0" w:line="240" w:lineRule="auto"/>
        <w:rPr>
          <w:rFonts w:ascii="Times New Roman" w:hAnsi="Times New Roman" w:cs="Times New Roman"/>
        </w:rPr>
      </w:pPr>
      <w:r w:rsidRPr="00F24A55">
        <w:rPr>
          <w:rFonts w:ascii="Times New Roman" w:hAnsi="Times New Roman" w:cs="Times New Roman"/>
        </w:rPr>
        <w:t>The most common musculoskeletal disorders reported as adverse reactions were myalgia (14.4% of patients) and muscular weakness (9.6%). CPK increase regardless of grade was reported in 44.5% of patients; this parameter was the most common grade 3/4 biochemical abnormality, reported in 20.0% of patients. The median onset of grade 3/4 CPK increase (day from first dose) was 48 days; the median number of cycles</w:t>
      </w:r>
      <w:r w:rsidRPr="00F24A55">
        <w:rPr>
          <w:rStyle w:val="CommentReference"/>
          <w:rFonts w:ascii="Times New Roman" w:hAnsi="Times New Roman" w:cs="Times New Roman"/>
          <w:sz w:val="22"/>
          <w:szCs w:val="22"/>
          <w:lang w:eastAsia="es-ES"/>
        </w:rPr>
        <w:t> </w:t>
      </w:r>
      <w:r w:rsidRPr="00F24A55">
        <w:rPr>
          <w:rFonts w:ascii="Times New Roman" w:hAnsi="Times New Roman" w:cs="Times New Roman"/>
        </w:rPr>
        <w:t xml:space="preserve">during which the patients experienced grade 3/4 CPK increase was 1 cycle, and the median time to recovery was 14.5 days. The treatment was withdrawn only in 0.5% of patients who experienced grade 3/4 CPK increase, while dose delay, dose reduction, dose omission and dose interruption occurred in 8.8%, 11.3%, 5.9% and 0.5%, respectively. The vast majority of patients (83.9%) who experienced CPK increase recovered. Adverse drug reactions of grade 3/4 rhabdomyolysis were reported in 1.2% of patients. Refer to </w:t>
      </w:r>
      <w:r w:rsidR="003E781C" w:rsidRPr="003E781C">
        <w:rPr>
          <w:rFonts w:ascii="Times New Roman" w:hAnsi="Times New Roman" w:cs="Times New Roman"/>
          <w:b/>
          <w:i/>
        </w:rPr>
        <w:t>Section 4.4 Special warnings and p</w:t>
      </w:r>
      <w:r w:rsidRPr="003E781C">
        <w:rPr>
          <w:rFonts w:ascii="Times New Roman" w:hAnsi="Times New Roman" w:cs="Times New Roman"/>
          <w:b/>
          <w:i/>
        </w:rPr>
        <w:t>recautions</w:t>
      </w:r>
      <w:r w:rsidR="003E781C" w:rsidRPr="003E781C">
        <w:rPr>
          <w:rFonts w:ascii="Times New Roman" w:hAnsi="Times New Roman" w:cs="Times New Roman"/>
          <w:b/>
          <w:i/>
        </w:rPr>
        <w:t xml:space="preserve"> for use</w:t>
      </w:r>
      <w:r w:rsidRPr="00F24A55">
        <w:rPr>
          <w:rFonts w:ascii="Times New Roman" w:hAnsi="Times New Roman" w:cs="Times New Roman"/>
        </w:rPr>
        <w:t xml:space="preserve"> for the management of myopathy occurring during treatment with plitidepsin.</w:t>
      </w:r>
    </w:p>
    <w:p w14:paraId="095C417F" w14:textId="77777777" w:rsidR="00F24A55" w:rsidRPr="00F24A55" w:rsidRDefault="00F24A55" w:rsidP="00F24A55">
      <w:pPr>
        <w:widowControl w:val="0"/>
        <w:tabs>
          <w:tab w:val="left" w:pos="1560"/>
        </w:tabs>
        <w:spacing w:after="0" w:line="240" w:lineRule="auto"/>
        <w:rPr>
          <w:rFonts w:ascii="Times New Roman" w:hAnsi="Times New Roman" w:cs="Times New Roman"/>
          <w:u w:val="single"/>
        </w:rPr>
      </w:pPr>
    </w:p>
    <w:p w14:paraId="3BBA38ED" w14:textId="4F1E5CFB" w:rsidR="00686520" w:rsidRPr="00F24A55" w:rsidRDefault="00686520" w:rsidP="00F24A55">
      <w:pPr>
        <w:widowControl w:val="0"/>
        <w:tabs>
          <w:tab w:val="left" w:pos="1560"/>
        </w:tabs>
        <w:spacing w:after="0" w:line="240" w:lineRule="auto"/>
        <w:rPr>
          <w:rFonts w:ascii="Times New Roman" w:hAnsi="Times New Roman" w:cs="Times New Roman"/>
          <w:u w:val="single"/>
        </w:rPr>
      </w:pPr>
      <w:r w:rsidRPr="00F24A55">
        <w:rPr>
          <w:rFonts w:ascii="Times New Roman" w:hAnsi="Times New Roman" w:cs="Times New Roman"/>
          <w:u w:val="single"/>
        </w:rPr>
        <w:t>Immune system and skin and subcutaneous tissue disorders</w:t>
      </w:r>
    </w:p>
    <w:p w14:paraId="53EA752B" w14:textId="08F46280" w:rsidR="00686520" w:rsidRDefault="00686520" w:rsidP="00F24A55">
      <w:pPr>
        <w:widowControl w:val="0"/>
        <w:tabs>
          <w:tab w:val="left" w:pos="1560"/>
        </w:tabs>
        <w:spacing w:after="0" w:line="240" w:lineRule="auto"/>
        <w:rPr>
          <w:rFonts w:ascii="Times New Roman" w:hAnsi="Times New Roman" w:cs="Times New Roman"/>
        </w:rPr>
      </w:pPr>
      <w:r w:rsidRPr="00F24A55">
        <w:rPr>
          <w:rFonts w:ascii="Times New Roman" w:hAnsi="Times New Roman" w:cs="Times New Roman"/>
        </w:rPr>
        <w:t>Treatment-related (or with unknown relationship) hypersensitivity reactions were reported in 6.6% in Arm A (plitidepsin plus DXM), 5.4% in patients who crossed over from Arm B to Arm A. The frequency of grade ≥ 3 hypersensitivity reactions was 1.2% in Arm A and 2.7% in the crossover patients. Severe hypersensitivity reactions included an anaphylactic shock with grade 4 cardiac arrest, a grade 3 infusion-related reaction with hypoxia that led to treatment discontinuation, and a grade 3 rash requiring dose reduction. The majority of hypersensitivity reactions occurred in the first two cycles and, no change in severity was observed over time. Hypersensitivity reactions usually occurred on the day of plitidepsin plus dexamethasone infusion (median was the infusion day, range: 0-13 days); they were rapidly reversible (lasting one or two cycles); symptomatic treatment (corticosteroids, antihistamines and local treatment) was common, and no fatal outcome was reported.</w:t>
      </w:r>
    </w:p>
    <w:p w14:paraId="2273875E" w14:textId="77777777" w:rsidR="00F24A55" w:rsidRPr="00F24A55" w:rsidRDefault="00F24A55" w:rsidP="00F24A55">
      <w:pPr>
        <w:widowControl w:val="0"/>
        <w:tabs>
          <w:tab w:val="left" w:pos="1560"/>
        </w:tabs>
        <w:spacing w:after="0" w:line="240" w:lineRule="auto"/>
        <w:rPr>
          <w:rFonts w:ascii="Times New Roman" w:hAnsi="Times New Roman" w:cs="Times New Roman"/>
        </w:rPr>
      </w:pPr>
    </w:p>
    <w:p w14:paraId="649DC4F7" w14:textId="17584B85" w:rsidR="00686520" w:rsidRPr="00F24A55" w:rsidRDefault="00686520" w:rsidP="00F24A55">
      <w:pPr>
        <w:widowControl w:val="0"/>
        <w:tabs>
          <w:tab w:val="left" w:pos="1560"/>
        </w:tabs>
        <w:spacing w:after="0" w:line="240" w:lineRule="auto"/>
        <w:rPr>
          <w:rFonts w:ascii="Times New Roman" w:hAnsi="Times New Roman" w:cs="Times New Roman"/>
          <w:u w:val="single"/>
        </w:rPr>
      </w:pPr>
      <w:r w:rsidRPr="00F24A55">
        <w:rPr>
          <w:rFonts w:ascii="Times New Roman" w:hAnsi="Times New Roman" w:cs="Times New Roman"/>
          <w:u w:val="single"/>
        </w:rPr>
        <w:t>Gastrointestinal disorders</w:t>
      </w:r>
    </w:p>
    <w:p w14:paraId="20D6E850" w14:textId="13847BE5" w:rsidR="005B0CDE" w:rsidRDefault="00686520" w:rsidP="005B0CDE">
      <w:pPr>
        <w:widowControl w:val="0"/>
        <w:tabs>
          <w:tab w:val="left" w:pos="1560"/>
        </w:tabs>
        <w:spacing w:after="0" w:line="240" w:lineRule="auto"/>
        <w:rPr>
          <w:rFonts w:ascii="Times New Roman" w:hAnsi="Times New Roman" w:cs="Times New Roman"/>
        </w:rPr>
      </w:pPr>
      <w:r w:rsidRPr="00F24A55">
        <w:rPr>
          <w:rFonts w:ascii="Times New Roman" w:hAnsi="Times New Roman" w:cs="Times New Roman"/>
        </w:rPr>
        <w:t>Nausea, vomiting and diarrhoea were very common reactions with the combination plitidepsin plus dexamethasone, occurring in 36.5%, 16.8% and 14.4% of patients, respectively. Few events were severe: grade ≥ 3 nausea was found in 3.6% of patients, grade ≥ 3 vomiting in 1.8% and grade ≥ 3 diarrhoea in 1.2%. The majority of these events were grade 1 or 2 and were reversible after symptomatic treatment.</w:t>
      </w:r>
      <w:r w:rsidR="005B0CDE" w:rsidRPr="005B0CDE">
        <w:rPr>
          <w:rFonts w:ascii="Times New Roman" w:hAnsi="Times New Roman" w:cs="Times New Roman"/>
          <w:noProof/>
        </w:rPr>
        <w:t xml:space="preserve"> </w:t>
      </w:r>
      <w:r w:rsidR="005B0CDE" w:rsidRPr="00141239">
        <w:rPr>
          <w:rFonts w:ascii="Times New Roman" w:hAnsi="Times New Roman" w:cs="Times New Roman"/>
          <w:noProof/>
        </w:rPr>
        <w:t>In case of diarrhoea, the clinicians are recommended to follow local guidelines on the symptomatic management of diarrhoea in patients administ</w:t>
      </w:r>
      <w:r w:rsidR="007F5828">
        <w:rPr>
          <w:rFonts w:ascii="Times New Roman" w:hAnsi="Times New Roman" w:cs="Times New Roman"/>
          <w:noProof/>
        </w:rPr>
        <w:t>ered</w:t>
      </w:r>
      <w:r w:rsidR="005B0CDE" w:rsidRPr="00141239">
        <w:rPr>
          <w:rFonts w:ascii="Times New Roman" w:hAnsi="Times New Roman" w:cs="Times New Roman"/>
          <w:noProof/>
        </w:rPr>
        <w:t xml:space="preserve"> chemotherapy</w:t>
      </w:r>
      <w:r w:rsidR="005B0CDE">
        <w:rPr>
          <w:rFonts w:ascii="Times New Roman" w:hAnsi="Times New Roman" w:cs="Times New Roman"/>
          <w:noProof/>
        </w:rPr>
        <w:t>.</w:t>
      </w:r>
    </w:p>
    <w:p w14:paraId="7E5121DC" w14:textId="77777777" w:rsidR="00F24A55" w:rsidRPr="00F24A55" w:rsidRDefault="00F24A55" w:rsidP="00F24A55">
      <w:pPr>
        <w:widowControl w:val="0"/>
        <w:tabs>
          <w:tab w:val="left" w:pos="1560"/>
        </w:tabs>
        <w:spacing w:after="0" w:line="240" w:lineRule="auto"/>
        <w:rPr>
          <w:rFonts w:ascii="Times New Roman" w:hAnsi="Times New Roman" w:cs="Times New Roman"/>
        </w:rPr>
      </w:pPr>
    </w:p>
    <w:p w14:paraId="587115A1" w14:textId="77777777" w:rsidR="00686520" w:rsidRPr="00F24A55" w:rsidRDefault="00686520" w:rsidP="00F24A55">
      <w:pPr>
        <w:widowControl w:val="0"/>
        <w:tabs>
          <w:tab w:val="left" w:pos="1560"/>
        </w:tabs>
        <w:spacing w:after="0" w:line="240" w:lineRule="auto"/>
        <w:rPr>
          <w:rFonts w:ascii="Times New Roman" w:hAnsi="Times New Roman" w:cs="Times New Roman"/>
          <w:u w:val="single"/>
        </w:rPr>
      </w:pPr>
      <w:r w:rsidRPr="00F24A55">
        <w:rPr>
          <w:rFonts w:ascii="Times New Roman" w:hAnsi="Times New Roman" w:cs="Times New Roman"/>
          <w:u w:val="single"/>
        </w:rPr>
        <w:t>Cardiac effects, including QT prolonged</w:t>
      </w:r>
    </w:p>
    <w:p w14:paraId="0BDAC39B" w14:textId="471D87F0" w:rsidR="00686520" w:rsidRDefault="00686520" w:rsidP="00F24A55">
      <w:pPr>
        <w:widowControl w:val="0"/>
        <w:tabs>
          <w:tab w:val="left" w:pos="1560"/>
        </w:tabs>
        <w:spacing w:after="0" w:line="240" w:lineRule="auto"/>
        <w:rPr>
          <w:rFonts w:ascii="Times New Roman" w:hAnsi="Times New Roman" w:cs="Times New Roman"/>
        </w:rPr>
      </w:pPr>
      <w:r w:rsidRPr="00F24A55">
        <w:rPr>
          <w:rFonts w:ascii="Times New Roman" w:hAnsi="Times New Roman" w:cs="Times New Roman"/>
        </w:rPr>
        <w:t>Cardiac effects such as bradycardia; electrocardiogram QT prolonged; sinus tachycardia; and orthostatic hypotension have been observed in patients treated with the combination plitidepsin plus dexamethasone in the phase III study. The causal relationship has not been established yet, since most of cardiovascular events reported had confounding factors, such as cardiovascular medical history or concomitant medications known to induce such cardiovascular effects. Most of these events were non-serious and mild in severity and they mainly occurred between cycle 1 and 3.</w:t>
      </w:r>
    </w:p>
    <w:p w14:paraId="52F4D5BB" w14:textId="77777777" w:rsidR="00071ABA" w:rsidRPr="00F24A55" w:rsidRDefault="00071ABA" w:rsidP="00F24A55">
      <w:pPr>
        <w:widowControl w:val="0"/>
        <w:tabs>
          <w:tab w:val="left" w:pos="1560"/>
        </w:tabs>
        <w:spacing w:after="0" w:line="240" w:lineRule="auto"/>
        <w:rPr>
          <w:rFonts w:ascii="Times New Roman" w:hAnsi="Times New Roman" w:cs="Times New Roman"/>
        </w:rPr>
      </w:pPr>
    </w:p>
    <w:p w14:paraId="628ED052" w14:textId="77777777" w:rsidR="00686520" w:rsidRPr="00F24A55" w:rsidRDefault="00686520" w:rsidP="00F24A55">
      <w:pPr>
        <w:widowControl w:val="0"/>
        <w:tabs>
          <w:tab w:val="left" w:pos="1560"/>
        </w:tabs>
        <w:spacing w:after="0" w:line="240" w:lineRule="auto"/>
        <w:rPr>
          <w:rFonts w:ascii="Times New Roman" w:hAnsi="Times New Roman" w:cs="Times New Roman"/>
          <w:u w:val="single"/>
        </w:rPr>
      </w:pPr>
      <w:r w:rsidRPr="00F24A55">
        <w:rPr>
          <w:rFonts w:ascii="Times New Roman" w:hAnsi="Times New Roman" w:cs="Times New Roman"/>
          <w:u w:val="single"/>
        </w:rPr>
        <w:t>Liver enzyme increase (ALT/AST)</w:t>
      </w:r>
    </w:p>
    <w:p w14:paraId="348826DA" w14:textId="0AAFD388" w:rsidR="00686520" w:rsidRDefault="00686520" w:rsidP="00F24A55">
      <w:pPr>
        <w:widowControl w:val="0"/>
        <w:tabs>
          <w:tab w:val="left" w:pos="1560"/>
        </w:tabs>
        <w:spacing w:after="0" w:line="240" w:lineRule="auto"/>
        <w:rPr>
          <w:rFonts w:ascii="Times New Roman" w:hAnsi="Times New Roman" w:cs="Times New Roman"/>
        </w:rPr>
      </w:pPr>
      <w:r w:rsidRPr="00F24A55">
        <w:rPr>
          <w:rFonts w:ascii="Times New Roman" w:hAnsi="Times New Roman" w:cs="Times New Roman"/>
        </w:rPr>
        <w:t xml:space="preserve">During the treatment with the combination plitidepsin plus dexamethasone, 84.9% and 66% of patients respectively reported ALT and AST increase. Grade 3/4 ALT and AST increase was </w:t>
      </w:r>
      <w:r w:rsidRPr="00F24A55">
        <w:rPr>
          <w:rFonts w:ascii="Times New Roman" w:hAnsi="Times New Roman" w:cs="Times New Roman"/>
        </w:rPr>
        <w:lastRenderedPageBreak/>
        <w:t>respectively reported in 14.5% and 9.0% of patients who received plitidepsin plus dexamethasone. Grade 3/4 ALT increase occurred on Day 14 (range, 1-35 days) after dosing, with a median duration of 6 days (range, 1-16 days). Grade 3/4 AST appeared on Day 18 (range, 1-35 days) after dosing with a median duration of 6.5 days (range, 1-28 days). Grade 3/4 AST or ALT were more frequent in the first treatment cycle than in subsequent cycles. The median values for peak counts of ALT or AST from all patients, over 32 cycles, showed no evidence of cumulative toxicity.</w:t>
      </w:r>
    </w:p>
    <w:p w14:paraId="1652BB49" w14:textId="77777777" w:rsidR="00134853" w:rsidRPr="00F24A55" w:rsidRDefault="00134853" w:rsidP="00F24A55">
      <w:pPr>
        <w:widowControl w:val="0"/>
        <w:tabs>
          <w:tab w:val="left" w:pos="1560"/>
        </w:tabs>
        <w:spacing w:after="0" w:line="240" w:lineRule="auto"/>
        <w:rPr>
          <w:rFonts w:ascii="Times New Roman" w:hAnsi="Times New Roman" w:cs="Times New Roman"/>
        </w:rPr>
      </w:pPr>
    </w:p>
    <w:p w14:paraId="3E9027A9" w14:textId="4F943EC6" w:rsidR="00686520" w:rsidRPr="00F24A55" w:rsidRDefault="00686520" w:rsidP="00F24A55">
      <w:pPr>
        <w:widowControl w:val="0"/>
        <w:tabs>
          <w:tab w:val="left" w:pos="1560"/>
        </w:tabs>
        <w:spacing w:after="0" w:line="240" w:lineRule="auto"/>
        <w:rPr>
          <w:rFonts w:ascii="Times New Roman" w:hAnsi="Times New Roman" w:cs="Times New Roman"/>
          <w:u w:val="single"/>
        </w:rPr>
      </w:pPr>
      <w:r w:rsidRPr="00F24A55">
        <w:rPr>
          <w:rFonts w:ascii="Times New Roman" w:hAnsi="Times New Roman" w:cs="Times New Roman"/>
          <w:u w:val="single"/>
        </w:rPr>
        <w:t>Elderly population</w:t>
      </w:r>
    </w:p>
    <w:p w14:paraId="48A15BB3" w14:textId="0FDA6098" w:rsidR="00686520" w:rsidRDefault="00686520" w:rsidP="00F24A55">
      <w:pPr>
        <w:widowControl w:val="0"/>
        <w:tabs>
          <w:tab w:val="left" w:pos="1560"/>
        </w:tabs>
        <w:spacing w:after="0" w:line="240" w:lineRule="auto"/>
        <w:rPr>
          <w:rFonts w:ascii="Times New Roman" w:hAnsi="Times New Roman" w:cs="Times New Roman"/>
        </w:rPr>
      </w:pPr>
      <w:r w:rsidRPr="00F24A55">
        <w:rPr>
          <w:rFonts w:ascii="Times New Roman" w:hAnsi="Times New Roman" w:cs="Times New Roman"/>
        </w:rPr>
        <w:t>Myalgia, muscular weakness and hyperglycaemia were the most reported adverse drug reactions in patients aged ≥ 65 years treated with plitidepsin plus dexamethasone. Among patients who experienced hyperglycaemia, 80% had a previous medical history of diabetes mellitus. Myalgia and hyperglycaemia were reported as serious adverse drug reactions in 1.3% and 5.1% of elderly patients, respectively. No serious adverse drug reaction of muscular weakness was observed. None of these events led to treatment discontinuation or death.</w:t>
      </w:r>
    </w:p>
    <w:p w14:paraId="47B87106" w14:textId="77777777" w:rsidR="00F24A55" w:rsidRPr="00F24A55" w:rsidRDefault="00F24A55" w:rsidP="00F24A55">
      <w:pPr>
        <w:widowControl w:val="0"/>
        <w:tabs>
          <w:tab w:val="left" w:pos="1560"/>
        </w:tabs>
        <w:spacing w:after="0" w:line="240" w:lineRule="auto"/>
        <w:rPr>
          <w:rFonts w:ascii="Times New Roman" w:hAnsi="Times New Roman" w:cs="Times New Roman"/>
        </w:rPr>
      </w:pPr>
    </w:p>
    <w:p w14:paraId="69385739" w14:textId="6FE3742C" w:rsidR="00686520" w:rsidRPr="00157F69" w:rsidRDefault="00686520" w:rsidP="00F24A55">
      <w:pPr>
        <w:keepNext/>
        <w:spacing w:after="0" w:line="240" w:lineRule="auto"/>
        <w:rPr>
          <w:rFonts w:ascii="Times New Roman" w:hAnsi="Times New Roman" w:cs="Times New Roman"/>
          <w:u w:val="single"/>
        </w:rPr>
      </w:pPr>
      <w:r w:rsidRPr="00157F69">
        <w:rPr>
          <w:rFonts w:ascii="Times New Roman" w:hAnsi="Times New Roman" w:cs="Times New Roman"/>
          <w:u w:val="single"/>
        </w:rPr>
        <w:t>Post-marketing experience</w:t>
      </w:r>
    </w:p>
    <w:p w14:paraId="5A7177EA" w14:textId="173C208F" w:rsidR="00A448C9" w:rsidRDefault="00686520" w:rsidP="00F24A55">
      <w:pPr>
        <w:spacing w:after="0" w:line="240" w:lineRule="auto"/>
        <w:rPr>
          <w:rFonts w:ascii="Times New Roman" w:hAnsi="Times New Roman" w:cs="Times New Roman"/>
        </w:rPr>
      </w:pPr>
      <w:r w:rsidRPr="00F24A55">
        <w:rPr>
          <w:rFonts w:ascii="Times New Roman" w:hAnsi="Times New Roman" w:cs="Times New Roman"/>
        </w:rPr>
        <w:t>Not applicable.</w:t>
      </w:r>
    </w:p>
    <w:p w14:paraId="78B9C34C" w14:textId="7F2597A7" w:rsidR="00157F69" w:rsidRDefault="00157F69" w:rsidP="00F24A55">
      <w:pPr>
        <w:spacing w:after="0" w:line="240" w:lineRule="auto"/>
        <w:rPr>
          <w:rFonts w:ascii="Times New Roman" w:hAnsi="Times New Roman" w:cs="Times New Roman"/>
        </w:rPr>
      </w:pPr>
    </w:p>
    <w:p w14:paraId="6037E4DE" w14:textId="47055371" w:rsidR="00157F69" w:rsidRDefault="00157F69" w:rsidP="00F24A55">
      <w:pPr>
        <w:spacing w:after="0" w:line="240" w:lineRule="auto"/>
        <w:rPr>
          <w:rFonts w:ascii="Times New Roman" w:hAnsi="Times New Roman" w:cs="Times New Roman"/>
          <w:u w:val="single"/>
        </w:rPr>
      </w:pPr>
      <w:r>
        <w:rPr>
          <w:rFonts w:ascii="Times New Roman" w:hAnsi="Times New Roman" w:cs="Times New Roman"/>
          <w:u w:val="single"/>
        </w:rPr>
        <w:t>Reporting suspected adverse reactions</w:t>
      </w:r>
    </w:p>
    <w:p w14:paraId="325EF955" w14:textId="2E9485E0" w:rsidR="00157F69" w:rsidRPr="00157F69" w:rsidRDefault="00157F69" w:rsidP="00F24A55">
      <w:pPr>
        <w:spacing w:after="0" w:line="240" w:lineRule="auto"/>
        <w:rPr>
          <w:rFonts w:ascii="Times New Roman" w:hAnsi="Times New Roman" w:cs="Times New Roman"/>
        </w:rPr>
      </w:pPr>
      <w:r>
        <w:rPr>
          <w:rFonts w:ascii="Times New Roman" w:hAnsi="Times New Roman" w:cs="Times New Roma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F47055">
          <w:rPr>
            <w:rStyle w:val="Hyperlink"/>
            <w:rFonts w:ascii="Times New Roman" w:hAnsi="Times New Roman" w:cs="Times New Roman"/>
          </w:rPr>
          <w:t>http://www.tga.gov.au/reporting-problems</w:t>
        </w:r>
      </w:hyperlink>
      <w:r w:rsidR="00F3511D">
        <w:rPr>
          <w:rFonts w:ascii="Times New Roman" w:hAnsi="Times New Roman" w:cs="Times New Roman"/>
        </w:rPr>
        <w:t xml:space="preserve"> a</w:t>
      </w:r>
      <w:r w:rsidR="00543440">
        <w:rPr>
          <w:rFonts w:ascii="Times New Roman" w:hAnsi="Times New Roman" w:cs="Times New Roman"/>
        </w:rPr>
        <w:t xml:space="preserve">nd to </w:t>
      </w:r>
      <w:hyperlink r:id="rId11" w:history="1">
        <w:r w:rsidR="004D485E" w:rsidRPr="00A219F7">
          <w:rPr>
            <w:rStyle w:val="Hyperlink"/>
            <w:rFonts w:ascii="Times New Roman" w:hAnsi="Times New Roman" w:cs="Times New Roman"/>
          </w:rPr>
          <w:t>drugsafety-sta@stbiopharma.com</w:t>
        </w:r>
      </w:hyperlink>
      <w:r>
        <w:rPr>
          <w:rFonts w:ascii="Times New Roman" w:hAnsi="Times New Roman" w:cs="Times New Roman"/>
        </w:rPr>
        <w:t xml:space="preserve">. </w:t>
      </w:r>
    </w:p>
    <w:p w14:paraId="493E431B" w14:textId="77777777" w:rsidR="00F24A55" w:rsidRPr="00F24A55" w:rsidRDefault="00F24A55" w:rsidP="00F24A55">
      <w:pPr>
        <w:spacing w:after="0" w:line="240" w:lineRule="auto"/>
        <w:rPr>
          <w:rFonts w:ascii="Times New Roman" w:hAnsi="Times New Roman" w:cs="Times New Roman"/>
        </w:rPr>
      </w:pPr>
    </w:p>
    <w:p w14:paraId="280635F2" w14:textId="29D48F35" w:rsidR="001A3992" w:rsidRDefault="001A3992" w:rsidP="00A448C9">
      <w:pPr>
        <w:pStyle w:val="Heading2"/>
        <w:spacing w:before="0" w:after="0"/>
        <w:ind w:left="0" w:hanging="426"/>
        <w:rPr>
          <w:rFonts w:ascii="Times New Roman" w:eastAsiaTheme="majorEastAsia" w:hAnsi="Times New Roman" w:cs="Times New Roman"/>
          <w:bCs/>
          <w:sz w:val="26"/>
          <w:szCs w:val="26"/>
        </w:rPr>
      </w:pPr>
      <w:r w:rsidRPr="00355185">
        <w:rPr>
          <w:rFonts w:ascii="Times New Roman" w:eastAsiaTheme="majorEastAsia" w:hAnsi="Times New Roman" w:cs="Times New Roman"/>
          <w:b w:val="0"/>
          <w:bCs/>
          <w:smallCaps w:val="0"/>
          <w:sz w:val="26"/>
          <w:szCs w:val="26"/>
        </w:rPr>
        <w:t>Overdose</w:t>
      </w:r>
    </w:p>
    <w:p w14:paraId="111A1597" w14:textId="5E64E582" w:rsidR="00456650" w:rsidRPr="00456650" w:rsidRDefault="00456650" w:rsidP="00456650">
      <w:pPr>
        <w:spacing w:after="0" w:line="240" w:lineRule="auto"/>
        <w:rPr>
          <w:rFonts w:ascii="Times New Roman" w:hAnsi="Times New Roman" w:cs="Times New Roman"/>
        </w:rPr>
      </w:pPr>
      <w:r w:rsidRPr="00456650">
        <w:rPr>
          <w:rFonts w:ascii="Times New Roman" w:hAnsi="Times New Roman" w:cs="Times New Roman"/>
        </w:rPr>
        <w:t>In clinical trials there are no cases of accidental overdose. There is currently insufficient information to draw conclusions about the safety of doses higher than those evaluated in clinical studies. Grade 3/4 CPK increase and other muscular events are expected. There is no known antidote to plitidepsin.</w:t>
      </w:r>
    </w:p>
    <w:p w14:paraId="5FB3111C" w14:textId="77777777" w:rsidR="00456650" w:rsidRDefault="00456650" w:rsidP="00456650">
      <w:pPr>
        <w:spacing w:after="0" w:line="240" w:lineRule="auto"/>
        <w:rPr>
          <w:rFonts w:ascii="Times New Roman" w:hAnsi="Times New Roman" w:cs="Times New Roman"/>
        </w:rPr>
      </w:pPr>
    </w:p>
    <w:p w14:paraId="5A86A5AA" w14:textId="6BAAB4FF" w:rsidR="00A448C9" w:rsidRDefault="00456650" w:rsidP="00456650">
      <w:pPr>
        <w:spacing w:after="0" w:line="240" w:lineRule="auto"/>
        <w:rPr>
          <w:rFonts w:ascii="Times New Roman" w:hAnsi="Times New Roman" w:cs="Times New Roman"/>
        </w:rPr>
      </w:pPr>
      <w:r w:rsidRPr="00456650">
        <w:rPr>
          <w:rFonts w:ascii="Times New Roman" w:hAnsi="Times New Roman" w:cs="Times New Roman"/>
        </w:rPr>
        <w:t>For information on the management of overdose, contact the Poison Information Centre on 13 11 26 (Australia).</w:t>
      </w:r>
    </w:p>
    <w:p w14:paraId="0EEE9D3D" w14:textId="77777777" w:rsidR="00456650" w:rsidRPr="00456650" w:rsidRDefault="00456650" w:rsidP="00456650">
      <w:pPr>
        <w:spacing w:after="0" w:line="240" w:lineRule="auto"/>
        <w:rPr>
          <w:rFonts w:ascii="Times New Roman" w:hAnsi="Times New Roman" w:cs="Times New Roman"/>
        </w:rPr>
      </w:pPr>
    </w:p>
    <w:p w14:paraId="11506008" w14:textId="77777777" w:rsidR="001A3992" w:rsidRPr="00355185" w:rsidRDefault="001A3992" w:rsidP="00645AC8">
      <w:pPr>
        <w:pStyle w:val="Heading1"/>
        <w:spacing w:before="0"/>
        <w:ind w:left="0" w:hanging="426"/>
        <w:rPr>
          <w:rFonts w:ascii="Times New Roman" w:hAnsi="Times New Roman" w:cs="Times New Roman"/>
          <w:b w:val="0"/>
          <w:lang w:val="en-US"/>
        </w:rPr>
      </w:pPr>
      <w:r w:rsidRPr="00355185">
        <w:rPr>
          <w:rFonts w:ascii="Times New Roman" w:hAnsi="Times New Roman" w:cs="Times New Roman"/>
          <w:b w:val="0"/>
          <w:lang w:val="en-US"/>
        </w:rPr>
        <w:t>Pharmacological properties</w:t>
      </w:r>
    </w:p>
    <w:p w14:paraId="53EA30D1" w14:textId="7A8E5A8C" w:rsidR="001A3992" w:rsidRDefault="001A3992" w:rsidP="00645AC8">
      <w:pPr>
        <w:pStyle w:val="Heading2"/>
        <w:tabs>
          <w:tab w:val="left" w:pos="1418"/>
        </w:tabs>
        <w:spacing w:before="0" w:after="0"/>
        <w:ind w:left="0" w:hanging="425"/>
        <w:rPr>
          <w:rFonts w:ascii="Times New Roman" w:eastAsia="SimSun" w:hAnsi="Times New Roman" w:cs="Times New Roman"/>
        </w:rPr>
      </w:pPr>
      <w:r w:rsidRPr="00355185">
        <w:rPr>
          <w:rFonts w:ascii="Times New Roman" w:eastAsiaTheme="majorEastAsia" w:hAnsi="Times New Roman" w:cs="Times New Roman"/>
          <w:b w:val="0"/>
          <w:bCs/>
          <w:smallCaps w:val="0"/>
          <w:sz w:val="26"/>
          <w:szCs w:val="26"/>
        </w:rPr>
        <w:t xml:space="preserve">Pharmacodynamic properties </w:t>
      </w:r>
    </w:p>
    <w:p w14:paraId="048FBDB5" w14:textId="77777777" w:rsidR="00007549" w:rsidRDefault="00007549" w:rsidP="00A0776F">
      <w:pPr>
        <w:keepNext/>
        <w:keepLines/>
        <w:spacing w:after="0" w:line="240" w:lineRule="auto"/>
        <w:rPr>
          <w:rFonts w:ascii="Times New Roman" w:hAnsi="Times New Roman" w:cs="Times New Roman"/>
          <w:u w:val="single"/>
        </w:rPr>
      </w:pPr>
    </w:p>
    <w:p w14:paraId="27E16577" w14:textId="588F17C5" w:rsidR="00A0776F" w:rsidRPr="00A0776F" w:rsidRDefault="00A0776F" w:rsidP="00A0776F">
      <w:pPr>
        <w:keepNext/>
        <w:keepLines/>
        <w:spacing w:after="0" w:line="240" w:lineRule="auto"/>
        <w:rPr>
          <w:rFonts w:ascii="Times New Roman" w:hAnsi="Times New Roman" w:cs="Times New Roman"/>
          <w:u w:val="single"/>
        </w:rPr>
      </w:pPr>
      <w:r w:rsidRPr="00A0776F">
        <w:rPr>
          <w:rFonts w:ascii="Times New Roman" w:hAnsi="Times New Roman" w:cs="Times New Roman"/>
          <w:u w:val="single"/>
        </w:rPr>
        <w:t>Mechanism of action</w:t>
      </w:r>
    </w:p>
    <w:p w14:paraId="0CFE4A7E" w14:textId="5EF7B053" w:rsidR="00A0776F" w:rsidRPr="00A0776F" w:rsidRDefault="00A0776F" w:rsidP="00A0776F">
      <w:pPr>
        <w:autoSpaceDE w:val="0"/>
        <w:autoSpaceDN w:val="0"/>
        <w:adjustRightInd w:val="0"/>
        <w:spacing w:after="0" w:line="240" w:lineRule="auto"/>
        <w:rPr>
          <w:rFonts w:ascii="Times New Roman" w:hAnsi="Times New Roman" w:cs="Times New Roman"/>
        </w:rPr>
      </w:pPr>
      <w:r w:rsidRPr="00A0776F">
        <w:rPr>
          <w:rFonts w:ascii="Times New Roman" w:hAnsi="Times New Roman" w:cs="Times New Roman"/>
        </w:rPr>
        <w:t xml:space="preserve">Plitidepsin interacts with </w:t>
      </w:r>
      <w:r w:rsidR="00906316">
        <w:rPr>
          <w:rFonts w:ascii="Times New Roman" w:hAnsi="Times New Roman" w:cs="Times New Roman"/>
        </w:rPr>
        <w:t>eukaryotic Elongation Factor 1A2 (</w:t>
      </w:r>
      <w:r w:rsidRPr="00A0776F">
        <w:rPr>
          <w:rFonts w:ascii="Times New Roman" w:hAnsi="Times New Roman" w:cs="Times New Roman"/>
        </w:rPr>
        <w:t>eEF1A2</w:t>
      </w:r>
      <w:r w:rsidR="00906316">
        <w:rPr>
          <w:rFonts w:ascii="Times New Roman" w:hAnsi="Times New Roman" w:cs="Times New Roman"/>
        </w:rPr>
        <w:t>)</w:t>
      </w:r>
      <w:r w:rsidRPr="00A0776F">
        <w:rPr>
          <w:rFonts w:ascii="Times New Roman" w:hAnsi="Times New Roman" w:cs="Times New Roman"/>
        </w:rPr>
        <w:t xml:space="preserve">, a protein </w:t>
      </w:r>
      <w:r w:rsidR="00906316">
        <w:rPr>
          <w:rFonts w:ascii="Times New Roman" w:hAnsi="Times New Roman" w:cs="Times New Roman"/>
        </w:rPr>
        <w:t xml:space="preserve">that forms part of the cell’s translation machinery and </w:t>
      </w:r>
      <w:r w:rsidRPr="00A0776F">
        <w:rPr>
          <w:rFonts w:ascii="Times New Roman" w:hAnsi="Times New Roman" w:cs="Times New Roman"/>
        </w:rPr>
        <w:t xml:space="preserve">described to have oncogenic properties. </w:t>
      </w:r>
      <w:r w:rsidR="00906316">
        <w:rPr>
          <w:rFonts w:ascii="Times New Roman" w:hAnsi="Times New Roman" w:cs="Times New Roman"/>
        </w:rPr>
        <w:t>eEF1A2 is overexpressed in various tumour cells, including some multiple myeloma cells.  It is also expressed in brain, heart, pancreatic acinar and islet cells, endocrine cells of the gut, and skeletal muscle.  Plitidepsin</w:t>
      </w:r>
      <w:r w:rsidRPr="00A0776F">
        <w:rPr>
          <w:rFonts w:ascii="Times New Roman" w:hAnsi="Times New Roman" w:cs="Times New Roman"/>
        </w:rPr>
        <w:t xml:space="preserve"> triggers the generation of early oxidative stress, which induces the sustained activation of MAPK signalling cascades that finally lead to apoptosis. </w:t>
      </w:r>
    </w:p>
    <w:p w14:paraId="127C8976" w14:textId="77777777" w:rsidR="00A0776F" w:rsidRPr="00A0776F" w:rsidRDefault="00A0776F" w:rsidP="00A0776F">
      <w:pPr>
        <w:keepNext/>
        <w:keepLines/>
        <w:spacing w:after="0" w:line="240" w:lineRule="auto"/>
        <w:rPr>
          <w:rFonts w:ascii="Times New Roman" w:hAnsi="Times New Roman" w:cs="Times New Roman"/>
        </w:rPr>
      </w:pPr>
    </w:p>
    <w:p w14:paraId="4EB2247F" w14:textId="77777777" w:rsidR="00A0776F" w:rsidRPr="00A0776F" w:rsidRDefault="00A0776F" w:rsidP="00A0776F">
      <w:pPr>
        <w:autoSpaceDE w:val="0"/>
        <w:autoSpaceDN w:val="0"/>
        <w:adjustRightInd w:val="0"/>
        <w:spacing w:after="0" w:line="240" w:lineRule="auto"/>
        <w:rPr>
          <w:rFonts w:ascii="Times New Roman" w:hAnsi="Times New Roman" w:cs="Times New Roman"/>
          <w:u w:val="single"/>
        </w:rPr>
      </w:pPr>
      <w:r w:rsidRPr="00A0776F">
        <w:rPr>
          <w:rFonts w:ascii="Times New Roman" w:hAnsi="Times New Roman" w:cs="Times New Roman"/>
          <w:u w:val="single"/>
        </w:rPr>
        <w:t>Pharmacodynamic effects</w:t>
      </w:r>
    </w:p>
    <w:p w14:paraId="4BE07BB1" w14:textId="77777777" w:rsidR="00766F97" w:rsidRDefault="00A0776F" w:rsidP="00766F97">
      <w:pPr>
        <w:pStyle w:val="Heading2"/>
        <w:numPr>
          <w:ilvl w:val="0"/>
          <w:numId w:val="0"/>
        </w:numPr>
        <w:spacing w:before="0" w:after="0" w:line="240" w:lineRule="auto"/>
        <w:rPr>
          <w:rFonts w:ascii="Times New Roman" w:hAnsi="Times New Roman" w:cs="Times New Roman"/>
          <w:b w:val="0"/>
          <w:smallCaps w:val="0"/>
          <w:sz w:val="22"/>
        </w:rPr>
      </w:pPr>
      <w:r w:rsidRPr="00A0776F">
        <w:rPr>
          <w:rFonts w:ascii="Times New Roman" w:hAnsi="Times New Roman" w:cs="Times New Roman"/>
          <w:b w:val="0"/>
          <w:smallCaps w:val="0"/>
          <w:sz w:val="22"/>
        </w:rPr>
        <w:t xml:space="preserve">Plitidepsin has been shown to exert in vitro antiproliferative effects against a range of human tumour cell lines (particularly against multiple myeloma (MM), leukaemia, lymphoma, pancreas, non-small cell lung cancer [NSCLC] and breast), as well as in vivo activity against experimental MM tumours. Enhanced </w:t>
      </w:r>
      <w:proofErr w:type="spellStart"/>
      <w:r w:rsidRPr="00A0776F">
        <w:rPr>
          <w:rFonts w:ascii="Times New Roman" w:hAnsi="Times New Roman" w:cs="Times New Roman"/>
          <w:b w:val="0"/>
          <w:smallCaps w:val="0"/>
          <w:sz w:val="22"/>
        </w:rPr>
        <w:t>antitumour</w:t>
      </w:r>
      <w:proofErr w:type="spellEnd"/>
      <w:r w:rsidRPr="00A0776F">
        <w:rPr>
          <w:rFonts w:ascii="Times New Roman" w:hAnsi="Times New Roman" w:cs="Times New Roman"/>
          <w:b w:val="0"/>
          <w:smallCaps w:val="0"/>
          <w:sz w:val="22"/>
        </w:rPr>
        <w:t xml:space="preserve"> activity was found for plitidepsin when combined with other agents, such as melphalan, dexamethasone, lenalidomide or bortezomib.</w:t>
      </w:r>
    </w:p>
    <w:p w14:paraId="19D9C161" w14:textId="77777777" w:rsidR="00766F97" w:rsidRDefault="00766F97" w:rsidP="00766F97">
      <w:pPr>
        <w:pStyle w:val="Heading2"/>
        <w:numPr>
          <w:ilvl w:val="0"/>
          <w:numId w:val="0"/>
        </w:numPr>
        <w:spacing w:before="0" w:after="0" w:line="240" w:lineRule="auto"/>
        <w:rPr>
          <w:rFonts w:ascii="Times New Roman" w:hAnsi="Times New Roman" w:cs="Times New Roman"/>
          <w:u w:val="single"/>
        </w:rPr>
      </w:pPr>
    </w:p>
    <w:p w14:paraId="69847334" w14:textId="240CCB23" w:rsidR="00A0776F" w:rsidRPr="00766F97" w:rsidRDefault="00A0776F" w:rsidP="00766F97">
      <w:pPr>
        <w:pStyle w:val="Heading2"/>
        <w:numPr>
          <w:ilvl w:val="0"/>
          <w:numId w:val="0"/>
        </w:numPr>
        <w:spacing w:before="0" w:after="0" w:line="240" w:lineRule="auto"/>
        <w:rPr>
          <w:rFonts w:ascii="Times New Roman" w:hAnsi="Times New Roman" w:cs="Times New Roman"/>
          <w:b w:val="0"/>
          <w:smallCaps w:val="0"/>
          <w:sz w:val="22"/>
          <w:u w:val="single"/>
        </w:rPr>
      </w:pPr>
      <w:r w:rsidRPr="00766F97">
        <w:rPr>
          <w:rFonts w:ascii="Times New Roman" w:hAnsi="Times New Roman" w:cs="Times New Roman"/>
          <w:b w:val="0"/>
          <w:smallCaps w:val="0"/>
          <w:sz w:val="22"/>
          <w:u w:val="single"/>
        </w:rPr>
        <w:lastRenderedPageBreak/>
        <w:t>Clinical trials</w:t>
      </w:r>
    </w:p>
    <w:p w14:paraId="335DE83A" w14:textId="77777777" w:rsidR="00766F97" w:rsidRDefault="00766F97" w:rsidP="00A0776F">
      <w:pPr>
        <w:spacing w:after="0" w:line="240" w:lineRule="auto"/>
        <w:rPr>
          <w:rFonts w:ascii="Times New Roman" w:hAnsi="Times New Roman" w:cs="Times New Roman"/>
          <w:u w:val="single"/>
        </w:rPr>
      </w:pPr>
    </w:p>
    <w:p w14:paraId="31089130" w14:textId="3700FF72" w:rsidR="00A0776F" w:rsidRPr="00A0776F" w:rsidRDefault="00A0776F" w:rsidP="00A0776F">
      <w:pPr>
        <w:spacing w:after="0" w:line="240" w:lineRule="auto"/>
        <w:rPr>
          <w:rFonts w:ascii="Times New Roman" w:hAnsi="Times New Roman" w:cs="Times New Roman"/>
        </w:rPr>
      </w:pPr>
      <w:r w:rsidRPr="00A0776F">
        <w:rPr>
          <w:rFonts w:ascii="Times New Roman" w:hAnsi="Times New Roman" w:cs="Times New Roman"/>
        </w:rPr>
        <w:t xml:space="preserve">The efficacy of plitidepsin in combination with dexamethasone </w:t>
      </w:r>
      <w:r w:rsidR="009F7DD6">
        <w:rPr>
          <w:rFonts w:ascii="Times New Roman" w:hAnsi="Times New Roman" w:cs="Times New Roman"/>
        </w:rPr>
        <w:t>(P</w:t>
      </w:r>
      <w:r w:rsidR="008A12F8">
        <w:rPr>
          <w:rFonts w:ascii="Times New Roman" w:hAnsi="Times New Roman" w:cs="Times New Roman"/>
        </w:rPr>
        <w:t>+</w:t>
      </w:r>
      <w:r w:rsidR="009F7DD6">
        <w:rPr>
          <w:rFonts w:ascii="Times New Roman" w:hAnsi="Times New Roman" w:cs="Times New Roman"/>
        </w:rPr>
        <w:t>DX</w:t>
      </w:r>
      <w:r w:rsidR="00F15310">
        <w:rPr>
          <w:rFonts w:ascii="Times New Roman" w:hAnsi="Times New Roman" w:cs="Times New Roman"/>
        </w:rPr>
        <w:t>M</w:t>
      </w:r>
      <w:r w:rsidR="009F7DD6">
        <w:rPr>
          <w:rFonts w:ascii="Times New Roman" w:hAnsi="Times New Roman" w:cs="Times New Roman"/>
        </w:rPr>
        <w:t>)</w:t>
      </w:r>
      <w:r w:rsidR="008A12F8">
        <w:rPr>
          <w:rFonts w:ascii="Times New Roman" w:hAnsi="Times New Roman" w:cs="Times New Roman"/>
        </w:rPr>
        <w:t xml:space="preserve"> </w:t>
      </w:r>
      <w:r w:rsidRPr="00A0776F">
        <w:rPr>
          <w:rFonts w:ascii="Times New Roman" w:hAnsi="Times New Roman" w:cs="Times New Roman"/>
        </w:rPr>
        <w:t xml:space="preserve">was evaluated in a phase III multicentre, open-label, two-arm, randomised clinical trial, APL-C-001-09 (ADMYRE) that compared the efficacy of </w:t>
      </w:r>
      <w:r w:rsidR="00F15310">
        <w:rPr>
          <w:rFonts w:ascii="Times New Roman" w:hAnsi="Times New Roman" w:cs="Times New Roman"/>
        </w:rPr>
        <w:t>P+DXM</w:t>
      </w:r>
      <w:r w:rsidR="004036D4">
        <w:rPr>
          <w:rFonts w:ascii="Times New Roman" w:hAnsi="Times New Roman" w:cs="Times New Roman"/>
        </w:rPr>
        <w:t xml:space="preserve"> </w:t>
      </w:r>
      <w:r w:rsidRPr="00A0776F">
        <w:rPr>
          <w:rFonts w:ascii="Times New Roman" w:hAnsi="Times New Roman" w:cs="Times New Roman"/>
        </w:rPr>
        <w:t>versus dexamethasone</w:t>
      </w:r>
      <w:r w:rsidR="008905D4">
        <w:rPr>
          <w:rFonts w:ascii="Times New Roman" w:hAnsi="Times New Roman" w:cs="Times New Roman"/>
        </w:rPr>
        <w:t xml:space="preserve"> </w:t>
      </w:r>
      <w:r w:rsidR="008A12F8">
        <w:rPr>
          <w:rFonts w:ascii="Times New Roman" w:hAnsi="Times New Roman" w:cs="Times New Roman"/>
        </w:rPr>
        <w:t>(D</w:t>
      </w:r>
      <w:r w:rsidR="00F15310">
        <w:rPr>
          <w:rFonts w:ascii="Times New Roman" w:hAnsi="Times New Roman" w:cs="Times New Roman"/>
        </w:rPr>
        <w:t>XM</w:t>
      </w:r>
      <w:r w:rsidR="008A12F8">
        <w:rPr>
          <w:rFonts w:ascii="Times New Roman" w:hAnsi="Times New Roman" w:cs="Times New Roman"/>
        </w:rPr>
        <w:t>)</w:t>
      </w:r>
      <w:r w:rsidRPr="00A0776F">
        <w:rPr>
          <w:rFonts w:ascii="Times New Roman" w:hAnsi="Times New Roman" w:cs="Times New Roman"/>
        </w:rPr>
        <w:t xml:space="preserve"> alone. Eligible subjects were patients with relapsed/refractory MM after at least three but not more than six prior therapeutic regimens for this disease (median of 4 prior lines of systemic therapy</w:t>
      </w:r>
      <w:r w:rsidR="009E1252">
        <w:rPr>
          <w:rFonts w:ascii="Times New Roman" w:hAnsi="Times New Roman" w:cs="Times New Roman"/>
        </w:rPr>
        <w:t xml:space="preserve"> (range of 2 – 6 in the </w:t>
      </w:r>
      <w:r w:rsidR="008A12F8">
        <w:rPr>
          <w:rFonts w:ascii="Times New Roman" w:hAnsi="Times New Roman" w:cs="Times New Roman"/>
        </w:rPr>
        <w:t>P+D</w:t>
      </w:r>
      <w:r w:rsidR="00F15310">
        <w:rPr>
          <w:rFonts w:ascii="Times New Roman" w:hAnsi="Times New Roman" w:cs="Times New Roman"/>
        </w:rPr>
        <w:t>XM</w:t>
      </w:r>
      <w:r w:rsidR="009E1252">
        <w:rPr>
          <w:rFonts w:ascii="Times New Roman" w:hAnsi="Times New Roman" w:cs="Times New Roman"/>
        </w:rPr>
        <w:t>)</w:t>
      </w:r>
      <w:r w:rsidRPr="00A0776F">
        <w:rPr>
          <w:rFonts w:ascii="Times New Roman" w:hAnsi="Times New Roman" w:cs="Times New Roman"/>
        </w:rPr>
        <w:t xml:space="preserve">). The most common previous agents that patients received prior to entering the study were: bortezomib (98.4%), lenalidomide (97.6%), dexamethasone (97.6%), melphalan (87.8%), cyclophosphamide (74.5%), thalidomide (65.1%), doxorubicin (47.1%), vincristine (32.5%), and prednisone (23.9%). Other more novel anti-MM agents previously administered included: </w:t>
      </w:r>
      <w:proofErr w:type="spellStart"/>
      <w:r w:rsidRPr="00A0776F">
        <w:rPr>
          <w:rFonts w:ascii="Times New Roman" w:hAnsi="Times New Roman" w:cs="Times New Roman"/>
        </w:rPr>
        <w:t>pomalidomide</w:t>
      </w:r>
      <w:proofErr w:type="spellEnd"/>
      <w:r w:rsidRPr="00A0776F">
        <w:rPr>
          <w:rFonts w:ascii="Times New Roman" w:hAnsi="Times New Roman" w:cs="Times New Roman"/>
        </w:rPr>
        <w:t xml:space="preserve"> (13.3%), </w:t>
      </w:r>
      <w:proofErr w:type="spellStart"/>
      <w:r w:rsidRPr="00A0776F">
        <w:rPr>
          <w:rFonts w:ascii="Times New Roman" w:hAnsi="Times New Roman" w:cs="Times New Roman"/>
        </w:rPr>
        <w:t>carfilzomib</w:t>
      </w:r>
      <w:proofErr w:type="spellEnd"/>
      <w:r w:rsidRPr="00A0776F">
        <w:rPr>
          <w:rFonts w:ascii="Times New Roman" w:hAnsi="Times New Roman" w:cs="Times New Roman"/>
        </w:rPr>
        <w:t xml:space="preserve"> (3.9%), </w:t>
      </w:r>
      <w:proofErr w:type="spellStart"/>
      <w:r w:rsidRPr="00A0776F">
        <w:rPr>
          <w:rFonts w:ascii="Times New Roman" w:hAnsi="Times New Roman" w:cs="Times New Roman"/>
        </w:rPr>
        <w:t>vorinostat</w:t>
      </w:r>
      <w:proofErr w:type="spellEnd"/>
      <w:r w:rsidRPr="00A0776F">
        <w:rPr>
          <w:rFonts w:ascii="Times New Roman" w:hAnsi="Times New Roman" w:cs="Times New Roman"/>
        </w:rPr>
        <w:t xml:space="preserve"> (2.7%), </w:t>
      </w:r>
      <w:proofErr w:type="spellStart"/>
      <w:r w:rsidRPr="00A0776F">
        <w:rPr>
          <w:rFonts w:ascii="Times New Roman" w:hAnsi="Times New Roman" w:cs="Times New Roman"/>
        </w:rPr>
        <w:t>elotuzumab</w:t>
      </w:r>
      <w:proofErr w:type="spellEnd"/>
      <w:r w:rsidRPr="00A0776F">
        <w:rPr>
          <w:rFonts w:ascii="Times New Roman" w:hAnsi="Times New Roman" w:cs="Times New Roman"/>
        </w:rPr>
        <w:t xml:space="preserve"> (2.0%), and </w:t>
      </w:r>
      <w:proofErr w:type="spellStart"/>
      <w:r w:rsidRPr="00A0776F">
        <w:rPr>
          <w:rFonts w:ascii="Times New Roman" w:hAnsi="Times New Roman" w:cs="Times New Roman"/>
        </w:rPr>
        <w:t>panobinostat</w:t>
      </w:r>
      <w:proofErr w:type="spellEnd"/>
      <w:r w:rsidRPr="00A0776F">
        <w:rPr>
          <w:rFonts w:ascii="Times New Roman" w:hAnsi="Times New Roman" w:cs="Times New Roman"/>
        </w:rPr>
        <w:t xml:space="preserve"> (1.2%).</w:t>
      </w:r>
    </w:p>
    <w:p w14:paraId="30B69EA7" w14:textId="77777777" w:rsidR="00A0776F" w:rsidRPr="00A0776F" w:rsidRDefault="00A0776F" w:rsidP="00A0776F">
      <w:pPr>
        <w:spacing w:after="0" w:line="240" w:lineRule="auto"/>
        <w:rPr>
          <w:rFonts w:ascii="Times New Roman" w:hAnsi="Times New Roman" w:cs="Times New Roman"/>
        </w:rPr>
      </w:pPr>
    </w:p>
    <w:p w14:paraId="68F139B1" w14:textId="23241C8E" w:rsidR="00A0776F" w:rsidRPr="00A0776F" w:rsidRDefault="00A0776F" w:rsidP="00A0776F">
      <w:pPr>
        <w:spacing w:after="0" w:line="240" w:lineRule="auto"/>
        <w:rPr>
          <w:rFonts w:ascii="Times New Roman" w:hAnsi="Times New Roman" w:cs="Times New Roman"/>
        </w:rPr>
      </w:pPr>
      <w:r w:rsidRPr="00A0776F">
        <w:rPr>
          <w:rFonts w:ascii="Times New Roman" w:hAnsi="Times New Roman" w:cs="Times New Roman"/>
        </w:rPr>
        <w:t>A total of 255 patients were enrolled in the study: 171 in Arm A (</w:t>
      </w:r>
      <w:r w:rsidR="008A12F8">
        <w:rPr>
          <w:rFonts w:ascii="Times New Roman" w:hAnsi="Times New Roman" w:cs="Times New Roman"/>
        </w:rPr>
        <w:t>P+D</w:t>
      </w:r>
      <w:r w:rsidR="00F15310">
        <w:rPr>
          <w:rFonts w:ascii="Times New Roman" w:hAnsi="Times New Roman" w:cs="Times New Roman"/>
        </w:rPr>
        <w:t>XM</w:t>
      </w:r>
      <w:r w:rsidRPr="00A0776F">
        <w:rPr>
          <w:rFonts w:ascii="Times New Roman" w:hAnsi="Times New Roman" w:cs="Times New Roman"/>
        </w:rPr>
        <w:t>) and 84 in Arm B (</w:t>
      </w:r>
      <w:r w:rsidR="008905D4">
        <w:rPr>
          <w:rFonts w:ascii="Times New Roman" w:eastAsia="Calibri" w:hAnsi="Times New Roman" w:cs="Times New Roman"/>
        </w:rPr>
        <w:t>DXM</w:t>
      </w:r>
      <w:r w:rsidRPr="00A0776F">
        <w:rPr>
          <w:rFonts w:ascii="Times New Roman" w:hAnsi="Times New Roman" w:cs="Times New Roman"/>
        </w:rPr>
        <w:t xml:space="preserve">). The median age of the whole population was 65 years (36-85 years). There were 51.8% of males enrolled and 48.2% of females. </w:t>
      </w:r>
    </w:p>
    <w:p w14:paraId="093F3104" w14:textId="77777777" w:rsidR="00A0776F" w:rsidRPr="00A0776F" w:rsidRDefault="00A0776F" w:rsidP="00A0776F">
      <w:pPr>
        <w:spacing w:after="0" w:line="240" w:lineRule="auto"/>
        <w:rPr>
          <w:rFonts w:ascii="Times New Roman" w:hAnsi="Times New Roman" w:cs="Times New Roman"/>
        </w:rPr>
      </w:pPr>
    </w:p>
    <w:p w14:paraId="584827A4" w14:textId="26927845" w:rsidR="00A0776F" w:rsidRPr="00A0776F" w:rsidRDefault="00A0776F" w:rsidP="00A0776F">
      <w:pPr>
        <w:spacing w:after="0" w:line="240" w:lineRule="auto"/>
        <w:rPr>
          <w:rFonts w:ascii="Times New Roman" w:hAnsi="Times New Roman" w:cs="Times New Roman"/>
        </w:rPr>
      </w:pPr>
      <w:r w:rsidRPr="00A0776F">
        <w:rPr>
          <w:rFonts w:ascii="Times New Roman" w:hAnsi="Times New Roman" w:cs="Times New Roman"/>
        </w:rPr>
        <w:t>Patients in the control arm (</w:t>
      </w:r>
      <w:r w:rsidR="008905D4">
        <w:rPr>
          <w:rFonts w:ascii="Times New Roman" w:eastAsia="Calibri" w:hAnsi="Times New Roman" w:cs="Times New Roman"/>
        </w:rPr>
        <w:t xml:space="preserve">DXM </w:t>
      </w:r>
      <w:r w:rsidRPr="00A0776F">
        <w:rPr>
          <w:rFonts w:ascii="Times New Roman" w:hAnsi="Times New Roman" w:cs="Times New Roman"/>
        </w:rPr>
        <w:t>alone, Arm B) with documented disease progression after a minimum of eight weeks from randomisation were offered crossover to the combination arm (</w:t>
      </w:r>
      <w:r w:rsidR="00DF0228">
        <w:rPr>
          <w:rFonts w:ascii="Times New Roman" w:hAnsi="Times New Roman" w:cs="Times New Roman"/>
        </w:rPr>
        <w:t>P+D</w:t>
      </w:r>
      <w:r w:rsidR="00F15310">
        <w:rPr>
          <w:rFonts w:ascii="Times New Roman" w:hAnsi="Times New Roman" w:cs="Times New Roman"/>
        </w:rPr>
        <w:t>XM</w:t>
      </w:r>
      <w:r w:rsidRPr="00A0776F">
        <w:rPr>
          <w:rFonts w:ascii="Times New Roman" w:hAnsi="Times New Roman" w:cs="Times New Roman"/>
        </w:rPr>
        <w:t>, Arm A).</w:t>
      </w:r>
      <w:r w:rsidR="009E1252">
        <w:rPr>
          <w:rFonts w:ascii="Times New Roman" w:hAnsi="Times New Roman" w:cs="Times New Roman"/>
        </w:rPr>
        <w:t xml:space="preserve"> A total of 44% of patients crossed over from DXM to P+DXM arm.</w:t>
      </w:r>
    </w:p>
    <w:p w14:paraId="63259977" w14:textId="77777777" w:rsidR="00A0776F" w:rsidRPr="00A0776F" w:rsidRDefault="00A0776F" w:rsidP="00A0776F">
      <w:pPr>
        <w:spacing w:after="0" w:line="240" w:lineRule="auto"/>
        <w:rPr>
          <w:rFonts w:ascii="Times New Roman" w:hAnsi="Times New Roman" w:cs="Times New Roman"/>
        </w:rPr>
      </w:pPr>
    </w:p>
    <w:p w14:paraId="347D50BC" w14:textId="661D1727" w:rsidR="00A0776F" w:rsidRPr="00A0776F" w:rsidRDefault="00A0776F" w:rsidP="00A0776F">
      <w:pPr>
        <w:spacing w:after="0" w:line="240" w:lineRule="auto"/>
        <w:rPr>
          <w:rFonts w:ascii="Times New Roman" w:hAnsi="Times New Roman" w:cs="Times New Roman"/>
        </w:rPr>
      </w:pPr>
      <w:r w:rsidRPr="00A0776F">
        <w:rPr>
          <w:rFonts w:ascii="Times New Roman" w:hAnsi="Times New Roman" w:cs="Times New Roman"/>
        </w:rPr>
        <w:t xml:space="preserve">Patients in the </w:t>
      </w:r>
      <w:r w:rsidR="00DF0228">
        <w:rPr>
          <w:rFonts w:ascii="Times New Roman" w:hAnsi="Times New Roman" w:cs="Times New Roman"/>
        </w:rPr>
        <w:t>P+D</w:t>
      </w:r>
      <w:r w:rsidR="00F15310">
        <w:rPr>
          <w:rFonts w:ascii="Times New Roman" w:hAnsi="Times New Roman" w:cs="Times New Roman"/>
        </w:rPr>
        <w:t>XM</w:t>
      </w:r>
      <w:r w:rsidRPr="00A0776F">
        <w:rPr>
          <w:rFonts w:ascii="Times New Roman" w:hAnsi="Times New Roman" w:cs="Times New Roman"/>
        </w:rPr>
        <w:t xml:space="preserve"> arm (Arm A) received </w:t>
      </w:r>
      <w:r w:rsidR="00AC5822">
        <w:rPr>
          <w:rFonts w:ascii="Times New Roman" w:eastAsia="Calibri" w:hAnsi="Times New Roman" w:cs="Times New Roman"/>
        </w:rPr>
        <w:t xml:space="preserve">DXM </w:t>
      </w:r>
      <w:r w:rsidRPr="00A0776F">
        <w:rPr>
          <w:rFonts w:ascii="Times New Roman" w:hAnsi="Times New Roman" w:cs="Times New Roman"/>
        </w:rPr>
        <w:t>40 mg orally on Day 1, 8, 15 and 22 q4wk, at least one hour before plitidepsin infusion, plus plitidepsin 5 mg/m2 intravenously</w:t>
      </w:r>
      <w:r w:rsidRPr="00A0776F" w:rsidDel="003625C1">
        <w:rPr>
          <w:rFonts w:ascii="Times New Roman" w:hAnsi="Times New Roman" w:cs="Times New Roman"/>
        </w:rPr>
        <w:t xml:space="preserve"> </w:t>
      </w:r>
      <w:r w:rsidRPr="00A0776F">
        <w:rPr>
          <w:rFonts w:ascii="Times New Roman" w:hAnsi="Times New Roman" w:cs="Times New Roman"/>
        </w:rPr>
        <w:t xml:space="preserve">over three hours on Day 1 and 15 q4wk. Patients in Arm B received </w:t>
      </w:r>
      <w:r w:rsidR="00AC5822">
        <w:rPr>
          <w:rFonts w:ascii="Times New Roman" w:eastAsia="Calibri" w:hAnsi="Times New Roman" w:cs="Times New Roman"/>
        </w:rPr>
        <w:t xml:space="preserve">DXM </w:t>
      </w:r>
      <w:r w:rsidRPr="00A0776F">
        <w:rPr>
          <w:rFonts w:ascii="Times New Roman" w:hAnsi="Times New Roman" w:cs="Times New Roman"/>
        </w:rPr>
        <w:t>40 mg orally on Day 1, 8, 15 and 22 q4wk.</w:t>
      </w:r>
    </w:p>
    <w:p w14:paraId="468F025B" w14:textId="77777777" w:rsidR="00A0776F" w:rsidRPr="00A0776F" w:rsidRDefault="00A0776F" w:rsidP="00A0776F">
      <w:pPr>
        <w:spacing w:after="0" w:line="240" w:lineRule="auto"/>
        <w:rPr>
          <w:rFonts w:ascii="Times New Roman" w:hAnsi="Times New Roman" w:cs="Times New Roman"/>
        </w:rPr>
      </w:pPr>
    </w:p>
    <w:p w14:paraId="775A3087" w14:textId="7B002F0D" w:rsidR="00A0776F" w:rsidRPr="00A0776F" w:rsidRDefault="00A0776F" w:rsidP="00A0776F">
      <w:pPr>
        <w:spacing w:after="0" w:line="240" w:lineRule="auto"/>
        <w:rPr>
          <w:rFonts w:ascii="Times New Roman" w:hAnsi="Times New Roman" w:cs="Times New Roman"/>
        </w:rPr>
      </w:pPr>
      <w:r w:rsidRPr="00A0776F">
        <w:rPr>
          <w:rFonts w:ascii="Times New Roman" w:hAnsi="Times New Roman" w:cs="Times New Roman"/>
        </w:rPr>
        <w:t xml:space="preserve">The primary efficacy objective was the progression-free survival (PFS) calculated according to the 2008 International Myeloma Working Group (IMWG) criteria. </w:t>
      </w:r>
      <w:r w:rsidR="009E1252">
        <w:rPr>
          <w:rFonts w:ascii="Times New Roman" w:hAnsi="Times New Roman" w:cs="Times New Roman"/>
        </w:rPr>
        <w:t>S</w:t>
      </w:r>
      <w:r w:rsidRPr="00A0776F">
        <w:rPr>
          <w:rFonts w:ascii="Times New Roman" w:hAnsi="Times New Roman" w:cs="Times New Roman"/>
        </w:rPr>
        <w:t>econdary efficacy endpoints</w:t>
      </w:r>
      <w:r w:rsidR="009E1252">
        <w:rPr>
          <w:rFonts w:ascii="Times New Roman" w:hAnsi="Times New Roman" w:cs="Times New Roman"/>
        </w:rPr>
        <w:t xml:space="preserve"> </w:t>
      </w:r>
      <w:r w:rsidRPr="00A0776F">
        <w:rPr>
          <w:rFonts w:ascii="Times New Roman" w:hAnsi="Times New Roman" w:cs="Times New Roman"/>
        </w:rPr>
        <w:t>includ</w:t>
      </w:r>
      <w:r w:rsidR="009E1252">
        <w:rPr>
          <w:rFonts w:ascii="Times New Roman" w:hAnsi="Times New Roman" w:cs="Times New Roman"/>
        </w:rPr>
        <w:t>ed</w:t>
      </w:r>
      <w:r w:rsidRPr="00A0776F">
        <w:rPr>
          <w:rFonts w:ascii="Times New Roman" w:hAnsi="Times New Roman" w:cs="Times New Roman"/>
        </w:rPr>
        <w:t xml:space="preserve"> overall response rate (ORR) and overall survival (OS). </w:t>
      </w:r>
      <w:r>
        <w:rPr>
          <w:rFonts w:ascii="Times New Roman" w:hAnsi="Times New Roman" w:cs="Times New Roman"/>
        </w:rPr>
        <w:br/>
      </w:r>
    </w:p>
    <w:p w14:paraId="5DA05651" w14:textId="51E91890" w:rsidR="00834E3A" w:rsidRDefault="00A0776F" w:rsidP="00834E3A">
      <w:pPr>
        <w:keepNext/>
        <w:spacing w:after="0" w:line="240" w:lineRule="auto"/>
        <w:rPr>
          <w:rFonts w:ascii="Times New Roman" w:hAnsi="Times New Roman" w:cs="Times New Roman"/>
          <w:u w:val="single"/>
        </w:rPr>
      </w:pPr>
      <w:r w:rsidRPr="00834E3A">
        <w:rPr>
          <w:rFonts w:ascii="Times New Roman" w:hAnsi="Times New Roman" w:cs="Times New Roman"/>
          <w:u w:val="single"/>
        </w:rPr>
        <w:t>Progression-free survival</w:t>
      </w:r>
    </w:p>
    <w:p w14:paraId="76602E51" w14:textId="77777777" w:rsidR="00834E3A" w:rsidRPr="00834E3A" w:rsidRDefault="00834E3A" w:rsidP="00834E3A">
      <w:pPr>
        <w:keepNext/>
        <w:spacing w:after="0" w:line="240" w:lineRule="auto"/>
        <w:rPr>
          <w:rFonts w:ascii="Times New Roman" w:hAnsi="Times New Roman" w:cs="Times New Roman"/>
          <w:u w:val="single"/>
        </w:rPr>
      </w:pPr>
    </w:p>
    <w:p w14:paraId="20454023" w14:textId="1F1735AB" w:rsidR="009E1252" w:rsidRDefault="009E1252" w:rsidP="00834E3A">
      <w:pPr>
        <w:keepNext/>
        <w:spacing w:after="0" w:line="240" w:lineRule="auto"/>
        <w:rPr>
          <w:rFonts w:ascii="Times New Roman" w:hAnsi="Times New Roman" w:cs="Times New Roman"/>
        </w:rPr>
      </w:pPr>
      <w:r>
        <w:rPr>
          <w:rFonts w:ascii="Times New Roman" w:hAnsi="Times New Roman" w:cs="Times New Roman"/>
        </w:rPr>
        <w:t>In the primary efficacy analyses of all randomised patients, P+DXM showed statistically significant longer PFS compared to DXM</w:t>
      </w:r>
      <w:r w:rsidRPr="009E1252">
        <w:rPr>
          <w:rFonts w:ascii="Times New Roman" w:hAnsi="Times New Roman" w:cs="Times New Roman"/>
        </w:rPr>
        <w:t xml:space="preserve"> </w:t>
      </w:r>
      <w:r w:rsidRPr="00834E3A">
        <w:rPr>
          <w:rFonts w:ascii="Times New Roman" w:hAnsi="Times New Roman" w:cs="Times New Roman"/>
        </w:rPr>
        <w:t>in patients with relapsed/refractory MM</w:t>
      </w:r>
      <w:r>
        <w:rPr>
          <w:rFonts w:ascii="Times New Roman" w:hAnsi="Times New Roman" w:cs="Times New Roman"/>
        </w:rPr>
        <w:t xml:space="preserve">, in both the </w:t>
      </w:r>
      <w:r w:rsidRPr="00834E3A">
        <w:rPr>
          <w:rFonts w:ascii="Times New Roman" w:hAnsi="Times New Roman" w:cs="Times New Roman"/>
        </w:rPr>
        <w:t>blinded Independent Review Committee (IRC) assessment</w:t>
      </w:r>
      <w:r>
        <w:rPr>
          <w:rFonts w:ascii="Times New Roman" w:hAnsi="Times New Roman" w:cs="Times New Roman"/>
        </w:rPr>
        <w:t xml:space="preserve"> and the Investigator assessment.</w:t>
      </w:r>
    </w:p>
    <w:p w14:paraId="658EB861" w14:textId="77777777" w:rsidR="0008310C" w:rsidRDefault="0008310C" w:rsidP="00834E3A">
      <w:pPr>
        <w:keepNext/>
        <w:spacing w:after="0" w:line="240" w:lineRule="auto"/>
        <w:rPr>
          <w:rFonts w:ascii="Times New Roman" w:hAnsi="Times New Roman" w:cs="Times New Roman"/>
        </w:rPr>
      </w:pPr>
    </w:p>
    <w:p w14:paraId="68E4F298" w14:textId="213C91EA" w:rsidR="0008310C" w:rsidRPr="00834E3A" w:rsidRDefault="000E4EE4" w:rsidP="0008310C">
      <w:pPr>
        <w:keepNext/>
        <w:spacing w:after="0" w:line="240" w:lineRule="auto"/>
        <w:rPr>
          <w:rFonts w:ascii="Times New Roman" w:hAnsi="Times New Roman" w:cs="Times New Roman"/>
        </w:rPr>
      </w:pPr>
      <w:r>
        <w:rPr>
          <w:rFonts w:ascii="Times New Roman" w:hAnsi="Times New Roman" w:cs="Times New Roman"/>
        </w:rPr>
        <w:t>T</w:t>
      </w:r>
      <w:r w:rsidR="00163E79">
        <w:rPr>
          <w:rFonts w:ascii="Times New Roman" w:hAnsi="Times New Roman" w:cs="Times New Roman"/>
        </w:rPr>
        <w:t>he m</w:t>
      </w:r>
      <w:r w:rsidR="0008310C" w:rsidRPr="00834E3A">
        <w:rPr>
          <w:rFonts w:ascii="Times New Roman" w:hAnsi="Times New Roman" w:cs="Times New Roman"/>
        </w:rPr>
        <w:t>edian PFS</w:t>
      </w:r>
      <w:r w:rsidR="0008310C">
        <w:rPr>
          <w:rFonts w:ascii="Times New Roman" w:hAnsi="Times New Roman" w:cs="Times New Roman"/>
        </w:rPr>
        <w:t xml:space="preserve"> </w:t>
      </w:r>
      <w:r w:rsidR="0008310C" w:rsidRPr="00834E3A">
        <w:rPr>
          <w:rFonts w:ascii="Times New Roman" w:hAnsi="Times New Roman" w:cs="Times New Roman"/>
        </w:rPr>
        <w:t>analysis from the blinded Independent Review Committee (IRC)</w:t>
      </w:r>
      <w:r w:rsidR="0008310C">
        <w:rPr>
          <w:rFonts w:ascii="Times New Roman" w:hAnsi="Times New Roman" w:cs="Times New Roman"/>
        </w:rPr>
        <w:t xml:space="preserve"> </w:t>
      </w:r>
      <w:r w:rsidR="0008310C" w:rsidRPr="00834E3A">
        <w:rPr>
          <w:rFonts w:ascii="Times New Roman" w:hAnsi="Times New Roman" w:cs="Times New Roman"/>
        </w:rPr>
        <w:t xml:space="preserve">was 2.6 months (95% CI, 1.9-3.0 months) in </w:t>
      </w:r>
      <w:r w:rsidR="0008310C">
        <w:rPr>
          <w:rFonts w:ascii="Times New Roman" w:hAnsi="Times New Roman" w:cs="Times New Roman"/>
        </w:rPr>
        <w:t>P+DXM</w:t>
      </w:r>
      <w:r w:rsidR="00400FB0">
        <w:rPr>
          <w:rFonts w:ascii="Times New Roman" w:hAnsi="Times New Roman" w:cs="Times New Roman"/>
        </w:rPr>
        <w:t xml:space="preserve"> arm</w:t>
      </w:r>
      <w:r w:rsidR="0008310C" w:rsidRPr="00834E3A">
        <w:rPr>
          <w:rFonts w:ascii="Times New Roman" w:hAnsi="Times New Roman" w:cs="Times New Roman"/>
        </w:rPr>
        <w:t xml:space="preserve"> and 1.7 months (95% CI, 1.1-2.0 months) in</w:t>
      </w:r>
      <w:r w:rsidR="00400FB0">
        <w:rPr>
          <w:rFonts w:ascii="Times New Roman" w:hAnsi="Times New Roman" w:cs="Times New Roman"/>
        </w:rPr>
        <w:t xml:space="preserve"> </w:t>
      </w:r>
      <w:r w:rsidR="0008310C">
        <w:rPr>
          <w:rFonts w:ascii="Times New Roman" w:hAnsi="Times New Roman" w:cs="Times New Roman"/>
        </w:rPr>
        <w:t>DXM</w:t>
      </w:r>
      <w:r w:rsidR="00400FB0">
        <w:rPr>
          <w:rFonts w:ascii="Times New Roman" w:hAnsi="Times New Roman" w:cs="Times New Roman"/>
        </w:rPr>
        <w:t xml:space="preserve"> arm</w:t>
      </w:r>
      <w:r w:rsidR="0008310C" w:rsidRPr="00834E3A">
        <w:rPr>
          <w:rFonts w:ascii="Times New Roman" w:hAnsi="Times New Roman" w:cs="Times New Roman"/>
        </w:rPr>
        <w:t xml:space="preserve"> (log-ran</w:t>
      </w:r>
      <w:r w:rsidR="00922AD1">
        <w:rPr>
          <w:rFonts w:ascii="Times New Roman" w:hAnsi="Times New Roman" w:cs="Times New Roman"/>
        </w:rPr>
        <w:t xml:space="preserve">k p=0.0054) </w:t>
      </w:r>
    </w:p>
    <w:p w14:paraId="00DB878B" w14:textId="216DBFCF" w:rsidR="00A0776F" w:rsidRPr="00834E3A" w:rsidRDefault="00A0776F" w:rsidP="00834E3A">
      <w:pPr>
        <w:spacing w:after="0" w:line="240" w:lineRule="auto"/>
        <w:rPr>
          <w:rFonts w:ascii="Times New Roman" w:hAnsi="Times New Roman" w:cs="Times New Roman"/>
        </w:rPr>
      </w:pPr>
    </w:p>
    <w:p w14:paraId="00EB9D9E" w14:textId="33586301" w:rsidR="00A0776F" w:rsidRDefault="00A0776F" w:rsidP="00834E3A">
      <w:pPr>
        <w:spacing w:after="0" w:line="240" w:lineRule="auto"/>
        <w:rPr>
          <w:rFonts w:ascii="Times New Roman" w:hAnsi="Times New Roman" w:cs="Times New Roman"/>
        </w:rPr>
      </w:pPr>
      <w:r w:rsidRPr="00834E3A">
        <w:rPr>
          <w:rFonts w:ascii="Times New Roman" w:hAnsi="Times New Roman" w:cs="Times New Roman"/>
        </w:rPr>
        <w:t xml:space="preserve">An updated analysis of PFS with confirmation of PD by IA at the censoring rate of 38.6% and 40.5% of patients in </w:t>
      </w:r>
      <w:r w:rsidR="00400FB0">
        <w:rPr>
          <w:rFonts w:ascii="Times New Roman" w:hAnsi="Times New Roman" w:cs="Times New Roman"/>
        </w:rPr>
        <w:t>P+DXM</w:t>
      </w:r>
      <w:r w:rsidRPr="00834E3A">
        <w:rPr>
          <w:rFonts w:ascii="Times New Roman" w:hAnsi="Times New Roman" w:cs="Times New Roman"/>
        </w:rPr>
        <w:t xml:space="preserve"> and </w:t>
      </w:r>
      <w:r w:rsidR="00400FB0">
        <w:rPr>
          <w:rFonts w:ascii="Times New Roman" w:hAnsi="Times New Roman" w:cs="Times New Roman"/>
        </w:rPr>
        <w:t>DXM</w:t>
      </w:r>
      <w:r w:rsidR="00E800C5">
        <w:rPr>
          <w:rFonts w:ascii="Times New Roman" w:hAnsi="Times New Roman" w:cs="Times New Roman"/>
        </w:rPr>
        <w:t xml:space="preserve"> arms</w:t>
      </w:r>
      <w:r w:rsidRPr="00834E3A">
        <w:rPr>
          <w:rFonts w:ascii="Times New Roman" w:hAnsi="Times New Roman" w:cs="Times New Roman"/>
        </w:rPr>
        <w:t xml:space="preserve">, respectively, showed the following results: median PFS=3.8 months (95% CI, 2.9-5.6 months) in </w:t>
      </w:r>
      <w:r w:rsidR="00E800C5">
        <w:rPr>
          <w:rFonts w:ascii="Times New Roman" w:hAnsi="Times New Roman" w:cs="Times New Roman"/>
        </w:rPr>
        <w:t>P+DXM arm</w:t>
      </w:r>
      <w:r w:rsidRPr="00834E3A">
        <w:rPr>
          <w:rFonts w:ascii="Times New Roman" w:hAnsi="Times New Roman" w:cs="Times New Roman"/>
        </w:rPr>
        <w:t xml:space="preserve">, and median PFS=1.9 months (95% CI, 1.1-2.7 months) in </w:t>
      </w:r>
      <w:r w:rsidR="00E800C5">
        <w:rPr>
          <w:rFonts w:ascii="Times New Roman" w:hAnsi="Times New Roman" w:cs="Times New Roman"/>
        </w:rPr>
        <w:t>DXM arm</w:t>
      </w:r>
      <w:r w:rsidRPr="00834E3A">
        <w:rPr>
          <w:rFonts w:ascii="Times New Roman" w:hAnsi="Times New Roman" w:cs="Times New Roman"/>
        </w:rPr>
        <w:t xml:space="preserve"> (log-rank p=0.0040) (HR=0.611; p=0.004)</w:t>
      </w:r>
      <w:r w:rsidR="00E800C5">
        <w:rPr>
          <w:rFonts w:ascii="Times New Roman" w:hAnsi="Times New Roman" w:cs="Times New Roman"/>
        </w:rPr>
        <w:t>.</w:t>
      </w:r>
    </w:p>
    <w:p w14:paraId="5078C2B9" w14:textId="77777777" w:rsidR="00163E79" w:rsidRDefault="00163E79" w:rsidP="00834E3A">
      <w:pPr>
        <w:spacing w:after="0" w:line="240" w:lineRule="auto"/>
        <w:rPr>
          <w:rFonts w:ascii="Times New Roman" w:hAnsi="Times New Roman" w:cs="Times New Roman"/>
        </w:rPr>
      </w:pPr>
    </w:p>
    <w:p w14:paraId="354DFB43" w14:textId="59FA89EF" w:rsidR="00C8736E" w:rsidRDefault="00163E79" w:rsidP="00F05F7D">
      <w:pPr>
        <w:spacing w:after="0" w:line="240" w:lineRule="auto"/>
        <w:rPr>
          <w:rFonts w:ascii="Times New Roman" w:hAnsi="Times New Roman" w:cs="Times New Roman"/>
        </w:rPr>
      </w:pPr>
      <w:r>
        <w:rPr>
          <w:rFonts w:ascii="Times New Roman" w:hAnsi="Times New Roman" w:cs="Times New Roman"/>
        </w:rPr>
        <w:t>A pre-planned sensitivity analysis of PFS requiring confirmation of PD was performed. There was a statistically significantly longer PFS with P+DXM (5 months) compared to DXM alone (2 months) (log-rank p=0.0005) and the relative risk of progression or death was reduced by 48.3% (HR=0.517; 95%CI: 0.354 – 0.756, p=0.0007). All other pre-planned supportive sensitivity analyses of PFS showed results consistent with the primary analysis with HRs ranging between 0.466 and 0.739.</w:t>
      </w:r>
    </w:p>
    <w:p w14:paraId="1BE69838" w14:textId="77777777" w:rsidR="00F05F7D" w:rsidRPr="00F05F7D" w:rsidRDefault="00F05F7D" w:rsidP="00F05F7D">
      <w:pPr>
        <w:spacing w:after="0" w:line="240" w:lineRule="auto"/>
        <w:rPr>
          <w:rFonts w:ascii="Times New Roman" w:hAnsi="Times New Roman" w:cs="Times New Roman"/>
        </w:rPr>
      </w:pPr>
    </w:p>
    <w:p w14:paraId="609B8ED5" w14:textId="7371DCB2" w:rsidR="00A0776F" w:rsidRDefault="00A0776F" w:rsidP="00917B17">
      <w:pPr>
        <w:keepNext/>
        <w:spacing w:after="0" w:line="240" w:lineRule="auto"/>
        <w:rPr>
          <w:rFonts w:ascii="Times New Roman" w:eastAsia="Calibri" w:hAnsi="Times New Roman" w:cs="Times New Roman"/>
          <w:u w:val="single"/>
        </w:rPr>
      </w:pPr>
      <w:r w:rsidRPr="00834E3A">
        <w:rPr>
          <w:rFonts w:ascii="Times New Roman" w:eastAsia="Calibri" w:hAnsi="Times New Roman" w:cs="Times New Roman"/>
          <w:u w:val="single"/>
        </w:rPr>
        <w:lastRenderedPageBreak/>
        <w:t>Overall Survival</w:t>
      </w:r>
    </w:p>
    <w:p w14:paraId="4372864F" w14:textId="685B33A8" w:rsidR="00A0776F" w:rsidRDefault="00F50480" w:rsidP="00007549">
      <w:pPr>
        <w:spacing w:after="0" w:line="240" w:lineRule="auto"/>
        <w:rPr>
          <w:rFonts w:ascii="Times New Roman" w:eastAsia="Calibri" w:hAnsi="Times New Roman" w:cs="Times New Roman"/>
        </w:rPr>
      </w:pPr>
      <w:r>
        <w:rPr>
          <w:rFonts w:ascii="Times New Roman" w:eastAsia="Calibri" w:hAnsi="Times New Roman" w:cs="Times New Roman"/>
        </w:rPr>
        <w:t>The study was not p</w:t>
      </w:r>
      <w:r w:rsidR="002010DE">
        <w:rPr>
          <w:rFonts w:ascii="Times New Roman" w:eastAsia="Calibri" w:hAnsi="Times New Roman" w:cs="Times New Roman"/>
        </w:rPr>
        <w:t>o</w:t>
      </w:r>
      <w:r>
        <w:rPr>
          <w:rFonts w:ascii="Times New Roman" w:eastAsia="Calibri" w:hAnsi="Times New Roman" w:cs="Times New Roman"/>
        </w:rPr>
        <w:t xml:space="preserve">wered for the evaluation of the secondary end-point </w:t>
      </w:r>
      <w:r w:rsidR="002010DE">
        <w:rPr>
          <w:rFonts w:ascii="Times New Roman" w:eastAsia="Calibri" w:hAnsi="Times New Roman" w:cs="Times New Roman"/>
        </w:rPr>
        <w:t xml:space="preserve">of OS. </w:t>
      </w:r>
      <w:r w:rsidR="00A0776F" w:rsidRPr="00834E3A">
        <w:rPr>
          <w:rFonts w:ascii="Times New Roman" w:eastAsia="Calibri" w:hAnsi="Times New Roman" w:cs="Times New Roman"/>
        </w:rPr>
        <w:t xml:space="preserve">Final OS data was conducted with 195 events (76.5% of all the recruited patients). Median OS was 11.6 months in the </w:t>
      </w:r>
      <w:r w:rsidR="001B43AC">
        <w:rPr>
          <w:rFonts w:ascii="Times New Roman" w:hAnsi="Times New Roman" w:cs="Times New Roman"/>
        </w:rPr>
        <w:t>P+DXM</w:t>
      </w:r>
      <w:r w:rsidR="00A0776F" w:rsidRPr="00834E3A">
        <w:rPr>
          <w:rFonts w:ascii="Times New Roman" w:eastAsia="Calibri" w:hAnsi="Times New Roman" w:cs="Times New Roman"/>
        </w:rPr>
        <w:t xml:space="preserve"> arm and 8.9 months in the </w:t>
      </w:r>
      <w:r w:rsidR="0087468A">
        <w:rPr>
          <w:rFonts w:ascii="Times New Roman" w:eastAsia="Calibri" w:hAnsi="Times New Roman" w:cs="Times New Roman"/>
        </w:rPr>
        <w:t xml:space="preserve">DXM </w:t>
      </w:r>
      <w:r w:rsidR="00A0776F" w:rsidRPr="00834E3A">
        <w:rPr>
          <w:rFonts w:ascii="Times New Roman" w:eastAsia="Calibri" w:hAnsi="Times New Roman" w:cs="Times New Roman"/>
        </w:rPr>
        <w:t xml:space="preserve">arm following the intention to treat principle (HR=0.797, 95% CI, 0.596-1.067). 37 (44%) of the patients in the control arm (Arm B) crossed over to the combination arm (Arm A); </w:t>
      </w:r>
      <w:r w:rsidR="00A0776F" w:rsidRPr="00834E3A">
        <w:rPr>
          <w:rFonts w:ascii="Times New Roman" w:hAnsi="Times New Roman" w:cs="Times New Roman"/>
        </w:rPr>
        <w:t xml:space="preserve">when crossover effect is mitigated, a statistically significant difference in favour of the combination arm (Arm A) was observed </w:t>
      </w:r>
      <w:r w:rsidR="00294676">
        <w:rPr>
          <w:rFonts w:ascii="Times New Roman" w:hAnsi="Times New Roman" w:cs="Times New Roman"/>
        </w:rPr>
        <w:t>with a</w:t>
      </w:r>
      <w:r w:rsidR="00294676" w:rsidRPr="00834E3A">
        <w:rPr>
          <w:rFonts w:ascii="Times New Roman" w:hAnsi="Times New Roman" w:cs="Times New Roman"/>
        </w:rPr>
        <w:t xml:space="preserve"> </w:t>
      </w:r>
      <w:r w:rsidR="00A0776F" w:rsidRPr="00834E3A">
        <w:rPr>
          <w:rFonts w:ascii="Times New Roman" w:hAnsi="Times New Roman" w:cs="Times New Roman"/>
        </w:rPr>
        <w:t xml:space="preserve">HR </w:t>
      </w:r>
      <w:r w:rsidR="0066323A">
        <w:rPr>
          <w:rFonts w:ascii="Times New Roman" w:hAnsi="Times New Roman" w:cs="Times New Roman"/>
        </w:rPr>
        <w:t>of</w:t>
      </w:r>
      <w:r w:rsidR="0066323A" w:rsidRPr="00834E3A">
        <w:rPr>
          <w:rFonts w:ascii="Times New Roman" w:hAnsi="Times New Roman" w:cs="Times New Roman"/>
        </w:rPr>
        <w:t xml:space="preserve"> </w:t>
      </w:r>
      <w:r w:rsidR="00A0776F" w:rsidRPr="00834E3A">
        <w:rPr>
          <w:rFonts w:ascii="Times New Roman" w:hAnsi="Times New Roman" w:cs="Times New Roman"/>
        </w:rPr>
        <w:t>0.667 (log rank test p-value=0.0065)</w:t>
      </w:r>
      <w:r w:rsidR="00A0776F" w:rsidRPr="00834E3A">
        <w:rPr>
          <w:rFonts w:ascii="Times New Roman" w:eastAsia="Calibri" w:hAnsi="Times New Roman" w:cs="Times New Roman"/>
        </w:rPr>
        <w:t xml:space="preserve">, </w:t>
      </w:r>
      <w:r w:rsidR="0066323A">
        <w:rPr>
          <w:rFonts w:ascii="Times New Roman" w:eastAsia="Calibri" w:hAnsi="Times New Roman" w:cs="Times New Roman"/>
        </w:rPr>
        <w:t>and</w:t>
      </w:r>
      <w:r w:rsidR="0066323A" w:rsidRPr="00834E3A">
        <w:rPr>
          <w:rFonts w:ascii="Times New Roman" w:eastAsia="Calibri" w:hAnsi="Times New Roman" w:cs="Times New Roman"/>
        </w:rPr>
        <w:t xml:space="preserve"> </w:t>
      </w:r>
      <w:r w:rsidR="00A0776F" w:rsidRPr="00834E3A">
        <w:rPr>
          <w:rFonts w:ascii="Times New Roman" w:eastAsia="Calibri" w:hAnsi="Times New Roman" w:cs="Times New Roman"/>
        </w:rPr>
        <w:t xml:space="preserve">median OS values of 11.6 months in the </w:t>
      </w:r>
      <w:r w:rsidR="001B43AC">
        <w:rPr>
          <w:rFonts w:ascii="Times New Roman" w:hAnsi="Times New Roman" w:cs="Times New Roman"/>
        </w:rPr>
        <w:t>P+DXM</w:t>
      </w:r>
      <w:r w:rsidR="00A0776F" w:rsidRPr="00834E3A">
        <w:rPr>
          <w:rFonts w:ascii="Times New Roman" w:eastAsia="Calibri" w:hAnsi="Times New Roman" w:cs="Times New Roman"/>
        </w:rPr>
        <w:t xml:space="preserve"> arm and 6.7 months in the </w:t>
      </w:r>
      <w:r w:rsidR="00A233F1">
        <w:rPr>
          <w:rFonts w:ascii="Times New Roman" w:eastAsia="Calibri" w:hAnsi="Times New Roman" w:cs="Times New Roman"/>
        </w:rPr>
        <w:t xml:space="preserve">DXM </w:t>
      </w:r>
      <w:r w:rsidR="00A0776F" w:rsidRPr="00834E3A">
        <w:rPr>
          <w:rFonts w:ascii="Times New Roman" w:eastAsia="Calibri" w:hAnsi="Times New Roman" w:cs="Times New Roman"/>
        </w:rPr>
        <w:t>arm.</w:t>
      </w:r>
    </w:p>
    <w:p w14:paraId="5B73831F" w14:textId="77777777" w:rsidR="00007549" w:rsidRPr="00007549" w:rsidRDefault="00007549" w:rsidP="00007549">
      <w:pPr>
        <w:spacing w:after="0" w:line="240" w:lineRule="auto"/>
        <w:rPr>
          <w:rFonts w:ascii="Times New Roman" w:eastAsia="Calibri" w:hAnsi="Times New Roman" w:cs="Times New Roman"/>
        </w:rPr>
      </w:pPr>
    </w:p>
    <w:p w14:paraId="196EA1AB" w14:textId="7B7F4B5E" w:rsidR="00A0776F" w:rsidRPr="007D3879" w:rsidRDefault="00A0776F" w:rsidP="007D3879">
      <w:pPr>
        <w:keepNext/>
        <w:rPr>
          <w:rFonts w:ascii="Times New Roman" w:eastAsia="Calibri" w:hAnsi="Times New Roman" w:cs="Times New Roman"/>
          <w:b/>
        </w:rPr>
      </w:pPr>
      <w:r w:rsidRPr="007D3879">
        <w:rPr>
          <w:rFonts w:ascii="Times New Roman" w:eastAsia="Calibri" w:hAnsi="Times New Roman" w:cs="Times New Roman"/>
          <w:b/>
        </w:rPr>
        <w:t xml:space="preserve">Table </w:t>
      </w:r>
      <w:r w:rsidR="00C26529">
        <w:rPr>
          <w:rFonts w:ascii="Times New Roman" w:eastAsia="Calibri" w:hAnsi="Times New Roman" w:cs="Times New Roman"/>
          <w:b/>
        </w:rPr>
        <w:t>6</w:t>
      </w:r>
      <w:r w:rsidRPr="007D3879">
        <w:rPr>
          <w:rFonts w:ascii="Times New Roman" w:eastAsia="Calibri" w:hAnsi="Times New Roman" w:cs="Times New Roman"/>
          <w:b/>
        </w:rPr>
        <w:t>. Overall survival in all randomised patients (APL-C-001-09, ADMYRE).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A0" w:firstRow="1" w:lastRow="0" w:firstColumn="1" w:lastColumn="0" w:noHBand="0" w:noVBand="0"/>
      </w:tblPr>
      <w:tblGrid>
        <w:gridCol w:w="1922"/>
        <w:gridCol w:w="1517"/>
        <w:gridCol w:w="9"/>
        <w:gridCol w:w="1179"/>
        <w:gridCol w:w="9"/>
        <w:gridCol w:w="1179"/>
        <w:gridCol w:w="9"/>
        <w:gridCol w:w="2029"/>
        <w:gridCol w:w="9"/>
        <w:gridCol w:w="1186"/>
        <w:gridCol w:w="9"/>
        <w:gridCol w:w="25"/>
      </w:tblGrid>
      <w:tr w:rsidR="00A0776F" w:rsidRPr="007D3879" w14:paraId="5337898B" w14:textId="77777777" w:rsidTr="001A06F0">
        <w:trPr>
          <w:gridAfter w:val="2"/>
          <w:wAfter w:w="19" w:type="pct"/>
          <w:trHeight w:val="591"/>
        </w:trPr>
        <w:tc>
          <w:tcPr>
            <w:tcW w:w="1893" w:type="pct"/>
            <w:gridSpan w:val="2"/>
            <w:tcBorders>
              <w:top w:val="single" w:sz="4" w:space="0" w:color="auto"/>
              <w:bottom w:val="single" w:sz="4" w:space="0" w:color="auto"/>
            </w:tcBorders>
          </w:tcPr>
          <w:p w14:paraId="443CE5BA" w14:textId="77777777" w:rsidR="00A0776F" w:rsidRPr="007D3879" w:rsidRDefault="00A0776F" w:rsidP="001A06F0">
            <w:pPr>
              <w:rPr>
                <w:b/>
                <w:sz w:val="18"/>
                <w:szCs w:val="18"/>
              </w:rPr>
            </w:pPr>
            <w:r w:rsidRPr="007D3879">
              <w:rPr>
                <w:b/>
                <w:sz w:val="18"/>
                <w:szCs w:val="18"/>
              </w:rPr>
              <w:t>Overall survival</w:t>
            </w:r>
          </w:p>
          <w:p w14:paraId="6F45EAC8" w14:textId="77777777" w:rsidR="00A0776F" w:rsidRPr="007D3879" w:rsidRDefault="00A0776F" w:rsidP="001A06F0">
            <w:pPr>
              <w:rPr>
                <w:b/>
                <w:sz w:val="18"/>
                <w:szCs w:val="18"/>
              </w:rPr>
            </w:pPr>
            <w:r w:rsidRPr="007D3879">
              <w:rPr>
                <w:b/>
                <w:sz w:val="18"/>
                <w:szCs w:val="18"/>
              </w:rPr>
              <w:t>(Final analysis)</w:t>
            </w:r>
          </w:p>
        </w:tc>
        <w:tc>
          <w:tcPr>
            <w:tcW w:w="654" w:type="pct"/>
            <w:gridSpan w:val="2"/>
            <w:tcBorders>
              <w:top w:val="single" w:sz="4" w:space="0" w:color="auto"/>
              <w:bottom w:val="single" w:sz="4" w:space="0" w:color="auto"/>
            </w:tcBorders>
            <w:vAlign w:val="bottom"/>
          </w:tcPr>
          <w:p w14:paraId="684CEF2B" w14:textId="77777777" w:rsidR="00A0776F" w:rsidRPr="007D3879" w:rsidRDefault="00A0776F" w:rsidP="001A06F0">
            <w:pPr>
              <w:keepNext/>
              <w:adjustRightInd w:val="0"/>
              <w:jc w:val="center"/>
              <w:rPr>
                <w:b/>
                <w:bCs/>
                <w:color w:val="000000"/>
                <w:sz w:val="18"/>
                <w:szCs w:val="18"/>
              </w:rPr>
            </w:pPr>
            <w:r w:rsidRPr="007D3879">
              <w:rPr>
                <w:b/>
                <w:bCs/>
                <w:color w:val="000000"/>
                <w:sz w:val="18"/>
                <w:szCs w:val="18"/>
              </w:rPr>
              <w:t xml:space="preserve">Arm A </w:t>
            </w:r>
          </w:p>
          <w:p w14:paraId="6A802FD7" w14:textId="77777777" w:rsidR="00A0776F" w:rsidRPr="007D3879" w:rsidRDefault="00A0776F" w:rsidP="001A06F0">
            <w:pPr>
              <w:keepNext/>
              <w:adjustRightInd w:val="0"/>
              <w:jc w:val="center"/>
              <w:rPr>
                <w:b/>
                <w:bCs/>
                <w:color w:val="000000"/>
                <w:sz w:val="18"/>
                <w:szCs w:val="18"/>
              </w:rPr>
            </w:pPr>
            <w:r w:rsidRPr="007D3879">
              <w:rPr>
                <w:b/>
                <w:bCs/>
                <w:color w:val="000000"/>
                <w:sz w:val="18"/>
                <w:szCs w:val="18"/>
              </w:rPr>
              <w:t xml:space="preserve"> (P+DXM)</w:t>
            </w:r>
          </w:p>
        </w:tc>
        <w:tc>
          <w:tcPr>
            <w:tcW w:w="654" w:type="pct"/>
            <w:gridSpan w:val="2"/>
            <w:tcBorders>
              <w:top w:val="single" w:sz="4" w:space="0" w:color="auto"/>
              <w:bottom w:val="single" w:sz="4" w:space="0" w:color="auto"/>
            </w:tcBorders>
          </w:tcPr>
          <w:p w14:paraId="52B84889" w14:textId="77777777" w:rsidR="00A0776F" w:rsidRPr="007D3879" w:rsidRDefault="00A0776F" w:rsidP="001A06F0">
            <w:pPr>
              <w:keepNext/>
              <w:adjustRightInd w:val="0"/>
              <w:jc w:val="center"/>
              <w:rPr>
                <w:b/>
                <w:bCs/>
                <w:color w:val="000000"/>
                <w:sz w:val="18"/>
                <w:szCs w:val="18"/>
              </w:rPr>
            </w:pPr>
            <w:r w:rsidRPr="007D3879">
              <w:rPr>
                <w:b/>
                <w:bCs/>
                <w:color w:val="000000"/>
                <w:sz w:val="18"/>
                <w:szCs w:val="18"/>
              </w:rPr>
              <w:t xml:space="preserve">Arm B </w:t>
            </w:r>
          </w:p>
          <w:p w14:paraId="02C38C29" w14:textId="77777777" w:rsidR="00A0776F" w:rsidRPr="007D3879" w:rsidRDefault="00A0776F" w:rsidP="001A06F0">
            <w:pPr>
              <w:keepNext/>
              <w:adjustRightInd w:val="0"/>
              <w:jc w:val="center"/>
              <w:rPr>
                <w:b/>
                <w:bCs/>
                <w:color w:val="000000"/>
                <w:sz w:val="18"/>
                <w:szCs w:val="18"/>
              </w:rPr>
            </w:pPr>
            <w:r w:rsidRPr="007D3879">
              <w:rPr>
                <w:b/>
                <w:bCs/>
                <w:color w:val="000000"/>
                <w:sz w:val="18"/>
                <w:szCs w:val="18"/>
              </w:rPr>
              <w:t>(DXM)</w:t>
            </w:r>
          </w:p>
        </w:tc>
        <w:tc>
          <w:tcPr>
            <w:tcW w:w="1122" w:type="pct"/>
            <w:gridSpan w:val="2"/>
            <w:tcBorders>
              <w:top w:val="single" w:sz="4" w:space="0" w:color="auto"/>
              <w:bottom w:val="single" w:sz="4" w:space="0" w:color="auto"/>
            </w:tcBorders>
          </w:tcPr>
          <w:p w14:paraId="22E4B2F3" w14:textId="77777777" w:rsidR="00A0776F" w:rsidRPr="007D3879" w:rsidRDefault="00A0776F" w:rsidP="001A06F0">
            <w:pPr>
              <w:jc w:val="center"/>
              <w:rPr>
                <w:b/>
                <w:sz w:val="18"/>
                <w:szCs w:val="18"/>
              </w:rPr>
            </w:pPr>
            <w:r w:rsidRPr="007D3879">
              <w:rPr>
                <w:b/>
                <w:sz w:val="18"/>
                <w:szCs w:val="18"/>
              </w:rPr>
              <w:t>Parameter</w:t>
            </w:r>
          </w:p>
        </w:tc>
        <w:tc>
          <w:tcPr>
            <w:tcW w:w="658" w:type="pct"/>
            <w:gridSpan w:val="2"/>
            <w:tcBorders>
              <w:top w:val="single" w:sz="4" w:space="0" w:color="auto"/>
              <w:bottom w:val="single" w:sz="4" w:space="0" w:color="auto"/>
            </w:tcBorders>
          </w:tcPr>
          <w:p w14:paraId="3AB1D4A5" w14:textId="77777777" w:rsidR="00A0776F" w:rsidRPr="007D3879" w:rsidRDefault="00A0776F" w:rsidP="001A06F0">
            <w:pPr>
              <w:jc w:val="center"/>
              <w:rPr>
                <w:b/>
                <w:sz w:val="18"/>
                <w:szCs w:val="18"/>
              </w:rPr>
            </w:pPr>
            <w:r w:rsidRPr="007D3879">
              <w:rPr>
                <w:b/>
                <w:sz w:val="18"/>
                <w:szCs w:val="18"/>
              </w:rPr>
              <w:t>p-value</w:t>
            </w:r>
          </w:p>
        </w:tc>
      </w:tr>
      <w:tr w:rsidR="00A0776F" w:rsidRPr="007D3879" w14:paraId="16F3BBD3" w14:textId="77777777" w:rsidTr="001A06F0">
        <w:trPr>
          <w:gridAfter w:val="1"/>
          <w:wAfter w:w="14" w:type="pct"/>
          <w:trHeight w:val="54"/>
        </w:trPr>
        <w:tc>
          <w:tcPr>
            <w:tcW w:w="1058" w:type="pct"/>
            <w:vMerge w:val="restart"/>
            <w:tcBorders>
              <w:top w:val="single" w:sz="4" w:space="0" w:color="auto"/>
            </w:tcBorders>
          </w:tcPr>
          <w:p w14:paraId="14A47DE7" w14:textId="5325E766" w:rsidR="00A0776F" w:rsidRPr="007D3879" w:rsidRDefault="00A0776F" w:rsidP="001A06F0">
            <w:pPr>
              <w:rPr>
                <w:b/>
                <w:sz w:val="18"/>
                <w:szCs w:val="18"/>
              </w:rPr>
            </w:pPr>
            <w:r w:rsidRPr="007D3879">
              <w:rPr>
                <w:b/>
                <w:sz w:val="18"/>
                <w:szCs w:val="18"/>
              </w:rPr>
              <w:t>ITT</w:t>
            </w:r>
            <w:r w:rsidR="00922AD1">
              <w:rPr>
                <w:b/>
                <w:sz w:val="18"/>
                <w:szCs w:val="18"/>
              </w:rPr>
              <w:t xml:space="preserve"> – No adjustment for crossover</w:t>
            </w:r>
          </w:p>
          <w:p w14:paraId="057EC9AF" w14:textId="77777777" w:rsidR="00A0776F" w:rsidRPr="007D3879" w:rsidRDefault="00A0776F" w:rsidP="001A06F0">
            <w:pPr>
              <w:rPr>
                <w:b/>
                <w:sz w:val="18"/>
                <w:szCs w:val="18"/>
                <w:vertAlign w:val="superscript"/>
              </w:rPr>
            </w:pPr>
          </w:p>
        </w:tc>
        <w:tc>
          <w:tcPr>
            <w:tcW w:w="840" w:type="pct"/>
            <w:gridSpan w:val="2"/>
            <w:tcBorders>
              <w:top w:val="single" w:sz="4" w:space="0" w:color="auto"/>
            </w:tcBorders>
          </w:tcPr>
          <w:p w14:paraId="6C0BEBFA" w14:textId="77777777" w:rsidR="00A0776F" w:rsidRPr="007D3879" w:rsidRDefault="00A0776F" w:rsidP="001A06F0">
            <w:pPr>
              <w:rPr>
                <w:b/>
                <w:sz w:val="18"/>
                <w:szCs w:val="18"/>
              </w:rPr>
            </w:pPr>
            <w:r w:rsidRPr="007D3879">
              <w:rPr>
                <w:b/>
                <w:sz w:val="18"/>
                <w:szCs w:val="18"/>
              </w:rPr>
              <w:t>n</w:t>
            </w:r>
          </w:p>
        </w:tc>
        <w:tc>
          <w:tcPr>
            <w:tcW w:w="654" w:type="pct"/>
            <w:gridSpan w:val="2"/>
            <w:tcBorders>
              <w:top w:val="single" w:sz="4" w:space="0" w:color="auto"/>
            </w:tcBorders>
          </w:tcPr>
          <w:p w14:paraId="2068D8DF" w14:textId="77777777" w:rsidR="00A0776F" w:rsidRPr="007D3879" w:rsidRDefault="00A0776F" w:rsidP="001A06F0">
            <w:pPr>
              <w:jc w:val="center"/>
              <w:rPr>
                <w:sz w:val="18"/>
                <w:szCs w:val="18"/>
              </w:rPr>
            </w:pPr>
            <w:r w:rsidRPr="007D3879">
              <w:rPr>
                <w:sz w:val="18"/>
                <w:szCs w:val="18"/>
              </w:rPr>
              <w:t>171</w:t>
            </w:r>
          </w:p>
        </w:tc>
        <w:tc>
          <w:tcPr>
            <w:tcW w:w="654" w:type="pct"/>
            <w:gridSpan w:val="2"/>
            <w:tcBorders>
              <w:top w:val="single" w:sz="4" w:space="0" w:color="auto"/>
            </w:tcBorders>
          </w:tcPr>
          <w:p w14:paraId="7154B102" w14:textId="77777777" w:rsidR="00A0776F" w:rsidRPr="007D3879" w:rsidRDefault="00A0776F" w:rsidP="001A06F0">
            <w:pPr>
              <w:jc w:val="center"/>
              <w:rPr>
                <w:sz w:val="18"/>
                <w:szCs w:val="18"/>
              </w:rPr>
            </w:pPr>
            <w:r w:rsidRPr="007D3879">
              <w:rPr>
                <w:sz w:val="18"/>
                <w:szCs w:val="18"/>
              </w:rPr>
              <w:t>84</w:t>
            </w:r>
          </w:p>
        </w:tc>
        <w:tc>
          <w:tcPr>
            <w:tcW w:w="1122" w:type="pct"/>
            <w:gridSpan w:val="2"/>
            <w:tcBorders>
              <w:top w:val="single" w:sz="4" w:space="0" w:color="auto"/>
            </w:tcBorders>
          </w:tcPr>
          <w:p w14:paraId="59179D4D" w14:textId="77777777" w:rsidR="00A0776F" w:rsidRPr="007D3879" w:rsidRDefault="00A0776F" w:rsidP="001A06F0">
            <w:pPr>
              <w:jc w:val="center"/>
              <w:rPr>
                <w:color w:val="000000"/>
                <w:sz w:val="18"/>
                <w:szCs w:val="18"/>
              </w:rPr>
            </w:pPr>
            <w:r w:rsidRPr="007D3879">
              <w:rPr>
                <w:color w:val="000000"/>
                <w:sz w:val="18"/>
                <w:szCs w:val="18"/>
              </w:rPr>
              <w:t>.</w:t>
            </w:r>
          </w:p>
        </w:tc>
        <w:tc>
          <w:tcPr>
            <w:tcW w:w="658" w:type="pct"/>
            <w:gridSpan w:val="2"/>
            <w:tcBorders>
              <w:top w:val="single" w:sz="4" w:space="0" w:color="auto"/>
            </w:tcBorders>
          </w:tcPr>
          <w:p w14:paraId="79FA6B4F" w14:textId="77777777" w:rsidR="00A0776F" w:rsidRPr="007D3879" w:rsidRDefault="00A0776F" w:rsidP="001A06F0">
            <w:pPr>
              <w:jc w:val="center"/>
              <w:rPr>
                <w:sz w:val="18"/>
                <w:szCs w:val="18"/>
              </w:rPr>
            </w:pPr>
            <w:r w:rsidRPr="007D3879">
              <w:rPr>
                <w:sz w:val="18"/>
                <w:szCs w:val="18"/>
              </w:rPr>
              <w:t>.</w:t>
            </w:r>
          </w:p>
        </w:tc>
      </w:tr>
      <w:tr w:rsidR="00A0776F" w:rsidRPr="007D3879" w14:paraId="1EFB3C05" w14:textId="77777777" w:rsidTr="001A06F0">
        <w:trPr>
          <w:gridAfter w:val="1"/>
          <w:wAfter w:w="14" w:type="pct"/>
          <w:trHeight w:val="130"/>
        </w:trPr>
        <w:tc>
          <w:tcPr>
            <w:tcW w:w="1058" w:type="pct"/>
            <w:vMerge/>
          </w:tcPr>
          <w:p w14:paraId="1F794686" w14:textId="77777777" w:rsidR="00A0776F" w:rsidRPr="007D3879" w:rsidRDefault="00A0776F" w:rsidP="001A06F0">
            <w:pPr>
              <w:rPr>
                <w:b/>
                <w:sz w:val="18"/>
                <w:szCs w:val="18"/>
              </w:rPr>
            </w:pPr>
          </w:p>
        </w:tc>
        <w:tc>
          <w:tcPr>
            <w:tcW w:w="840" w:type="pct"/>
            <w:gridSpan w:val="2"/>
          </w:tcPr>
          <w:p w14:paraId="0A93575A" w14:textId="77777777" w:rsidR="00A0776F" w:rsidRPr="007D3879" w:rsidRDefault="00A0776F" w:rsidP="001A06F0">
            <w:pPr>
              <w:rPr>
                <w:b/>
                <w:sz w:val="18"/>
                <w:szCs w:val="18"/>
              </w:rPr>
            </w:pPr>
            <w:r w:rsidRPr="007D3879">
              <w:rPr>
                <w:b/>
                <w:sz w:val="18"/>
                <w:szCs w:val="18"/>
              </w:rPr>
              <w:t>Events</w:t>
            </w:r>
          </w:p>
        </w:tc>
        <w:tc>
          <w:tcPr>
            <w:tcW w:w="654" w:type="pct"/>
            <w:gridSpan w:val="2"/>
          </w:tcPr>
          <w:p w14:paraId="518AD4E9" w14:textId="77777777" w:rsidR="00A0776F" w:rsidRPr="007D3879" w:rsidRDefault="00A0776F" w:rsidP="001A06F0">
            <w:pPr>
              <w:jc w:val="center"/>
              <w:rPr>
                <w:sz w:val="18"/>
                <w:szCs w:val="18"/>
              </w:rPr>
            </w:pPr>
            <w:r w:rsidRPr="007D3879">
              <w:rPr>
                <w:sz w:val="18"/>
                <w:szCs w:val="18"/>
              </w:rPr>
              <w:t>123 (71.9%)</w:t>
            </w:r>
          </w:p>
        </w:tc>
        <w:tc>
          <w:tcPr>
            <w:tcW w:w="654" w:type="pct"/>
            <w:gridSpan w:val="2"/>
          </w:tcPr>
          <w:p w14:paraId="5616D7D8" w14:textId="77777777" w:rsidR="00A0776F" w:rsidRPr="007D3879" w:rsidRDefault="00A0776F" w:rsidP="001A06F0">
            <w:pPr>
              <w:jc w:val="center"/>
              <w:rPr>
                <w:sz w:val="18"/>
                <w:szCs w:val="18"/>
              </w:rPr>
            </w:pPr>
            <w:r w:rsidRPr="007D3879">
              <w:rPr>
                <w:sz w:val="18"/>
                <w:szCs w:val="18"/>
              </w:rPr>
              <w:t>72 (85.7%)</w:t>
            </w:r>
          </w:p>
        </w:tc>
        <w:tc>
          <w:tcPr>
            <w:tcW w:w="1122" w:type="pct"/>
            <w:gridSpan w:val="2"/>
            <w:vMerge w:val="restart"/>
          </w:tcPr>
          <w:p w14:paraId="45635435" w14:textId="77777777" w:rsidR="00A0776F" w:rsidRPr="007D3879" w:rsidRDefault="00A0776F" w:rsidP="001A06F0">
            <w:pPr>
              <w:jc w:val="center"/>
              <w:rPr>
                <w:sz w:val="18"/>
                <w:szCs w:val="18"/>
                <w:lang w:val="pl-PL"/>
              </w:rPr>
            </w:pPr>
            <w:r w:rsidRPr="007D3879">
              <w:rPr>
                <w:sz w:val="18"/>
                <w:szCs w:val="18"/>
                <w:lang w:val="pl-PL"/>
              </w:rPr>
              <w:t xml:space="preserve">Log-rank: 2.339 </w:t>
            </w:r>
          </w:p>
          <w:p w14:paraId="0EA24DD3" w14:textId="77777777" w:rsidR="00A0776F" w:rsidRPr="007D3879" w:rsidRDefault="00A0776F" w:rsidP="001A06F0">
            <w:pPr>
              <w:jc w:val="center"/>
              <w:rPr>
                <w:sz w:val="18"/>
                <w:szCs w:val="18"/>
                <w:lang w:val="pl-PL"/>
              </w:rPr>
            </w:pPr>
            <w:r w:rsidRPr="007D3879">
              <w:rPr>
                <w:sz w:val="18"/>
                <w:szCs w:val="18"/>
                <w:lang w:val="pl-PL"/>
              </w:rPr>
              <w:t xml:space="preserve">HR </w:t>
            </w:r>
            <w:r w:rsidRPr="007D3879">
              <w:rPr>
                <w:sz w:val="18"/>
                <w:szCs w:val="18"/>
                <w:vertAlign w:val="superscript"/>
                <w:lang w:val="pl-PL"/>
              </w:rPr>
              <w:t>a</w:t>
            </w:r>
            <w:r w:rsidRPr="007D3879">
              <w:rPr>
                <w:sz w:val="18"/>
                <w:szCs w:val="18"/>
                <w:lang w:val="pl-PL"/>
              </w:rPr>
              <w:t xml:space="preserve">: 0.797 </w:t>
            </w:r>
          </w:p>
          <w:p w14:paraId="03903F98" w14:textId="77777777" w:rsidR="00A0776F" w:rsidRPr="007D3879" w:rsidRDefault="00A0776F" w:rsidP="001A06F0">
            <w:pPr>
              <w:jc w:val="center"/>
              <w:rPr>
                <w:sz w:val="18"/>
                <w:szCs w:val="18"/>
                <w:lang w:val="pl-PL"/>
              </w:rPr>
            </w:pPr>
            <w:r w:rsidRPr="007D3879">
              <w:rPr>
                <w:sz w:val="18"/>
                <w:szCs w:val="18"/>
                <w:lang w:val="pl-PL"/>
              </w:rPr>
              <w:t>95% CI (</w:t>
            </w:r>
            <w:r w:rsidRPr="007D3879">
              <w:rPr>
                <w:rFonts w:eastAsiaTheme="minorEastAsia"/>
                <w:kern w:val="24"/>
                <w:sz w:val="18"/>
                <w:szCs w:val="18"/>
                <w:lang w:val="pl-PL"/>
              </w:rPr>
              <w:t>0.596-1.067</w:t>
            </w:r>
            <w:r w:rsidRPr="007D3879">
              <w:rPr>
                <w:sz w:val="18"/>
                <w:szCs w:val="18"/>
                <w:lang w:val="pl-PL"/>
              </w:rPr>
              <w:t>)</w:t>
            </w:r>
          </w:p>
        </w:tc>
        <w:tc>
          <w:tcPr>
            <w:tcW w:w="658" w:type="pct"/>
            <w:gridSpan w:val="2"/>
            <w:vMerge w:val="restart"/>
          </w:tcPr>
          <w:p w14:paraId="4FE45693" w14:textId="77777777" w:rsidR="00A0776F" w:rsidRPr="007D3879" w:rsidRDefault="00A0776F" w:rsidP="001A06F0">
            <w:pPr>
              <w:jc w:val="center"/>
              <w:rPr>
                <w:sz w:val="18"/>
                <w:szCs w:val="18"/>
              </w:rPr>
            </w:pPr>
            <w:r w:rsidRPr="007D3879">
              <w:rPr>
                <w:sz w:val="18"/>
                <w:szCs w:val="18"/>
              </w:rPr>
              <w:t>LR:</w:t>
            </w:r>
            <w:r w:rsidRPr="007D3879">
              <w:rPr>
                <w:rFonts w:eastAsiaTheme="minorEastAsia"/>
                <w:kern w:val="24"/>
                <w:sz w:val="18"/>
                <w:szCs w:val="18"/>
              </w:rPr>
              <w:t xml:space="preserve"> 0.1261</w:t>
            </w:r>
          </w:p>
          <w:p w14:paraId="05DA33A0" w14:textId="77777777" w:rsidR="00A0776F" w:rsidRPr="007D3879" w:rsidRDefault="00A0776F" w:rsidP="001A06F0">
            <w:pPr>
              <w:jc w:val="center"/>
              <w:rPr>
                <w:sz w:val="18"/>
                <w:szCs w:val="18"/>
              </w:rPr>
            </w:pPr>
            <w:r w:rsidRPr="007D3879">
              <w:rPr>
                <w:sz w:val="18"/>
                <w:szCs w:val="18"/>
              </w:rPr>
              <w:t xml:space="preserve">HR </w:t>
            </w:r>
            <w:r w:rsidRPr="007D3879">
              <w:rPr>
                <w:sz w:val="18"/>
                <w:szCs w:val="18"/>
                <w:vertAlign w:val="superscript"/>
              </w:rPr>
              <w:t>a</w:t>
            </w:r>
            <w:r w:rsidRPr="007D3879">
              <w:rPr>
                <w:sz w:val="18"/>
                <w:szCs w:val="18"/>
              </w:rPr>
              <w:t>:</w:t>
            </w:r>
            <w:r w:rsidRPr="007D3879">
              <w:rPr>
                <w:rFonts w:eastAsiaTheme="minorEastAsia"/>
                <w:kern w:val="24"/>
                <w:sz w:val="18"/>
                <w:szCs w:val="18"/>
              </w:rPr>
              <w:t xml:space="preserve"> 0.1273</w:t>
            </w:r>
          </w:p>
        </w:tc>
      </w:tr>
      <w:tr w:rsidR="00A0776F" w:rsidRPr="007D3879" w14:paraId="6D2BE17F" w14:textId="77777777" w:rsidTr="001A06F0">
        <w:trPr>
          <w:gridAfter w:val="1"/>
          <w:wAfter w:w="14" w:type="pct"/>
          <w:trHeight w:val="276"/>
        </w:trPr>
        <w:tc>
          <w:tcPr>
            <w:tcW w:w="1058" w:type="pct"/>
            <w:vMerge/>
          </w:tcPr>
          <w:p w14:paraId="273A5CD1" w14:textId="77777777" w:rsidR="00A0776F" w:rsidRPr="007D3879" w:rsidRDefault="00A0776F" w:rsidP="001A06F0">
            <w:pPr>
              <w:rPr>
                <w:b/>
                <w:sz w:val="18"/>
                <w:szCs w:val="18"/>
              </w:rPr>
            </w:pPr>
          </w:p>
        </w:tc>
        <w:tc>
          <w:tcPr>
            <w:tcW w:w="840" w:type="pct"/>
            <w:gridSpan w:val="2"/>
          </w:tcPr>
          <w:p w14:paraId="05077EF8" w14:textId="77777777" w:rsidR="00A0776F" w:rsidRPr="007D3879" w:rsidRDefault="00A0776F" w:rsidP="001A06F0">
            <w:pPr>
              <w:rPr>
                <w:b/>
                <w:sz w:val="18"/>
                <w:szCs w:val="18"/>
              </w:rPr>
            </w:pPr>
            <w:r w:rsidRPr="007D3879">
              <w:rPr>
                <w:b/>
                <w:sz w:val="18"/>
                <w:szCs w:val="18"/>
              </w:rPr>
              <w:t xml:space="preserve">Median </w:t>
            </w:r>
          </w:p>
          <w:p w14:paraId="0B9E96AF" w14:textId="77777777" w:rsidR="00A0776F" w:rsidRPr="007D3879" w:rsidRDefault="00A0776F" w:rsidP="001A06F0">
            <w:pPr>
              <w:rPr>
                <w:b/>
                <w:sz w:val="18"/>
                <w:szCs w:val="18"/>
              </w:rPr>
            </w:pPr>
            <w:r w:rsidRPr="007D3879">
              <w:rPr>
                <w:b/>
                <w:sz w:val="18"/>
                <w:szCs w:val="18"/>
              </w:rPr>
              <w:t>(95% CI)</w:t>
            </w:r>
          </w:p>
        </w:tc>
        <w:tc>
          <w:tcPr>
            <w:tcW w:w="654" w:type="pct"/>
            <w:gridSpan w:val="2"/>
          </w:tcPr>
          <w:p w14:paraId="5E077FF4" w14:textId="77777777" w:rsidR="00A0776F" w:rsidRPr="007D3879" w:rsidRDefault="00A0776F" w:rsidP="001A06F0">
            <w:pPr>
              <w:jc w:val="center"/>
              <w:rPr>
                <w:sz w:val="18"/>
                <w:szCs w:val="18"/>
              </w:rPr>
            </w:pPr>
            <w:r w:rsidRPr="007D3879">
              <w:rPr>
                <w:sz w:val="18"/>
                <w:szCs w:val="18"/>
              </w:rPr>
              <w:t>11.6</w:t>
            </w:r>
          </w:p>
          <w:p w14:paraId="60C49F50" w14:textId="77777777" w:rsidR="00A0776F" w:rsidRPr="007D3879" w:rsidRDefault="00A0776F" w:rsidP="001A06F0">
            <w:pPr>
              <w:jc w:val="center"/>
              <w:rPr>
                <w:sz w:val="18"/>
                <w:szCs w:val="18"/>
              </w:rPr>
            </w:pPr>
            <w:r w:rsidRPr="007D3879">
              <w:rPr>
                <w:sz w:val="18"/>
                <w:szCs w:val="18"/>
              </w:rPr>
              <w:t xml:space="preserve"> (9.2-16.1)</w:t>
            </w:r>
          </w:p>
        </w:tc>
        <w:tc>
          <w:tcPr>
            <w:tcW w:w="654" w:type="pct"/>
            <w:gridSpan w:val="2"/>
          </w:tcPr>
          <w:p w14:paraId="72209A93" w14:textId="77777777" w:rsidR="00A0776F" w:rsidRPr="007D3879" w:rsidRDefault="00A0776F" w:rsidP="001A06F0">
            <w:pPr>
              <w:jc w:val="center"/>
              <w:rPr>
                <w:sz w:val="18"/>
                <w:szCs w:val="18"/>
              </w:rPr>
            </w:pPr>
            <w:r w:rsidRPr="007D3879">
              <w:rPr>
                <w:sz w:val="18"/>
                <w:szCs w:val="18"/>
              </w:rPr>
              <w:t xml:space="preserve">8.9 </w:t>
            </w:r>
          </w:p>
          <w:p w14:paraId="67D6E36C" w14:textId="77777777" w:rsidR="00A0776F" w:rsidRPr="007D3879" w:rsidRDefault="00A0776F" w:rsidP="001A06F0">
            <w:pPr>
              <w:jc w:val="center"/>
              <w:rPr>
                <w:sz w:val="18"/>
                <w:szCs w:val="18"/>
              </w:rPr>
            </w:pPr>
            <w:r w:rsidRPr="007D3879">
              <w:rPr>
                <w:sz w:val="18"/>
                <w:szCs w:val="18"/>
              </w:rPr>
              <w:t>(6.0-15.4)</w:t>
            </w:r>
          </w:p>
        </w:tc>
        <w:tc>
          <w:tcPr>
            <w:tcW w:w="1122" w:type="pct"/>
            <w:gridSpan w:val="2"/>
            <w:vMerge/>
          </w:tcPr>
          <w:p w14:paraId="39DFA756" w14:textId="77777777" w:rsidR="00A0776F" w:rsidRPr="007D3879" w:rsidRDefault="00A0776F" w:rsidP="001A06F0">
            <w:pPr>
              <w:rPr>
                <w:color w:val="000000"/>
                <w:sz w:val="18"/>
                <w:szCs w:val="18"/>
              </w:rPr>
            </w:pPr>
          </w:p>
        </w:tc>
        <w:tc>
          <w:tcPr>
            <w:tcW w:w="658" w:type="pct"/>
            <w:gridSpan w:val="2"/>
            <w:vMerge/>
          </w:tcPr>
          <w:p w14:paraId="542366CE" w14:textId="77777777" w:rsidR="00A0776F" w:rsidRPr="007D3879" w:rsidRDefault="00A0776F" w:rsidP="001A06F0">
            <w:pPr>
              <w:rPr>
                <w:sz w:val="18"/>
                <w:szCs w:val="18"/>
              </w:rPr>
            </w:pPr>
          </w:p>
        </w:tc>
      </w:tr>
      <w:tr w:rsidR="00A0776F" w:rsidRPr="007D3879" w14:paraId="24B476FF" w14:textId="77777777" w:rsidTr="001A06F0">
        <w:trPr>
          <w:gridAfter w:val="1"/>
          <w:wAfter w:w="14" w:type="pct"/>
          <w:trHeight w:val="212"/>
        </w:trPr>
        <w:tc>
          <w:tcPr>
            <w:tcW w:w="1058" w:type="pct"/>
            <w:vMerge/>
          </w:tcPr>
          <w:p w14:paraId="4776BE39" w14:textId="77777777" w:rsidR="00A0776F" w:rsidRPr="007D3879" w:rsidRDefault="00A0776F" w:rsidP="001A06F0">
            <w:pPr>
              <w:rPr>
                <w:b/>
                <w:sz w:val="18"/>
                <w:szCs w:val="18"/>
              </w:rPr>
            </w:pPr>
          </w:p>
        </w:tc>
        <w:tc>
          <w:tcPr>
            <w:tcW w:w="840" w:type="pct"/>
            <w:gridSpan w:val="2"/>
          </w:tcPr>
          <w:p w14:paraId="316C5891" w14:textId="77777777" w:rsidR="00A0776F" w:rsidRPr="007D3879" w:rsidRDefault="00A0776F" w:rsidP="001A06F0">
            <w:pPr>
              <w:rPr>
                <w:b/>
                <w:sz w:val="18"/>
                <w:szCs w:val="18"/>
              </w:rPr>
            </w:pPr>
            <w:r w:rsidRPr="007D3879">
              <w:rPr>
                <w:b/>
                <w:sz w:val="18"/>
                <w:szCs w:val="18"/>
              </w:rPr>
              <w:t>OS at 12 months</w:t>
            </w:r>
          </w:p>
          <w:p w14:paraId="248E6D92" w14:textId="77777777" w:rsidR="00A0776F" w:rsidRPr="007D3879" w:rsidRDefault="00A0776F" w:rsidP="001A06F0">
            <w:pPr>
              <w:rPr>
                <w:b/>
                <w:sz w:val="18"/>
                <w:szCs w:val="18"/>
              </w:rPr>
            </w:pPr>
            <w:r w:rsidRPr="007D3879">
              <w:rPr>
                <w:b/>
                <w:sz w:val="18"/>
                <w:szCs w:val="18"/>
              </w:rPr>
              <w:t>(95% CI)</w:t>
            </w:r>
          </w:p>
        </w:tc>
        <w:tc>
          <w:tcPr>
            <w:tcW w:w="654" w:type="pct"/>
            <w:gridSpan w:val="2"/>
          </w:tcPr>
          <w:p w14:paraId="070E4B0A" w14:textId="77777777" w:rsidR="00A0776F" w:rsidRPr="007D3879" w:rsidRDefault="00A0776F" w:rsidP="001A06F0">
            <w:pPr>
              <w:jc w:val="center"/>
              <w:rPr>
                <w:sz w:val="18"/>
                <w:szCs w:val="18"/>
              </w:rPr>
            </w:pPr>
            <w:r w:rsidRPr="007D3879">
              <w:rPr>
                <w:sz w:val="18"/>
                <w:szCs w:val="18"/>
              </w:rPr>
              <w:t xml:space="preserve">48.3% </w:t>
            </w:r>
          </w:p>
          <w:p w14:paraId="4A617FAC" w14:textId="77777777" w:rsidR="00A0776F" w:rsidRPr="007D3879" w:rsidRDefault="00A0776F" w:rsidP="001A06F0">
            <w:pPr>
              <w:jc w:val="center"/>
              <w:rPr>
                <w:sz w:val="18"/>
                <w:szCs w:val="18"/>
              </w:rPr>
            </w:pPr>
            <w:r w:rsidRPr="007D3879">
              <w:rPr>
                <w:sz w:val="18"/>
                <w:szCs w:val="18"/>
              </w:rPr>
              <w:t>(40.4-56.2%)</w:t>
            </w:r>
          </w:p>
        </w:tc>
        <w:tc>
          <w:tcPr>
            <w:tcW w:w="654" w:type="pct"/>
            <w:gridSpan w:val="2"/>
          </w:tcPr>
          <w:p w14:paraId="196BB670" w14:textId="77777777" w:rsidR="00A0776F" w:rsidRPr="007D3879" w:rsidRDefault="00A0776F" w:rsidP="001A06F0">
            <w:pPr>
              <w:jc w:val="center"/>
              <w:rPr>
                <w:sz w:val="18"/>
                <w:szCs w:val="18"/>
              </w:rPr>
            </w:pPr>
            <w:r w:rsidRPr="007D3879">
              <w:rPr>
                <w:sz w:val="18"/>
                <w:szCs w:val="18"/>
              </w:rPr>
              <w:t>42.1%</w:t>
            </w:r>
          </w:p>
          <w:p w14:paraId="5442AF11" w14:textId="77777777" w:rsidR="00A0776F" w:rsidRPr="007D3879" w:rsidRDefault="00A0776F" w:rsidP="001A06F0">
            <w:pPr>
              <w:jc w:val="center"/>
              <w:rPr>
                <w:sz w:val="18"/>
                <w:szCs w:val="18"/>
              </w:rPr>
            </w:pPr>
            <w:r w:rsidRPr="007D3879">
              <w:rPr>
                <w:sz w:val="18"/>
                <w:szCs w:val="18"/>
              </w:rPr>
              <w:t xml:space="preserve"> (31.3-52.9%)</w:t>
            </w:r>
          </w:p>
        </w:tc>
        <w:tc>
          <w:tcPr>
            <w:tcW w:w="1122" w:type="pct"/>
            <w:gridSpan w:val="2"/>
          </w:tcPr>
          <w:p w14:paraId="1D430ADA" w14:textId="77777777" w:rsidR="00A0776F" w:rsidRPr="007D3879" w:rsidRDefault="00A0776F" w:rsidP="001A06F0">
            <w:pPr>
              <w:jc w:val="center"/>
              <w:rPr>
                <w:color w:val="000000"/>
                <w:sz w:val="18"/>
                <w:szCs w:val="18"/>
              </w:rPr>
            </w:pPr>
            <w:r w:rsidRPr="007D3879">
              <w:rPr>
                <w:sz w:val="18"/>
                <w:szCs w:val="18"/>
              </w:rPr>
              <w:t>Diff: 6.2%</w:t>
            </w:r>
          </w:p>
        </w:tc>
        <w:tc>
          <w:tcPr>
            <w:tcW w:w="658" w:type="pct"/>
            <w:gridSpan w:val="2"/>
          </w:tcPr>
          <w:p w14:paraId="30040159" w14:textId="77777777" w:rsidR="00A0776F" w:rsidRPr="007D3879" w:rsidRDefault="00A0776F" w:rsidP="001A06F0">
            <w:pPr>
              <w:jc w:val="center"/>
              <w:rPr>
                <w:sz w:val="18"/>
                <w:szCs w:val="18"/>
              </w:rPr>
            </w:pPr>
            <w:r w:rsidRPr="007D3879">
              <w:rPr>
                <w:sz w:val="18"/>
                <w:szCs w:val="18"/>
              </w:rPr>
              <w:t>0.3625</w:t>
            </w:r>
          </w:p>
        </w:tc>
      </w:tr>
      <w:tr w:rsidR="00A0776F" w:rsidRPr="007D3879" w14:paraId="4CB79AC0" w14:textId="77777777" w:rsidTr="001A06F0">
        <w:trPr>
          <w:gridAfter w:val="1"/>
          <w:wAfter w:w="14" w:type="pct"/>
          <w:trHeight w:val="218"/>
        </w:trPr>
        <w:tc>
          <w:tcPr>
            <w:tcW w:w="1058" w:type="pct"/>
            <w:vMerge/>
            <w:tcBorders>
              <w:bottom w:val="single" w:sz="4" w:space="0" w:color="auto"/>
            </w:tcBorders>
          </w:tcPr>
          <w:p w14:paraId="3A45C8F0" w14:textId="77777777" w:rsidR="00A0776F" w:rsidRPr="007D3879" w:rsidRDefault="00A0776F" w:rsidP="001A06F0">
            <w:pPr>
              <w:rPr>
                <w:b/>
                <w:sz w:val="18"/>
                <w:szCs w:val="18"/>
              </w:rPr>
            </w:pPr>
          </w:p>
        </w:tc>
        <w:tc>
          <w:tcPr>
            <w:tcW w:w="840" w:type="pct"/>
            <w:gridSpan w:val="2"/>
            <w:tcBorders>
              <w:bottom w:val="single" w:sz="4" w:space="0" w:color="auto"/>
            </w:tcBorders>
          </w:tcPr>
          <w:p w14:paraId="223A70C9" w14:textId="77777777" w:rsidR="00A0776F" w:rsidRPr="007D3879" w:rsidRDefault="00A0776F" w:rsidP="001A06F0">
            <w:pPr>
              <w:rPr>
                <w:b/>
                <w:sz w:val="18"/>
                <w:szCs w:val="18"/>
              </w:rPr>
            </w:pPr>
            <w:r w:rsidRPr="007D3879">
              <w:rPr>
                <w:b/>
                <w:sz w:val="18"/>
                <w:szCs w:val="18"/>
              </w:rPr>
              <w:t>OS at 24 months</w:t>
            </w:r>
          </w:p>
          <w:p w14:paraId="3705A171" w14:textId="77777777" w:rsidR="00A0776F" w:rsidRPr="007D3879" w:rsidRDefault="00A0776F" w:rsidP="001A06F0">
            <w:pPr>
              <w:rPr>
                <w:b/>
                <w:sz w:val="18"/>
                <w:szCs w:val="18"/>
              </w:rPr>
            </w:pPr>
            <w:r w:rsidRPr="007D3879">
              <w:rPr>
                <w:b/>
                <w:sz w:val="18"/>
                <w:szCs w:val="18"/>
              </w:rPr>
              <w:t>(95% CI)</w:t>
            </w:r>
          </w:p>
        </w:tc>
        <w:tc>
          <w:tcPr>
            <w:tcW w:w="654" w:type="pct"/>
            <w:gridSpan w:val="2"/>
            <w:tcBorders>
              <w:bottom w:val="single" w:sz="4" w:space="0" w:color="auto"/>
            </w:tcBorders>
          </w:tcPr>
          <w:p w14:paraId="6E0F3E65" w14:textId="77777777" w:rsidR="00A0776F" w:rsidRPr="007D3879" w:rsidRDefault="00A0776F" w:rsidP="001A06F0">
            <w:pPr>
              <w:jc w:val="center"/>
              <w:rPr>
                <w:sz w:val="18"/>
                <w:szCs w:val="18"/>
              </w:rPr>
            </w:pPr>
            <w:r w:rsidRPr="007D3879">
              <w:rPr>
                <w:sz w:val="18"/>
                <w:szCs w:val="18"/>
              </w:rPr>
              <w:t>30.8%</w:t>
            </w:r>
          </w:p>
          <w:p w14:paraId="59D99A6E" w14:textId="77777777" w:rsidR="00A0776F" w:rsidRPr="007D3879" w:rsidRDefault="00A0776F" w:rsidP="001A06F0">
            <w:pPr>
              <w:jc w:val="center"/>
              <w:rPr>
                <w:sz w:val="18"/>
                <w:szCs w:val="18"/>
              </w:rPr>
            </w:pPr>
            <w:r w:rsidRPr="007D3879">
              <w:rPr>
                <w:sz w:val="18"/>
                <w:szCs w:val="18"/>
              </w:rPr>
              <w:t xml:space="preserve"> (23.3-38.3%)</w:t>
            </w:r>
          </w:p>
        </w:tc>
        <w:tc>
          <w:tcPr>
            <w:tcW w:w="654" w:type="pct"/>
            <w:gridSpan w:val="2"/>
            <w:tcBorders>
              <w:bottom w:val="single" w:sz="4" w:space="0" w:color="auto"/>
            </w:tcBorders>
          </w:tcPr>
          <w:p w14:paraId="0C0663FA" w14:textId="77777777" w:rsidR="00A0776F" w:rsidRPr="007D3879" w:rsidRDefault="00A0776F" w:rsidP="001A06F0">
            <w:pPr>
              <w:jc w:val="center"/>
              <w:rPr>
                <w:sz w:val="18"/>
                <w:szCs w:val="18"/>
              </w:rPr>
            </w:pPr>
            <w:r w:rsidRPr="007D3879">
              <w:rPr>
                <w:sz w:val="18"/>
                <w:szCs w:val="18"/>
              </w:rPr>
              <w:t>21.0%</w:t>
            </w:r>
          </w:p>
          <w:p w14:paraId="6C362484" w14:textId="77777777" w:rsidR="00A0776F" w:rsidRPr="007D3879" w:rsidRDefault="00A0776F" w:rsidP="001A06F0">
            <w:pPr>
              <w:jc w:val="center"/>
              <w:rPr>
                <w:sz w:val="18"/>
                <w:szCs w:val="18"/>
              </w:rPr>
            </w:pPr>
            <w:r w:rsidRPr="007D3879">
              <w:rPr>
                <w:sz w:val="18"/>
                <w:szCs w:val="18"/>
              </w:rPr>
              <w:t xml:space="preserve"> (12.0-30.1%)</w:t>
            </w:r>
          </w:p>
        </w:tc>
        <w:tc>
          <w:tcPr>
            <w:tcW w:w="1122" w:type="pct"/>
            <w:gridSpan w:val="2"/>
            <w:tcBorders>
              <w:bottom w:val="single" w:sz="4" w:space="0" w:color="auto"/>
            </w:tcBorders>
          </w:tcPr>
          <w:p w14:paraId="7423CCB8" w14:textId="77777777" w:rsidR="00A0776F" w:rsidRPr="007D3879" w:rsidRDefault="00A0776F" w:rsidP="001A06F0">
            <w:pPr>
              <w:jc w:val="center"/>
              <w:rPr>
                <w:color w:val="000000"/>
                <w:sz w:val="18"/>
                <w:szCs w:val="18"/>
              </w:rPr>
            </w:pPr>
            <w:r w:rsidRPr="007D3879">
              <w:rPr>
                <w:sz w:val="18"/>
                <w:szCs w:val="18"/>
              </w:rPr>
              <w:t>Diff: 9.8%</w:t>
            </w:r>
          </w:p>
        </w:tc>
        <w:tc>
          <w:tcPr>
            <w:tcW w:w="658" w:type="pct"/>
            <w:gridSpan w:val="2"/>
            <w:tcBorders>
              <w:bottom w:val="single" w:sz="4" w:space="0" w:color="auto"/>
            </w:tcBorders>
          </w:tcPr>
          <w:p w14:paraId="1C7196EC" w14:textId="77777777" w:rsidR="00A0776F" w:rsidRPr="007D3879" w:rsidRDefault="00A0776F" w:rsidP="001A06F0">
            <w:pPr>
              <w:jc w:val="center"/>
              <w:rPr>
                <w:sz w:val="18"/>
                <w:szCs w:val="18"/>
              </w:rPr>
            </w:pPr>
            <w:r w:rsidRPr="007D3879">
              <w:rPr>
                <w:sz w:val="18"/>
                <w:szCs w:val="18"/>
              </w:rPr>
              <w:t>0.1037</w:t>
            </w:r>
          </w:p>
        </w:tc>
      </w:tr>
      <w:tr w:rsidR="00A0776F" w:rsidRPr="007D3879" w14:paraId="09F9A241" w14:textId="77777777" w:rsidTr="001A06F0">
        <w:trPr>
          <w:gridAfter w:val="1"/>
          <w:wAfter w:w="14" w:type="pct"/>
          <w:trHeight w:val="241"/>
        </w:trPr>
        <w:tc>
          <w:tcPr>
            <w:tcW w:w="1058" w:type="pct"/>
            <w:vMerge w:val="restart"/>
            <w:tcBorders>
              <w:top w:val="single" w:sz="4" w:space="0" w:color="auto"/>
            </w:tcBorders>
          </w:tcPr>
          <w:p w14:paraId="3AB88860" w14:textId="77777777" w:rsidR="00A0776F" w:rsidRPr="007D3879" w:rsidRDefault="00A0776F" w:rsidP="001A06F0">
            <w:pPr>
              <w:rPr>
                <w:b/>
                <w:sz w:val="18"/>
                <w:szCs w:val="18"/>
              </w:rPr>
            </w:pPr>
            <w:r w:rsidRPr="007D3879">
              <w:rPr>
                <w:b/>
                <w:sz w:val="18"/>
                <w:szCs w:val="18"/>
              </w:rPr>
              <w:t>After crossover adjustment</w:t>
            </w:r>
            <w:r w:rsidRPr="007D3879">
              <w:rPr>
                <w:b/>
                <w:sz w:val="18"/>
                <w:szCs w:val="18"/>
              </w:rPr>
              <w:br/>
              <w:t>(two-stage method)</w:t>
            </w:r>
          </w:p>
          <w:p w14:paraId="54548F6F" w14:textId="77777777" w:rsidR="00A0776F" w:rsidRPr="007D3879" w:rsidRDefault="00A0776F" w:rsidP="001A06F0">
            <w:pPr>
              <w:rPr>
                <w:b/>
                <w:sz w:val="18"/>
                <w:szCs w:val="18"/>
                <w:vertAlign w:val="superscript"/>
              </w:rPr>
            </w:pPr>
          </w:p>
        </w:tc>
        <w:tc>
          <w:tcPr>
            <w:tcW w:w="840" w:type="pct"/>
            <w:gridSpan w:val="2"/>
            <w:tcBorders>
              <w:top w:val="single" w:sz="4" w:space="0" w:color="auto"/>
            </w:tcBorders>
          </w:tcPr>
          <w:p w14:paraId="4B0F76E1" w14:textId="77777777" w:rsidR="00A0776F" w:rsidRPr="007D3879" w:rsidRDefault="00A0776F" w:rsidP="001A06F0">
            <w:pPr>
              <w:rPr>
                <w:b/>
                <w:sz w:val="18"/>
                <w:szCs w:val="18"/>
              </w:rPr>
            </w:pPr>
            <w:r w:rsidRPr="007D3879">
              <w:rPr>
                <w:b/>
                <w:sz w:val="18"/>
                <w:szCs w:val="18"/>
              </w:rPr>
              <w:t>n</w:t>
            </w:r>
          </w:p>
        </w:tc>
        <w:tc>
          <w:tcPr>
            <w:tcW w:w="654" w:type="pct"/>
            <w:gridSpan w:val="2"/>
            <w:tcBorders>
              <w:top w:val="single" w:sz="4" w:space="0" w:color="auto"/>
            </w:tcBorders>
          </w:tcPr>
          <w:p w14:paraId="2B50829C" w14:textId="77777777" w:rsidR="00A0776F" w:rsidRPr="007D3879" w:rsidRDefault="00A0776F" w:rsidP="001A06F0">
            <w:pPr>
              <w:jc w:val="center"/>
              <w:rPr>
                <w:sz w:val="18"/>
                <w:szCs w:val="18"/>
              </w:rPr>
            </w:pPr>
            <w:r w:rsidRPr="007D3879">
              <w:rPr>
                <w:sz w:val="18"/>
                <w:szCs w:val="18"/>
              </w:rPr>
              <w:t>171</w:t>
            </w:r>
          </w:p>
        </w:tc>
        <w:tc>
          <w:tcPr>
            <w:tcW w:w="654" w:type="pct"/>
            <w:gridSpan w:val="2"/>
            <w:tcBorders>
              <w:top w:val="single" w:sz="4" w:space="0" w:color="auto"/>
            </w:tcBorders>
          </w:tcPr>
          <w:p w14:paraId="4AAF7197" w14:textId="77777777" w:rsidR="00A0776F" w:rsidRPr="007D3879" w:rsidRDefault="00A0776F" w:rsidP="001A06F0">
            <w:pPr>
              <w:jc w:val="center"/>
              <w:rPr>
                <w:sz w:val="18"/>
                <w:szCs w:val="18"/>
              </w:rPr>
            </w:pPr>
            <w:r w:rsidRPr="007D3879">
              <w:rPr>
                <w:sz w:val="18"/>
                <w:szCs w:val="18"/>
              </w:rPr>
              <w:t>84</w:t>
            </w:r>
          </w:p>
        </w:tc>
        <w:tc>
          <w:tcPr>
            <w:tcW w:w="1122" w:type="pct"/>
            <w:gridSpan w:val="2"/>
            <w:tcBorders>
              <w:top w:val="single" w:sz="4" w:space="0" w:color="auto"/>
            </w:tcBorders>
          </w:tcPr>
          <w:p w14:paraId="47A57C4E" w14:textId="77777777" w:rsidR="00A0776F" w:rsidRPr="007D3879" w:rsidRDefault="00A0776F" w:rsidP="001A06F0">
            <w:pPr>
              <w:jc w:val="center"/>
              <w:rPr>
                <w:color w:val="000000"/>
                <w:sz w:val="18"/>
                <w:szCs w:val="18"/>
              </w:rPr>
            </w:pPr>
          </w:p>
        </w:tc>
        <w:tc>
          <w:tcPr>
            <w:tcW w:w="658" w:type="pct"/>
            <w:gridSpan w:val="2"/>
            <w:tcBorders>
              <w:top w:val="single" w:sz="4" w:space="0" w:color="auto"/>
            </w:tcBorders>
          </w:tcPr>
          <w:p w14:paraId="329E9CFF" w14:textId="77777777" w:rsidR="00A0776F" w:rsidRPr="007D3879" w:rsidRDefault="00A0776F" w:rsidP="001A06F0">
            <w:pPr>
              <w:jc w:val="center"/>
              <w:rPr>
                <w:sz w:val="18"/>
                <w:szCs w:val="18"/>
              </w:rPr>
            </w:pPr>
          </w:p>
        </w:tc>
      </w:tr>
      <w:tr w:rsidR="00A0776F" w:rsidRPr="007D3879" w14:paraId="64C28A81" w14:textId="77777777" w:rsidTr="001A06F0">
        <w:trPr>
          <w:gridAfter w:val="1"/>
          <w:wAfter w:w="14" w:type="pct"/>
          <w:trHeight w:val="150"/>
        </w:trPr>
        <w:tc>
          <w:tcPr>
            <w:tcW w:w="1058" w:type="pct"/>
            <w:vMerge/>
          </w:tcPr>
          <w:p w14:paraId="48D25342" w14:textId="77777777" w:rsidR="00A0776F" w:rsidRPr="007D3879" w:rsidRDefault="00A0776F" w:rsidP="001A06F0">
            <w:pPr>
              <w:rPr>
                <w:b/>
                <w:sz w:val="18"/>
                <w:szCs w:val="18"/>
              </w:rPr>
            </w:pPr>
          </w:p>
        </w:tc>
        <w:tc>
          <w:tcPr>
            <w:tcW w:w="840" w:type="pct"/>
            <w:gridSpan w:val="2"/>
          </w:tcPr>
          <w:p w14:paraId="47D0D4EE" w14:textId="77777777" w:rsidR="00A0776F" w:rsidRPr="007D3879" w:rsidRDefault="00A0776F" w:rsidP="001A06F0">
            <w:pPr>
              <w:rPr>
                <w:b/>
                <w:sz w:val="18"/>
                <w:szCs w:val="18"/>
              </w:rPr>
            </w:pPr>
            <w:r w:rsidRPr="007D3879">
              <w:rPr>
                <w:b/>
                <w:sz w:val="18"/>
                <w:szCs w:val="18"/>
              </w:rPr>
              <w:t>Events</w:t>
            </w:r>
          </w:p>
        </w:tc>
        <w:tc>
          <w:tcPr>
            <w:tcW w:w="654" w:type="pct"/>
            <w:gridSpan w:val="2"/>
          </w:tcPr>
          <w:p w14:paraId="31859304" w14:textId="77777777" w:rsidR="00A0776F" w:rsidRPr="007D3879" w:rsidRDefault="00A0776F" w:rsidP="001A06F0">
            <w:pPr>
              <w:jc w:val="center"/>
              <w:rPr>
                <w:sz w:val="18"/>
                <w:szCs w:val="18"/>
              </w:rPr>
            </w:pPr>
            <w:r w:rsidRPr="007D3879">
              <w:rPr>
                <w:sz w:val="18"/>
                <w:szCs w:val="18"/>
              </w:rPr>
              <w:t>123 (71.9%)</w:t>
            </w:r>
          </w:p>
        </w:tc>
        <w:tc>
          <w:tcPr>
            <w:tcW w:w="654" w:type="pct"/>
            <w:gridSpan w:val="2"/>
          </w:tcPr>
          <w:p w14:paraId="6C65D126" w14:textId="77777777" w:rsidR="00A0776F" w:rsidRPr="007D3879" w:rsidRDefault="00A0776F" w:rsidP="001A06F0">
            <w:pPr>
              <w:jc w:val="center"/>
              <w:rPr>
                <w:sz w:val="18"/>
                <w:szCs w:val="18"/>
              </w:rPr>
            </w:pPr>
            <w:r w:rsidRPr="007D3879">
              <w:rPr>
                <w:sz w:val="18"/>
                <w:szCs w:val="18"/>
              </w:rPr>
              <w:t>72 (85.7%)</w:t>
            </w:r>
          </w:p>
        </w:tc>
        <w:tc>
          <w:tcPr>
            <w:tcW w:w="1122" w:type="pct"/>
            <w:gridSpan w:val="2"/>
            <w:vMerge w:val="restart"/>
          </w:tcPr>
          <w:p w14:paraId="191590B3" w14:textId="77777777" w:rsidR="00A0776F" w:rsidRPr="007D3879" w:rsidRDefault="00A0776F" w:rsidP="001A06F0">
            <w:pPr>
              <w:jc w:val="center"/>
              <w:rPr>
                <w:sz w:val="18"/>
                <w:szCs w:val="18"/>
                <w:lang w:val="pl-PL"/>
              </w:rPr>
            </w:pPr>
            <w:r w:rsidRPr="007D3879">
              <w:rPr>
                <w:sz w:val="18"/>
                <w:szCs w:val="18"/>
                <w:lang w:val="pl-PL"/>
              </w:rPr>
              <w:t xml:space="preserve">Log-rank: 7.402 </w:t>
            </w:r>
          </w:p>
          <w:p w14:paraId="6B5CDA19" w14:textId="77777777" w:rsidR="00A0776F" w:rsidRPr="007D3879" w:rsidRDefault="00A0776F" w:rsidP="001A06F0">
            <w:pPr>
              <w:jc w:val="center"/>
              <w:rPr>
                <w:sz w:val="18"/>
                <w:szCs w:val="18"/>
                <w:lang w:val="pl-PL"/>
              </w:rPr>
            </w:pPr>
            <w:r w:rsidRPr="007D3879">
              <w:rPr>
                <w:sz w:val="18"/>
                <w:szCs w:val="18"/>
                <w:lang w:val="pl-PL"/>
              </w:rPr>
              <w:t xml:space="preserve">HR </w:t>
            </w:r>
            <w:r w:rsidRPr="007D3879">
              <w:rPr>
                <w:sz w:val="18"/>
                <w:szCs w:val="18"/>
                <w:vertAlign w:val="superscript"/>
                <w:lang w:val="pl-PL"/>
              </w:rPr>
              <w:t>a</w:t>
            </w:r>
            <w:r w:rsidRPr="007D3879">
              <w:rPr>
                <w:sz w:val="18"/>
                <w:szCs w:val="18"/>
                <w:lang w:val="pl-PL"/>
              </w:rPr>
              <w:t xml:space="preserve">: 0.667 </w:t>
            </w:r>
          </w:p>
          <w:p w14:paraId="6427DE53" w14:textId="77777777" w:rsidR="00A0776F" w:rsidRPr="007D3879" w:rsidRDefault="00A0776F" w:rsidP="001A06F0">
            <w:pPr>
              <w:jc w:val="center"/>
              <w:rPr>
                <w:sz w:val="18"/>
                <w:szCs w:val="18"/>
                <w:lang w:val="pl-PL"/>
              </w:rPr>
            </w:pPr>
            <w:r w:rsidRPr="007D3879">
              <w:rPr>
                <w:sz w:val="18"/>
                <w:szCs w:val="18"/>
                <w:lang w:val="pl-PL"/>
              </w:rPr>
              <w:t>95% CI (0.497-0.895)</w:t>
            </w:r>
          </w:p>
        </w:tc>
        <w:tc>
          <w:tcPr>
            <w:tcW w:w="658" w:type="pct"/>
            <w:gridSpan w:val="2"/>
            <w:vMerge w:val="restart"/>
          </w:tcPr>
          <w:p w14:paraId="6889100F" w14:textId="77777777" w:rsidR="00A0776F" w:rsidRPr="007D3879" w:rsidRDefault="00A0776F" w:rsidP="001A06F0">
            <w:pPr>
              <w:jc w:val="center"/>
              <w:rPr>
                <w:rFonts w:eastAsiaTheme="minorEastAsia"/>
                <w:kern w:val="24"/>
                <w:sz w:val="18"/>
                <w:szCs w:val="18"/>
              </w:rPr>
            </w:pPr>
            <w:r w:rsidRPr="007D3879">
              <w:rPr>
                <w:rFonts w:eastAsiaTheme="minorEastAsia"/>
                <w:kern w:val="24"/>
                <w:sz w:val="18"/>
                <w:szCs w:val="18"/>
              </w:rPr>
              <w:t xml:space="preserve">LR: 0.0065 </w:t>
            </w:r>
          </w:p>
          <w:p w14:paraId="6D39FD97" w14:textId="77777777" w:rsidR="00A0776F" w:rsidRPr="007D3879" w:rsidRDefault="00A0776F" w:rsidP="001A06F0">
            <w:pPr>
              <w:jc w:val="center"/>
              <w:rPr>
                <w:sz w:val="18"/>
                <w:szCs w:val="18"/>
              </w:rPr>
            </w:pPr>
            <w:r w:rsidRPr="007D3879">
              <w:rPr>
                <w:rFonts w:eastAsiaTheme="minorEastAsia"/>
                <w:kern w:val="24"/>
                <w:sz w:val="18"/>
                <w:szCs w:val="18"/>
              </w:rPr>
              <w:t xml:space="preserve">HR </w:t>
            </w:r>
            <w:r w:rsidRPr="007D3879">
              <w:rPr>
                <w:rFonts w:eastAsiaTheme="minorEastAsia"/>
                <w:kern w:val="24"/>
                <w:sz w:val="18"/>
                <w:szCs w:val="18"/>
                <w:vertAlign w:val="superscript"/>
              </w:rPr>
              <w:t>a</w:t>
            </w:r>
            <w:r w:rsidRPr="007D3879">
              <w:rPr>
                <w:rFonts w:eastAsiaTheme="minorEastAsia"/>
                <w:kern w:val="24"/>
                <w:sz w:val="18"/>
                <w:szCs w:val="18"/>
              </w:rPr>
              <w:t>: 0.0069</w:t>
            </w:r>
          </w:p>
        </w:tc>
      </w:tr>
      <w:tr w:rsidR="00A0776F" w:rsidRPr="007D3879" w14:paraId="1586CAA9" w14:textId="77777777" w:rsidTr="001A06F0">
        <w:trPr>
          <w:gridAfter w:val="1"/>
          <w:wAfter w:w="14" w:type="pct"/>
          <w:trHeight w:val="385"/>
        </w:trPr>
        <w:tc>
          <w:tcPr>
            <w:tcW w:w="1058" w:type="pct"/>
            <w:vMerge/>
          </w:tcPr>
          <w:p w14:paraId="1648726C" w14:textId="77777777" w:rsidR="00A0776F" w:rsidRPr="007D3879" w:rsidRDefault="00A0776F" w:rsidP="001A06F0">
            <w:pPr>
              <w:rPr>
                <w:b/>
                <w:sz w:val="18"/>
                <w:szCs w:val="18"/>
              </w:rPr>
            </w:pPr>
          </w:p>
        </w:tc>
        <w:tc>
          <w:tcPr>
            <w:tcW w:w="840" w:type="pct"/>
            <w:gridSpan w:val="2"/>
          </w:tcPr>
          <w:p w14:paraId="745A60DD" w14:textId="77777777" w:rsidR="00A0776F" w:rsidRPr="007D3879" w:rsidRDefault="00A0776F" w:rsidP="001A06F0">
            <w:pPr>
              <w:rPr>
                <w:b/>
                <w:sz w:val="18"/>
                <w:szCs w:val="18"/>
              </w:rPr>
            </w:pPr>
            <w:r w:rsidRPr="007D3879">
              <w:rPr>
                <w:b/>
                <w:sz w:val="18"/>
                <w:szCs w:val="18"/>
              </w:rPr>
              <w:t xml:space="preserve">Median </w:t>
            </w:r>
          </w:p>
          <w:p w14:paraId="4A42F100" w14:textId="77777777" w:rsidR="00A0776F" w:rsidRPr="007D3879" w:rsidRDefault="00A0776F" w:rsidP="001A06F0">
            <w:pPr>
              <w:rPr>
                <w:b/>
                <w:sz w:val="18"/>
                <w:szCs w:val="18"/>
              </w:rPr>
            </w:pPr>
            <w:r w:rsidRPr="007D3879">
              <w:rPr>
                <w:b/>
                <w:sz w:val="18"/>
                <w:szCs w:val="18"/>
              </w:rPr>
              <w:t>(95% CI)</w:t>
            </w:r>
          </w:p>
        </w:tc>
        <w:tc>
          <w:tcPr>
            <w:tcW w:w="654" w:type="pct"/>
            <w:gridSpan w:val="2"/>
          </w:tcPr>
          <w:p w14:paraId="05246A71" w14:textId="77777777" w:rsidR="00A0776F" w:rsidRPr="007D3879" w:rsidRDefault="00A0776F" w:rsidP="001A06F0">
            <w:pPr>
              <w:jc w:val="center"/>
              <w:rPr>
                <w:sz w:val="18"/>
                <w:szCs w:val="18"/>
              </w:rPr>
            </w:pPr>
            <w:r w:rsidRPr="007D3879">
              <w:rPr>
                <w:sz w:val="18"/>
                <w:szCs w:val="18"/>
              </w:rPr>
              <w:t>11.6</w:t>
            </w:r>
          </w:p>
          <w:p w14:paraId="61141191" w14:textId="77777777" w:rsidR="00A0776F" w:rsidRPr="007D3879" w:rsidRDefault="00A0776F" w:rsidP="001A06F0">
            <w:pPr>
              <w:jc w:val="center"/>
              <w:rPr>
                <w:sz w:val="18"/>
                <w:szCs w:val="18"/>
              </w:rPr>
            </w:pPr>
            <w:r w:rsidRPr="007D3879">
              <w:rPr>
                <w:sz w:val="18"/>
                <w:szCs w:val="18"/>
              </w:rPr>
              <w:t xml:space="preserve"> (9.2-16.1)</w:t>
            </w:r>
          </w:p>
        </w:tc>
        <w:tc>
          <w:tcPr>
            <w:tcW w:w="654" w:type="pct"/>
            <w:gridSpan w:val="2"/>
          </w:tcPr>
          <w:p w14:paraId="59F2E16F" w14:textId="77777777" w:rsidR="00A0776F" w:rsidRPr="007D3879" w:rsidRDefault="00A0776F" w:rsidP="001A06F0">
            <w:pPr>
              <w:jc w:val="center"/>
              <w:rPr>
                <w:sz w:val="18"/>
                <w:szCs w:val="18"/>
              </w:rPr>
            </w:pPr>
            <w:r w:rsidRPr="007D3879">
              <w:rPr>
                <w:sz w:val="18"/>
                <w:szCs w:val="18"/>
              </w:rPr>
              <w:t xml:space="preserve">6.7 </w:t>
            </w:r>
          </w:p>
          <w:p w14:paraId="55BF3F88" w14:textId="77777777" w:rsidR="00A0776F" w:rsidRPr="007D3879" w:rsidRDefault="00A0776F" w:rsidP="001A06F0">
            <w:pPr>
              <w:jc w:val="center"/>
              <w:rPr>
                <w:sz w:val="18"/>
                <w:szCs w:val="18"/>
              </w:rPr>
            </w:pPr>
            <w:r w:rsidRPr="007D3879">
              <w:rPr>
                <w:sz w:val="18"/>
                <w:szCs w:val="18"/>
              </w:rPr>
              <w:t>(5.7-9.7)</w:t>
            </w:r>
          </w:p>
        </w:tc>
        <w:tc>
          <w:tcPr>
            <w:tcW w:w="1122" w:type="pct"/>
            <w:gridSpan w:val="2"/>
            <w:vMerge/>
          </w:tcPr>
          <w:p w14:paraId="24F526F0" w14:textId="77777777" w:rsidR="00A0776F" w:rsidRPr="007D3879" w:rsidRDefault="00A0776F" w:rsidP="001A06F0">
            <w:pPr>
              <w:jc w:val="center"/>
              <w:rPr>
                <w:sz w:val="18"/>
                <w:szCs w:val="18"/>
              </w:rPr>
            </w:pPr>
          </w:p>
        </w:tc>
        <w:tc>
          <w:tcPr>
            <w:tcW w:w="658" w:type="pct"/>
            <w:gridSpan w:val="2"/>
            <w:vMerge/>
          </w:tcPr>
          <w:p w14:paraId="6BE3998E" w14:textId="77777777" w:rsidR="00A0776F" w:rsidRPr="007D3879" w:rsidRDefault="00A0776F" w:rsidP="001A06F0">
            <w:pPr>
              <w:jc w:val="center"/>
              <w:rPr>
                <w:sz w:val="18"/>
                <w:szCs w:val="18"/>
              </w:rPr>
            </w:pPr>
          </w:p>
        </w:tc>
      </w:tr>
      <w:tr w:rsidR="00A0776F" w:rsidRPr="007D3879" w14:paraId="360FB608" w14:textId="77777777" w:rsidTr="001A06F0">
        <w:trPr>
          <w:gridAfter w:val="1"/>
          <w:wAfter w:w="14" w:type="pct"/>
          <w:trHeight w:val="385"/>
        </w:trPr>
        <w:tc>
          <w:tcPr>
            <w:tcW w:w="1058" w:type="pct"/>
            <w:vMerge/>
          </w:tcPr>
          <w:p w14:paraId="6F19626D" w14:textId="77777777" w:rsidR="00A0776F" w:rsidRPr="007D3879" w:rsidRDefault="00A0776F" w:rsidP="001A06F0">
            <w:pPr>
              <w:rPr>
                <w:b/>
                <w:sz w:val="18"/>
                <w:szCs w:val="18"/>
              </w:rPr>
            </w:pPr>
          </w:p>
        </w:tc>
        <w:tc>
          <w:tcPr>
            <w:tcW w:w="840" w:type="pct"/>
            <w:gridSpan w:val="2"/>
          </w:tcPr>
          <w:p w14:paraId="3BE1CFCE" w14:textId="77777777" w:rsidR="00A0776F" w:rsidRPr="007D3879" w:rsidRDefault="00A0776F" w:rsidP="001A06F0">
            <w:pPr>
              <w:rPr>
                <w:b/>
                <w:sz w:val="18"/>
                <w:szCs w:val="18"/>
              </w:rPr>
            </w:pPr>
            <w:r w:rsidRPr="007D3879">
              <w:rPr>
                <w:b/>
                <w:sz w:val="18"/>
                <w:szCs w:val="18"/>
              </w:rPr>
              <w:t>OS at 12 months</w:t>
            </w:r>
          </w:p>
          <w:p w14:paraId="60EDF45D" w14:textId="77777777" w:rsidR="00A0776F" w:rsidRPr="007D3879" w:rsidRDefault="00A0776F" w:rsidP="001A06F0">
            <w:pPr>
              <w:rPr>
                <w:b/>
                <w:sz w:val="18"/>
                <w:szCs w:val="18"/>
              </w:rPr>
            </w:pPr>
            <w:r w:rsidRPr="007D3879">
              <w:rPr>
                <w:b/>
                <w:sz w:val="18"/>
                <w:szCs w:val="18"/>
              </w:rPr>
              <w:t>(95% CI)</w:t>
            </w:r>
          </w:p>
        </w:tc>
        <w:tc>
          <w:tcPr>
            <w:tcW w:w="654" w:type="pct"/>
            <w:gridSpan w:val="2"/>
          </w:tcPr>
          <w:p w14:paraId="23C48E85" w14:textId="77777777" w:rsidR="00A0776F" w:rsidRPr="007D3879" w:rsidRDefault="00A0776F" w:rsidP="001A06F0">
            <w:pPr>
              <w:jc w:val="center"/>
              <w:rPr>
                <w:sz w:val="18"/>
                <w:szCs w:val="18"/>
              </w:rPr>
            </w:pPr>
            <w:r w:rsidRPr="007D3879">
              <w:rPr>
                <w:sz w:val="18"/>
                <w:szCs w:val="18"/>
              </w:rPr>
              <w:t xml:space="preserve">48.3% </w:t>
            </w:r>
          </w:p>
          <w:p w14:paraId="469C4C06" w14:textId="77777777" w:rsidR="00A0776F" w:rsidRPr="007D3879" w:rsidRDefault="00A0776F" w:rsidP="001A06F0">
            <w:pPr>
              <w:jc w:val="center"/>
              <w:rPr>
                <w:sz w:val="18"/>
                <w:szCs w:val="18"/>
              </w:rPr>
            </w:pPr>
            <w:r w:rsidRPr="007D3879">
              <w:rPr>
                <w:sz w:val="18"/>
                <w:szCs w:val="18"/>
              </w:rPr>
              <w:t>(40.4-56.2%)</w:t>
            </w:r>
          </w:p>
        </w:tc>
        <w:tc>
          <w:tcPr>
            <w:tcW w:w="654" w:type="pct"/>
            <w:gridSpan w:val="2"/>
          </w:tcPr>
          <w:p w14:paraId="751D557F" w14:textId="77777777" w:rsidR="00A0776F" w:rsidRPr="007D3879" w:rsidRDefault="00A0776F" w:rsidP="001A06F0">
            <w:pPr>
              <w:jc w:val="center"/>
              <w:rPr>
                <w:sz w:val="18"/>
                <w:szCs w:val="18"/>
              </w:rPr>
            </w:pPr>
            <w:r w:rsidRPr="007D3879">
              <w:rPr>
                <w:sz w:val="18"/>
                <w:szCs w:val="18"/>
              </w:rPr>
              <w:t xml:space="preserve">32.9% </w:t>
            </w:r>
          </w:p>
          <w:p w14:paraId="0165E8BE" w14:textId="77777777" w:rsidR="00A0776F" w:rsidRPr="007D3879" w:rsidRDefault="00A0776F" w:rsidP="001A06F0">
            <w:pPr>
              <w:jc w:val="center"/>
              <w:rPr>
                <w:sz w:val="18"/>
                <w:szCs w:val="18"/>
              </w:rPr>
            </w:pPr>
            <w:r w:rsidRPr="007D3879">
              <w:rPr>
                <w:sz w:val="18"/>
                <w:szCs w:val="18"/>
              </w:rPr>
              <w:t>(22.5-43.2%)</w:t>
            </w:r>
          </w:p>
        </w:tc>
        <w:tc>
          <w:tcPr>
            <w:tcW w:w="1122" w:type="pct"/>
            <w:gridSpan w:val="2"/>
          </w:tcPr>
          <w:p w14:paraId="3D9E8163" w14:textId="77777777" w:rsidR="00A0776F" w:rsidRPr="007D3879" w:rsidRDefault="00A0776F" w:rsidP="001A06F0">
            <w:pPr>
              <w:jc w:val="center"/>
              <w:rPr>
                <w:sz w:val="18"/>
                <w:szCs w:val="18"/>
              </w:rPr>
            </w:pPr>
            <w:r w:rsidRPr="007D3879">
              <w:rPr>
                <w:sz w:val="18"/>
                <w:szCs w:val="18"/>
              </w:rPr>
              <w:t>Diff: 15.4%</w:t>
            </w:r>
          </w:p>
        </w:tc>
        <w:tc>
          <w:tcPr>
            <w:tcW w:w="658" w:type="pct"/>
            <w:gridSpan w:val="2"/>
          </w:tcPr>
          <w:p w14:paraId="04D68DEF" w14:textId="77777777" w:rsidR="00A0776F" w:rsidRPr="007D3879" w:rsidRDefault="00A0776F" w:rsidP="001A06F0">
            <w:pPr>
              <w:jc w:val="center"/>
              <w:rPr>
                <w:rFonts w:eastAsiaTheme="minorEastAsia"/>
                <w:kern w:val="24"/>
                <w:sz w:val="18"/>
                <w:szCs w:val="18"/>
              </w:rPr>
            </w:pPr>
            <w:r w:rsidRPr="007D3879">
              <w:rPr>
                <w:rFonts w:eastAsiaTheme="minorEastAsia"/>
                <w:kern w:val="24"/>
                <w:sz w:val="18"/>
                <w:szCs w:val="18"/>
              </w:rPr>
              <w:t>0.0203</w:t>
            </w:r>
          </w:p>
        </w:tc>
      </w:tr>
      <w:tr w:rsidR="00A0776F" w:rsidRPr="007D3879" w14:paraId="100B4CD3" w14:textId="77777777" w:rsidTr="001A06F0">
        <w:trPr>
          <w:gridAfter w:val="1"/>
          <w:wAfter w:w="14" w:type="pct"/>
          <w:trHeight w:val="385"/>
        </w:trPr>
        <w:tc>
          <w:tcPr>
            <w:tcW w:w="1058" w:type="pct"/>
            <w:vMerge/>
            <w:tcBorders>
              <w:bottom w:val="single" w:sz="4" w:space="0" w:color="auto"/>
            </w:tcBorders>
          </w:tcPr>
          <w:p w14:paraId="13C73131" w14:textId="77777777" w:rsidR="00A0776F" w:rsidRPr="007D3879" w:rsidRDefault="00A0776F" w:rsidP="001A06F0">
            <w:pPr>
              <w:rPr>
                <w:b/>
                <w:sz w:val="18"/>
                <w:szCs w:val="18"/>
              </w:rPr>
            </w:pPr>
          </w:p>
        </w:tc>
        <w:tc>
          <w:tcPr>
            <w:tcW w:w="840" w:type="pct"/>
            <w:gridSpan w:val="2"/>
            <w:tcBorders>
              <w:bottom w:val="single" w:sz="4" w:space="0" w:color="auto"/>
            </w:tcBorders>
          </w:tcPr>
          <w:p w14:paraId="5BB6E7EF" w14:textId="77777777" w:rsidR="00A0776F" w:rsidRPr="007D3879" w:rsidRDefault="00A0776F" w:rsidP="001A06F0">
            <w:pPr>
              <w:rPr>
                <w:b/>
                <w:sz w:val="18"/>
                <w:szCs w:val="18"/>
              </w:rPr>
            </w:pPr>
            <w:r w:rsidRPr="007D3879">
              <w:rPr>
                <w:b/>
                <w:sz w:val="18"/>
                <w:szCs w:val="18"/>
              </w:rPr>
              <w:t>OS at 24 months</w:t>
            </w:r>
          </w:p>
          <w:p w14:paraId="12ECB270" w14:textId="77777777" w:rsidR="00A0776F" w:rsidRPr="007D3879" w:rsidRDefault="00A0776F" w:rsidP="001A06F0">
            <w:pPr>
              <w:rPr>
                <w:b/>
                <w:sz w:val="18"/>
                <w:szCs w:val="18"/>
              </w:rPr>
            </w:pPr>
            <w:r w:rsidRPr="007D3879">
              <w:rPr>
                <w:b/>
                <w:sz w:val="18"/>
                <w:szCs w:val="18"/>
              </w:rPr>
              <w:t>(95% CI)</w:t>
            </w:r>
          </w:p>
        </w:tc>
        <w:tc>
          <w:tcPr>
            <w:tcW w:w="654" w:type="pct"/>
            <w:gridSpan w:val="2"/>
            <w:tcBorders>
              <w:bottom w:val="single" w:sz="4" w:space="0" w:color="auto"/>
            </w:tcBorders>
          </w:tcPr>
          <w:p w14:paraId="1D863AC5" w14:textId="77777777" w:rsidR="00A0776F" w:rsidRPr="007D3879" w:rsidRDefault="00A0776F" w:rsidP="001A06F0">
            <w:pPr>
              <w:jc w:val="center"/>
              <w:rPr>
                <w:sz w:val="18"/>
                <w:szCs w:val="18"/>
              </w:rPr>
            </w:pPr>
            <w:r w:rsidRPr="007D3879">
              <w:rPr>
                <w:sz w:val="18"/>
                <w:szCs w:val="18"/>
              </w:rPr>
              <w:t>30.8%</w:t>
            </w:r>
          </w:p>
          <w:p w14:paraId="4189675E" w14:textId="77777777" w:rsidR="00A0776F" w:rsidRPr="007D3879" w:rsidRDefault="00A0776F" w:rsidP="001A06F0">
            <w:pPr>
              <w:jc w:val="center"/>
              <w:rPr>
                <w:sz w:val="18"/>
                <w:szCs w:val="18"/>
              </w:rPr>
            </w:pPr>
            <w:r w:rsidRPr="007D3879">
              <w:rPr>
                <w:sz w:val="18"/>
                <w:szCs w:val="18"/>
              </w:rPr>
              <w:t xml:space="preserve"> (23.3-38.3%)</w:t>
            </w:r>
          </w:p>
        </w:tc>
        <w:tc>
          <w:tcPr>
            <w:tcW w:w="654" w:type="pct"/>
            <w:gridSpan w:val="2"/>
            <w:tcBorders>
              <w:bottom w:val="single" w:sz="4" w:space="0" w:color="auto"/>
            </w:tcBorders>
          </w:tcPr>
          <w:p w14:paraId="4F4F45C8" w14:textId="77777777" w:rsidR="00A0776F" w:rsidRPr="007D3879" w:rsidRDefault="00A0776F" w:rsidP="001A06F0">
            <w:pPr>
              <w:jc w:val="center"/>
              <w:rPr>
                <w:sz w:val="18"/>
                <w:szCs w:val="18"/>
              </w:rPr>
            </w:pPr>
            <w:r w:rsidRPr="007D3879">
              <w:rPr>
                <w:sz w:val="18"/>
                <w:szCs w:val="18"/>
              </w:rPr>
              <w:t xml:space="preserve">13.4% </w:t>
            </w:r>
          </w:p>
          <w:p w14:paraId="2F34F22F" w14:textId="77777777" w:rsidR="00A0776F" w:rsidRPr="007D3879" w:rsidRDefault="00A0776F" w:rsidP="001A06F0">
            <w:pPr>
              <w:jc w:val="center"/>
              <w:rPr>
                <w:sz w:val="18"/>
                <w:szCs w:val="18"/>
              </w:rPr>
            </w:pPr>
            <w:r w:rsidRPr="007D3879">
              <w:rPr>
                <w:sz w:val="18"/>
                <w:szCs w:val="18"/>
              </w:rPr>
              <w:t>(5.5-21.3%)</w:t>
            </w:r>
          </w:p>
        </w:tc>
        <w:tc>
          <w:tcPr>
            <w:tcW w:w="1122" w:type="pct"/>
            <w:gridSpan w:val="2"/>
            <w:tcBorders>
              <w:bottom w:val="single" w:sz="4" w:space="0" w:color="auto"/>
            </w:tcBorders>
          </w:tcPr>
          <w:p w14:paraId="1D3BB777" w14:textId="77777777" w:rsidR="00A0776F" w:rsidRPr="007D3879" w:rsidRDefault="00A0776F" w:rsidP="001A06F0">
            <w:pPr>
              <w:jc w:val="center"/>
              <w:rPr>
                <w:sz w:val="18"/>
                <w:szCs w:val="18"/>
              </w:rPr>
            </w:pPr>
            <w:r w:rsidRPr="007D3879">
              <w:rPr>
                <w:sz w:val="18"/>
                <w:szCs w:val="18"/>
              </w:rPr>
              <w:t>Diff: 17.4%</w:t>
            </w:r>
          </w:p>
        </w:tc>
        <w:tc>
          <w:tcPr>
            <w:tcW w:w="658" w:type="pct"/>
            <w:gridSpan w:val="2"/>
            <w:tcBorders>
              <w:bottom w:val="single" w:sz="4" w:space="0" w:color="auto"/>
            </w:tcBorders>
          </w:tcPr>
          <w:p w14:paraId="16FA0129" w14:textId="77777777" w:rsidR="00A0776F" w:rsidRPr="007D3879" w:rsidRDefault="00A0776F" w:rsidP="001A06F0">
            <w:pPr>
              <w:jc w:val="center"/>
              <w:rPr>
                <w:rFonts w:eastAsiaTheme="minorEastAsia"/>
                <w:kern w:val="24"/>
                <w:sz w:val="18"/>
                <w:szCs w:val="18"/>
              </w:rPr>
            </w:pPr>
            <w:r w:rsidRPr="007D3879">
              <w:rPr>
                <w:rFonts w:eastAsiaTheme="minorEastAsia"/>
                <w:kern w:val="24"/>
                <w:sz w:val="18"/>
                <w:szCs w:val="18"/>
              </w:rPr>
              <w:t>0.0017</w:t>
            </w:r>
          </w:p>
        </w:tc>
      </w:tr>
      <w:tr w:rsidR="00A0776F" w:rsidRPr="007D3879" w14:paraId="19FB6CC1" w14:textId="77777777" w:rsidTr="001A06F0">
        <w:trPr>
          <w:trHeight w:val="493"/>
        </w:trPr>
        <w:tc>
          <w:tcPr>
            <w:tcW w:w="5000" w:type="pct"/>
            <w:gridSpan w:val="12"/>
            <w:tcBorders>
              <w:top w:val="single" w:sz="4" w:space="0" w:color="auto"/>
            </w:tcBorders>
          </w:tcPr>
          <w:p w14:paraId="1C8F06B5" w14:textId="77777777" w:rsidR="00A0776F" w:rsidRPr="007D3879" w:rsidRDefault="00A0776F" w:rsidP="001A06F0">
            <w:pPr>
              <w:spacing w:after="30"/>
              <w:rPr>
                <w:sz w:val="18"/>
                <w:szCs w:val="18"/>
              </w:rPr>
            </w:pPr>
            <w:r w:rsidRPr="007D3879">
              <w:rPr>
                <w:sz w:val="18"/>
                <w:szCs w:val="18"/>
              </w:rPr>
              <w:t xml:space="preserve">Median in months. </w:t>
            </w:r>
            <w:r w:rsidRPr="007D3879">
              <w:rPr>
                <w:sz w:val="18"/>
                <w:szCs w:val="18"/>
                <w:lang w:eastAsia="es-ES"/>
              </w:rPr>
              <w:t xml:space="preserve">Median follow-up for survival was </w:t>
            </w:r>
            <w:r w:rsidRPr="007D3879">
              <w:rPr>
                <w:sz w:val="18"/>
                <w:szCs w:val="18"/>
              </w:rPr>
              <w:t>33.4</w:t>
            </w:r>
            <w:r w:rsidRPr="007D3879">
              <w:rPr>
                <w:sz w:val="18"/>
                <w:szCs w:val="18"/>
                <w:lang w:eastAsia="es-ES"/>
              </w:rPr>
              <w:t xml:space="preserve"> months in Arm A and </w:t>
            </w:r>
            <w:r w:rsidRPr="007D3879">
              <w:rPr>
                <w:sz w:val="18"/>
                <w:szCs w:val="18"/>
              </w:rPr>
              <w:t>36.3</w:t>
            </w:r>
            <w:r w:rsidRPr="007D3879">
              <w:rPr>
                <w:sz w:val="18"/>
                <w:szCs w:val="18"/>
                <w:lang w:eastAsia="es-ES"/>
              </w:rPr>
              <w:t xml:space="preserve"> months in Arm B.</w:t>
            </w:r>
          </w:p>
          <w:p w14:paraId="36010F3E" w14:textId="77777777" w:rsidR="00A0776F" w:rsidRPr="007D3879" w:rsidRDefault="00A0776F" w:rsidP="001A06F0">
            <w:pPr>
              <w:spacing w:after="30"/>
              <w:rPr>
                <w:sz w:val="18"/>
                <w:szCs w:val="18"/>
              </w:rPr>
            </w:pPr>
            <w:r w:rsidRPr="007D3879">
              <w:rPr>
                <w:sz w:val="18"/>
                <w:szCs w:val="18"/>
                <w:vertAlign w:val="superscript"/>
              </w:rPr>
              <w:t xml:space="preserve">a </w:t>
            </w:r>
            <w:r w:rsidRPr="007D3879">
              <w:rPr>
                <w:sz w:val="18"/>
                <w:szCs w:val="18"/>
              </w:rPr>
              <w:t xml:space="preserve">HR: Arm A compared to Arm B. HR and p-value as determined by Cox regression. </w:t>
            </w:r>
          </w:p>
          <w:p w14:paraId="61B28DEB" w14:textId="77777777" w:rsidR="00A0776F" w:rsidRPr="007D3879" w:rsidRDefault="00A0776F" w:rsidP="001A06F0">
            <w:pPr>
              <w:spacing w:after="30"/>
              <w:rPr>
                <w:sz w:val="18"/>
                <w:szCs w:val="18"/>
              </w:rPr>
            </w:pPr>
            <w:r w:rsidRPr="007D3879">
              <w:rPr>
                <w:sz w:val="18"/>
                <w:szCs w:val="18"/>
              </w:rPr>
              <w:t>CI, confidence interval; Diff, difference between Arm A and Arm B; DXM, dexamethasone; HR, hazard ratio; LR, unstratified log-rank; P, plitidepsin.</w:t>
            </w:r>
          </w:p>
        </w:tc>
      </w:tr>
    </w:tbl>
    <w:p w14:paraId="692CB130" w14:textId="756AED68" w:rsidR="00A0776F" w:rsidRPr="007D3879" w:rsidRDefault="00A0776F" w:rsidP="00917B17">
      <w:pPr>
        <w:keepNext/>
        <w:spacing w:before="120"/>
        <w:rPr>
          <w:rFonts w:ascii="Times New Roman" w:hAnsi="Times New Roman" w:cs="Times New Roman"/>
          <w:b/>
        </w:rPr>
      </w:pPr>
      <w:bookmarkStart w:id="1" w:name="_Ref480301953"/>
      <w:r w:rsidRPr="007D3879">
        <w:rPr>
          <w:rFonts w:ascii="Times New Roman" w:hAnsi="Times New Roman" w:cs="Times New Roman"/>
          <w:b/>
        </w:rPr>
        <w:lastRenderedPageBreak/>
        <w:t xml:space="preserve">Figure </w:t>
      </w:r>
      <w:bookmarkEnd w:id="1"/>
      <w:r w:rsidR="00762E4F">
        <w:rPr>
          <w:rFonts w:ascii="Times New Roman" w:hAnsi="Times New Roman" w:cs="Times New Roman"/>
          <w:b/>
        </w:rPr>
        <w:t>1</w:t>
      </w:r>
      <w:r w:rsidRPr="007D3879">
        <w:rPr>
          <w:rFonts w:ascii="Times New Roman" w:hAnsi="Times New Roman" w:cs="Times New Roman"/>
          <w:b/>
        </w:rPr>
        <w:t>: Overall survival: After crossover adjustment by the two-stage method</w:t>
      </w:r>
    </w:p>
    <w:p w14:paraId="72965EA5" w14:textId="727AB87E" w:rsidR="00A0776F" w:rsidRPr="00A739B8" w:rsidRDefault="00762E4F" w:rsidP="00A0776F">
      <w:pPr>
        <w:rPr>
          <w:rFonts w:ascii="Arial" w:eastAsia="Calibri" w:hAnsi="Arial" w:cs="Arial"/>
          <w:i/>
        </w:rPr>
      </w:pPr>
      <w:r w:rsidRPr="00F05F7D">
        <w:rPr>
          <w:rFonts w:ascii="Arial" w:hAnsi="Arial" w:cs="Arial"/>
          <w:noProof/>
          <w:lang w:eastAsia="en-AU"/>
        </w:rPr>
        <mc:AlternateContent>
          <mc:Choice Requires="wps">
            <w:drawing>
              <wp:anchor distT="0" distB="0" distL="114300" distR="114300" simplePos="0" relativeHeight="251659264" behindDoc="0" locked="0" layoutInCell="1" allowOverlap="1" wp14:anchorId="6904A4C5" wp14:editId="31CEC75F">
                <wp:simplePos x="0" y="0"/>
                <wp:positionH relativeFrom="column">
                  <wp:posOffset>1917700</wp:posOffset>
                </wp:positionH>
                <wp:positionV relativeFrom="paragraph">
                  <wp:posOffset>422275</wp:posOffset>
                </wp:positionV>
                <wp:extent cx="1974850" cy="24130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1974850" cy="241300"/>
                        </a:xfrm>
                        <a:prstGeom prst="rect">
                          <a:avLst/>
                        </a:prstGeom>
                        <a:solidFill>
                          <a:schemeClr val="lt1"/>
                        </a:solidFill>
                        <a:ln w="6350">
                          <a:solidFill>
                            <a:prstClr val="black"/>
                          </a:solidFill>
                        </a:ln>
                      </wps:spPr>
                      <wps:txbx>
                        <w:txbxContent>
                          <w:p w14:paraId="251F499A" w14:textId="1770FA0F" w:rsidR="004661B8" w:rsidRDefault="004661B8" w:rsidP="007E4C34">
                            <w:pPr>
                              <w:spacing w:after="0"/>
                            </w:pPr>
                            <w:r w:rsidRPr="007E4C34">
                              <w:rPr>
                                <w:sz w:val="18"/>
                                <w:szCs w:val="18"/>
                                <w:lang w:val="pl-PL"/>
                              </w:rPr>
                              <w:t xml:space="preserve">HR </w:t>
                            </w:r>
                            <w:r w:rsidRPr="007E4C34">
                              <w:rPr>
                                <w:sz w:val="18"/>
                                <w:szCs w:val="18"/>
                                <w:vertAlign w:val="superscript"/>
                                <w:lang w:val="pl-PL"/>
                              </w:rPr>
                              <w:t>a</w:t>
                            </w:r>
                            <w:r w:rsidRPr="007E4C34">
                              <w:rPr>
                                <w:sz w:val="18"/>
                                <w:szCs w:val="18"/>
                                <w:lang w:val="pl-PL"/>
                              </w:rPr>
                              <w:t>: 0.667  95% CI (0.497-0.895)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51pt;margin-top:33.25pt;width:155.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" fillcolor="white [3201]" strokeweight=".5pt">
                <v:textbox>
                  <w:txbxContent>
                    <w:p w14:paraId="251F499A" w14:textId="1770FA0F" w:rsidR="004661B8" w:rsidRDefault="004661B8" w:rsidP="007E4C34">
                      <w:pPr>
                        <w:spacing w:after="0"/>
                      </w:pPr>
                      <w:r w:rsidRPr="007E4C34">
                        <w:rPr>
                          <w:sz w:val="18"/>
                          <w:szCs w:val="18"/>
                          <w:lang w:val="pl-PL"/>
                        </w:rPr>
                        <w:t xml:space="preserve">HR </w:t>
                      </w:r>
                      <w:r w:rsidRPr="007E4C34">
                        <w:rPr>
                          <w:sz w:val="18"/>
                          <w:szCs w:val="18"/>
                          <w:vertAlign w:val="superscript"/>
                          <w:lang w:val="pl-PL"/>
                        </w:rPr>
                        <w:t>a</w:t>
                      </w:r>
                      <w:r w:rsidRPr="007E4C34">
                        <w:rPr>
                          <w:sz w:val="18"/>
                          <w:szCs w:val="18"/>
                          <w:lang w:val="pl-PL"/>
                        </w:rPr>
                        <w:t>: 0.667  95% CI (0.497-0.895)</w:t>
                      </w:r>
                    </w:p>
                  </w:txbxContent>
                </v:textbox>
              </v:shape>
            </w:pict>
          </mc:Fallback>
        </mc:AlternateContent>
      </w:r>
      <w:r w:rsidR="00A0776F" w:rsidRPr="00A739B8">
        <w:rPr>
          <w:rFonts w:ascii="Arial" w:hAnsi="Arial" w:cs="Arial"/>
          <w:noProof/>
          <w:lang w:eastAsia="en-AU"/>
        </w:rPr>
        <w:drawing>
          <wp:inline distT="0" distB="0" distL="0" distR="0" wp14:anchorId="6FE259FC" wp14:editId="5E80644F">
            <wp:extent cx="5238115" cy="3071965"/>
            <wp:effectExtent l="0" t="0" r="635" b="0"/>
            <wp:docPr id="6146" name="Picture 2" descr="Figure 1: Overall survival: After crossover adjustment by the two-stage meth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rrowheads="1"/>
                    </pic:cNvPicPr>
                  </pic:nvPicPr>
                  <pic:blipFill rotWithShape="1">
                    <a:blip r:embed="rId12">
                      <a:extLst>
                        <a:ext uri="{28A0092B-C50C-407E-A947-70E740481C1C}">
                          <a14:useLocalDpi xmlns:a14="http://schemas.microsoft.com/office/drawing/2010/main" val="0"/>
                        </a:ext>
                      </a:extLst>
                    </a:blip>
                    <a:srcRect t="5120"/>
                    <a:stretch/>
                  </pic:blipFill>
                  <pic:spPr bwMode="auto">
                    <a:xfrm>
                      <a:off x="0" y="0"/>
                      <a:ext cx="5273187" cy="3092533"/>
                    </a:xfrm>
                    <a:prstGeom prst="rect">
                      <a:avLst/>
                    </a:prstGeom>
                    <a:noFill/>
                    <a:ln>
                      <a:noFill/>
                    </a:ln>
                    <a:extLst>
                      <a:ext uri="{53640926-AAD7-44D8-BBD7-CCE9431645EC}">
                        <a14:shadowObscured xmlns:a14="http://schemas.microsoft.com/office/drawing/2010/main"/>
                      </a:ext>
                    </a:extLst>
                  </pic:spPr>
                </pic:pic>
              </a:graphicData>
            </a:graphic>
          </wp:inline>
        </w:drawing>
      </w:r>
    </w:p>
    <w:p w14:paraId="07940CAB" w14:textId="77777777" w:rsidR="00A0776F" w:rsidRPr="007D3879" w:rsidRDefault="00A0776F" w:rsidP="007D3879">
      <w:pPr>
        <w:keepNext/>
        <w:spacing w:after="0" w:line="240" w:lineRule="auto"/>
        <w:rPr>
          <w:rFonts w:ascii="Times New Roman" w:eastAsia="Calibri" w:hAnsi="Times New Roman" w:cs="Times New Roman"/>
          <w:u w:val="single"/>
        </w:rPr>
      </w:pPr>
      <w:r w:rsidRPr="007D3879">
        <w:rPr>
          <w:rFonts w:ascii="Times New Roman" w:eastAsia="Calibri" w:hAnsi="Times New Roman" w:cs="Times New Roman"/>
          <w:u w:val="single"/>
        </w:rPr>
        <w:t>Response rate</w:t>
      </w:r>
    </w:p>
    <w:p w14:paraId="55B6A1BC" w14:textId="77777777" w:rsidR="00A0776F" w:rsidRPr="007D3879" w:rsidRDefault="00A0776F" w:rsidP="007D3879">
      <w:pPr>
        <w:keepNext/>
        <w:spacing w:after="0" w:line="240" w:lineRule="auto"/>
        <w:rPr>
          <w:rFonts w:ascii="Times New Roman" w:eastAsia="Calibri" w:hAnsi="Times New Roman" w:cs="Times New Roman"/>
        </w:rPr>
      </w:pPr>
    </w:p>
    <w:p w14:paraId="5A678A2E" w14:textId="48244602" w:rsidR="00A0776F" w:rsidRPr="007D3879" w:rsidRDefault="00A0776F" w:rsidP="007D3879">
      <w:pPr>
        <w:keepNext/>
        <w:spacing w:after="0" w:line="240" w:lineRule="auto"/>
        <w:rPr>
          <w:rFonts w:ascii="Times New Roman" w:eastAsia="Calibri" w:hAnsi="Times New Roman" w:cs="Times New Roman"/>
        </w:rPr>
      </w:pPr>
      <w:r w:rsidRPr="007D3879">
        <w:rPr>
          <w:rFonts w:ascii="Times New Roman" w:eastAsia="Calibri" w:hAnsi="Times New Roman" w:cs="Times New Roman"/>
        </w:rPr>
        <w:t xml:space="preserve">Overall response rate was higher in the </w:t>
      </w:r>
      <w:r w:rsidR="001B2C46">
        <w:rPr>
          <w:rFonts w:ascii="Times New Roman" w:hAnsi="Times New Roman" w:cs="Times New Roman"/>
        </w:rPr>
        <w:t>P+DXM</w:t>
      </w:r>
      <w:r w:rsidR="001B2C46" w:rsidRPr="007D3879" w:rsidDel="001B2C46">
        <w:rPr>
          <w:rFonts w:ascii="Times New Roman" w:eastAsia="Calibri" w:hAnsi="Times New Roman" w:cs="Times New Roman"/>
        </w:rPr>
        <w:t xml:space="preserve"> </w:t>
      </w:r>
      <w:r w:rsidRPr="007D3879">
        <w:rPr>
          <w:rFonts w:ascii="Times New Roman" w:eastAsia="Calibri" w:hAnsi="Times New Roman" w:cs="Times New Roman"/>
        </w:rPr>
        <w:t xml:space="preserve">arm (9.9%) than in the </w:t>
      </w:r>
      <w:r w:rsidR="00A233F1">
        <w:rPr>
          <w:rFonts w:ascii="Times New Roman" w:eastAsia="Calibri" w:hAnsi="Times New Roman" w:cs="Times New Roman"/>
        </w:rPr>
        <w:t xml:space="preserve">DXM </w:t>
      </w:r>
      <w:r w:rsidRPr="007D3879">
        <w:rPr>
          <w:rFonts w:ascii="Times New Roman" w:eastAsia="Calibri" w:hAnsi="Times New Roman" w:cs="Times New Roman"/>
        </w:rPr>
        <w:t xml:space="preserve">arm (1.2%) (p=0.0085). Very good partial response (VGPR) </w:t>
      </w:r>
      <w:r w:rsidR="00E34E84">
        <w:rPr>
          <w:rFonts w:ascii="Times New Roman" w:eastAsia="Calibri" w:hAnsi="Times New Roman" w:cs="Times New Roman"/>
        </w:rPr>
        <w:t>were only</w:t>
      </w:r>
      <w:r w:rsidR="00E34E84" w:rsidRPr="007D3879">
        <w:rPr>
          <w:rFonts w:ascii="Times New Roman" w:eastAsia="Calibri" w:hAnsi="Times New Roman" w:cs="Times New Roman"/>
        </w:rPr>
        <w:t xml:space="preserve"> </w:t>
      </w:r>
      <w:r w:rsidRPr="007D3879">
        <w:rPr>
          <w:rFonts w:ascii="Times New Roman" w:eastAsia="Calibri" w:hAnsi="Times New Roman" w:cs="Times New Roman"/>
        </w:rPr>
        <w:t xml:space="preserve">observed in the combination arm. </w:t>
      </w:r>
    </w:p>
    <w:p w14:paraId="512CDB3B" w14:textId="77777777" w:rsidR="00A0776F" w:rsidRPr="007D3879" w:rsidRDefault="00A0776F" w:rsidP="007D3879">
      <w:pPr>
        <w:spacing w:after="0" w:line="240" w:lineRule="auto"/>
        <w:rPr>
          <w:rFonts w:ascii="Times New Roman" w:eastAsia="Calibri" w:hAnsi="Times New Roman" w:cs="Times New Roman"/>
        </w:rPr>
      </w:pPr>
    </w:p>
    <w:p w14:paraId="40E33C14" w14:textId="45A46AD9" w:rsidR="00A0776F" w:rsidRDefault="00A0776F" w:rsidP="007D3879">
      <w:pPr>
        <w:spacing w:after="0" w:line="240" w:lineRule="auto"/>
        <w:rPr>
          <w:rFonts w:ascii="Times New Roman" w:eastAsia="Calibri" w:hAnsi="Times New Roman" w:cs="Times New Roman"/>
        </w:rPr>
      </w:pPr>
      <w:r w:rsidRPr="007D3879">
        <w:rPr>
          <w:rFonts w:ascii="Times New Roman" w:eastAsia="Calibri" w:hAnsi="Times New Roman" w:cs="Times New Roman"/>
        </w:rPr>
        <w:t>In Arm A (</w:t>
      </w:r>
      <w:r w:rsidR="00A233F1">
        <w:rPr>
          <w:rFonts w:ascii="Times New Roman" w:hAnsi="Times New Roman" w:cs="Times New Roman"/>
        </w:rPr>
        <w:t>P+DXM</w:t>
      </w:r>
      <w:r w:rsidRPr="007D3879">
        <w:rPr>
          <w:rFonts w:ascii="Times New Roman" w:eastAsia="Calibri" w:hAnsi="Times New Roman" w:cs="Times New Roman"/>
        </w:rPr>
        <w:t>), median duration of response by the IRC in patients with response (VGPR, n=2; partial response [PR], n=15) was 12.0 months (95% CI, 2.8</w:t>
      </w:r>
      <w:r w:rsidRPr="007D3879">
        <w:rPr>
          <w:rFonts w:ascii="Times New Roman" w:eastAsia="Calibri" w:hAnsi="Times New Roman" w:cs="Times New Roman"/>
        </w:rPr>
        <w:noBreakHyphen/>
        <w:t>23.2 months). In Arm B (</w:t>
      </w:r>
      <w:r w:rsidR="00A233F1">
        <w:rPr>
          <w:rFonts w:ascii="Times New Roman" w:eastAsia="Calibri" w:hAnsi="Times New Roman" w:cs="Times New Roman"/>
        </w:rPr>
        <w:t>DXM</w:t>
      </w:r>
      <w:r w:rsidRPr="007D3879">
        <w:rPr>
          <w:rFonts w:ascii="Times New Roman" w:eastAsia="Calibri" w:hAnsi="Times New Roman" w:cs="Times New Roman"/>
        </w:rPr>
        <w:t>), only one patient had PR (duration of response was 1.8 months)</w:t>
      </w:r>
      <w:r w:rsidR="00216F0F">
        <w:rPr>
          <w:rFonts w:ascii="Times New Roman" w:eastAsia="Calibri" w:hAnsi="Times New Roman" w:cs="Times New Roman"/>
        </w:rPr>
        <w:t xml:space="preserve"> (p=0.1015)</w:t>
      </w:r>
      <w:r w:rsidRPr="007D3879">
        <w:rPr>
          <w:rFonts w:ascii="Times New Roman" w:eastAsia="Calibri" w:hAnsi="Times New Roman" w:cs="Times New Roman"/>
        </w:rPr>
        <w:t>.</w:t>
      </w:r>
      <w:r w:rsidR="00932B7A">
        <w:rPr>
          <w:rFonts w:ascii="Times New Roman" w:eastAsia="Calibri" w:hAnsi="Times New Roman" w:cs="Times New Roman"/>
        </w:rPr>
        <w:t xml:space="preserve"> Median duration of response </w:t>
      </w:r>
      <w:r w:rsidR="00216F0F">
        <w:rPr>
          <w:rFonts w:ascii="Times New Roman" w:eastAsia="Calibri" w:hAnsi="Times New Roman" w:cs="Times New Roman"/>
        </w:rPr>
        <w:t>as determined by investigator’s assessment in responding patients</w:t>
      </w:r>
      <w:r w:rsidR="00932B7A">
        <w:rPr>
          <w:rFonts w:ascii="Times New Roman" w:eastAsia="Calibri" w:hAnsi="Times New Roman" w:cs="Times New Roman"/>
        </w:rPr>
        <w:t xml:space="preserve"> was </w:t>
      </w:r>
      <w:r w:rsidR="00216F0F">
        <w:rPr>
          <w:rFonts w:ascii="Times New Roman" w:eastAsia="Calibri" w:hAnsi="Times New Roman" w:cs="Times New Roman"/>
        </w:rPr>
        <w:t>5.1 months in P+DXM arm versus 0.9 months in DXM arm (p=0.0001)</w:t>
      </w:r>
      <w:r w:rsidR="00533FEA">
        <w:rPr>
          <w:rFonts w:ascii="Times New Roman" w:eastAsia="Calibri" w:hAnsi="Times New Roman" w:cs="Times New Roman"/>
        </w:rPr>
        <w:t xml:space="preserve">. This includes patients with minor response (MR), partial response (PR) and VGPR. </w:t>
      </w:r>
    </w:p>
    <w:p w14:paraId="26483A8B" w14:textId="77777777" w:rsidR="00932B7A" w:rsidRDefault="00932B7A" w:rsidP="007D3879">
      <w:pPr>
        <w:spacing w:after="0" w:line="240" w:lineRule="auto"/>
        <w:rPr>
          <w:rFonts w:ascii="Times New Roman" w:eastAsia="Calibri" w:hAnsi="Times New Roman" w:cs="Times New Roman"/>
        </w:rPr>
      </w:pPr>
    </w:p>
    <w:p w14:paraId="2C146C79" w14:textId="79EB900A" w:rsidR="00FE4536" w:rsidRDefault="001A3992" w:rsidP="00645AC8">
      <w:pPr>
        <w:pStyle w:val="Heading2"/>
        <w:spacing w:before="0" w:after="0"/>
        <w:ind w:left="0" w:hanging="426"/>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 xml:space="preserve">Pharmacokinetic properties </w:t>
      </w:r>
    </w:p>
    <w:p w14:paraId="18331A68" w14:textId="2F35778C" w:rsidR="00435AE9" w:rsidRDefault="00435AE9" w:rsidP="00435AE9">
      <w:pPr>
        <w:spacing w:after="0" w:line="240" w:lineRule="auto"/>
        <w:contextualSpacing/>
        <w:rPr>
          <w:rFonts w:ascii="Times New Roman" w:hAnsi="Times New Roman" w:cs="Times New Roman"/>
          <w:noProof/>
        </w:rPr>
      </w:pPr>
      <w:r w:rsidRPr="00435AE9">
        <w:rPr>
          <w:rFonts w:ascii="Times New Roman" w:hAnsi="Times New Roman" w:cs="Times New Roman"/>
          <w:noProof/>
        </w:rPr>
        <w:t>A population pharmacokinetic analysis was carried out in 303 patients with cancer, including 182 patients with relapsed/refractory MM. These patients received plitidepsin at doses of 2.0 to 5.0 mg/m² weekly or every two weeks.</w:t>
      </w:r>
    </w:p>
    <w:p w14:paraId="313806DC" w14:textId="77777777" w:rsidR="00435AE9" w:rsidRPr="00435AE9" w:rsidRDefault="00435AE9" w:rsidP="00435AE9">
      <w:pPr>
        <w:spacing w:after="0" w:line="240" w:lineRule="auto"/>
        <w:contextualSpacing/>
        <w:rPr>
          <w:rFonts w:ascii="Times New Roman" w:hAnsi="Times New Roman" w:cs="Times New Roman"/>
          <w:noProof/>
        </w:rPr>
      </w:pPr>
    </w:p>
    <w:p w14:paraId="41813767" w14:textId="77777777" w:rsidR="00435AE9" w:rsidRPr="00435AE9" w:rsidRDefault="00435AE9" w:rsidP="00435AE9">
      <w:pPr>
        <w:autoSpaceDE w:val="0"/>
        <w:autoSpaceDN w:val="0"/>
        <w:adjustRightInd w:val="0"/>
        <w:spacing w:after="0" w:line="240" w:lineRule="auto"/>
        <w:contextualSpacing/>
        <w:rPr>
          <w:rFonts w:ascii="Times New Roman" w:eastAsia="SimSun" w:hAnsi="Times New Roman" w:cs="Times New Roman"/>
          <w:u w:val="single"/>
          <w:lang w:eastAsia="es-ES"/>
        </w:rPr>
      </w:pPr>
      <w:r w:rsidRPr="00435AE9">
        <w:rPr>
          <w:rFonts w:ascii="Times New Roman" w:eastAsia="SimSun" w:hAnsi="Times New Roman" w:cs="Times New Roman"/>
          <w:u w:val="single"/>
          <w:lang w:eastAsia="es-ES"/>
        </w:rPr>
        <w:t>Absorption</w:t>
      </w:r>
    </w:p>
    <w:p w14:paraId="15374E4D" w14:textId="77777777" w:rsidR="00435AE9" w:rsidRPr="00435AE9" w:rsidRDefault="00435AE9" w:rsidP="00435AE9">
      <w:pPr>
        <w:spacing w:after="0" w:line="240" w:lineRule="auto"/>
        <w:contextualSpacing/>
        <w:rPr>
          <w:rFonts w:ascii="Times New Roman" w:eastAsia="SimSun" w:hAnsi="Times New Roman" w:cs="Times New Roman"/>
          <w:lang w:eastAsia="es-ES"/>
        </w:rPr>
      </w:pPr>
      <w:r w:rsidRPr="00435AE9">
        <w:rPr>
          <w:rFonts w:ascii="Times New Roman" w:eastAsia="SimSun" w:hAnsi="Times New Roman" w:cs="Times New Roman"/>
          <w:lang w:eastAsia="es-ES"/>
        </w:rPr>
        <w:t>Plitidepsin is dosed via an intravenous route and therefore is immediately and completely bioavailable.</w:t>
      </w:r>
    </w:p>
    <w:p w14:paraId="05C39853" w14:textId="77777777" w:rsidR="00435AE9" w:rsidRPr="00435AE9" w:rsidRDefault="00435AE9" w:rsidP="00435AE9">
      <w:pPr>
        <w:spacing w:after="0" w:line="240" w:lineRule="auto"/>
        <w:contextualSpacing/>
        <w:rPr>
          <w:rFonts w:ascii="Times New Roman" w:hAnsi="Times New Roman" w:cs="Times New Roman"/>
          <w:noProof/>
        </w:rPr>
      </w:pPr>
    </w:p>
    <w:p w14:paraId="3BB74C0B" w14:textId="77777777" w:rsidR="00435AE9" w:rsidRPr="00435AE9" w:rsidRDefault="00435AE9" w:rsidP="00435AE9">
      <w:pPr>
        <w:numPr>
          <w:ilvl w:val="12"/>
          <w:numId w:val="0"/>
        </w:numPr>
        <w:spacing w:after="0" w:line="240" w:lineRule="auto"/>
        <w:contextualSpacing/>
        <w:rPr>
          <w:rFonts w:ascii="Times New Roman" w:hAnsi="Times New Roman" w:cs="Times New Roman"/>
          <w:u w:val="single"/>
        </w:rPr>
      </w:pPr>
      <w:r w:rsidRPr="00435AE9">
        <w:rPr>
          <w:rFonts w:ascii="Times New Roman" w:hAnsi="Times New Roman" w:cs="Times New Roman"/>
          <w:u w:val="single"/>
        </w:rPr>
        <w:t>Distribution</w:t>
      </w:r>
    </w:p>
    <w:p w14:paraId="01ED1C10" w14:textId="2497BF09" w:rsidR="00435AE9" w:rsidRPr="00435AE9" w:rsidRDefault="00435AE9" w:rsidP="00435AE9">
      <w:pPr>
        <w:numPr>
          <w:ilvl w:val="12"/>
          <w:numId w:val="0"/>
        </w:numPr>
        <w:spacing w:after="0" w:line="240" w:lineRule="auto"/>
        <w:contextualSpacing/>
        <w:rPr>
          <w:rFonts w:ascii="Times New Roman" w:hAnsi="Times New Roman" w:cs="Times New Roman"/>
          <w:u w:val="single"/>
        </w:rPr>
      </w:pPr>
      <w:r w:rsidRPr="00435AE9">
        <w:rPr>
          <w:rFonts w:ascii="Times New Roman" w:hAnsi="Times New Roman" w:cs="Times New Roman"/>
        </w:rPr>
        <w:t xml:space="preserve">The pharmacokinetics of plitidepsin is characterised by a 3-compartment model. Plitidepsin is distributed largely outside the blood volume, with a total volume of distribution in plasma of approximately 600 L. Blood cells are an important distribution compartment of plitidepsin. Partitioning equilibrium between blood cells and plasma is mostly reached during the infusion and the extent of partitioning can be considered linear up to the mean maximal concentration of the compound. In the blood, approximately 20% is present in plasma, and 80% in blood cells. In plasma, </w:t>
      </w:r>
      <w:r w:rsidRPr="00435AE9">
        <w:rPr>
          <w:rFonts w:ascii="Times New Roman" w:hAnsi="Times New Roman" w:cs="Times New Roman"/>
        </w:rPr>
        <w:lastRenderedPageBreak/>
        <w:t>approximately 98% is bound to proteins, independent of concentration over the range of 100 to 500 </w:t>
      </w:r>
      <w:proofErr w:type="spellStart"/>
      <w:r w:rsidRPr="00435AE9">
        <w:rPr>
          <w:rFonts w:ascii="Times New Roman" w:hAnsi="Times New Roman" w:cs="Times New Roman"/>
        </w:rPr>
        <w:t>ng</w:t>
      </w:r>
      <w:proofErr w:type="spellEnd"/>
      <w:r w:rsidRPr="00435AE9">
        <w:rPr>
          <w:rFonts w:ascii="Times New Roman" w:hAnsi="Times New Roman" w:cs="Times New Roman"/>
        </w:rPr>
        <w:t>/</w:t>
      </w:r>
      <w:proofErr w:type="spellStart"/>
      <w:r w:rsidRPr="00435AE9">
        <w:rPr>
          <w:rFonts w:ascii="Times New Roman" w:hAnsi="Times New Roman" w:cs="Times New Roman"/>
        </w:rPr>
        <w:t>mL.</w:t>
      </w:r>
      <w:proofErr w:type="spellEnd"/>
      <w:r w:rsidR="00E778C1">
        <w:rPr>
          <w:rFonts w:ascii="Times New Roman" w:hAnsi="Times New Roman" w:cs="Times New Roman"/>
        </w:rPr>
        <w:t xml:space="preserve">  Binding is mostly to albumin, with a lesser contribution by </w:t>
      </w:r>
      <w:r w:rsidR="005D1FCC">
        <w:rPr>
          <w:rFonts w:ascii="Times New Roman" w:hAnsi="Times New Roman" w:cs="Times New Roman"/>
        </w:rPr>
        <w:t>α</w:t>
      </w:r>
      <w:r w:rsidR="00CB5978" w:rsidRPr="00780759">
        <w:rPr>
          <w:rFonts w:ascii="Times New Roman" w:hAnsi="Times New Roman" w:cs="Times New Roman"/>
          <w:vertAlign w:val="subscript"/>
        </w:rPr>
        <w:t>1</w:t>
      </w:r>
      <w:r w:rsidR="00E778C1">
        <w:rPr>
          <w:rFonts w:ascii="Times New Roman" w:hAnsi="Times New Roman" w:cs="Times New Roman"/>
        </w:rPr>
        <w:t>–acid glycoprotein.</w:t>
      </w:r>
    </w:p>
    <w:p w14:paraId="005A5208" w14:textId="77777777" w:rsidR="00435AE9" w:rsidRPr="00435AE9" w:rsidRDefault="00435AE9" w:rsidP="00435AE9">
      <w:pPr>
        <w:numPr>
          <w:ilvl w:val="12"/>
          <w:numId w:val="0"/>
        </w:numPr>
        <w:spacing w:after="0" w:line="240" w:lineRule="auto"/>
        <w:contextualSpacing/>
        <w:rPr>
          <w:rFonts w:ascii="Times New Roman" w:hAnsi="Times New Roman" w:cs="Times New Roman"/>
          <w:u w:val="single"/>
        </w:rPr>
      </w:pPr>
    </w:p>
    <w:p w14:paraId="2409A393" w14:textId="77777777" w:rsidR="00435AE9" w:rsidRPr="00435AE9" w:rsidRDefault="00435AE9" w:rsidP="00435AE9">
      <w:pPr>
        <w:keepNext/>
        <w:numPr>
          <w:ilvl w:val="12"/>
          <w:numId w:val="0"/>
        </w:numPr>
        <w:spacing w:after="0" w:line="240" w:lineRule="auto"/>
        <w:contextualSpacing/>
        <w:rPr>
          <w:rFonts w:ascii="Times New Roman" w:hAnsi="Times New Roman" w:cs="Times New Roman"/>
          <w:u w:val="single"/>
        </w:rPr>
      </w:pPr>
      <w:r w:rsidRPr="00435AE9">
        <w:rPr>
          <w:rFonts w:ascii="Times New Roman" w:hAnsi="Times New Roman" w:cs="Times New Roman"/>
          <w:u w:val="single"/>
        </w:rPr>
        <w:t>Metabolism</w:t>
      </w:r>
    </w:p>
    <w:p w14:paraId="20D4FE63" w14:textId="005F8DE7" w:rsidR="00435AE9" w:rsidRPr="00435AE9" w:rsidRDefault="00435AE9" w:rsidP="00435AE9">
      <w:pPr>
        <w:keepNext/>
        <w:numPr>
          <w:ilvl w:val="12"/>
          <w:numId w:val="0"/>
        </w:numPr>
        <w:spacing w:after="0" w:line="240" w:lineRule="auto"/>
        <w:contextualSpacing/>
        <w:rPr>
          <w:rFonts w:ascii="Times New Roman" w:hAnsi="Times New Roman" w:cs="Times New Roman"/>
        </w:rPr>
      </w:pPr>
      <w:r w:rsidRPr="00435AE9">
        <w:rPr>
          <w:rFonts w:ascii="Times New Roman" w:hAnsi="Times New Roman" w:cs="Times New Roman"/>
          <w:i/>
        </w:rPr>
        <w:t>In vitro</w:t>
      </w:r>
      <w:r w:rsidRPr="00435AE9">
        <w:rPr>
          <w:rFonts w:ascii="Times New Roman" w:hAnsi="Times New Roman" w:cs="Times New Roman"/>
        </w:rPr>
        <w:t xml:space="preserve"> studies indicate that plitidepsin undergoes metabolism </w:t>
      </w:r>
      <w:r w:rsidR="007E3DBD">
        <w:rPr>
          <w:rFonts w:ascii="Times New Roman" w:hAnsi="Times New Roman" w:cs="Times New Roman"/>
        </w:rPr>
        <w:t>in the liver and also the plasma</w:t>
      </w:r>
      <w:r w:rsidRPr="00435AE9">
        <w:rPr>
          <w:rFonts w:ascii="Times New Roman" w:hAnsi="Times New Roman" w:cs="Times New Roman"/>
        </w:rPr>
        <w:t xml:space="preserve">. Experiments performed with human </w:t>
      </w:r>
      <w:r w:rsidR="00434BC0">
        <w:rPr>
          <w:rFonts w:ascii="Times New Roman" w:hAnsi="Times New Roman" w:cs="Times New Roman"/>
        </w:rPr>
        <w:t xml:space="preserve">liver </w:t>
      </w:r>
      <w:r w:rsidRPr="00435AE9">
        <w:rPr>
          <w:rFonts w:ascii="Times New Roman" w:hAnsi="Times New Roman" w:cs="Times New Roman"/>
        </w:rPr>
        <w:t xml:space="preserve">microsomes (both </w:t>
      </w:r>
      <w:r w:rsidR="00434BC0">
        <w:rPr>
          <w:rFonts w:ascii="Times New Roman" w:hAnsi="Times New Roman" w:cs="Times New Roman"/>
        </w:rPr>
        <w:t>sexes</w:t>
      </w:r>
      <w:r w:rsidRPr="00435AE9">
        <w:rPr>
          <w:rFonts w:ascii="Times New Roman" w:hAnsi="Times New Roman" w:cs="Times New Roman"/>
        </w:rPr>
        <w:t xml:space="preserve">) and </w:t>
      </w:r>
      <w:r w:rsidR="00877656">
        <w:rPr>
          <w:rFonts w:ascii="Times New Roman" w:hAnsi="Times New Roman" w:cs="Times New Roman"/>
        </w:rPr>
        <w:t>recombinant</w:t>
      </w:r>
      <w:r w:rsidRPr="00435AE9">
        <w:rPr>
          <w:rFonts w:ascii="Times New Roman" w:hAnsi="Times New Roman" w:cs="Times New Roman"/>
        </w:rPr>
        <w:t xml:space="preserve"> CYP isoforms pointed to CYP3A4 as the main isoform involved in the phase I metabolism of plitidepsin, </w:t>
      </w:r>
      <w:r w:rsidR="00877656">
        <w:rPr>
          <w:rFonts w:ascii="Times New Roman" w:hAnsi="Times New Roman" w:cs="Times New Roman"/>
        </w:rPr>
        <w:t>with smaller contributions</w:t>
      </w:r>
      <w:r w:rsidR="00877656" w:rsidRPr="00435AE9">
        <w:rPr>
          <w:rFonts w:ascii="Times New Roman" w:hAnsi="Times New Roman" w:cs="Times New Roman"/>
        </w:rPr>
        <w:t xml:space="preserve"> </w:t>
      </w:r>
      <w:r w:rsidRPr="00435AE9">
        <w:rPr>
          <w:rFonts w:ascii="Times New Roman" w:hAnsi="Times New Roman" w:cs="Times New Roman"/>
        </w:rPr>
        <w:t>by CYP2A6</w:t>
      </w:r>
      <w:r w:rsidR="00877656">
        <w:rPr>
          <w:rFonts w:ascii="Times New Roman" w:hAnsi="Times New Roman" w:cs="Times New Roman"/>
        </w:rPr>
        <w:t>,</w:t>
      </w:r>
      <w:r w:rsidRPr="00435AE9">
        <w:rPr>
          <w:rFonts w:ascii="Times New Roman" w:hAnsi="Times New Roman" w:cs="Times New Roman"/>
        </w:rPr>
        <w:t xml:space="preserve"> CYP2E1</w:t>
      </w:r>
      <w:r w:rsidR="00877656">
        <w:rPr>
          <w:rFonts w:ascii="Times New Roman" w:hAnsi="Times New Roman" w:cs="Times New Roman"/>
        </w:rPr>
        <w:t xml:space="preserve"> and CYP4A11</w:t>
      </w:r>
      <w:r w:rsidRPr="00435AE9">
        <w:rPr>
          <w:rFonts w:ascii="Times New Roman" w:hAnsi="Times New Roman" w:cs="Times New Roman"/>
        </w:rPr>
        <w:t>.</w:t>
      </w:r>
      <w:r w:rsidR="00877656">
        <w:rPr>
          <w:rFonts w:ascii="Times New Roman" w:hAnsi="Times New Roman" w:cs="Times New Roman"/>
        </w:rPr>
        <w:t xml:space="preserve">  The contribution of phase II-mediated metabolism is negligible.</w:t>
      </w:r>
    </w:p>
    <w:p w14:paraId="262FEA31" w14:textId="77777777" w:rsidR="00435AE9" w:rsidRPr="00435AE9" w:rsidRDefault="00435AE9" w:rsidP="00435AE9">
      <w:pPr>
        <w:numPr>
          <w:ilvl w:val="12"/>
          <w:numId w:val="0"/>
        </w:numPr>
        <w:spacing w:after="0" w:line="240" w:lineRule="auto"/>
        <w:contextualSpacing/>
        <w:rPr>
          <w:rFonts w:ascii="Times New Roman" w:hAnsi="Times New Roman" w:cs="Times New Roman"/>
        </w:rPr>
      </w:pPr>
      <w:r w:rsidRPr="00435AE9">
        <w:rPr>
          <w:rFonts w:ascii="Times New Roman" w:hAnsi="Times New Roman" w:cs="Times New Roman"/>
        </w:rPr>
        <w:t xml:space="preserve">Plitidepsin experiences a moderate clearance in plasma from humans, suggesting the involvement of plasma esterases as an additional route of its metabolism. Owing to its distribution in blood cells, unchanged plitidepsin was the major circulating component (95% of radioactivity in the systemic circulation) </w:t>
      </w:r>
      <w:r w:rsidRPr="00435AE9">
        <w:rPr>
          <w:rFonts w:ascii="Times New Roman" w:hAnsi="Times New Roman" w:cs="Times New Roman"/>
          <w:i/>
          <w:iCs/>
        </w:rPr>
        <w:t xml:space="preserve">in vivo </w:t>
      </w:r>
      <w:r w:rsidRPr="00435AE9">
        <w:rPr>
          <w:rFonts w:ascii="Times New Roman" w:hAnsi="Times New Roman" w:cs="Times New Roman"/>
        </w:rPr>
        <w:t>in patients with cancer who received a single dose of [</w:t>
      </w:r>
      <w:r w:rsidRPr="00435AE9">
        <w:rPr>
          <w:rFonts w:ascii="Times New Roman" w:hAnsi="Times New Roman" w:cs="Times New Roman"/>
          <w:vertAlign w:val="superscript"/>
        </w:rPr>
        <w:t>14</w:t>
      </w:r>
      <w:r w:rsidRPr="00435AE9">
        <w:rPr>
          <w:rFonts w:ascii="Times New Roman" w:hAnsi="Times New Roman" w:cs="Times New Roman"/>
        </w:rPr>
        <w:t>C]-plitidepsin (2.2 mg). In plasma, the radioactivity measured was less explained by the parent compound as time after dosing increases, resulting in 30% of the administered dose, thus suggesting a gradual formation of metabolites. None of them was present at a relevant concentration relative to unchanged plitidepsin or total radioactivity in plasma.</w:t>
      </w:r>
    </w:p>
    <w:p w14:paraId="1738258E" w14:textId="77777777" w:rsidR="00435AE9" w:rsidRPr="00435AE9" w:rsidRDefault="00435AE9" w:rsidP="00435AE9">
      <w:pPr>
        <w:numPr>
          <w:ilvl w:val="12"/>
          <w:numId w:val="0"/>
        </w:numPr>
        <w:spacing w:after="0" w:line="240" w:lineRule="auto"/>
        <w:contextualSpacing/>
        <w:rPr>
          <w:rFonts w:ascii="Times New Roman" w:hAnsi="Times New Roman" w:cs="Times New Roman"/>
          <w:u w:val="single"/>
        </w:rPr>
      </w:pPr>
    </w:p>
    <w:p w14:paraId="60058490" w14:textId="6CD39A5A" w:rsidR="00435AE9" w:rsidRPr="00435AE9" w:rsidRDefault="00602A38" w:rsidP="00435AE9">
      <w:pPr>
        <w:keepNext/>
        <w:numPr>
          <w:ilvl w:val="12"/>
          <w:numId w:val="0"/>
        </w:numPr>
        <w:spacing w:after="0" w:line="240" w:lineRule="auto"/>
        <w:contextualSpacing/>
        <w:rPr>
          <w:rFonts w:ascii="Times New Roman" w:hAnsi="Times New Roman" w:cs="Times New Roman"/>
          <w:u w:val="single"/>
        </w:rPr>
      </w:pPr>
      <w:r>
        <w:rPr>
          <w:rFonts w:ascii="Times New Roman" w:hAnsi="Times New Roman" w:cs="Times New Roman"/>
          <w:u w:val="single"/>
        </w:rPr>
        <w:t>Excretion</w:t>
      </w:r>
    </w:p>
    <w:p w14:paraId="4EBB6932" w14:textId="77777777" w:rsidR="00435AE9" w:rsidRPr="00435AE9" w:rsidRDefault="00435AE9" w:rsidP="00435AE9">
      <w:pPr>
        <w:pStyle w:val="Default"/>
        <w:keepNext/>
        <w:contextualSpacing/>
        <w:rPr>
          <w:rFonts w:ascii="Times New Roman" w:hAnsi="Times New Roman" w:cs="Times New Roman"/>
          <w:sz w:val="22"/>
          <w:szCs w:val="22"/>
        </w:rPr>
      </w:pPr>
      <w:r w:rsidRPr="00435AE9">
        <w:rPr>
          <w:rFonts w:ascii="Times New Roman" w:hAnsi="Times New Roman" w:cs="Times New Roman"/>
          <w:sz w:val="22"/>
          <w:szCs w:val="22"/>
        </w:rPr>
        <w:t xml:space="preserve">Plitidepsin has a population estimated for plasma clearance of 5.4 L/h (coefficient of variation [CV] 46%), and a long terminal half-life of approximately 6 days. No significant accumulation of plitidepsin is observed on biweekly administration. </w:t>
      </w:r>
    </w:p>
    <w:p w14:paraId="06BF77B0" w14:textId="77777777" w:rsidR="00435AE9" w:rsidRPr="00435AE9" w:rsidRDefault="00435AE9" w:rsidP="00435AE9">
      <w:pPr>
        <w:numPr>
          <w:ilvl w:val="12"/>
          <w:numId w:val="0"/>
        </w:numPr>
        <w:spacing w:after="0" w:line="240" w:lineRule="auto"/>
        <w:contextualSpacing/>
        <w:rPr>
          <w:rFonts w:ascii="Times New Roman" w:hAnsi="Times New Roman" w:cs="Times New Roman"/>
        </w:rPr>
      </w:pPr>
      <w:r w:rsidRPr="00435AE9">
        <w:rPr>
          <w:rFonts w:ascii="Times New Roman" w:hAnsi="Times New Roman" w:cs="Times New Roman"/>
        </w:rPr>
        <w:t xml:space="preserve">Plitidepsin is eliminated primarily by biliary excretion. The transport protein involved in the excretion is presently unknown, although preclinical </w:t>
      </w:r>
      <w:r w:rsidRPr="00435AE9">
        <w:rPr>
          <w:rFonts w:ascii="Times New Roman" w:hAnsi="Times New Roman" w:cs="Times New Roman"/>
          <w:i/>
        </w:rPr>
        <w:t xml:space="preserve">in vitro </w:t>
      </w:r>
      <w:r w:rsidRPr="00435AE9">
        <w:rPr>
          <w:rFonts w:ascii="Times New Roman" w:hAnsi="Times New Roman" w:cs="Times New Roman"/>
        </w:rPr>
        <w:t>studies indicate that plitidepsin is transported by P-glycoprotein (</w:t>
      </w:r>
      <w:proofErr w:type="spellStart"/>
      <w:r w:rsidRPr="00435AE9">
        <w:rPr>
          <w:rFonts w:ascii="Times New Roman" w:hAnsi="Times New Roman" w:cs="Times New Roman"/>
        </w:rPr>
        <w:t>Pgp</w:t>
      </w:r>
      <w:proofErr w:type="spellEnd"/>
      <w:r w:rsidRPr="00435AE9">
        <w:rPr>
          <w:rFonts w:ascii="Times New Roman" w:hAnsi="Times New Roman" w:cs="Times New Roman"/>
        </w:rPr>
        <w:t xml:space="preserve">). </w:t>
      </w:r>
    </w:p>
    <w:p w14:paraId="7A5F4A37" w14:textId="77777777" w:rsidR="00435AE9" w:rsidRPr="00435AE9" w:rsidRDefault="00435AE9" w:rsidP="00435AE9">
      <w:pPr>
        <w:numPr>
          <w:ilvl w:val="12"/>
          <w:numId w:val="0"/>
        </w:numPr>
        <w:spacing w:after="0" w:line="240" w:lineRule="auto"/>
        <w:contextualSpacing/>
        <w:rPr>
          <w:rFonts w:ascii="Times New Roman" w:hAnsi="Times New Roman" w:cs="Times New Roman"/>
          <w:u w:val="single"/>
        </w:rPr>
      </w:pPr>
    </w:p>
    <w:p w14:paraId="34AF116C" w14:textId="77777777" w:rsidR="00435AE9" w:rsidRPr="00435AE9" w:rsidRDefault="00435AE9" w:rsidP="00435AE9">
      <w:pPr>
        <w:numPr>
          <w:ilvl w:val="12"/>
          <w:numId w:val="0"/>
        </w:numPr>
        <w:spacing w:after="0" w:line="240" w:lineRule="auto"/>
        <w:contextualSpacing/>
        <w:rPr>
          <w:rFonts w:ascii="Times New Roman" w:hAnsi="Times New Roman" w:cs="Times New Roman"/>
          <w:iCs/>
          <w:noProof/>
          <w:u w:val="single"/>
        </w:rPr>
      </w:pPr>
      <w:r w:rsidRPr="00435AE9">
        <w:rPr>
          <w:rFonts w:ascii="Times New Roman" w:hAnsi="Times New Roman" w:cs="Times New Roman"/>
          <w:iCs/>
          <w:noProof/>
          <w:u w:val="single"/>
        </w:rPr>
        <w:t>Linearity/non-linearity</w:t>
      </w:r>
    </w:p>
    <w:p w14:paraId="3B3C3660" w14:textId="77777777" w:rsidR="00435AE9" w:rsidRPr="00435AE9" w:rsidRDefault="00435AE9" w:rsidP="00435AE9">
      <w:pPr>
        <w:pStyle w:val="Default"/>
        <w:contextualSpacing/>
        <w:rPr>
          <w:rFonts w:ascii="Times New Roman" w:hAnsi="Times New Roman" w:cs="Times New Roman"/>
          <w:sz w:val="22"/>
          <w:szCs w:val="22"/>
        </w:rPr>
      </w:pPr>
      <w:r w:rsidRPr="00435AE9">
        <w:rPr>
          <w:rFonts w:ascii="Times New Roman" w:hAnsi="Times New Roman" w:cs="Times New Roman"/>
          <w:sz w:val="22"/>
          <w:szCs w:val="22"/>
        </w:rPr>
        <w:t>Studies in patients have demonstrated linear pharmacokinetics in the dose range of 2.0 to 5.0 mg/m</w:t>
      </w:r>
      <w:r w:rsidRPr="00435AE9">
        <w:rPr>
          <w:rFonts w:ascii="Times New Roman" w:hAnsi="Times New Roman" w:cs="Times New Roman"/>
          <w:sz w:val="22"/>
          <w:szCs w:val="22"/>
          <w:vertAlign w:val="superscript"/>
        </w:rPr>
        <w:t>2</w:t>
      </w:r>
      <w:r w:rsidRPr="00435AE9">
        <w:rPr>
          <w:rFonts w:ascii="Times New Roman" w:hAnsi="Times New Roman" w:cs="Times New Roman"/>
          <w:sz w:val="22"/>
          <w:szCs w:val="22"/>
        </w:rPr>
        <w:t>.</w:t>
      </w:r>
    </w:p>
    <w:p w14:paraId="0FFEC80F" w14:textId="77777777" w:rsidR="00435AE9" w:rsidRPr="00435AE9" w:rsidRDefault="00435AE9" w:rsidP="00435AE9">
      <w:pPr>
        <w:numPr>
          <w:ilvl w:val="12"/>
          <w:numId w:val="0"/>
        </w:numPr>
        <w:spacing w:after="0" w:line="240" w:lineRule="auto"/>
        <w:contextualSpacing/>
        <w:rPr>
          <w:rFonts w:ascii="Times New Roman" w:hAnsi="Times New Roman" w:cs="Times New Roman"/>
          <w:iCs/>
          <w:noProof/>
          <w:u w:val="single"/>
        </w:rPr>
      </w:pPr>
    </w:p>
    <w:p w14:paraId="3C4DB05B" w14:textId="77777777" w:rsidR="00435AE9" w:rsidRPr="00435AE9" w:rsidRDefault="00435AE9" w:rsidP="00435AE9">
      <w:pPr>
        <w:numPr>
          <w:ilvl w:val="12"/>
          <w:numId w:val="0"/>
        </w:numPr>
        <w:spacing w:after="0" w:line="240" w:lineRule="auto"/>
        <w:contextualSpacing/>
        <w:rPr>
          <w:rFonts w:ascii="Times New Roman" w:hAnsi="Times New Roman" w:cs="Times New Roman"/>
          <w:iCs/>
          <w:noProof/>
          <w:u w:val="single"/>
        </w:rPr>
      </w:pPr>
      <w:r w:rsidRPr="00435AE9">
        <w:rPr>
          <w:rFonts w:ascii="Times New Roman" w:hAnsi="Times New Roman" w:cs="Times New Roman"/>
          <w:iCs/>
          <w:noProof/>
          <w:u w:val="single"/>
        </w:rPr>
        <w:t>Characteristics in specific groups</w:t>
      </w:r>
    </w:p>
    <w:p w14:paraId="0B7362C9" w14:textId="77777777" w:rsidR="00435AE9" w:rsidRPr="00435AE9" w:rsidRDefault="00435AE9" w:rsidP="00435AE9">
      <w:pPr>
        <w:numPr>
          <w:ilvl w:val="12"/>
          <w:numId w:val="0"/>
        </w:numPr>
        <w:spacing w:after="0" w:line="240" w:lineRule="auto"/>
        <w:contextualSpacing/>
        <w:rPr>
          <w:rFonts w:ascii="Times New Roman" w:hAnsi="Times New Roman" w:cs="Times New Roman"/>
          <w:iCs/>
          <w:noProof/>
          <w:u w:val="single"/>
        </w:rPr>
      </w:pPr>
    </w:p>
    <w:p w14:paraId="64A176AF" w14:textId="77777777" w:rsidR="00435AE9" w:rsidRPr="00435AE9" w:rsidRDefault="00435AE9" w:rsidP="00435AE9">
      <w:pPr>
        <w:spacing w:after="0" w:line="240" w:lineRule="auto"/>
        <w:contextualSpacing/>
        <w:rPr>
          <w:rFonts w:ascii="Times New Roman" w:hAnsi="Times New Roman" w:cs="Times New Roman"/>
          <w:i/>
        </w:rPr>
      </w:pPr>
      <w:r w:rsidRPr="00435AE9">
        <w:rPr>
          <w:rFonts w:ascii="Times New Roman" w:hAnsi="Times New Roman" w:cs="Times New Roman"/>
          <w:i/>
        </w:rPr>
        <w:t>Elderly</w:t>
      </w:r>
    </w:p>
    <w:p w14:paraId="21530439" w14:textId="77777777" w:rsidR="00435AE9" w:rsidRPr="00435AE9" w:rsidRDefault="00435AE9" w:rsidP="00435AE9">
      <w:pPr>
        <w:spacing w:after="0" w:line="240" w:lineRule="auto"/>
        <w:contextualSpacing/>
        <w:rPr>
          <w:rFonts w:ascii="Times New Roman" w:hAnsi="Times New Roman" w:cs="Times New Roman"/>
          <w:i/>
          <w:u w:val="single"/>
        </w:rPr>
      </w:pPr>
      <w:r w:rsidRPr="00435AE9">
        <w:rPr>
          <w:rFonts w:ascii="Times New Roman" w:hAnsi="Times New Roman" w:cs="Times New Roman"/>
        </w:rPr>
        <w:t>Population pharmacokinetic analyses included patients with ages ranging from 19 to 86 years old and indicate that age does not influence plitidepsin clearance (exposure in plasma).</w:t>
      </w:r>
    </w:p>
    <w:p w14:paraId="08D5C0B9" w14:textId="77777777" w:rsidR="00435AE9" w:rsidRPr="00435AE9" w:rsidRDefault="00435AE9" w:rsidP="00435AE9">
      <w:pPr>
        <w:spacing w:after="0" w:line="240" w:lineRule="auto"/>
        <w:contextualSpacing/>
        <w:rPr>
          <w:rFonts w:ascii="Times New Roman" w:hAnsi="Times New Roman" w:cs="Times New Roman"/>
          <w:i/>
          <w:u w:val="single"/>
        </w:rPr>
      </w:pPr>
    </w:p>
    <w:p w14:paraId="0B4F2DA9" w14:textId="77777777" w:rsidR="00435AE9" w:rsidRPr="00435AE9" w:rsidRDefault="00435AE9" w:rsidP="00435AE9">
      <w:pPr>
        <w:spacing w:after="0" w:line="240" w:lineRule="auto"/>
        <w:contextualSpacing/>
        <w:rPr>
          <w:rFonts w:ascii="Times New Roman" w:hAnsi="Times New Roman" w:cs="Times New Roman"/>
          <w:i/>
        </w:rPr>
      </w:pPr>
      <w:r w:rsidRPr="00435AE9">
        <w:rPr>
          <w:rFonts w:ascii="Times New Roman" w:hAnsi="Times New Roman" w:cs="Times New Roman"/>
          <w:i/>
        </w:rPr>
        <w:t>Renal impairment</w:t>
      </w:r>
    </w:p>
    <w:p w14:paraId="77976590" w14:textId="27DC02E4" w:rsidR="00435AE9" w:rsidRPr="00435AE9" w:rsidRDefault="00435AE9" w:rsidP="00435AE9">
      <w:pPr>
        <w:spacing w:after="0" w:line="240" w:lineRule="auto"/>
        <w:contextualSpacing/>
        <w:rPr>
          <w:rFonts w:ascii="Times New Roman" w:hAnsi="Times New Roman" w:cs="Times New Roman"/>
        </w:rPr>
      </w:pPr>
      <w:r w:rsidRPr="00435AE9">
        <w:rPr>
          <w:rFonts w:ascii="Times New Roman" w:hAnsi="Times New Roman" w:cs="Times New Roman"/>
        </w:rPr>
        <w:t xml:space="preserve">A small fraction of the plitidepsin dose is excreted in the urine, mostly as unchanged substance, thus indicating minimal effect of renal impairment on the excretion of plitidepsin. In addition, the plasma exposure of plitidepsin is not dependent on the GFR of patients with mild (GFR of 60-89 mL/min), moderate (GFR of 30-59 mL/min) or severe (15-29 mL/min) renal impairment. Therefore, adjustments to the starting dose in patients </w:t>
      </w:r>
      <w:r w:rsidR="00C744EE">
        <w:rPr>
          <w:rFonts w:ascii="Times New Roman" w:hAnsi="Times New Roman" w:cs="Times New Roman"/>
        </w:rPr>
        <w:t xml:space="preserve">with mild or moderate renal impairment </w:t>
      </w:r>
      <w:r w:rsidRPr="00435AE9">
        <w:rPr>
          <w:rFonts w:ascii="Times New Roman" w:hAnsi="Times New Roman" w:cs="Times New Roman"/>
        </w:rPr>
        <w:t xml:space="preserve">are not required. </w:t>
      </w:r>
      <w:r w:rsidR="00A85993">
        <w:rPr>
          <w:rFonts w:ascii="Times New Roman" w:eastAsia="Times New Roman" w:hAnsi="Times New Roman" w:cs="Times New Roman"/>
          <w:lang w:val="en-GB"/>
        </w:rPr>
        <w:t xml:space="preserve">However, </w:t>
      </w:r>
      <w:r w:rsidR="009D1E9B">
        <w:rPr>
          <w:rFonts w:ascii="Times New Roman" w:eastAsia="Times New Roman" w:hAnsi="Times New Roman" w:cs="Times New Roman"/>
          <w:lang w:val="en-GB"/>
        </w:rPr>
        <w:t xml:space="preserve">the </w:t>
      </w:r>
      <w:r w:rsidR="00A85993">
        <w:rPr>
          <w:rFonts w:ascii="Times New Roman" w:eastAsia="Times New Roman" w:hAnsi="Times New Roman" w:cs="Times New Roman"/>
          <w:lang w:val="en-GB"/>
        </w:rPr>
        <w:t xml:space="preserve">number of patients with severe renal impairment is too limited (n=5) to reach </w:t>
      </w:r>
      <w:r w:rsidR="009D1E9B">
        <w:rPr>
          <w:rFonts w:ascii="Times New Roman" w:eastAsia="Times New Roman" w:hAnsi="Times New Roman" w:cs="Times New Roman"/>
          <w:lang w:val="en-GB"/>
        </w:rPr>
        <w:t xml:space="preserve">a </w:t>
      </w:r>
      <w:r w:rsidR="00A85993">
        <w:rPr>
          <w:rFonts w:ascii="Times New Roman" w:eastAsia="Times New Roman" w:hAnsi="Times New Roman" w:cs="Times New Roman"/>
          <w:lang w:val="en-GB"/>
        </w:rPr>
        <w:t>firm conclusion.</w:t>
      </w:r>
      <w:r w:rsidR="00A85993" w:rsidRPr="00435AE9">
        <w:rPr>
          <w:rFonts w:ascii="Times New Roman" w:hAnsi="Times New Roman" w:cs="Times New Roman"/>
        </w:rPr>
        <w:t xml:space="preserve"> </w:t>
      </w:r>
      <w:r w:rsidRPr="00435AE9">
        <w:rPr>
          <w:rFonts w:ascii="Times New Roman" w:hAnsi="Times New Roman" w:cs="Times New Roman"/>
        </w:rPr>
        <w:t>The pharmacokinetics of plitidepsin in patients with end stage renal disease (GFR of &lt; 15 mL/min) has not been studied, so there is no data on the safety and efficacy of plitidepsin in this subgroup of patients.</w:t>
      </w:r>
    </w:p>
    <w:p w14:paraId="062035DC" w14:textId="77777777" w:rsidR="00435AE9" w:rsidRPr="00435AE9" w:rsidRDefault="00435AE9" w:rsidP="00435AE9">
      <w:pPr>
        <w:spacing w:after="0" w:line="240" w:lineRule="auto"/>
        <w:contextualSpacing/>
        <w:rPr>
          <w:rFonts w:ascii="Times New Roman" w:hAnsi="Times New Roman" w:cs="Times New Roman"/>
          <w:i/>
          <w:u w:val="single"/>
        </w:rPr>
      </w:pPr>
    </w:p>
    <w:p w14:paraId="1CBEE5CE" w14:textId="77777777" w:rsidR="00435AE9" w:rsidRPr="00435AE9" w:rsidRDefault="00435AE9" w:rsidP="00435AE9">
      <w:pPr>
        <w:spacing w:after="0" w:line="240" w:lineRule="auto"/>
        <w:contextualSpacing/>
        <w:rPr>
          <w:rFonts w:ascii="Times New Roman" w:hAnsi="Times New Roman" w:cs="Times New Roman"/>
          <w:i/>
        </w:rPr>
      </w:pPr>
      <w:r w:rsidRPr="00435AE9">
        <w:rPr>
          <w:rFonts w:ascii="Times New Roman" w:hAnsi="Times New Roman" w:cs="Times New Roman"/>
          <w:i/>
        </w:rPr>
        <w:t>Hepatic impairment</w:t>
      </w:r>
    </w:p>
    <w:p w14:paraId="6282E21B" w14:textId="77777777" w:rsidR="00435AE9" w:rsidRPr="00435AE9" w:rsidRDefault="00435AE9" w:rsidP="00435AE9">
      <w:pPr>
        <w:spacing w:after="0" w:line="240" w:lineRule="auto"/>
        <w:contextualSpacing/>
        <w:rPr>
          <w:rFonts w:ascii="Times New Roman" w:hAnsi="Times New Roman" w:cs="Times New Roman"/>
        </w:rPr>
      </w:pPr>
      <w:r w:rsidRPr="00435AE9">
        <w:rPr>
          <w:rFonts w:ascii="Times New Roman" w:hAnsi="Times New Roman" w:cs="Times New Roman"/>
        </w:rPr>
        <w:t>A formal clinical study to evaluate the impact of hepatic impairment on the pharmacokinetics of plitidepsin was not performed.</w:t>
      </w:r>
    </w:p>
    <w:p w14:paraId="3AEC5F06" w14:textId="41B30226" w:rsidR="000759CA" w:rsidRPr="00435AE9" w:rsidRDefault="00435AE9" w:rsidP="00435AE9">
      <w:pPr>
        <w:spacing w:after="0" w:line="240" w:lineRule="auto"/>
        <w:contextualSpacing/>
        <w:rPr>
          <w:rFonts w:ascii="Times New Roman" w:hAnsi="Times New Roman" w:cs="Times New Roman"/>
        </w:rPr>
      </w:pPr>
      <w:r w:rsidRPr="00435AE9">
        <w:rPr>
          <w:rFonts w:ascii="Times New Roman" w:hAnsi="Times New Roman" w:cs="Times New Roman"/>
        </w:rPr>
        <w:t>Most plitidepsin is eliminated via the liver; patients with cancer who received a single dose of [</w:t>
      </w:r>
      <w:r w:rsidRPr="00435AE9">
        <w:rPr>
          <w:rFonts w:ascii="Times New Roman" w:hAnsi="Times New Roman" w:cs="Times New Roman"/>
          <w:vertAlign w:val="superscript"/>
        </w:rPr>
        <w:t>14</w:t>
      </w:r>
      <w:r w:rsidRPr="00435AE9">
        <w:rPr>
          <w:rFonts w:ascii="Times New Roman" w:hAnsi="Times New Roman" w:cs="Times New Roman"/>
        </w:rPr>
        <w:t>C]-plitidepsin (2.2 mg) showed that 70% of total radioactivity was recuperated in faeces.</w:t>
      </w:r>
    </w:p>
    <w:p w14:paraId="0C6DF7C1" w14:textId="77777777" w:rsidR="00435AE9" w:rsidRPr="00435AE9" w:rsidRDefault="00435AE9" w:rsidP="00435AE9">
      <w:pPr>
        <w:spacing w:after="0" w:line="240" w:lineRule="auto"/>
        <w:contextualSpacing/>
        <w:rPr>
          <w:rFonts w:ascii="Times New Roman" w:hAnsi="Times New Roman" w:cs="Times New Roman"/>
        </w:rPr>
      </w:pPr>
      <w:r w:rsidRPr="00435AE9">
        <w:rPr>
          <w:rFonts w:ascii="Times New Roman" w:hAnsi="Times New Roman" w:cs="Times New Roman"/>
          <w:lang w:val="en-GB"/>
        </w:rPr>
        <w:lastRenderedPageBreak/>
        <w:t xml:space="preserve">Based on the population PK analysis, patients with alterations at baseline in markers of hepatic function (ALT, AST, bilirubin and serum albumin) treated with the compound did not present differences in plasma CL or volume of distribution. </w:t>
      </w:r>
    </w:p>
    <w:p w14:paraId="71C64F7F" w14:textId="77777777" w:rsidR="00435AE9" w:rsidRPr="00435AE9" w:rsidRDefault="00435AE9" w:rsidP="00435AE9">
      <w:pPr>
        <w:spacing w:after="0" w:line="240" w:lineRule="auto"/>
        <w:contextualSpacing/>
        <w:rPr>
          <w:rFonts w:ascii="Times New Roman" w:hAnsi="Times New Roman" w:cs="Times New Roman"/>
        </w:rPr>
      </w:pPr>
      <w:r w:rsidRPr="00435AE9">
        <w:rPr>
          <w:rFonts w:ascii="Times New Roman" w:hAnsi="Times New Roman" w:cs="Times New Roman"/>
        </w:rPr>
        <w:t>In addition, the clearance of plitidepsin is not different in patients with and without liver metastasis. Despite the results from the population analysis, plitidepsin should not be used in patients with impaired hepatic function.</w:t>
      </w:r>
    </w:p>
    <w:p w14:paraId="5FE4B7AA" w14:textId="77777777" w:rsidR="00435AE9" w:rsidRPr="00435AE9" w:rsidRDefault="00435AE9" w:rsidP="00435AE9">
      <w:pPr>
        <w:numPr>
          <w:ilvl w:val="12"/>
          <w:numId w:val="0"/>
        </w:numPr>
        <w:spacing w:after="0" w:line="240" w:lineRule="auto"/>
        <w:contextualSpacing/>
        <w:rPr>
          <w:rFonts w:ascii="Times New Roman" w:hAnsi="Times New Roman" w:cs="Times New Roman"/>
          <w:iCs/>
          <w:noProof/>
          <w:u w:val="single"/>
        </w:rPr>
      </w:pPr>
    </w:p>
    <w:p w14:paraId="6466F0C3" w14:textId="77777777" w:rsidR="00435AE9" w:rsidRPr="00435AE9" w:rsidRDefault="00435AE9" w:rsidP="00435AE9">
      <w:pPr>
        <w:keepNext/>
        <w:numPr>
          <w:ilvl w:val="12"/>
          <w:numId w:val="0"/>
        </w:numPr>
        <w:spacing w:after="0" w:line="240" w:lineRule="auto"/>
        <w:contextualSpacing/>
        <w:rPr>
          <w:rFonts w:ascii="Times New Roman" w:hAnsi="Times New Roman" w:cs="Times New Roman"/>
          <w:i/>
          <w:iCs/>
          <w:noProof/>
        </w:rPr>
      </w:pPr>
      <w:r w:rsidRPr="00435AE9">
        <w:rPr>
          <w:rFonts w:ascii="Times New Roman" w:hAnsi="Times New Roman" w:cs="Times New Roman"/>
          <w:i/>
          <w:iCs/>
          <w:noProof/>
        </w:rPr>
        <w:t>Other intrinsic factors</w:t>
      </w:r>
    </w:p>
    <w:p w14:paraId="5C2F5A48" w14:textId="77777777" w:rsidR="00435AE9" w:rsidRPr="00435AE9" w:rsidRDefault="00435AE9" w:rsidP="00435AE9">
      <w:pPr>
        <w:keepNext/>
        <w:numPr>
          <w:ilvl w:val="12"/>
          <w:numId w:val="0"/>
        </w:numPr>
        <w:spacing w:after="0" w:line="240" w:lineRule="auto"/>
        <w:contextualSpacing/>
        <w:rPr>
          <w:rFonts w:ascii="Times New Roman" w:hAnsi="Times New Roman" w:cs="Times New Roman"/>
          <w:iCs/>
          <w:noProof/>
          <w:u w:val="single"/>
        </w:rPr>
      </w:pPr>
      <w:r w:rsidRPr="00435AE9">
        <w:rPr>
          <w:rFonts w:ascii="Times New Roman" w:hAnsi="Times New Roman" w:cs="Times New Roman"/>
          <w:iCs/>
          <w:noProof/>
        </w:rPr>
        <w:t xml:space="preserve">Population </w:t>
      </w:r>
      <w:r w:rsidRPr="00435AE9">
        <w:rPr>
          <w:rFonts w:ascii="Times New Roman" w:hAnsi="Times New Roman" w:cs="Times New Roman"/>
        </w:rPr>
        <w:t>pharmacokinetic analyses indicate that body weight (44-137 kg) and gender do not have a clinically relevant effect on plitidepsin clearance in adult patients. No differences were found in plitidepsin pharmacokinetics between patients of European and Asian descent.</w:t>
      </w:r>
    </w:p>
    <w:p w14:paraId="5D01C5DE" w14:textId="77777777" w:rsidR="00A448C9" w:rsidRPr="00435AE9" w:rsidRDefault="00A448C9" w:rsidP="00435AE9">
      <w:pPr>
        <w:spacing w:after="0" w:line="240" w:lineRule="auto"/>
        <w:contextualSpacing/>
        <w:rPr>
          <w:rFonts w:ascii="Times New Roman" w:hAnsi="Times New Roman" w:cs="Times New Roman"/>
        </w:rPr>
      </w:pPr>
    </w:p>
    <w:p w14:paraId="641D6EA3" w14:textId="2810C7C4" w:rsidR="001A3992" w:rsidRDefault="006D12B9" w:rsidP="007F54BB">
      <w:pPr>
        <w:pStyle w:val="Heading2"/>
        <w:numPr>
          <w:ilvl w:val="0"/>
          <w:numId w:val="0"/>
        </w:numPr>
        <w:spacing w:before="0" w:after="0" w:line="240" w:lineRule="auto"/>
        <w:ind w:hanging="426"/>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5.3</w:t>
      </w:r>
      <w:r w:rsidRPr="00355185">
        <w:rPr>
          <w:rFonts w:ascii="Times New Roman" w:eastAsiaTheme="majorEastAsia" w:hAnsi="Times New Roman" w:cs="Times New Roman"/>
          <w:b w:val="0"/>
          <w:bCs/>
          <w:smallCaps w:val="0"/>
          <w:sz w:val="26"/>
          <w:szCs w:val="26"/>
        </w:rPr>
        <w:tab/>
      </w:r>
      <w:r w:rsidR="001A3992" w:rsidRPr="00355185">
        <w:rPr>
          <w:rFonts w:ascii="Times New Roman" w:eastAsiaTheme="majorEastAsia" w:hAnsi="Times New Roman" w:cs="Times New Roman"/>
          <w:b w:val="0"/>
          <w:bCs/>
          <w:smallCaps w:val="0"/>
          <w:sz w:val="26"/>
          <w:szCs w:val="26"/>
        </w:rPr>
        <w:t>Preclinical safety data</w:t>
      </w:r>
    </w:p>
    <w:p w14:paraId="38607825" w14:textId="77777777" w:rsidR="007F56DD" w:rsidRDefault="007F56DD" w:rsidP="007F54BB">
      <w:pPr>
        <w:keepNext/>
        <w:spacing w:after="0" w:line="240" w:lineRule="auto"/>
        <w:rPr>
          <w:rFonts w:ascii="Times New Roman" w:hAnsi="Times New Roman" w:cs="Times New Roman"/>
          <w:u w:val="single"/>
        </w:rPr>
      </w:pPr>
    </w:p>
    <w:p w14:paraId="238B3CF7" w14:textId="1F526E5C" w:rsidR="007F54BB" w:rsidRPr="007F54BB" w:rsidRDefault="007F54BB" w:rsidP="007F54BB">
      <w:pPr>
        <w:keepNext/>
        <w:spacing w:after="0" w:line="240" w:lineRule="auto"/>
        <w:rPr>
          <w:rFonts w:ascii="Times New Roman" w:hAnsi="Times New Roman" w:cs="Times New Roman"/>
          <w:u w:val="single"/>
        </w:rPr>
      </w:pPr>
      <w:r w:rsidRPr="007F54BB">
        <w:rPr>
          <w:rFonts w:ascii="Times New Roman" w:hAnsi="Times New Roman" w:cs="Times New Roman"/>
          <w:u w:val="single"/>
        </w:rPr>
        <w:t xml:space="preserve">Genotoxicity </w:t>
      </w:r>
    </w:p>
    <w:p w14:paraId="58DAD38C" w14:textId="2454A18D" w:rsidR="007F54BB" w:rsidRPr="00011C8C" w:rsidRDefault="00011C8C" w:rsidP="007F54BB">
      <w:pPr>
        <w:spacing w:after="0" w:line="240" w:lineRule="auto"/>
        <w:rPr>
          <w:rFonts w:ascii="Times New Roman" w:hAnsi="Times New Roman" w:cs="Times New Roman"/>
        </w:rPr>
      </w:pPr>
      <w:r>
        <w:rPr>
          <w:rFonts w:ascii="Times New Roman" w:hAnsi="Times New Roman" w:cs="Times New Roman"/>
        </w:rPr>
        <w:t xml:space="preserve">Genotoxicity was observed with plitidepsin </w:t>
      </w:r>
      <w:r>
        <w:rPr>
          <w:rFonts w:ascii="Times New Roman" w:hAnsi="Times New Roman" w:cs="Times New Roman"/>
          <w:i/>
        </w:rPr>
        <w:t>in vitro</w:t>
      </w:r>
      <w:r>
        <w:rPr>
          <w:rFonts w:ascii="Times New Roman" w:hAnsi="Times New Roman" w:cs="Times New Roman"/>
        </w:rPr>
        <w:t xml:space="preserve"> in the mouse lymphoma </w:t>
      </w:r>
      <w:proofErr w:type="spellStart"/>
      <w:r>
        <w:rPr>
          <w:rFonts w:ascii="Times New Roman" w:hAnsi="Times New Roman" w:cs="Times New Roman"/>
        </w:rPr>
        <w:t>tk</w:t>
      </w:r>
      <w:proofErr w:type="spellEnd"/>
      <w:r>
        <w:rPr>
          <w:rFonts w:ascii="Times New Roman" w:hAnsi="Times New Roman" w:cs="Times New Roman"/>
        </w:rPr>
        <w:t xml:space="preserve"> assay, occurring in conjunction with marked cytotoxicity.  Plitidepsin was not mutagenic in the bacterial reverse mutation assay (Ames test).</w:t>
      </w:r>
    </w:p>
    <w:p w14:paraId="3BAE3D20" w14:textId="77777777" w:rsidR="007F54BB" w:rsidRDefault="007F54BB" w:rsidP="007F54BB">
      <w:pPr>
        <w:spacing w:after="0" w:line="240" w:lineRule="auto"/>
        <w:rPr>
          <w:rFonts w:ascii="Times New Roman" w:hAnsi="Times New Roman" w:cs="Times New Roman"/>
        </w:rPr>
      </w:pPr>
    </w:p>
    <w:p w14:paraId="290E4AD5" w14:textId="5DF28391" w:rsidR="007F54BB" w:rsidRPr="007F54BB" w:rsidRDefault="007F54BB" w:rsidP="007F54BB">
      <w:pPr>
        <w:spacing w:after="0" w:line="240" w:lineRule="auto"/>
        <w:rPr>
          <w:rFonts w:ascii="Times New Roman" w:hAnsi="Times New Roman" w:cs="Times New Roman"/>
        </w:rPr>
      </w:pPr>
      <w:r w:rsidRPr="007F54BB">
        <w:rPr>
          <w:rFonts w:ascii="Times New Roman" w:hAnsi="Times New Roman" w:cs="Times New Roman"/>
          <w:u w:val="single"/>
        </w:rPr>
        <w:t>Carcinogenicity</w:t>
      </w:r>
    </w:p>
    <w:p w14:paraId="26CC762F" w14:textId="366C1F2D" w:rsidR="00A448C9" w:rsidRDefault="00832EEA" w:rsidP="007F54BB">
      <w:pPr>
        <w:keepNext/>
        <w:spacing w:after="0" w:line="240" w:lineRule="auto"/>
        <w:rPr>
          <w:rFonts w:ascii="Times New Roman" w:hAnsi="Times New Roman" w:cs="Times New Roman"/>
        </w:rPr>
      </w:pPr>
      <w:r>
        <w:rPr>
          <w:rFonts w:ascii="Times New Roman" w:hAnsi="Times New Roman" w:cs="Times New Roman"/>
        </w:rPr>
        <w:t>C</w:t>
      </w:r>
      <w:r w:rsidR="007F54BB" w:rsidRPr="007F54BB">
        <w:rPr>
          <w:rFonts w:ascii="Times New Roman" w:hAnsi="Times New Roman" w:cs="Times New Roman"/>
        </w:rPr>
        <w:t xml:space="preserve">arcinogenicity studies have not been performed </w:t>
      </w:r>
      <w:r>
        <w:rPr>
          <w:rFonts w:ascii="Times New Roman" w:hAnsi="Times New Roman" w:cs="Times New Roman"/>
        </w:rPr>
        <w:t>with</w:t>
      </w:r>
      <w:r w:rsidR="007F54BB" w:rsidRPr="007F54BB">
        <w:rPr>
          <w:rFonts w:ascii="Times New Roman" w:hAnsi="Times New Roman" w:cs="Times New Roman"/>
        </w:rPr>
        <w:t xml:space="preserve"> plitidepsin.</w:t>
      </w:r>
    </w:p>
    <w:p w14:paraId="2AE4C05B" w14:textId="77777777" w:rsidR="007F54BB" w:rsidRPr="007F54BB" w:rsidRDefault="007F54BB" w:rsidP="007F54BB">
      <w:pPr>
        <w:keepNext/>
        <w:spacing w:after="0" w:line="240" w:lineRule="auto"/>
        <w:rPr>
          <w:rFonts w:ascii="Times New Roman" w:hAnsi="Times New Roman" w:cs="Times New Roman"/>
        </w:rPr>
      </w:pPr>
    </w:p>
    <w:p w14:paraId="582A5135" w14:textId="77777777" w:rsidR="001A3992" w:rsidRPr="00355185" w:rsidRDefault="001A3992" w:rsidP="00645AC8">
      <w:pPr>
        <w:pStyle w:val="Heading1"/>
        <w:spacing w:before="0" w:line="240" w:lineRule="auto"/>
        <w:ind w:left="0" w:hanging="425"/>
        <w:rPr>
          <w:rFonts w:ascii="Times New Roman" w:hAnsi="Times New Roman" w:cs="Times New Roman"/>
          <w:b w:val="0"/>
          <w:lang w:val="en-US"/>
        </w:rPr>
      </w:pPr>
      <w:r w:rsidRPr="00355185">
        <w:rPr>
          <w:rFonts w:ascii="Times New Roman" w:hAnsi="Times New Roman" w:cs="Times New Roman"/>
          <w:b w:val="0"/>
          <w:lang w:val="en-US"/>
        </w:rPr>
        <w:t>Pharmaceutical particulars</w:t>
      </w:r>
    </w:p>
    <w:p w14:paraId="6A7A50F8" w14:textId="18E2768E" w:rsidR="001A3992" w:rsidRDefault="001A3992" w:rsidP="00645AC8">
      <w:pPr>
        <w:pStyle w:val="Heading2"/>
        <w:spacing w:before="0" w:after="0" w:line="240" w:lineRule="auto"/>
        <w:ind w:left="0" w:hanging="425"/>
        <w:rPr>
          <w:rFonts w:ascii="Times New Roman" w:eastAsiaTheme="majorEastAsia" w:hAnsi="Times New Roman" w:cs="Times New Roman"/>
          <w:b w:val="0"/>
          <w:bCs/>
          <w:smallCaps w:val="0"/>
          <w:sz w:val="22"/>
        </w:rPr>
      </w:pPr>
      <w:r w:rsidRPr="00355185">
        <w:rPr>
          <w:rFonts w:ascii="Times New Roman" w:eastAsiaTheme="majorEastAsia" w:hAnsi="Times New Roman" w:cs="Times New Roman"/>
          <w:b w:val="0"/>
          <w:bCs/>
          <w:smallCaps w:val="0"/>
          <w:sz w:val="26"/>
          <w:szCs w:val="26"/>
        </w:rPr>
        <w:t xml:space="preserve">List of excipients </w:t>
      </w:r>
    </w:p>
    <w:p w14:paraId="568C3EAC" w14:textId="0235D97D" w:rsidR="00D6472F" w:rsidRPr="00D6472F" w:rsidRDefault="00D6472F" w:rsidP="00D6472F">
      <w:pPr>
        <w:keepNext/>
        <w:spacing w:after="0" w:line="240" w:lineRule="auto"/>
        <w:rPr>
          <w:rFonts w:ascii="Times New Roman" w:hAnsi="Times New Roman" w:cs="Times New Roman"/>
          <w:u w:val="single"/>
        </w:rPr>
      </w:pPr>
      <w:r w:rsidRPr="00D6472F">
        <w:rPr>
          <w:rFonts w:ascii="Times New Roman" w:hAnsi="Times New Roman" w:cs="Times New Roman"/>
          <w:u w:val="single"/>
        </w:rPr>
        <w:t>Powder</w:t>
      </w:r>
      <w:r w:rsidR="00102F72">
        <w:rPr>
          <w:rFonts w:ascii="Times New Roman" w:hAnsi="Times New Roman" w:cs="Times New Roman"/>
          <w:u w:val="single"/>
        </w:rPr>
        <w:t>:</w:t>
      </w:r>
    </w:p>
    <w:p w14:paraId="5AB17F89" w14:textId="0721C7FA" w:rsidR="00D6472F" w:rsidRPr="00D6472F" w:rsidRDefault="00D6472F" w:rsidP="00D6472F">
      <w:pPr>
        <w:keepNext/>
        <w:spacing w:after="0" w:line="240" w:lineRule="auto"/>
        <w:rPr>
          <w:rFonts w:ascii="Times New Roman" w:hAnsi="Times New Roman" w:cs="Times New Roman"/>
        </w:rPr>
      </w:pPr>
      <w:r w:rsidRPr="00D6472F">
        <w:rPr>
          <w:rFonts w:ascii="Times New Roman" w:hAnsi="Times New Roman" w:cs="Times New Roman"/>
        </w:rPr>
        <w:t>M</w:t>
      </w:r>
      <w:r>
        <w:rPr>
          <w:rFonts w:ascii="Times New Roman" w:hAnsi="Times New Roman" w:cs="Times New Roman"/>
        </w:rPr>
        <w:t>annitol</w:t>
      </w:r>
    </w:p>
    <w:p w14:paraId="667686EE" w14:textId="77777777" w:rsidR="00D6472F" w:rsidRPr="00D6472F" w:rsidRDefault="00D6472F" w:rsidP="00D6472F">
      <w:pPr>
        <w:spacing w:after="0" w:line="240" w:lineRule="auto"/>
        <w:rPr>
          <w:rFonts w:ascii="Times New Roman" w:hAnsi="Times New Roman" w:cs="Times New Roman"/>
        </w:rPr>
      </w:pPr>
    </w:p>
    <w:p w14:paraId="6C234255" w14:textId="6D9F193F" w:rsidR="00D6472F" w:rsidRPr="00D6472F" w:rsidRDefault="00D6472F" w:rsidP="00D6472F">
      <w:pPr>
        <w:spacing w:after="0" w:line="240" w:lineRule="auto"/>
        <w:rPr>
          <w:rFonts w:ascii="Times New Roman" w:hAnsi="Times New Roman" w:cs="Times New Roman"/>
          <w:u w:val="single"/>
        </w:rPr>
      </w:pPr>
      <w:r w:rsidRPr="00D6472F">
        <w:rPr>
          <w:rFonts w:ascii="Times New Roman" w:hAnsi="Times New Roman" w:cs="Times New Roman"/>
          <w:u w:val="single"/>
        </w:rPr>
        <w:t>Solvent</w:t>
      </w:r>
      <w:r w:rsidR="00102F72">
        <w:rPr>
          <w:rFonts w:ascii="Times New Roman" w:hAnsi="Times New Roman" w:cs="Times New Roman"/>
          <w:u w:val="single"/>
        </w:rPr>
        <w:t>:</w:t>
      </w:r>
    </w:p>
    <w:p w14:paraId="42EAECFE" w14:textId="376B9B27" w:rsidR="00A448C9" w:rsidRDefault="00D6472F" w:rsidP="00D6472F">
      <w:pPr>
        <w:spacing w:after="0" w:line="240" w:lineRule="auto"/>
        <w:rPr>
          <w:rFonts w:ascii="Times New Roman" w:hAnsi="Times New Roman" w:cs="Times New Roman"/>
        </w:rPr>
      </w:pPr>
      <w:r w:rsidRPr="00D6472F">
        <w:rPr>
          <w:rFonts w:ascii="Times New Roman" w:hAnsi="Times New Roman" w:cs="Times New Roman"/>
        </w:rPr>
        <w:t>PEG-35 castor oil</w:t>
      </w:r>
      <w:r w:rsidR="00FC626A">
        <w:rPr>
          <w:rFonts w:ascii="Times New Roman" w:hAnsi="Times New Roman" w:cs="Times New Roman"/>
        </w:rPr>
        <w:t xml:space="preserve">, </w:t>
      </w:r>
      <w:r w:rsidR="00FC626A" w:rsidRPr="00D6472F">
        <w:rPr>
          <w:rFonts w:ascii="Times New Roman" w:hAnsi="Times New Roman" w:cs="Times New Roman"/>
        </w:rPr>
        <w:t>E</w:t>
      </w:r>
      <w:r w:rsidR="00FC626A">
        <w:rPr>
          <w:rFonts w:ascii="Times New Roman" w:hAnsi="Times New Roman" w:cs="Times New Roman"/>
        </w:rPr>
        <w:t>thanol, Water</w:t>
      </w:r>
      <w:r>
        <w:rPr>
          <w:rFonts w:ascii="Times New Roman" w:hAnsi="Times New Roman" w:cs="Times New Roman"/>
        </w:rPr>
        <w:t xml:space="preserve"> for injections</w:t>
      </w:r>
    </w:p>
    <w:p w14:paraId="71811774" w14:textId="4992AA15" w:rsidR="001A3992" w:rsidRPr="00157F69" w:rsidRDefault="001A3992" w:rsidP="00645AC8">
      <w:pPr>
        <w:pStyle w:val="Heading2"/>
        <w:spacing w:before="0" w:after="0" w:line="240" w:lineRule="auto"/>
        <w:ind w:left="0" w:hanging="425"/>
        <w:rPr>
          <w:rFonts w:ascii="Times New Roman" w:eastAsiaTheme="majorEastAsia" w:hAnsi="Times New Roman" w:cs="Times New Roman"/>
          <w:b w:val="0"/>
          <w:bCs/>
          <w:smallCaps w:val="0"/>
          <w:sz w:val="26"/>
          <w:szCs w:val="26"/>
        </w:rPr>
      </w:pPr>
      <w:r w:rsidRPr="00157F69">
        <w:rPr>
          <w:rFonts w:ascii="Times New Roman" w:eastAsiaTheme="majorEastAsia" w:hAnsi="Times New Roman" w:cs="Times New Roman"/>
          <w:b w:val="0"/>
          <w:bCs/>
          <w:smallCaps w:val="0"/>
          <w:sz w:val="26"/>
          <w:szCs w:val="26"/>
        </w:rPr>
        <w:t xml:space="preserve">Incompatibilities </w:t>
      </w:r>
    </w:p>
    <w:p w14:paraId="1A93D15B" w14:textId="133281CD" w:rsidR="00A448C9" w:rsidRPr="00157F69" w:rsidRDefault="00157F69" w:rsidP="00A448C9">
      <w:pPr>
        <w:rPr>
          <w:rFonts w:ascii="Times New Roman" w:hAnsi="Times New Roman" w:cs="Times New Roman"/>
          <w:b/>
          <w:i/>
        </w:rPr>
      </w:pPr>
      <w:r>
        <w:rPr>
          <w:rFonts w:ascii="Times New Roman" w:hAnsi="Times New Roman" w:cs="Times New Roman"/>
        </w:rPr>
        <w:t xml:space="preserve">Refer to </w:t>
      </w:r>
      <w:r w:rsidRPr="00157F69">
        <w:rPr>
          <w:rFonts w:ascii="Times New Roman" w:hAnsi="Times New Roman" w:cs="Times New Roman"/>
          <w:b/>
          <w:i/>
        </w:rPr>
        <w:t>Section 4.5 Interactions with other medicines and other forms of interactions</w:t>
      </w:r>
      <w:r w:rsidR="00602A38">
        <w:rPr>
          <w:rFonts w:ascii="Times New Roman" w:hAnsi="Times New Roman" w:cs="Times New Roman"/>
          <w:b/>
          <w:i/>
        </w:rPr>
        <w:t>.</w:t>
      </w:r>
    </w:p>
    <w:p w14:paraId="006DA36C" w14:textId="4C84BCEA" w:rsidR="001A3992" w:rsidRPr="00541F94" w:rsidRDefault="001A3992" w:rsidP="00645AC8">
      <w:pPr>
        <w:pStyle w:val="Heading2"/>
        <w:spacing w:before="0" w:after="0" w:line="240" w:lineRule="auto"/>
        <w:ind w:left="0" w:hanging="425"/>
        <w:rPr>
          <w:rFonts w:ascii="Times New Roman" w:eastAsiaTheme="majorEastAsia" w:hAnsi="Times New Roman" w:cs="Times New Roman"/>
          <w:b w:val="0"/>
          <w:bCs/>
          <w:smallCaps w:val="0"/>
          <w:sz w:val="26"/>
          <w:szCs w:val="26"/>
        </w:rPr>
      </w:pPr>
      <w:r w:rsidRPr="00541F94">
        <w:rPr>
          <w:rFonts w:ascii="Times New Roman" w:eastAsiaTheme="majorEastAsia" w:hAnsi="Times New Roman" w:cs="Times New Roman"/>
          <w:b w:val="0"/>
          <w:bCs/>
          <w:smallCaps w:val="0"/>
          <w:sz w:val="26"/>
          <w:szCs w:val="26"/>
        </w:rPr>
        <w:t xml:space="preserve">Shelf life </w:t>
      </w:r>
    </w:p>
    <w:p w14:paraId="55D05297" w14:textId="77777777" w:rsidR="00825417" w:rsidRDefault="00825417" w:rsidP="00825417">
      <w:pPr>
        <w:spacing w:after="0" w:line="240" w:lineRule="auto"/>
        <w:rPr>
          <w:rFonts w:ascii="Times New Roman" w:hAnsi="Times New Roman" w:cs="Times New Roman"/>
          <w:noProof/>
        </w:rPr>
      </w:pPr>
      <w:r>
        <w:rPr>
          <w:rFonts w:ascii="Times New Roman" w:hAnsi="Times New Roman" w:cs="Times New Roman"/>
          <w:noProof/>
          <w:u w:val="single"/>
        </w:rPr>
        <w:t>Unopened vial and ampoule</w:t>
      </w:r>
    </w:p>
    <w:p w14:paraId="33FD41B3" w14:textId="77777777" w:rsidR="00825417" w:rsidRDefault="00825417" w:rsidP="00825417">
      <w:pPr>
        <w:spacing w:after="0" w:line="240" w:lineRule="auto"/>
        <w:rPr>
          <w:rFonts w:ascii="Times New Roman" w:hAnsi="Times New Roman" w:cs="Times New Roman"/>
          <w:bCs/>
        </w:rPr>
      </w:pPr>
      <w:r>
        <w:rPr>
          <w:rFonts w:ascii="Times New Roman" w:hAnsi="Times New Roman" w:cs="Times New Roman"/>
          <w:noProof/>
        </w:rPr>
        <w:t xml:space="preserve">4 years when stored at </w:t>
      </w:r>
      <w:r>
        <w:rPr>
          <w:rFonts w:ascii="Times New Roman" w:hAnsi="Times New Roman" w:cs="Times New Roman"/>
          <w:bCs/>
        </w:rPr>
        <w:t>2ºC-8ºC.</w:t>
      </w:r>
    </w:p>
    <w:p w14:paraId="470D6C7F" w14:textId="77777777" w:rsidR="00C46BE5" w:rsidRDefault="00C46BE5" w:rsidP="00C46BE5">
      <w:pPr>
        <w:spacing w:after="0" w:line="240" w:lineRule="auto"/>
        <w:rPr>
          <w:rFonts w:ascii="Times New Roman" w:hAnsi="Times New Roman" w:cs="Times New Roman"/>
          <w:noProof/>
          <w:u w:val="single"/>
        </w:rPr>
      </w:pPr>
    </w:p>
    <w:p w14:paraId="20EC1625" w14:textId="25FB9D05" w:rsidR="00541F94" w:rsidRDefault="00541F94" w:rsidP="00C46BE5">
      <w:pPr>
        <w:spacing w:after="0" w:line="240" w:lineRule="auto"/>
        <w:rPr>
          <w:rFonts w:ascii="Times New Roman" w:hAnsi="Times New Roman" w:cs="Times New Roman"/>
          <w:noProof/>
          <w:u w:val="single"/>
        </w:rPr>
      </w:pPr>
      <w:r w:rsidRPr="00C46BE5">
        <w:rPr>
          <w:rFonts w:ascii="Times New Roman" w:hAnsi="Times New Roman" w:cs="Times New Roman"/>
          <w:noProof/>
          <w:u w:val="single"/>
        </w:rPr>
        <w:t>Stability after reconstitution and dilution</w:t>
      </w:r>
    </w:p>
    <w:p w14:paraId="1C1A5C77" w14:textId="77777777" w:rsidR="00541F94" w:rsidRPr="00C46BE5" w:rsidRDefault="00541F94" w:rsidP="00C46BE5">
      <w:pPr>
        <w:spacing w:after="0" w:line="240" w:lineRule="auto"/>
        <w:rPr>
          <w:rFonts w:ascii="Times New Roman" w:hAnsi="Times New Roman" w:cs="Times New Roman"/>
          <w:bCs/>
          <w:i/>
        </w:rPr>
      </w:pPr>
      <w:r w:rsidRPr="00C46BE5">
        <w:rPr>
          <w:rFonts w:ascii="Times New Roman" w:hAnsi="Times New Roman" w:cs="Times New Roman"/>
          <w:bCs/>
          <w:i/>
        </w:rPr>
        <w:t xml:space="preserve">After reconstitution </w:t>
      </w:r>
    </w:p>
    <w:p w14:paraId="3A59FE99" w14:textId="73B68DD7" w:rsidR="00541F94" w:rsidRPr="00C46BE5" w:rsidRDefault="00541F94" w:rsidP="00C46BE5">
      <w:pPr>
        <w:spacing w:after="0" w:line="240" w:lineRule="auto"/>
        <w:rPr>
          <w:rFonts w:ascii="Times New Roman" w:hAnsi="Times New Roman" w:cs="Times New Roman"/>
          <w:bCs/>
        </w:rPr>
      </w:pPr>
      <w:r w:rsidRPr="00C46BE5">
        <w:rPr>
          <w:rFonts w:ascii="Times New Roman" w:hAnsi="Times New Roman" w:cs="Times New Roman"/>
          <w:bCs/>
        </w:rPr>
        <w:t>After reconstitution of the plitidepsin 2 mg vial with 4</w:t>
      </w:r>
      <w:r w:rsidRPr="00C46BE5">
        <w:rPr>
          <w:rFonts w:ascii="Times New Roman" w:hAnsi="Times New Roman" w:cs="Times New Roman"/>
        </w:rPr>
        <w:t> </w:t>
      </w:r>
      <w:r w:rsidRPr="00C46BE5">
        <w:rPr>
          <w:rFonts w:ascii="Times New Roman" w:hAnsi="Times New Roman" w:cs="Times New Roman"/>
          <w:bCs/>
        </w:rPr>
        <w:t xml:space="preserve">mL of solvent, the solution should be immediately diluted in the infusion fluids described in the </w:t>
      </w:r>
      <w:r w:rsidR="00EF50F8" w:rsidRPr="00EF50F8">
        <w:rPr>
          <w:rFonts w:ascii="Times New Roman" w:hAnsi="Times New Roman" w:cs="Times New Roman"/>
          <w:b/>
          <w:bCs/>
          <w:i/>
        </w:rPr>
        <w:t>S</w:t>
      </w:r>
      <w:r w:rsidRPr="00EF50F8">
        <w:rPr>
          <w:rFonts w:ascii="Times New Roman" w:hAnsi="Times New Roman" w:cs="Times New Roman"/>
          <w:b/>
          <w:bCs/>
          <w:i/>
        </w:rPr>
        <w:t>ection</w:t>
      </w:r>
      <w:r w:rsidR="00EF50F8" w:rsidRPr="00EF50F8">
        <w:rPr>
          <w:rFonts w:ascii="Times New Roman" w:hAnsi="Times New Roman" w:cs="Times New Roman"/>
          <w:b/>
          <w:bCs/>
          <w:i/>
        </w:rPr>
        <w:t xml:space="preserve"> 4.2 Dose and method of administration (</w:t>
      </w:r>
      <w:r w:rsidRPr="00EF50F8">
        <w:rPr>
          <w:rFonts w:ascii="Times New Roman" w:hAnsi="Times New Roman" w:cs="Times New Roman"/>
          <w:b/>
          <w:bCs/>
          <w:i/>
        </w:rPr>
        <w:t>Instructions for dilution</w:t>
      </w:r>
      <w:r w:rsidR="00EF50F8" w:rsidRPr="00EF50F8">
        <w:rPr>
          <w:rFonts w:ascii="Times New Roman" w:hAnsi="Times New Roman" w:cs="Times New Roman"/>
          <w:b/>
          <w:bCs/>
          <w:i/>
        </w:rPr>
        <w:t>)</w:t>
      </w:r>
      <w:r w:rsidRPr="00C46BE5">
        <w:rPr>
          <w:rFonts w:ascii="Times New Roman" w:hAnsi="Times New Roman" w:cs="Times New Roman"/>
          <w:bCs/>
        </w:rPr>
        <w:t xml:space="preserve">. </w:t>
      </w:r>
    </w:p>
    <w:p w14:paraId="2989045B" w14:textId="77777777" w:rsidR="00541F94" w:rsidRPr="00C46BE5" w:rsidRDefault="00541F94" w:rsidP="00C46BE5">
      <w:pPr>
        <w:spacing w:after="0" w:line="240" w:lineRule="auto"/>
        <w:rPr>
          <w:rFonts w:ascii="Times New Roman" w:hAnsi="Times New Roman" w:cs="Times New Roman"/>
          <w:bCs/>
        </w:rPr>
      </w:pPr>
    </w:p>
    <w:p w14:paraId="0878E98F" w14:textId="77777777" w:rsidR="00541F94" w:rsidRPr="00C46BE5" w:rsidRDefault="00541F94" w:rsidP="00C46BE5">
      <w:pPr>
        <w:spacing w:after="0" w:line="240" w:lineRule="auto"/>
        <w:rPr>
          <w:rFonts w:ascii="Times New Roman" w:hAnsi="Times New Roman" w:cs="Times New Roman"/>
          <w:bCs/>
        </w:rPr>
      </w:pPr>
      <w:r w:rsidRPr="00C46BE5">
        <w:rPr>
          <w:rFonts w:ascii="Times New Roman" w:hAnsi="Times New Roman" w:cs="Times New Roman"/>
          <w:bCs/>
        </w:rPr>
        <w:t>Chemical, physical and microbiological in-use stability of the reconstituted concentrate has been demonstrated for 24 hours at refrigerated conditions (2ºC-8ºC) and for 6 hours at room temperature (up to 25°C) when stored in the original vial and protected from direct sunlight. However, as the product has no added preservatives, and from a microbiological point of view, the reconstituted concentrated solution should be used immediately.</w:t>
      </w:r>
    </w:p>
    <w:p w14:paraId="21A4C5E7" w14:textId="77777777" w:rsidR="00541F94" w:rsidRPr="00C46BE5" w:rsidRDefault="00541F94" w:rsidP="00C46BE5">
      <w:pPr>
        <w:spacing w:after="0" w:line="240" w:lineRule="auto"/>
        <w:rPr>
          <w:rFonts w:ascii="Times New Roman" w:hAnsi="Times New Roman" w:cs="Times New Roman"/>
          <w:bCs/>
        </w:rPr>
      </w:pPr>
    </w:p>
    <w:p w14:paraId="4948F62D" w14:textId="77777777" w:rsidR="00541F94" w:rsidRPr="00C46BE5" w:rsidRDefault="00541F94" w:rsidP="00C46BE5">
      <w:pPr>
        <w:spacing w:after="0" w:line="240" w:lineRule="auto"/>
        <w:rPr>
          <w:rFonts w:ascii="Times New Roman" w:hAnsi="Times New Roman" w:cs="Times New Roman"/>
          <w:bCs/>
          <w:i/>
        </w:rPr>
      </w:pPr>
      <w:r w:rsidRPr="00C46BE5">
        <w:rPr>
          <w:rFonts w:ascii="Times New Roman" w:hAnsi="Times New Roman" w:cs="Times New Roman"/>
          <w:bCs/>
          <w:i/>
        </w:rPr>
        <w:t xml:space="preserve">After dilution </w:t>
      </w:r>
    </w:p>
    <w:p w14:paraId="5803D338" w14:textId="77777777" w:rsidR="006205F9" w:rsidRPr="006205F9" w:rsidRDefault="006205F9" w:rsidP="006205F9">
      <w:pPr>
        <w:widowControl w:val="0"/>
        <w:autoSpaceDE w:val="0"/>
        <w:autoSpaceDN w:val="0"/>
        <w:adjustRightInd w:val="0"/>
        <w:spacing w:after="0" w:line="240" w:lineRule="auto"/>
        <w:rPr>
          <w:rFonts w:ascii="Times New Roman" w:hAnsi="Times New Roman" w:cs="Times New Roman"/>
          <w:color w:val="000000"/>
          <w:sz w:val="24"/>
          <w:szCs w:val="24"/>
          <w:lang w:val="en-US"/>
        </w:rPr>
      </w:pPr>
    </w:p>
    <w:p w14:paraId="4A2B124F" w14:textId="6F03C230" w:rsidR="00541F94" w:rsidRPr="00F83318" w:rsidRDefault="001F24C7" w:rsidP="00F83318">
      <w:pPr>
        <w:widowControl w:val="0"/>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Aplidin solution for infusion </w:t>
      </w:r>
      <w:r w:rsidR="006205F9" w:rsidRPr="006205F9">
        <w:rPr>
          <w:rFonts w:ascii="Times New Roman" w:hAnsi="Times New Roman" w:cs="Times New Roman"/>
          <w:color w:val="000000"/>
          <w:lang w:val="en-US"/>
        </w:rPr>
        <w:t xml:space="preserve">should be administered within 6 hours of reconstitution if stored at room </w:t>
      </w:r>
      <w:r w:rsidR="006205F9" w:rsidRPr="006205F9">
        <w:rPr>
          <w:rFonts w:ascii="Times New Roman" w:hAnsi="Times New Roman" w:cs="Times New Roman"/>
          <w:color w:val="000000"/>
          <w:lang w:val="en-US"/>
        </w:rPr>
        <w:lastRenderedPageBreak/>
        <w:t xml:space="preserve">temperature and under ambient lighting. If storage is required prior to administration then solutions should be stored refrigerated and protected from light and should be used within 24 hours of reconstitution. </w:t>
      </w:r>
      <w:r w:rsidR="00541F94" w:rsidRPr="00C46BE5">
        <w:rPr>
          <w:rFonts w:ascii="Times New Roman" w:hAnsi="Times New Roman" w:cs="Times New Roman"/>
          <w:bCs/>
        </w:rPr>
        <w:t xml:space="preserve"> </w:t>
      </w:r>
    </w:p>
    <w:p w14:paraId="1B502DEF" w14:textId="77777777" w:rsidR="00A448C9" w:rsidRPr="00C46BE5" w:rsidRDefault="00A448C9" w:rsidP="00C46BE5">
      <w:pPr>
        <w:spacing w:after="0" w:line="240" w:lineRule="auto"/>
        <w:rPr>
          <w:rFonts w:ascii="Times New Roman" w:hAnsi="Times New Roman" w:cs="Times New Roman"/>
        </w:rPr>
      </w:pPr>
    </w:p>
    <w:p w14:paraId="4E588E89" w14:textId="6DFEE3E4" w:rsidR="0005319A" w:rsidRDefault="001A3992" w:rsidP="00645AC8">
      <w:pPr>
        <w:pStyle w:val="Heading2"/>
        <w:spacing w:before="0" w:after="0" w:line="240" w:lineRule="auto"/>
        <w:ind w:left="0" w:hanging="426"/>
        <w:rPr>
          <w:rFonts w:ascii="Times New Roman" w:eastAsiaTheme="majorEastAsia" w:hAnsi="Times New Roman" w:cs="Times New Roman"/>
          <w:b w:val="0"/>
          <w:bCs/>
          <w:smallCaps w:val="0"/>
          <w:sz w:val="22"/>
          <w:szCs w:val="26"/>
        </w:rPr>
      </w:pPr>
      <w:r w:rsidRPr="00355185">
        <w:rPr>
          <w:rFonts w:ascii="Times New Roman" w:eastAsiaTheme="majorEastAsia" w:hAnsi="Times New Roman" w:cs="Times New Roman"/>
          <w:b w:val="0"/>
          <w:bCs/>
          <w:smallCaps w:val="0"/>
          <w:sz w:val="26"/>
          <w:szCs w:val="26"/>
        </w:rPr>
        <w:t xml:space="preserve">Special precautions for storage </w:t>
      </w:r>
    </w:p>
    <w:p w14:paraId="64E1F407" w14:textId="77777777" w:rsidR="00EF50F8" w:rsidRDefault="00EF50F8" w:rsidP="00EF50F8">
      <w:pPr>
        <w:spacing w:after="0" w:line="240" w:lineRule="auto"/>
        <w:rPr>
          <w:rFonts w:ascii="Times New Roman" w:hAnsi="Times New Roman" w:cs="Times New Roman"/>
        </w:rPr>
      </w:pPr>
    </w:p>
    <w:p w14:paraId="4CBDBAB9" w14:textId="70AAD608" w:rsidR="00EF50F8" w:rsidRPr="00EF50F8" w:rsidRDefault="00541F94" w:rsidP="00EF50F8">
      <w:pPr>
        <w:spacing w:after="0" w:line="240" w:lineRule="auto"/>
        <w:rPr>
          <w:rFonts w:ascii="Times New Roman" w:hAnsi="Times New Roman" w:cs="Times New Roman"/>
          <w:noProof/>
        </w:rPr>
      </w:pPr>
      <w:r w:rsidRPr="00EF50F8">
        <w:rPr>
          <w:rFonts w:ascii="Times New Roman" w:hAnsi="Times New Roman" w:cs="Times New Roman"/>
        </w:rPr>
        <w:t xml:space="preserve">Store </w:t>
      </w:r>
      <w:r w:rsidRPr="00EF50F8">
        <w:rPr>
          <w:rFonts w:ascii="Times New Roman" w:hAnsi="Times New Roman" w:cs="Times New Roman"/>
          <w:noProof/>
        </w:rPr>
        <w:t xml:space="preserve">between 2ºC and 8ºC. Refrigerate - do not freeze. </w:t>
      </w:r>
    </w:p>
    <w:p w14:paraId="66799943" w14:textId="110333F4" w:rsidR="00A448C9" w:rsidRDefault="00541F94" w:rsidP="00EF50F8">
      <w:pPr>
        <w:spacing w:after="0" w:line="240" w:lineRule="auto"/>
        <w:rPr>
          <w:rFonts w:ascii="Times New Roman" w:eastAsia="SimSun" w:hAnsi="Times New Roman" w:cs="Times New Roman"/>
          <w:lang w:eastAsia="es-ES"/>
        </w:rPr>
      </w:pPr>
      <w:r w:rsidRPr="00EF50F8">
        <w:rPr>
          <w:rFonts w:ascii="Times New Roman" w:eastAsia="SimSun" w:hAnsi="Times New Roman" w:cs="Times New Roman"/>
          <w:lang w:eastAsia="es-ES"/>
        </w:rPr>
        <w:t>Store in the original package in order to protect from light.</w:t>
      </w:r>
    </w:p>
    <w:p w14:paraId="15333A5E" w14:textId="77777777" w:rsidR="00EF50F8" w:rsidRPr="00EF50F8" w:rsidRDefault="00EF50F8" w:rsidP="00EF50F8">
      <w:pPr>
        <w:spacing w:after="0" w:line="240" w:lineRule="auto"/>
        <w:rPr>
          <w:rFonts w:ascii="Times New Roman" w:eastAsia="SimSun" w:hAnsi="Times New Roman" w:cs="Times New Roman"/>
          <w:lang w:eastAsia="es-ES"/>
        </w:rPr>
      </w:pPr>
    </w:p>
    <w:p w14:paraId="2D317F7E" w14:textId="61F98DDB" w:rsidR="0005319A" w:rsidRDefault="001A3992" w:rsidP="00645AC8">
      <w:pPr>
        <w:pStyle w:val="Heading2"/>
        <w:spacing w:before="0" w:after="0" w:line="240" w:lineRule="auto"/>
        <w:ind w:left="0" w:hanging="426"/>
        <w:rPr>
          <w:rFonts w:ascii="Times New Roman" w:eastAsiaTheme="majorEastAsia" w:hAnsi="Times New Roman" w:cs="Times New Roman"/>
          <w:b w:val="0"/>
          <w:bCs/>
          <w:smallCaps w:val="0"/>
          <w:sz w:val="22"/>
          <w:szCs w:val="26"/>
        </w:rPr>
      </w:pPr>
      <w:r w:rsidRPr="00355185">
        <w:rPr>
          <w:rFonts w:ascii="Times New Roman" w:eastAsiaTheme="majorEastAsia" w:hAnsi="Times New Roman" w:cs="Times New Roman"/>
          <w:b w:val="0"/>
          <w:bCs/>
          <w:smallCaps w:val="0"/>
          <w:sz w:val="26"/>
          <w:szCs w:val="26"/>
        </w:rPr>
        <w:t>Nature and contents of container</w:t>
      </w:r>
      <w:r w:rsidRPr="00355185">
        <w:rPr>
          <w:rFonts w:ascii="Times New Roman" w:eastAsiaTheme="majorEastAsia" w:hAnsi="Times New Roman" w:cs="Times New Roman"/>
          <w:bCs/>
          <w:sz w:val="26"/>
          <w:szCs w:val="26"/>
        </w:rPr>
        <w:t xml:space="preserve"> </w:t>
      </w:r>
    </w:p>
    <w:p w14:paraId="5680C1C0" w14:textId="77777777" w:rsidR="00EF50F8" w:rsidRDefault="00EF50F8" w:rsidP="00EF50F8">
      <w:pPr>
        <w:spacing w:after="0" w:line="240" w:lineRule="auto"/>
        <w:outlineLvl w:val="0"/>
        <w:rPr>
          <w:rFonts w:ascii="Times New Roman" w:hAnsi="Times New Roman" w:cs="Times New Roman"/>
          <w:noProof/>
        </w:rPr>
      </w:pPr>
    </w:p>
    <w:p w14:paraId="658B66BC" w14:textId="0BC50FDE" w:rsidR="00541F94" w:rsidRPr="00EF50F8" w:rsidRDefault="00541F94" w:rsidP="00EF50F8">
      <w:pPr>
        <w:spacing w:after="0" w:line="240" w:lineRule="auto"/>
        <w:outlineLvl w:val="0"/>
        <w:rPr>
          <w:rFonts w:ascii="Times New Roman" w:hAnsi="Times New Roman" w:cs="Times New Roman"/>
          <w:noProof/>
        </w:rPr>
      </w:pPr>
      <w:r w:rsidRPr="00EF50F8">
        <w:rPr>
          <w:rFonts w:ascii="Times New Roman" w:hAnsi="Times New Roman" w:cs="Times New Roman"/>
          <w:noProof/>
        </w:rPr>
        <w:t xml:space="preserve">Vial: </w:t>
      </w:r>
      <w:r w:rsidR="00305065">
        <w:rPr>
          <w:rFonts w:ascii="Times New Roman" w:hAnsi="Times New Roman" w:cs="Times New Roman"/>
          <w:noProof/>
        </w:rPr>
        <w:t xml:space="preserve">10 mL </w:t>
      </w:r>
      <w:r w:rsidRPr="00EF50F8">
        <w:rPr>
          <w:rFonts w:ascii="Times New Roman" w:hAnsi="Times New Roman" w:cs="Times New Roman"/>
          <w:noProof/>
        </w:rPr>
        <w:t xml:space="preserve">Type I clear glass vial with a </w:t>
      </w:r>
      <w:r w:rsidR="003C6391">
        <w:rPr>
          <w:rFonts w:ascii="Times New Roman" w:hAnsi="Times New Roman" w:cs="Times New Roman"/>
          <w:noProof/>
        </w:rPr>
        <w:t xml:space="preserve">20 mm </w:t>
      </w:r>
      <w:r w:rsidRPr="00EF50F8">
        <w:rPr>
          <w:rFonts w:ascii="Times New Roman" w:hAnsi="Times New Roman" w:cs="Times New Roman"/>
          <w:noProof/>
        </w:rPr>
        <w:t>grey butyl rubber stopper covered by a flip-off aluminium capsule.</w:t>
      </w:r>
    </w:p>
    <w:p w14:paraId="2FF1261F" w14:textId="77777777" w:rsidR="00541F94" w:rsidRPr="00EF50F8" w:rsidRDefault="00541F94" w:rsidP="00EF50F8">
      <w:pPr>
        <w:spacing w:after="0" w:line="240" w:lineRule="auto"/>
        <w:outlineLvl w:val="0"/>
        <w:rPr>
          <w:rFonts w:ascii="Times New Roman" w:hAnsi="Times New Roman" w:cs="Times New Roman"/>
          <w:noProof/>
        </w:rPr>
      </w:pPr>
    </w:p>
    <w:p w14:paraId="51503559" w14:textId="77777777" w:rsidR="00541F94" w:rsidRPr="00EF50F8" w:rsidRDefault="00541F94" w:rsidP="00EF50F8">
      <w:pPr>
        <w:spacing w:after="0" w:line="240" w:lineRule="auto"/>
        <w:rPr>
          <w:rFonts w:ascii="Times New Roman" w:hAnsi="Times New Roman" w:cs="Times New Roman"/>
          <w:noProof/>
        </w:rPr>
      </w:pPr>
      <w:r w:rsidRPr="00EF50F8">
        <w:rPr>
          <w:rFonts w:ascii="Times New Roman" w:hAnsi="Times New Roman" w:cs="Times New Roman"/>
          <w:noProof/>
        </w:rPr>
        <w:t>Each vial contains 2</w:t>
      </w:r>
      <w:r w:rsidRPr="00EF50F8">
        <w:rPr>
          <w:rFonts w:ascii="Times New Roman" w:hAnsi="Times New Roman" w:cs="Times New Roman"/>
        </w:rPr>
        <w:t> </w:t>
      </w:r>
      <w:r w:rsidRPr="00EF50F8">
        <w:rPr>
          <w:rFonts w:ascii="Times New Roman" w:hAnsi="Times New Roman" w:cs="Times New Roman"/>
          <w:noProof/>
        </w:rPr>
        <w:t>mg of plitidepsin.</w:t>
      </w:r>
    </w:p>
    <w:p w14:paraId="0D1B791E" w14:textId="77777777" w:rsidR="00541F94" w:rsidRPr="00EF50F8" w:rsidRDefault="00541F94" w:rsidP="00EF50F8">
      <w:pPr>
        <w:spacing w:after="0" w:line="240" w:lineRule="auto"/>
        <w:rPr>
          <w:rFonts w:ascii="Times New Roman" w:hAnsi="Times New Roman" w:cs="Times New Roman"/>
          <w:noProof/>
        </w:rPr>
      </w:pPr>
    </w:p>
    <w:p w14:paraId="720228F2" w14:textId="5FD5E593" w:rsidR="00541F94" w:rsidRPr="00EF50F8" w:rsidRDefault="00541F94" w:rsidP="00EF50F8">
      <w:pPr>
        <w:spacing w:after="0" w:line="240" w:lineRule="auto"/>
        <w:outlineLvl w:val="0"/>
        <w:rPr>
          <w:rFonts w:ascii="Times New Roman" w:hAnsi="Times New Roman" w:cs="Times New Roman"/>
          <w:noProof/>
        </w:rPr>
      </w:pPr>
      <w:r w:rsidRPr="00EF50F8">
        <w:rPr>
          <w:rFonts w:ascii="Times New Roman" w:hAnsi="Times New Roman" w:cs="Times New Roman"/>
          <w:noProof/>
        </w:rPr>
        <w:t>Ampoule: Colourless and hydrolytic class I glass ampoule</w:t>
      </w:r>
      <w:r w:rsidR="00B113E1">
        <w:rPr>
          <w:rFonts w:ascii="Times New Roman" w:hAnsi="Times New Roman" w:cs="Times New Roman"/>
          <w:noProof/>
        </w:rPr>
        <w:t xml:space="preserve"> (nominal volume 5mL)</w:t>
      </w:r>
      <w:r w:rsidRPr="00EF50F8">
        <w:rPr>
          <w:rFonts w:ascii="Times New Roman" w:hAnsi="Times New Roman" w:cs="Times New Roman"/>
          <w:noProof/>
        </w:rPr>
        <w:t>.</w:t>
      </w:r>
    </w:p>
    <w:p w14:paraId="57E9BCD4" w14:textId="77777777" w:rsidR="00541F94" w:rsidRPr="00EF50F8" w:rsidRDefault="00541F94" w:rsidP="00EF50F8">
      <w:pPr>
        <w:spacing w:after="0" w:line="240" w:lineRule="auto"/>
        <w:rPr>
          <w:rFonts w:ascii="Times New Roman" w:hAnsi="Times New Roman" w:cs="Times New Roman"/>
          <w:noProof/>
        </w:rPr>
      </w:pPr>
    </w:p>
    <w:p w14:paraId="3CFE0707" w14:textId="77777777" w:rsidR="00541F94" w:rsidRPr="00EF50F8" w:rsidRDefault="00541F94" w:rsidP="00EF50F8">
      <w:pPr>
        <w:spacing w:after="0" w:line="240" w:lineRule="auto"/>
        <w:rPr>
          <w:rFonts w:ascii="Times New Roman" w:hAnsi="Times New Roman" w:cs="Times New Roman"/>
          <w:noProof/>
        </w:rPr>
      </w:pPr>
      <w:r w:rsidRPr="00EF50F8">
        <w:rPr>
          <w:rFonts w:ascii="Times New Roman" w:eastAsia="SimSun" w:hAnsi="Times New Roman" w:cs="Times New Roman"/>
          <w:lang w:eastAsia="es-ES"/>
        </w:rPr>
        <w:t>After reconstitution, each mL of concentrate contains</w:t>
      </w:r>
      <w:r w:rsidRPr="00EF50F8">
        <w:rPr>
          <w:rFonts w:ascii="Times New Roman" w:hAnsi="Times New Roman" w:cs="Times New Roman"/>
          <w:noProof/>
        </w:rPr>
        <w:t xml:space="preserve"> 0.5</w:t>
      </w:r>
      <w:r w:rsidRPr="00EF50F8">
        <w:rPr>
          <w:rFonts w:ascii="Times New Roman" w:hAnsi="Times New Roman" w:cs="Times New Roman"/>
        </w:rPr>
        <w:t> </w:t>
      </w:r>
      <w:r w:rsidRPr="00EF50F8">
        <w:rPr>
          <w:rFonts w:ascii="Times New Roman" w:hAnsi="Times New Roman" w:cs="Times New Roman"/>
          <w:noProof/>
        </w:rPr>
        <w:t>mg of plitidepsin.</w:t>
      </w:r>
    </w:p>
    <w:p w14:paraId="7860749A" w14:textId="77777777" w:rsidR="00541F94" w:rsidRPr="00EF50F8" w:rsidRDefault="00541F94" w:rsidP="00EF50F8">
      <w:pPr>
        <w:spacing w:after="0" w:line="240" w:lineRule="auto"/>
        <w:outlineLvl w:val="0"/>
        <w:rPr>
          <w:rFonts w:ascii="Times New Roman" w:hAnsi="Times New Roman" w:cs="Times New Roman"/>
          <w:noProof/>
        </w:rPr>
      </w:pPr>
    </w:p>
    <w:p w14:paraId="3DC407B0" w14:textId="169B1B91" w:rsidR="00A448C9" w:rsidRDefault="00541F94" w:rsidP="00EF50F8">
      <w:pPr>
        <w:spacing w:after="0" w:line="240" w:lineRule="auto"/>
        <w:outlineLvl w:val="0"/>
        <w:rPr>
          <w:rFonts w:ascii="Times New Roman" w:hAnsi="Times New Roman" w:cs="Times New Roman"/>
          <w:noProof/>
        </w:rPr>
      </w:pPr>
      <w:r w:rsidRPr="00EF50F8">
        <w:rPr>
          <w:rFonts w:ascii="Times New Roman" w:hAnsi="Times New Roman" w:cs="Times New Roman"/>
          <w:noProof/>
        </w:rPr>
        <w:t>Each carton contains 1 vial and 1 ampoule.</w:t>
      </w:r>
    </w:p>
    <w:p w14:paraId="577D4EC2" w14:textId="77777777" w:rsidR="00EF50F8" w:rsidRPr="00EF50F8" w:rsidRDefault="00EF50F8" w:rsidP="00EF50F8">
      <w:pPr>
        <w:spacing w:after="0" w:line="240" w:lineRule="auto"/>
        <w:outlineLvl w:val="0"/>
        <w:rPr>
          <w:rFonts w:ascii="Times New Roman" w:hAnsi="Times New Roman" w:cs="Times New Roman"/>
          <w:noProof/>
        </w:rPr>
      </w:pPr>
    </w:p>
    <w:p w14:paraId="3CE8BD8E" w14:textId="01548A8F" w:rsidR="001A3992" w:rsidRDefault="001A3992" w:rsidP="00D47F68">
      <w:pPr>
        <w:pStyle w:val="Heading2"/>
        <w:spacing w:before="0" w:after="0" w:line="240" w:lineRule="auto"/>
        <w:ind w:left="0" w:hanging="426"/>
        <w:rPr>
          <w:rFonts w:ascii="Times New Roman" w:eastAsiaTheme="majorEastAsia" w:hAnsi="Times New Roman" w:cs="Times New Roman"/>
          <w:bCs/>
          <w:sz w:val="26"/>
          <w:szCs w:val="26"/>
        </w:rPr>
      </w:pPr>
      <w:r w:rsidRPr="00355185">
        <w:rPr>
          <w:rFonts w:ascii="Times New Roman" w:eastAsiaTheme="majorEastAsia" w:hAnsi="Times New Roman" w:cs="Times New Roman"/>
          <w:b w:val="0"/>
          <w:bCs/>
          <w:smallCaps w:val="0"/>
          <w:sz w:val="26"/>
          <w:szCs w:val="26"/>
        </w:rPr>
        <w:t>Special precautions for disposal</w:t>
      </w:r>
      <w:r w:rsidRPr="00355185">
        <w:rPr>
          <w:rFonts w:ascii="Times New Roman" w:eastAsiaTheme="majorEastAsia" w:hAnsi="Times New Roman" w:cs="Times New Roman"/>
          <w:bCs/>
          <w:sz w:val="26"/>
          <w:szCs w:val="26"/>
        </w:rPr>
        <w:t xml:space="preserve"> </w:t>
      </w:r>
    </w:p>
    <w:p w14:paraId="0B06E45B" w14:textId="77777777" w:rsidR="00EF50F8" w:rsidRDefault="00EF50F8" w:rsidP="00D47F68">
      <w:pPr>
        <w:spacing w:after="0" w:line="240" w:lineRule="auto"/>
        <w:rPr>
          <w:rFonts w:ascii="Times New Roman" w:hAnsi="Times New Roman" w:cs="Times New Roman"/>
          <w:iCs/>
          <w:u w:val="single"/>
        </w:rPr>
      </w:pPr>
    </w:p>
    <w:p w14:paraId="60C86E5F" w14:textId="4077FD5A" w:rsidR="00541F94" w:rsidRPr="00EF50F8" w:rsidRDefault="00541F94" w:rsidP="00D47F68">
      <w:pPr>
        <w:spacing w:after="0" w:line="240" w:lineRule="auto"/>
        <w:rPr>
          <w:rFonts w:ascii="Times New Roman" w:hAnsi="Times New Roman" w:cs="Times New Roman"/>
        </w:rPr>
      </w:pPr>
      <w:r w:rsidRPr="00EF50F8">
        <w:rPr>
          <w:rFonts w:ascii="Times New Roman" w:hAnsi="Times New Roman" w:cs="Times New Roman"/>
        </w:rPr>
        <w:t>A</w:t>
      </w:r>
      <w:r w:rsidR="00D47F68">
        <w:rPr>
          <w:rFonts w:ascii="Times New Roman" w:hAnsi="Times New Roman" w:cs="Times New Roman"/>
        </w:rPr>
        <w:t>PLIDIN</w:t>
      </w:r>
      <w:r w:rsidRPr="00EF50F8">
        <w:rPr>
          <w:rFonts w:ascii="Times New Roman" w:hAnsi="Times New Roman" w:cs="Times New Roman"/>
        </w:rPr>
        <w:t xml:space="preserve"> is a cytotoxic anticancer medicinal product. Any unused medicinal product or waste material should be disposed of in accordance with local requirements.</w:t>
      </w:r>
    </w:p>
    <w:p w14:paraId="7C5187F4" w14:textId="77777777" w:rsidR="00DF2EE4" w:rsidRPr="00A448C9" w:rsidRDefault="00DF2EE4" w:rsidP="00D47F68">
      <w:pPr>
        <w:spacing w:after="0" w:line="240" w:lineRule="auto"/>
      </w:pPr>
    </w:p>
    <w:p w14:paraId="5169B710" w14:textId="77777777" w:rsidR="00A448C9" w:rsidRDefault="001A3992" w:rsidP="00D47F68">
      <w:pPr>
        <w:pStyle w:val="Heading2"/>
        <w:spacing w:before="0" w:after="0" w:line="240" w:lineRule="auto"/>
        <w:ind w:left="0" w:hanging="426"/>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Physicochemical properties</w:t>
      </w:r>
    </w:p>
    <w:p w14:paraId="4BE1E259" w14:textId="77777777" w:rsidR="00D37799" w:rsidRDefault="00D37799" w:rsidP="00A0776F">
      <w:pPr>
        <w:spacing w:after="0" w:line="240" w:lineRule="auto"/>
        <w:rPr>
          <w:rFonts w:ascii="Times New Roman" w:hAnsi="Times New Roman" w:cs="Times New Roman"/>
          <w:u w:val="single"/>
        </w:rPr>
      </w:pPr>
    </w:p>
    <w:p w14:paraId="66CA2F68" w14:textId="3AB85000" w:rsidR="00A448C9" w:rsidRDefault="00F3528F" w:rsidP="00A0776F">
      <w:pPr>
        <w:spacing w:after="0" w:line="240" w:lineRule="auto"/>
        <w:rPr>
          <w:rFonts w:ascii="Times New Roman" w:hAnsi="Times New Roman" w:cs="Times New Roman"/>
          <w:u w:val="single"/>
        </w:rPr>
      </w:pPr>
      <w:r>
        <w:rPr>
          <w:rFonts w:ascii="Times New Roman" w:hAnsi="Times New Roman" w:cs="Times New Roman"/>
          <w:u w:val="single"/>
        </w:rPr>
        <w:t>Chemical structure</w:t>
      </w:r>
    </w:p>
    <w:p w14:paraId="165C5E65" w14:textId="5E730EBB" w:rsidR="00F3528F" w:rsidRDefault="00F3528F" w:rsidP="00A0776F">
      <w:pPr>
        <w:spacing w:after="0" w:line="240" w:lineRule="auto"/>
        <w:rPr>
          <w:rFonts w:ascii="Times New Roman" w:hAnsi="Times New Roman" w:cs="Times New Roman"/>
          <w:lang w:val="en-GB"/>
        </w:rPr>
      </w:pPr>
      <w:r w:rsidRPr="00F3528F">
        <w:rPr>
          <w:rFonts w:ascii="Times New Roman" w:hAnsi="Times New Roman" w:cs="Times New Roman"/>
        </w:rPr>
        <w:t xml:space="preserve">Chemical Name: </w:t>
      </w:r>
      <w:r w:rsidRPr="00F3528F">
        <w:rPr>
          <w:rFonts w:ascii="Times New Roman" w:hAnsi="Times New Roman" w:cs="Times New Roman"/>
          <w:lang w:val="en-GB"/>
        </w:rPr>
        <w:t>(-)-(3</w:t>
      </w:r>
      <w:r w:rsidRPr="00F3528F">
        <w:rPr>
          <w:rFonts w:ascii="Times New Roman" w:hAnsi="Times New Roman" w:cs="Times New Roman"/>
          <w:i/>
          <w:iCs/>
          <w:lang w:val="en-GB"/>
        </w:rPr>
        <w:t>S</w:t>
      </w:r>
      <w:r w:rsidRPr="00F3528F">
        <w:rPr>
          <w:rFonts w:ascii="Times New Roman" w:hAnsi="Times New Roman" w:cs="Times New Roman"/>
          <w:lang w:val="en-GB"/>
        </w:rPr>
        <w:t>,6</w:t>
      </w:r>
      <w:r w:rsidRPr="00F3528F">
        <w:rPr>
          <w:rFonts w:ascii="Times New Roman" w:hAnsi="Times New Roman" w:cs="Times New Roman"/>
          <w:i/>
          <w:iCs/>
          <w:lang w:val="en-GB"/>
        </w:rPr>
        <w:t>R</w:t>
      </w:r>
      <w:r w:rsidRPr="00F3528F">
        <w:rPr>
          <w:rFonts w:ascii="Times New Roman" w:hAnsi="Times New Roman" w:cs="Times New Roman"/>
          <w:lang w:val="en-GB"/>
        </w:rPr>
        <w:t>,7</w:t>
      </w:r>
      <w:r w:rsidRPr="00F3528F">
        <w:rPr>
          <w:rFonts w:ascii="Times New Roman" w:hAnsi="Times New Roman" w:cs="Times New Roman"/>
          <w:i/>
          <w:iCs/>
          <w:lang w:val="en-GB"/>
        </w:rPr>
        <w:t>S</w:t>
      </w:r>
      <w:r w:rsidRPr="00F3528F">
        <w:rPr>
          <w:rFonts w:ascii="Times New Roman" w:hAnsi="Times New Roman" w:cs="Times New Roman"/>
          <w:lang w:val="en-GB"/>
        </w:rPr>
        <w:t>,10</w:t>
      </w:r>
      <w:r w:rsidRPr="00F3528F">
        <w:rPr>
          <w:rFonts w:ascii="Times New Roman" w:hAnsi="Times New Roman" w:cs="Times New Roman"/>
          <w:i/>
          <w:iCs/>
          <w:lang w:val="en-GB"/>
        </w:rPr>
        <w:t>R</w:t>
      </w:r>
      <w:r w:rsidRPr="00F3528F">
        <w:rPr>
          <w:rFonts w:ascii="Times New Roman" w:hAnsi="Times New Roman" w:cs="Times New Roman"/>
          <w:lang w:val="en-GB"/>
        </w:rPr>
        <w:t>,11</w:t>
      </w:r>
      <w:r w:rsidRPr="00F3528F">
        <w:rPr>
          <w:rFonts w:ascii="Times New Roman" w:hAnsi="Times New Roman" w:cs="Times New Roman"/>
          <w:i/>
          <w:iCs/>
          <w:lang w:val="en-GB"/>
        </w:rPr>
        <w:t>S</w:t>
      </w:r>
      <w:r w:rsidRPr="00F3528F">
        <w:rPr>
          <w:rFonts w:ascii="Times New Roman" w:hAnsi="Times New Roman" w:cs="Times New Roman"/>
          <w:lang w:val="en-GB"/>
        </w:rPr>
        <w:t>,15</w:t>
      </w:r>
      <w:r w:rsidRPr="00F3528F">
        <w:rPr>
          <w:rFonts w:ascii="Times New Roman" w:hAnsi="Times New Roman" w:cs="Times New Roman"/>
          <w:i/>
          <w:iCs/>
          <w:lang w:val="en-GB"/>
        </w:rPr>
        <w:t>S</w:t>
      </w:r>
      <w:r w:rsidRPr="00F3528F">
        <w:rPr>
          <w:rFonts w:ascii="Times New Roman" w:hAnsi="Times New Roman" w:cs="Times New Roman"/>
          <w:lang w:val="en-GB"/>
        </w:rPr>
        <w:t>,17</w:t>
      </w:r>
      <w:r w:rsidRPr="00F3528F">
        <w:rPr>
          <w:rFonts w:ascii="Times New Roman" w:hAnsi="Times New Roman" w:cs="Times New Roman"/>
          <w:i/>
          <w:iCs/>
          <w:lang w:val="en-GB"/>
        </w:rPr>
        <w:t>S</w:t>
      </w:r>
      <w:r w:rsidRPr="00F3528F">
        <w:rPr>
          <w:rFonts w:ascii="Times New Roman" w:hAnsi="Times New Roman" w:cs="Times New Roman"/>
          <w:lang w:val="en-GB"/>
        </w:rPr>
        <w:t>,20</w:t>
      </w:r>
      <w:r w:rsidRPr="00F3528F">
        <w:rPr>
          <w:rFonts w:ascii="Times New Roman" w:hAnsi="Times New Roman" w:cs="Times New Roman"/>
          <w:i/>
          <w:iCs/>
          <w:lang w:val="en-GB"/>
        </w:rPr>
        <w:t>S</w:t>
      </w:r>
      <w:r w:rsidRPr="00F3528F">
        <w:rPr>
          <w:rFonts w:ascii="Times New Roman" w:hAnsi="Times New Roman" w:cs="Times New Roman"/>
          <w:lang w:val="en-GB"/>
        </w:rPr>
        <w:t>,25a</w:t>
      </w:r>
      <w:r w:rsidRPr="00F3528F">
        <w:rPr>
          <w:rFonts w:ascii="Times New Roman" w:hAnsi="Times New Roman" w:cs="Times New Roman"/>
          <w:i/>
          <w:iCs/>
          <w:lang w:val="en-GB"/>
        </w:rPr>
        <w:t>S</w:t>
      </w:r>
      <w:r w:rsidRPr="00F3528F">
        <w:rPr>
          <w:rFonts w:ascii="Times New Roman" w:hAnsi="Times New Roman" w:cs="Times New Roman"/>
          <w:lang w:val="en-GB"/>
        </w:rPr>
        <w:t>)-11-hydroxy- 3-(4-methoxybenzyl)-2,6,17-trimethyl-15-(1-methylethyl)- 7-[[(2</w:t>
      </w:r>
      <w:r w:rsidRPr="00F3528F">
        <w:rPr>
          <w:rFonts w:ascii="Times New Roman" w:hAnsi="Times New Roman" w:cs="Times New Roman"/>
          <w:i/>
          <w:iCs/>
          <w:lang w:val="en-GB"/>
        </w:rPr>
        <w:t>R</w:t>
      </w:r>
      <w:r w:rsidRPr="00F3528F">
        <w:rPr>
          <w:rFonts w:ascii="Times New Roman" w:hAnsi="Times New Roman" w:cs="Times New Roman"/>
          <w:lang w:val="en-GB"/>
        </w:rPr>
        <w:t>)-4-methyl-2-[methyl[[(2</w:t>
      </w:r>
      <w:r w:rsidRPr="00F3528F">
        <w:rPr>
          <w:rFonts w:ascii="Times New Roman" w:hAnsi="Times New Roman" w:cs="Times New Roman"/>
          <w:i/>
          <w:iCs/>
          <w:lang w:val="en-GB"/>
        </w:rPr>
        <w:t>S</w:t>
      </w:r>
      <w:r w:rsidRPr="00F3528F">
        <w:rPr>
          <w:rFonts w:ascii="Times New Roman" w:hAnsi="Times New Roman" w:cs="Times New Roman"/>
          <w:lang w:val="en-GB"/>
        </w:rPr>
        <w:t>)-1-(2-oxopropanoyl)</w:t>
      </w:r>
      <w:proofErr w:type="spellStart"/>
      <w:r w:rsidRPr="00F3528F">
        <w:rPr>
          <w:rFonts w:ascii="Times New Roman" w:hAnsi="Times New Roman" w:cs="Times New Roman"/>
          <w:lang w:val="en-GB"/>
        </w:rPr>
        <w:t>pyrrolidin</w:t>
      </w:r>
      <w:proofErr w:type="spellEnd"/>
      <w:r w:rsidRPr="00F3528F">
        <w:rPr>
          <w:rFonts w:ascii="Times New Roman" w:hAnsi="Times New Roman" w:cs="Times New Roman"/>
          <w:lang w:val="en-GB"/>
        </w:rPr>
        <w:t>- 2-yl]carbonyl]amino]</w:t>
      </w:r>
      <w:proofErr w:type="spellStart"/>
      <w:r w:rsidRPr="00F3528F">
        <w:rPr>
          <w:rFonts w:ascii="Times New Roman" w:hAnsi="Times New Roman" w:cs="Times New Roman"/>
          <w:lang w:val="en-GB"/>
        </w:rPr>
        <w:t>pentanoyl</w:t>
      </w:r>
      <w:proofErr w:type="spellEnd"/>
      <w:r w:rsidRPr="00F3528F">
        <w:rPr>
          <w:rFonts w:ascii="Times New Roman" w:hAnsi="Times New Roman" w:cs="Times New Roman"/>
          <w:lang w:val="en-GB"/>
        </w:rPr>
        <w:t>]amino]-10-[(1</w:t>
      </w:r>
      <w:r w:rsidRPr="00F3528F">
        <w:rPr>
          <w:rFonts w:ascii="Times New Roman" w:hAnsi="Times New Roman" w:cs="Times New Roman"/>
          <w:i/>
          <w:iCs/>
          <w:lang w:val="en-GB"/>
        </w:rPr>
        <w:t>S</w:t>
      </w:r>
      <w:r w:rsidRPr="00F3528F">
        <w:rPr>
          <w:rFonts w:ascii="Times New Roman" w:hAnsi="Times New Roman" w:cs="Times New Roman"/>
          <w:lang w:val="en-GB"/>
        </w:rPr>
        <w:t>)-1-methylpropyl]- 20-(2-methylpropyl)tetradecahydro-15</w:t>
      </w:r>
      <w:r w:rsidRPr="00F3528F">
        <w:rPr>
          <w:rFonts w:ascii="Times New Roman" w:hAnsi="Times New Roman" w:cs="Times New Roman"/>
          <w:i/>
          <w:iCs/>
          <w:lang w:val="en-GB"/>
        </w:rPr>
        <w:t>H</w:t>
      </w:r>
      <w:r w:rsidRPr="00F3528F">
        <w:rPr>
          <w:rFonts w:ascii="Times New Roman" w:hAnsi="Times New Roman" w:cs="Times New Roman"/>
          <w:lang w:val="en-GB"/>
        </w:rPr>
        <w:t>-pyrrolo[2,1-f]-[1,15,4,7,10,20]dioxatetrazacyclotricosine-1,4,8,13,16,18,21(17</w:t>
      </w:r>
      <w:r w:rsidRPr="00F3528F">
        <w:rPr>
          <w:rFonts w:ascii="Times New Roman" w:hAnsi="Times New Roman" w:cs="Times New Roman"/>
          <w:i/>
          <w:iCs/>
          <w:lang w:val="en-GB"/>
        </w:rPr>
        <w:t>H</w:t>
      </w:r>
      <w:r w:rsidRPr="00F3528F">
        <w:rPr>
          <w:rFonts w:ascii="Times New Roman" w:hAnsi="Times New Roman" w:cs="Times New Roman"/>
          <w:lang w:val="en-GB"/>
        </w:rPr>
        <w:t>)-heptone</w:t>
      </w:r>
    </w:p>
    <w:p w14:paraId="7F08F399" w14:textId="77777777" w:rsidR="00F3528F" w:rsidRPr="00A0776F" w:rsidRDefault="00F3528F" w:rsidP="00A0776F">
      <w:pPr>
        <w:spacing w:after="0" w:line="240" w:lineRule="auto"/>
        <w:rPr>
          <w:rFonts w:ascii="Times New Roman" w:hAnsi="Times New Roman" w:cs="Times New Roman"/>
          <w:lang w:val="en-GB"/>
        </w:rPr>
      </w:pPr>
    </w:p>
    <w:p w14:paraId="39940256" w14:textId="77777777" w:rsidR="00A0776F" w:rsidRDefault="00A0776F" w:rsidP="00F83318">
      <w:pPr>
        <w:pageBreakBefore/>
        <w:spacing w:after="0" w:line="240" w:lineRule="auto"/>
        <w:rPr>
          <w:rFonts w:ascii="Times New Roman" w:hAnsi="Times New Roman" w:cs="Times New Roman"/>
          <w:lang w:val="en-GB"/>
        </w:rPr>
      </w:pPr>
      <w:bookmarkStart w:id="2" w:name="_GoBack"/>
      <w:bookmarkEnd w:id="2"/>
      <w:r w:rsidRPr="00A0776F">
        <w:rPr>
          <w:rFonts w:ascii="Times New Roman" w:hAnsi="Times New Roman" w:cs="Times New Roman"/>
          <w:lang w:val="en-GB"/>
        </w:rPr>
        <w:lastRenderedPageBreak/>
        <w:t>Molecular Weight: 1110.34</w:t>
      </w:r>
    </w:p>
    <w:p w14:paraId="284E7599" w14:textId="2B32091A" w:rsidR="00A0776F" w:rsidRPr="00A0776F" w:rsidRDefault="00A0776F" w:rsidP="00A0776F">
      <w:pPr>
        <w:spacing w:after="0" w:line="240" w:lineRule="auto"/>
        <w:rPr>
          <w:rFonts w:ascii="Times New Roman" w:hAnsi="Times New Roman" w:cs="Times New Roman"/>
          <w:lang w:val="en-GB"/>
        </w:rPr>
      </w:pPr>
      <w:r w:rsidRPr="00A0776F">
        <w:rPr>
          <w:rFonts w:ascii="Times New Roman" w:hAnsi="Times New Roman" w:cs="Times New Roman"/>
          <w:lang w:val="en-GB"/>
        </w:rPr>
        <w:t>Molecular Formula: C</w:t>
      </w:r>
      <w:r w:rsidRPr="00A0776F">
        <w:rPr>
          <w:rFonts w:ascii="Times New Roman" w:hAnsi="Times New Roman" w:cs="Times New Roman"/>
          <w:vertAlign w:val="subscript"/>
          <w:lang w:val="en-GB"/>
        </w:rPr>
        <w:t>57</w:t>
      </w:r>
      <w:r w:rsidRPr="00A0776F">
        <w:rPr>
          <w:rFonts w:ascii="Times New Roman" w:hAnsi="Times New Roman" w:cs="Times New Roman"/>
          <w:lang w:val="en-GB"/>
        </w:rPr>
        <w:t>H</w:t>
      </w:r>
      <w:r w:rsidRPr="00A0776F">
        <w:rPr>
          <w:rFonts w:ascii="Times New Roman" w:hAnsi="Times New Roman" w:cs="Times New Roman"/>
          <w:vertAlign w:val="subscript"/>
          <w:lang w:val="en-GB"/>
        </w:rPr>
        <w:t>87</w:t>
      </w:r>
      <w:r w:rsidRPr="00A0776F">
        <w:rPr>
          <w:rFonts w:ascii="Times New Roman" w:hAnsi="Times New Roman" w:cs="Times New Roman"/>
          <w:lang w:val="en-GB"/>
        </w:rPr>
        <w:t>N</w:t>
      </w:r>
      <w:r w:rsidRPr="00A0776F">
        <w:rPr>
          <w:rFonts w:ascii="Times New Roman" w:hAnsi="Times New Roman" w:cs="Times New Roman"/>
          <w:vertAlign w:val="subscript"/>
          <w:lang w:val="en-GB"/>
        </w:rPr>
        <w:t>7</w:t>
      </w:r>
      <w:r w:rsidRPr="00A0776F">
        <w:rPr>
          <w:rFonts w:ascii="Times New Roman" w:hAnsi="Times New Roman" w:cs="Times New Roman"/>
          <w:lang w:val="en-GB"/>
        </w:rPr>
        <w:t>O</w:t>
      </w:r>
      <w:r w:rsidRPr="00A0776F">
        <w:rPr>
          <w:rFonts w:ascii="Times New Roman" w:hAnsi="Times New Roman" w:cs="Times New Roman"/>
          <w:vertAlign w:val="subscript"/>
          <w:lang w:val="en-GB"/>
        </w:rPr>
        <w:t>15</w:t>
      </w:r>
    </w:p>
    <w:p w14:paraId="071D25FC" w14:textId="700FF728" w:rsidR="00F3528F" w:rsidRDefault="00F3528F" w:rsidP="00A0776F">
      <w:pPr>
        <w:spacing w:after="0" w:line="240" w:lineRule="auto"/>
        <w:rPr>
          <w:rFonts w:ascii="Times New Roman" w:hAnsi="Times New Roman" w:cs="Times New Roman"/>
          <w:lang w:val="en-GB"/>
        </w:rPr>
      </w:pPr>
    </w:p>
    <w:p w14:paraId="2F89A461" w14:textId="1183A386" w:rsidR="00A0776F" w:rsidRPr="00A0776F" w:rsidRDefault="00A0776F" w:rsidP="00A0776F">
      <w:pPr>
        <w:spacing w:after="0" w:line="240" w:lineRule="auto"/>
        <w:rPr>
          <w:rFonts w:ascii="Times New Roman" w:hAnsi="Times New Roman" w:cs="Times New Roman"/>
          <w:lang w:val="en-GB"/>
        </w:rPr>
      </w:pPr>
      <w:r>
        <w:rPr>
          <w:noProof/>
          <w:lang w:eastAsia="en-AU"/>
        </w:rPr>
        <w:drawing>
          <wp:inline distT="0" distB="0" distL="0" distR="0" wp14:anchorId="4F71CB33" wp14:editId="39068F56">
            <wp:extent cx="3835400" cy="2476500"/>
            <wp:effectExtent l="0" t="0" r="0" b="0"/>
            <wp:docPr id="1" name="Picture 1"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5400" cy="2476500"/>
                    </a:xfrm>
                    <a:prstGeom prst="rect">
                      <a:avLst/>
                    </a:prstGeom>
                    <a:noFill/>
                    <a:ln>
                      <a:noFill/>
                    </a:ln>
                  </pic:spPr>
                </pic:pic>
              </a:graphicData>
            </a:graphic>
          </wp:inline>
        </w:drawing>
      </w:r>
    </w:p>
    <w:p w14:paraId="04473C27" w14:textId="77777777" w:rsidR="00A0776F" w:rsidRPr="00A0776F" w:rsidRDefault="00A0776F" w:rsidP="00A0776F">
      <w:pPr>
        <w:spacing w:after="0" w:line="240" w:lineRule="auto"/>
        <w:rPr>
          <w:rFonts w:ascii="Times New Roman" w:hAnsi="Times New Roman" w:cs="Times New Roman"/>
          <w:lang w:val="en-GB"/>
        </w:rPr>
      </w:pPr>
    </w:p>
    <w:p w14:paraId="21A10BE0" w14:textId="77777777" w:rsidR="00A0776F" w:rsidRDefault="00F3528F" w:rsidP="00A0776F">
      <w:pPr>
        <w:spacing w:after="0" w:line="240" w:lineRule="auto"/>
        <w:rPr>
          <w:rFonts w:ascii="Times New Roman" w:hAnsi="Times New Roman" w:cs="Times New Roman"/>
          <w:lang w:val="en-GB"/>
        </w:rPr>
      </w:pPr>
      <w:r w:rsidRPr="00A0776F">
        <w:rPr>
          <w:rFonts w:ascii="Times New Roman" w:hAnsi="Times New Roman" w:cs="Times New Roman"/>
          <w:lang w:val="en-GB"/>
        </w:rPr>
        <w:t>CAS number</w:t>
      </w:r>
    </w:p>
    <w:p w14:paraId="1F5E934C" w14:textId="66E8C28A" w:rsidR="00A0776F" w:rsidRDefault="00A0776F" w:rsidP="00A0776F">
      <w:pPr>
        <w:spacing w:after="0" w:line="240" w:lineRule="auto"/>
        <w:rPr>
          <w:rFonts w:ascii="Times New Roman" w:hAnsi="Times New Roman" w:cs="Times New Roman"/>
          <w:lang w:val="en-GB"/>
        </w:rPr>
      </w:pPr>
      <w:r w:rsidRPr="00A0776F">
        <w:rPr>
          <w:rFonts w:ascii="Times New Roman" w:hAnsi="Times New Roman" w:cs="Times New Roman"/>
          <w:lang w:val="en-GB"/>
        </w:rPr>
        <w:t>137219-37-5</w:t>
      </w:r>
    </w:p>
    <w:p w14:paraId="0A7C06B2" w14:textId="77777777" w:rsidR="00A0776F" w:rsidRPr="00A0776F" w:rsidRDefault="00A0776F" w:rsidP="00A0776F">
      <w:pPr>
        <w:spacing w:after="0" w:line="240" w:lineRule="auto"/>
        <w:rPr>
          <w:rFonts w:ascii="Times New Roman" w:hAnsi="Times New Roman" w:cs="Times New Roman"/>
          <w:lang w:val="en-GB"/>
        </w:rPr>
      </w:pPr>
    </w:p>
    <w:p w14:paraId="4E91D495" w14:textId="3D0ABE62" w:rsidR="001A3992" w:rsidRDefault="001A3992" w:rsidP="00645AC8">
      <w:pPr>
        <w:pStyle w:val="Heading1"/>
        <w:spacing w:before="0"/>
        <w:ind w:left="0" w:hanging="426"/>
        <w:rPr>
          <w:rFonts w:ascii="Times New Roman" w:hAnsi="Times New Roman" w:cs="Times New Roman"/>
          <w:b w:val="0"/>
          <w:lang w:val="en-US"/>
        </w:rPr>
      </w:pPr>
      <w:r w:rsidRPr="00355185">
        <w:rPr>
          <w:rFonts w:ascii="Times New Roman" w:hAnsi="Times New Roman" w:cs="Times New Roman"/>
          <w:b w:val="0"/>
          <w:lang w:val="en-US"/>
        </w:rPr>
        <w:t>Medicine schedule (Poisons Standard)</w:t>
      </w:r>
    </w:p>
    <w:p w14:paraId="60368DCA" w14:textId="49AA3F08" w:rsidR="00A448C9" w:rsidRPr="00D6472F" w:rsidRDefault="00D6472F" w:rsidP="00A448C9">
      <w:pPr>
        <w:rPr>
          <w:rFonts w:ascii="Times New Roman" w:hAnsi="Times New Roman" w:cs="Times New Roman"/>
        </w:rPr>
      </w:pPr>
      <w:r>
        <w:rPr>
          <w:rFonts w:ascii="Times New Roman" w:hAnsi="Times New Roman" w:cs="Times New Roman"/>
        </w:rPr>
        <w:t>Prescription Only Medicine (S4)</w:t>
      </w:r>
    </w:p>
    <w:p w14:paraId="342CCD12" w14:textId="77777777" w:rsidR="00A448C9" w:rsidRDefault="001A3992" w:rsidP="00A448C9">
      <w:pPr>
        <w:pStyle w:val="Heading1"/>
        <w:spacing w:before="0"/>
        <w:ind w:left="0" w:hanging="426"/>
        <w:rPr>
          <w:rFonts w:ascii="Times New Roman" w:hAnsi="Times New Roman" w:cs="Times New Roman"/>
          <w:b w:val="0"/>
          <w:caps w:val="0"/>
          <w:sz w:val="22"/>
          <w:szCs w:val="22"/>
          <w:lang w:val="en-US"/>
        </w:rPr>
      </w:pPr>
      <w:r w:rsidRPr="00355185">
        <w:rPr>
          <w:rFonts w:ascii="Times New Roman" w:hAnsi="Times New Roman" w:cs="Times New Roman"/>
          <w:b w:val="0"/>
          <w:lang w:val="en-US"/>
        </w:rPr>
        <w:t>Sponsor</w:t>
      </w:r>
    </w:p>
    <w:p w14:paraId="2F96D8A2" w14:textId="144E5E92" w:rsidR="00A448C9" w:rsidRDefault="00274B5E" w:rsidP="00A448C9">
      <w:pPr>
        <w:pStyle w:val="Heading1"/>
        <w:numPr>
          <w:ilvl w:val="0"/>
          <w:numId w:val="0"/>
        </w:numPr>
        <w:spacing w:before="0"/>
        <w:rPr>
          <w:rFonts w:ascii="Times New Roman" w:hAnsi="Times New Roman" w:cs="Times New Roman"/>
          <w:b w:val="0"/>
          <w:caps w:val="0"/>
          <w:sz w:val="22"/>
          <w:szCs w:val="22"/>
          <w:lang w:val="en-US"/>
        </w:rPr>
      </w:pPr>
      <w:r w:rsidRPr="00A448C9">
        <w:rPr>
          <w:rFonts w:ascii="Times New Roman" w:hAnsi="Times New Roman" w:cs="Times New Roman"/>
          <w:b w:val="0"/>
          <w:caps w:val="0"/>
          <w:sz w:val="22"/>
          <w:szCs w:val="22"/>
          <w:lang w:val="en-US"/>
        </w:rPr>
        <w:t>Specialised Therapeutics P</w:t>
      </w:r>
      <w:r w:rsidR="00217C03">
        <w:rPr>
          <w:rFonts w:ascii="Times New Roman" w:hAnsi="Times New Roman" w:cs="Times New Roman"/>
          <w:b w:val="0"/>
          <w:caps w:val="0"/>
          <w:sz w:val="22"/>
          <w:szCs w:val="22"/>
          <w:lang w:val="en-US"/>
        </w:rPr>
        <w:t>harma</w:t>
      </w:r>
      <w:r w:rsidRPr="00A448C9">
        <w:rPr>
          <w:rFonts w:ascii="Times New Roman" w:hAnsi="Times New Roman" w:cs="Times New Roman"/>
          <w:b w:val="0"/>
          <w:caps w:val="0"/>
          <w:sz w:val="22"/>
          <w:szCs w:val="22"/>
          <w:lang w:val="en-US"/>
        </w:rPr>
        <w:t xml:space="preserve"> Pty Ltd</w:t>
      </w:r>
    </w:p>
    <w:p w14:paraId="4B9525AE" w14:textId="5C939840" w:rsidR="001A3992" w:rsidRDefault="00274B5E" w:rsidP="00217C03">
      <w:pPr>
        <w:pStyle w:val="Heading1"/>
        <w:numPr>
          <w:ilvl w:val="0"/>
          <w:numId w:val="0"/>
        </w:numPr>
        <w:spacing w:before="0" w:line="240" w:lineRule="auto"/>
        <w:rPr>
          <w:rFonts w:ascii="Times New Roman" w:hAnsi="Times New Roman" w:cs="Times New Roman"/>
          <w:b w:val="0"/>
          <w:caps w:val="0"/>
          <w:sz w:val="22"/>
          <w:szCs w:val="22"/>
          <w:lang w:val="en-US"/>
        </w:rPr>
      </w:pPr>
      <w:r w:rsidRPr="00A448C9">
        <w:rPr>
          <w:rFonts w:ascii="Times New Roman" w:hAnsi="Times New Roman" w:cs="Times New Roman"/>
          <w:b w:val="0"/>
          <w:caps w:val="0"/>
          <w:sz w:val="22"/>
          <w:szCs w:val="22"/>
          <w:lang w:val="en-US"/>
        </w:rPr>
        <w:t>Level 2, 17 Cotham Road, Kew, Victoria 3101</w:t>
      </w:r>
    </w:p>
    <w:p w14:paraId="17128C3C" w14:textId="40CBC082" w:rsidR="00217C03" w:rsidRDefault="00217C03" w:rsidP="00217C03">
      <w:pPr>
        <w:spacing w:after="0" w:line="240" w:lineRule="auto"/>
        <w:rPr>
          <w:rFonts w:ascii="Times New Roman" w:hAnsi="Times New Roman" w:cs="Times New Roman"/>
          <w:lang w:val="en-US"/>
        </w:rPr>
      </w:pPr>
    </w:p>
    <w:p w14:paraId="6BB47F6E" w14:textId="4765AF35" w:rsidR="00217C03" w:rsidRDefault="00217C03" w:rsidP="00217C03">
      <w:pPr>
        <w:spacing w:after="0" w:line="240" w:lineRule="auto"/>
        <w:rPr>
          <w:rFonts w:ascii="Times New Roman" w:hAnsi="Times New Roman" w:cs="Times New Roman"/>
          <w:lang w:val="en-US"/>
        </w:rPr>
      </w:pPr>
      <w:r>
        <w:rPr>
          <w:rFonts w:ascii="Times New Roman" w:hAnsi="Times New Roman" w:cs="Times New Roman"/>
          <w:lang w:val="en-US"/>
        </w:rPr>
        <w:t>Ph: 1300 798 820</w:t>
      </w:r>
    </w:p>
    <w:p w14:paraId="22FF6537" w14:textId="18C09EE1" w:rsidR="00217C03" w:rsidRDefault="00217C03" w:rsidP="00217C03">
      <w:pPr>
        <w:spacing w:after="0" w:line="240" w:lineRule="auto"/>
        <w:rPr>
          <w:rFonts w:ascii="Times New Roman" w:hAnsi="Times New Roman" w:cs="Times New Roman"/>
          <w:lang w:val="en-US"/>
        </w:rPr>
      </w:pPr>
      <w:r>
        <w:rPr>
          <w:rFonts w:ascii="Times New Roman" w:hAnsi="Times New Roman" w:cs="Times New Roman"/>
          <w:lang w:val="en-US"/>
        </w:rPr>
        <w:t>Fax: 1800 798 829</w:t>
      </w:r>
    </w:p>
    <w:p w14:paraId="309BE18D" w14:textId="42112B94" w:rsidR="00217C03" w:rsidRDefault="001A60CE" w:rsidP="00217C03">
      <w:pPr>
        <w:spacing w:after="0" w:line="240" w:lineRule="auto"/>
        <w:rPr>
          <w:rFonts w:ascii="Times New Roman" w:hAnsi="Times New Roman" w:cs="Times New Roman"/>
          <w:lang w:val="en-US"/>
        </w:rPr>
      </w:pPr>
      <w:r w:rsidRPr="00F34F3B">
        <w:rPr>
          <w:rFonts w:ascii="Times New Roman" w:hAnsi="Times New Roman" w:cs="Times New Roman"/>
          <w:lang w:val="en-US"/>
        </w:rPr>
        <w:t>www.stbiopharma.com</w:t>
      </w:r>
    </w:p>
    <w:p w14:paraId="7E4BA7B7" w14:textId="77777777" w:rsidR="00217C03" w:rsidRPr="00217C03" w:rsidRDefault="00217C03" w:rsidP="00217C03">
      <w:pPr>
        <w:spacing w:after="0" w:line="240" w:lineRule="auto"/>
        <w:rPr>
          <w:rFonts w:ascii="Times New Roman" w:hAnsi="Times New Roman" w:cs="Times New Roman"/>
          <w:lang w:val="en-US"/>
        </w:rPr>
      </w:pPr>
    </w:p>
    <w:p w14:paraId="33D35DFA" w14:textId="4DC810BE" w:rsidR="001A3992" w:rsidRDefault="001A3992" w:rsidP="00645AC8">
      <w:pPr>
        <w:pStyle w:val="Heading1"/>
        <w:spacing w:before="0"/>
        <w:ind w:left="0" w:hanging="426"/>
        <w:rPr>
          <w:rFonts w:ascii="Times New Roman" w:hAnsi="Times New Roman" w:cs="Times New Roman"/>
          <w:b w:val="0"/>
          <w:lang w:val="en-US"/>
        </w:rPr>
      </w:pPr>
      <w:r w:rsidRPr="00D47F68">
        <w:rPr>
          <w:rFonts w:ascii="Times New Roman" w:hAnsi="Times New Roman" w:cs="Times New Roman"/>
          <w:b w:val="0"/>
          <w:lang w:val="en-US"/>
        </w:rPr>
        <w:t xml:space="preserve">Date of first </w:t>
      </w:r>
      <w:r w:rsidR="00AA590F" w:rsidRPr="00D47F68">
        <w:rPr>
          <w:rFonts w:ascii="Times New Roman" w:hAnsi="Times New Roman" w:cs="Times New Roman"/>
          <w:b w:val="0"/>
          <w:lang w:val="en-US"/>
        </w:rPr>
        <w:t xml:space="preserve">APPROVAL </w:t>
      </w:r>
    </w:p>
    <w:p w14:paraId="0F3726FD" w14:textId="05E4D75D" w:rsidR="00AE16F5" w:rsidRPr="00981F0C" w:rsidRDefault="00457132" w:rsidP="00C730E5">
      <w:pPr>
        <w:spacing w:after="120" w:line="240" w:lineRule="auto"/>
        <w:rPr>
          <w:rFonts w:ascii="Times New Roman" w:hAnsi="Times New Roman" w:cs="Times New Roman"/>
          <w:lang w:val="en-US"/>
        </w:rPr>
      </w:pPr>
      <w:r w:rsidRPr="00981F0C">
        <w:rPr>
          <w:rFonts w:ascii="Times New Roman" w:hAnsi="Times New Roman" w:cs="Times New Roman"/>
          <w:lang w:val="en-US"/>
        </w:rPr>
        <w:t>10 December 2018</w:t>
      </w:r>
    </w:p>
    <w:p w14:paraId="4EC90A86" w14:textId="28A801CA" w:rsidR="001A3992" w:rsidRDefault="001A3992" w:rsidP="00645AC8">
      <w:pPr>
        <w:pStyle w:val="Heading1"/>
        <w:spacing w:before="0"/>
        <w:ind w:left="0" w:hanging="426"/>
        <w:rPr>
          <w:rFonts w:ascii="Times New Roman" w:hAnsi="Times New Roman" w:cs="Times New Roman"/>
          <w:b w:val="0"/>
          <w:lang w:val="en-US"/>
        </w:rPr>
      </w:pPr>
      <w:r w:rsidRPr="00D47F68">
        <w:rPr>
          <w:rFonts w:ascii="Times New Roman" w:hAnsi="Times New Roman" w:cs="Times New Roman"/>
          <w:b w:val="0"/>
          <w:lang w:val="en-US"/>
        </w:rPr>
        <w:t xml:space="preserve">Date of revision </w:t>
      </w:r>
    </w:p>
    <w:p w14:paraId="11A59431" w14:textId="5928C441" w:rsidR="001A3992" w:rsidRPr="00355185" w:rsidRDefault="001A3992" w:rsidP="00645AC8">
      <w:pPr>
        <w:pStyle w:val="Heading2"/>
        <w:numPr>
          <w:ilvl w:val="0"/>
          <w:numId w:val="0"/>
        </w:numPr>
        <w:spacing w:before="0" w:after="0"/>
        <w:rPr>
          <w:rFonts w:ascii="Times New Roman" w:eastAsiaTheme="majorEastAsia" w:hAnsi="Times New Roman" w:cs="Times New Roman"/>
          <w:b w:val="0"/>
          <w:bCs/>
          <w:smallCaps w:val="0"/>
          <w:sz w:val="26"/>
          <w:szCs w:val="26"/>
        </w:rPr>
      </w:pPr>
      <w:r w:rsidRPr="00355185">
        <w:rPr>
          <w:rFonts w:ascii="Times New Roman" w:eastAsiaTheme="majorEastAsia" w:hAnsi="Times New Roman" w:cs="Times New Roman"/>
          <w:b w:val="0"/>
          <w:bCs/>
          <w:smallCaps w:val="0"/>
          <w:sz w:val="26"/>
          <w:szCs w:val="26"/>
        </w:rPr>
        <w:t>Summary table of changes</w:t>
      </w:r>
    </w:p>
    <w:tbl>
      <w:tblPr>
        <w:tblStyle w:val="LightGrid"/>
        <w:tblW w:w="9242" w:type="dxa"/>
        <w:tblInd w:w="108" w:type="dxa"/>
        <w:tblCellMar>
          <w:top w:w="57" w:type="dxa"/>
          <w:bottom w:w="57" w:type="dxa"/>
        </w:tblCellMar>
        <w:tblLook w:val="06A0" w:firstRow="1" w:lastRow="0" w:firstColumn="1" w:lastColumn="0" w:noHBand="1" w:noVBand="1"/>
      </w:tblPr>
      <w:tblGrid>
        <w:gridCol w:w="1384"/>
        <w:gridCol w:w="7858"/>
      </w:tblGrid>
      <w:tr w:rsidR="00ED0937" w:rsidRPr="00355185" w14:paraId="028B5023" w14:textId="77777777" w:rsidTr="008B475C">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1832E9A7" w14:textId="77777777" w:rsidR="00ED0937" w:rsidRPr="00355185" w:rsidRDefault="00ED0937" w:rsidP="00645AC8">
            <w:pPr>
              <w:rPr>
                <w:rFonts w:ascii="Times New Roman" w:hAnsi="Times New Roman" w:cs="Times New Roman"/>
                <w:b w:val="0"/>
                <w:sz w:val="20"/>
                <w:lang w:val="en-US"/>
              </w:rPr>
            </w:pPr>
            <w:r w:rsidRPr="00355185">
              <w:rPr>
                <w:rFonts w:ascii="Times New Roman" w:hAnsi="Times New Roman" w:cs="Times New Roman"/>
                <w:b w:val="0"/>
                <w:sz w:val="20"/>
                <w:lang w:val="en-US"/>
              </w:rPr>
              <w:t>Section Changed</w:t>
            </w:r>
          </w:p>
        </w:tc>
        <w:tc>
          <w:tcPr>
            <w:tcW w:w="7858" w:type="dxa"/>
            <w:shd w:val="clear" w:color="auto" w:fill="F2F2F2" w:themeFill="background1" w:themeFillShade="F2"/>
            <w:vAlign w:val="center"/>
          </w:tcPr>
          <w:p w14:paraId="743A7AF0" w14:textId="77777777" w:rsidR="00ED0937" w:rsidRPr="00355185" w:rsidRDefault="00ED0937" w:rsidP="00645A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lang w:val="en-US"/>
              </w:rPr>
            </w:pPr>
            <w:r w:rsidRPr="00355185">
              <w:rPr>
                <w:rFonts w:ascii="Times New Roman" w:hAnsi="Times New Roman" w:cs="Times New Roman"/>
                <w:b w:val="0"/>
                <w:sz w:val="20"/>
                <w:lang w:val="en-US"/>
              </w:rPr>
              <w:t>Summary of new information</w:t>
            </w:r>
          </w:p>
        </w:tc>
      </w:tr>
      <w:tr w:rsidR="00ED0937" w:rsidRPr="00355185" w14:paraId="78C27DB1" w14:textId="77777777" w:rsidTr="00EC11F3">
        <w:tc>
          <w:tcPr>
            <w:cnfStyle w:val="001000000000" w:firstRow="0" w:lastRow="0" w:firstColumn="1" w:lastColumn="0" w:oddVBand="0" w:evenVBand="0" w:oddHBand="0" w:evenHBand="0" w:firstRowFirstColumn="0" w:firstRowLastColumn="0" w:lastRowFirstColumn="0" w:lastRowLastColumn="0"/>
            <w:tcW w:w="1384" w:type="dxa"/>
            <w:vAlign w:val="center"/>
          </w:tcPr>
          <w:p w14:paraId="358E0770" w14:textId="1C078768" w:rsidR="00ED0937" w:rsidRPr="00355185" w:rsidRDefault="00426208" w:rsidP="00645AC8">
            <w:pPr>
              <w:rPr>
                <w:rFonts w:ascii="Times New Roman" w:hAnsi="Times New Roman" w:cs="Times New Roman"/>
                <w:b w:val="0"/>
                <w:lang w:val="en-US"/>
              </w:rPr>
            </w:pPr>
            <w:r>
              <w:rPr>
                <w:rFonts w:ascii="Times New Roman" w:hAnsi="Times New Roman" w:cs="Times New Roman"/>
                <w:b w:val="0"/>
                <w:lang w:val="en-US"/>
              </w:rPr>
              <w:t>9</w:t>
            </w:r>
          </w:p>
        </w:tc>
        <w:tc>
          <w:tcPr>
            <w:tcW w:w="7858" w:type="dxa"/>
            <w:vAlign w:val="center"/>
          </w:tcPr>
          <w:p w14:paraId="24C01A6D" w14:textId="1CBEAB43" w:rsidR="00ED0937" w:rsidRPr="00355185" w:rsidRDefault="00426208" w:rsidP="00645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Date of </w:t>
            </w:r>
            <w:r w:rsidR="00457132">
              <w:rPr>
                <w:rFonts w:ascii="Times New Roman" w:hAnsi="Times New Roman" w:cs="Times New Roman"/>
                <w:lang w:val="en-US"/>
              </w:rPr>
              <w:t xml:space="preserve">TGA </w:t>
            </w:r>
            <w:r>
              <w:rPr>
                <w:rFonts w:ascii="Times New Roman" w:hAnsi="Times New Roman" w:cs="Times New Roman"/>
                <w:lang w:val="en-US"/>
              </w:rPr>
              <w:t>Approval</w:t>
            </w:r>
          </w:p>
        </w:tc>
      </w:tr>
      <w:tr w:rsidR="00ED0937" w:rsidRPr="00355185" w14:paraId="6BDE6617" w14:textId="77777777" w:rsidTr="00EC11F3">
        <w:tc>
          <w:tcPr>
            <w:cnfStyle w:val="001000000000" w:firstRow="0" w:lastRow="0" w:firstColumn="1" w:lastColumn="0" w:oddVBand="0" w:evenVBand="0" w:oddHBand="0" w:evenHBand="0" w:firstRowFirstColumn="0" w:firstRowLastColumn="0" w:lastRowFirstColumn="0" w:lastRowLastColumn="0"/>
            <w:tcW w:w="1384" w:type="dxa"/>
            <w:vAlign w:val="center"/>
          </w:tcPr>
          <w:p w14:paraId="00C34A05" w14:textId="77777777" w:rsidR="00ED0937" w:rsidRPr="00355185" w:rsidRDefault="00ED0937" w:rsidP="00645AC8">
            <w:pPr>
              <w:rPr>
                <w:rFonts w:ascii="Times New Roman" w:hAnsi="Times New Roman" w:cs="Times New Roman"/>
                <w:b w:val="0"/>
                <w:lang w:val="en-US"/>
              </w:rPr>
            </w:pPr>
          </w:p>
        </w:tc>
        <w:tc>
          <w:tcPr>
            <w:tcW w:w="7858" w:type="dxa"/>
            <w:vAlign w:val="center"/>
          </w:tcPr>
          <w:p w14:paraId="5EFB5AFC" w14:textId="77777777" w:rsidR="00ED0937" w:rsidRPr="00355185" w:rsidRDefault="00ED0937" w:rsidP="00645A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bl>
    <w:p w14:paraId="58E919D6" w14:textId="77777777" w:rsidR="00960CD5" w:rsidRPr="00C730E5" w:rsidRDefault="00960CD5" w:rsidP="00C730E5">
      <w:pPr>
        <w:spacing w:after="0" w:line="240" w:lineRule="auto"/>
        <w:rPr>
          <w:rFonts w:ascii="Times New Roman" w:hAnsi="Times New Roman" w:cs="Times New Roman"/>
          <w:sz w:val="10"/>
        </w:rPr>
      </w:pPr>
    </w:p>
    <w:sectPr w:rsidR="00960CD5" w:rsidRPr="00C730E5" w:rsidSect="00917B17">
      <w:headerReference w:type="default" r:id="rId14"/>
      <w:footerReference w:type="default" r:id="rId15"/>
      <w:headerReference w:type="first" r:id="rId16"/>
      <w:footerReference w:type="first" r:id="rId17"/>
      <w:pgSz w:w="11906" w:h="16838"/>
      <w:pgMar w:top="1134" w:right="1440" w:bottom="141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660FA" w14:textId="77777777" w:rsidR="004661B8" w:rsidRDefault="004661B8" w:rsidP="001A3992">
      <w:pPr>
        <w:spacing w:after="0" w:line="240" w:lineRule="auto"/>
      </w:pPr>
      <w:r>
        <w:separator/>
      </w:r>
    </w:p>
  </w:endnote>
  <w:endnote w:type="continuationSeparator" w:id="0">
    <w:p w14:paraId="4E0FAD08" w14:textId="77777777" w:rsidR="004661B8" w:rsidRDefault="004661B8"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007765"/>
      <w:docPartObj>
        <w:docPartGallery w:val="Page Numbers (Bottom of Page)"/>
        <w:docPartUnique/>
      </w:docPartObj>
    </w:sdtPr>
    <w:sdtEndPr>
      <w:rPr>
        <w:noProof/>
        <w:sz w:val="20"/>
      </w:rPr>
    </w:sdtEndPr>
    <w:sdtContent>
      <w:p w14:paraId="39743E6A" w14:textId="23329A14" w:rsidR="00780759" w:rsidRPr="00B8074A" w:rsidRDefault="00AD3E0A" w:rsidP="0047290D">
        <w:pPr>
          <w:pStyle w:val="Footer"/>
          <w:rPr>
            <w:sz w:val="20"/>
          </w:rPr>
        </w:pPr>
        <w:r w:rsidRPr="00AD3E0A">
          <w:rPr>
            <w:sz w:val="18"/>
            <w:szCs w:val="18"/>
            <w:lang w:val="fr-FR"/>
          </w:rPr>
          <w:t>20181</w:t>
        </w:r>
        <w:r w:rsidR="00E30575">
          <w:rPr>
            <w:sz w:val="18"/>
            <w:szCs w:val="18"/>
            <w:lang w:val="fr-FR"/>
          </w:rPr>
          <w:t>210</w:t>
        </w:r>
        <w:r w:rsidRPr="00AD3E0A">
          <w:rPr>
            <w:sz w:val="18"/>
            <w:szCs w:val="18"/>
            <w:lang w:val="fr-FR"/>
          </w:rPr>
          <w:t>_AP</w:t>
        </w:r>
        <w:r w:rsidR="007B7CD0">
          <w:rPr>
            <w:sz w:val="18"/>
            <w:szCs w:val="18"/>
            <w:lang w:val="fr-FR"/>
          </w:rPr>
          <w:t>D</w:t>
        </w:r>
        <w:r w:rsidRPr="00AD3E0A">
          <w:rPr>
            <w:sz w:val="18"/>
            <w:szCs w:val="18"/>
            <w:lang w:val="fr-FR"/>
          </w:rPr>
          <w:t>_PI</w:t>
        </w:r>
        <w:r w:rsidR="00DA257B">
          <w:rPr>
            <w:sz w:val="18"/>
            <w:szCs w:val="18"/>
            <w:lang w:val="fr-FR"/>
          </w:rPr>
          <w:t>(clean)</w:t>
        </w:r>
        <w:r w:rsidRPr="00AD3E0A">
          <w:rPr>
            <w:sz w:val="18"/>
            <w:szCs w:val="18"/>
            <w:lang w:val="fr-FR"/>
          </w:rPr>
          <w:t>_AU_CAT1-</w:t>
        </w:r>
        <w:r w:rsidR="00E30575">
          <w:rPr>
            <w:sz w:val="18"/>
            <w:szCs w:val="18"/>
            <w:lang w:val="fr-FR"/>
          </w:rPr>
          <w:t>Approved</w:t>
        </w:r>
        <w:r w:rsidR="00DA257B">
          <w:rPr>
            <w:sz w:val="18"/>
            <w:szCs w:val="18"/>
            <w:lang w:val="fr-FR"/>
          </w:rPr>
          <w:t>-rev18Jan19</w:t>
        </w:r>
        <w:r w:rsidR="00780759">
          <w:rPr>
            <w:sz w:val="20"/>
          </w:rPr>
          <w:tab/>
        </w:r>
        <w:r w:rsidR="00780759">
          <w:rPr>
            <w:sz w:val="20"/>
          </w:rPr>
          <w:tab/>
        </w:r>
        <w:r w:rsidR="00780759" w:rsidRPr="00B8074A">
          <w:rPr>
            <w:sz w:val="20"/>
          </w:rPr>
          <w:fldChar w:fldCharType="begin"/>
        </w:r>
        <w:r w:rsidR="00780759" w:rsidRPr="00B8074A">
          <w:rPr>
            <w:sz w:val="20"/>
          </w:rPr>
          <w:instrText xml:space="preserve"> PAGE   \* MERGEFORMAT </w:instrText>
        </w:r>
        <w:r w:rsidR="00780759" w:rsidRPr="00B8074A">
          <w:rPr>
            <w:sz w:val="20"/>
          </w:rPr>
          <w:fldChar w:fldCharType="separate"/>
        </w:r>
        <w:r w:rsidR="00F83318">
          <w:rPr>
            <w:noProof/>
            <w:sz w:val="20"/>
          </w:rPr>
          <w:t>22</w:t>
        </w:r>
        <w:r w:rsidR="00780759" w:rsidRPr="00B8074A">
          <w:rPr>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31028" w14:textId="26EB7542" w:rsidR="00780759" w:rsidRPr="00446230" w:rsidRDefault="00AD3E0A">
    <w:pPr>
      <w:pStyle w:val="Footer"/>
      <w:rPr>
        <w:sz w:val="18"/>
        <w:szCs w:val="18"/>
        <w:lang w:val="fr-FR"/>
      </w:rPr>
    </w:pPr>
    <w:r w:rsidRPr="00AD3E0A">
      <w:rPr>
        <w:sz w:val="18"/>
        <w:szCs w:val="18"/>
        <w:lang w:val="fr-FR"/>
      </w:rPr>
      <w:t>20181</w:t>
    </w:r>
    <w:r w:rsidR="00E30575">
      <w:rPr>
        <w:sz w:val="18"/>
        <w:szCs w:val="18"/>
        <w:lang w:val="fr-FR"/>
      </w:rPr>
      <w:t>210</w:t>
    </w:r>
    <w:r w:rsidRPr="00AD3E0A">
      <w:rPr>
        <w:sz w:val="18"/>
        <w:szCs w:val="18"/>
        <w:lang w:val="fr-FR"/>
      </w:rPr>
      <w:t>_AP</w:t>
    </w:r>
    <w:r w:rsidR="00342CE8">
      <w:rPr>
        <w:sz w:val="18"/>
        <w:szCs w:val="18"/>
        <w:lang w:val="fr-FR"/>
      </w:rPr>
      <w:t>D</w:t>
    </w:r>
    <w:r w:rsidRPr="00AD3E0A">
      <w:rPr>
        <w:sz w:val="18"/>
        <w:szCs w:val="18"/>
        <w:lang w:val="fr-FR"/>
      </w:rPr>
      <w:t>_PI</w:t>
    </w:r>
    <w:r w:rsidR="00981F0C">
      <w:rPr>
        <w:sz w:val="18"/>
        <w:szCs w:val="18"/>
        <w:lang w:val="fr-FR"/>
      </w:rPr>
      <w:t>(clean)_</w:t>
    </w:r>
    <w:r w:rsidRPr="00AD3E0A">
      <w:rPr>
        <w:sz w:val="18"/>
        <w:szCs w:val="18"/>
        <w:lang w:val="fr-FR"/>
      </w:rPr>
      <w:t>AU_CAT1</w:t>
    </w:r>
    <w:r w:rsidR="00E30575">
      <w:rPr>
        <w:sz w:val="18"/>
        <w:szCs w:val="18"/>
        <w:lang w:val="fr-FR"/>
      </w:rPr>
      <w:t>-Approved</w:t>
    </w:r>
    <w:r w:rsidR="00981F0C">
      <w:rPr>
        <w:sz w:val="18"/>
        <w:szCs w:val="18"/>
        <w:lang w:val="fr-FR"/>
      </w:rPr>
      <w:t>-rev18Jan19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AC541" w14:textId="77777777" w:rsidR="004661B8" w:rsidRDefault="004661B8" w:rsidP="001A3992">
      <w:pPr>
        <w:spacing w:after="0" w:line="240" w:lineRule="auto"/>
      </w:pPr>
      <w:r>
        <w:separator/>
      </w:r>
    </w:p>
  </w:footnote>
  <w:footnote w:type="continuationSeparator" w:id="0">
    <w:p w14:paraId="5E3AA922" w14:textId="77777777" w:rsidR="004661B8" w:rsidRDefault="004661B8"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17B17" w:rsidRPr="00AB5E72" w14:paraId="7D10E008" w14:textId="77777777" w:rsidTr="00055F05">
      <w:tc>
        <w:tcPr>
          <w:tcW w:w="8720" w:type="dxa"/>
          <w:shd w:val="clear" w:color="auto" w:fill="E4F2E0"/>
        </w:tcPr>
        <w:p w14:paraId="0F81AE85" w14:textId="77777777" w:rsidR="00917B17" w:rsidRPr="00AB5E72" w:rsidRDefault="00917B17" w:rsidP="00055F05">
          <w:pPr>
            <w:spacing w:before="40" w:after="40"/>
            <w:rPr>
              <w:rFonts w:ascii="Cambria" w:hAnsi="Cambria"/>
              <w:b/>
            </w:rPr>
          </w:pPr>
          <w:r w:rsidRPr="00AB5E72">
            <w:rPr>
              <w:rFonts w:ascii="Cambria" w:hAnsi="Cambria"/>
              <w:b/>
            </w:rPr>
            <w:t xml:space="preserve">Attachment 1: Product information for </w:t>
          </w:r>
          <w:proofErr w:type="spellStart"/>
          <w:r w:rsidRPr="00AB5E72">
            <w:rPr>
              <w:rFonts w:ascii="Cambria" w:hAnsi="Cambria"/>
              <w:b/>
            </w:rPr>
            <w:t>AusPAR</w:t>
          </w:r>
          <w:proofErr w:type="spellEnd"/>
          <w:r w:rsidRPr="00AB5E72">
            <w:rPr>
              <w:rFonts w:ascii="Cambria" w:hAnsi="Cambria"/>
              <w:b/>
            </w:rPr>
            <w:t xml:space="preserve"> </w:t>
          </w:r>
          <w:proofErr w:type="spellStart"/>
          <w:r w:rsidRPr="00AB5E72">
            <w:rPr>
              <w:rFonts w:ascii="Cambria" w:hAnsi="Cambria"/>
              <w:b/>
            </w:rPr>
            <w:t>Aplidin</w:t>
          </w:r>
          <w:proofErr w:type="spellEnd"/>
          <w:r w:rsidRPr="00AB5E72">
            <w:rPr>
              <w:rFonts w:ascii="Cambria" w:hAnsi="Cambria"/>
              <w:b/>
            </w:rPr>
            <w:t xml:space="preserve"> </w:t>
          </w:r>
          <w:proofErr w:type="spellStart"/>
          <w:r w:rsidRPr="00AB5E72">
            <w:rPr>
              <w:rFonts w:ascii="Cambria" w:hAnsi="Cambria"/>
              <w:b/>
            </w:rPr>
            <w:t>Plitidepsin</w:t>
          </w:r>
          <w:proofErr w:type="spellEnd"/>
          <w:r w:rsidRPr="00AB5E72">
            <w:rPr>
              <w:rFonts w:ascii="Cambria" w:hAnsi="Cambria"/>
              <w:b/>
            </w:rPr>
            <w:t xml:space="preserve"> Specialised Therapeutics </w:t>
          </w:r>
          <w:proofErr w:type="spellStart"/>
          <w:r w:rsidRPr="00AB5E72">
            <w:rPr>
              <w:rFonts w:ascii="Cambria" w:hAnsi="Cambria"/>
              <w:b/>
            </w:rPr>
            <w:t>Pharma</w:t>
          </w:r>
          <w:proofErr w:type="spellEnd"/>
          <w:r w:rsidRPr="00AB5E72">
            <w:rPr>
              <w:rFonts w:ascii="Cambria" w:hAnsi="Cambria"/>
              <w:b/>
            </w:rPr>
            <w:t xml:space="preserve"> Australia Pty Ltd PM-2017-02669-1-4 - FINAL 13 May 2019. This is the Product Information that was approved with the submission described in this </w:t>
          </w:r>
          <w:proofErr w:type="spellStart"/>
          <w:r w:rsidRPr="00AB5E72">
            <w:rPr>
              <w:rFonts w:ascii="Cambria" w:hAnsi="Cambria"/>
              <w:b/>
            </w:rPr>
            <w:t>AusPAR</w:t>
          </w:r>
          <w:proofErr w:type="spellEnd"/>
          <w:r w:rsidRPr="00AB5E72">
            <w:rPr>
              <w:rFonts w:ascii="Cambria" w:hAnsi="Cambria"/>
              <w:b/>
            </w:rPr>
            <w:t>. It may have been superseded. For the most recent PI, please refer to the TGA website at &lt;</w:t>
          </w:r>
          <w:hyperlink r:id="rId1" w:history="1">
            <w:r w:rsidRPr="00AB5E72">
              <w:rPr>
                <w:rStyle w:val="Hyperlink"/>
                <w:rFonts w:ascii="Cambria" w:hAnsi="Cambria"/>
                <w:b/>
              </w:rPr>
              <w:t>https://www.tga.gov.au/product-information-pi</w:t>
            </w:r>
          </w:hyperlink>
          <w:r w:rsidRPr="00AB5E72">
            <w:rPr>
              <w:rFonts w:ascii="Cambria" w:hAnsi="Cambria"/>
              <w:b/>
            </w:rPr>
            <w:t>&gt;</w:t>
          </w:r>
        </w:p>
      </w:tc>
    </w:tr>
  </w:tbl>
  <w:p w14:paraId="0E913600" w14:textId="77777777" w:rsidR="00917B17" w:rsidRDefault="00917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AB5E72" w:rsidRPr="00AB5E72" w14:paraId="1D75312C" w14:textId="77777777" w:rsidTr="00055F05">
      <w:tc>
        <w:tcPr>
          <w:tcW w:w="8720" w:type="dxa"/>
          <w:shd w:val="clear" w:color="auto" w:fill="E4F2E0"/>
        </w:tcPr>
        <w:p w14:paraId="7437D863" w14:textId="77777777" w:rsidR="00AB5E72" w:rsidRPr="00AB5E72" w:rsidRDefault="00AB5E72" w:rsidP="00055F05">
          <w:pPr>
            <w:spacing w:before="40" w:after="40"/>
            <w:rPr>
              <w:rFonts w:ascii="Cambria" w:hAnsi="Cambria"/>
              <w:b/>
            </w:rPr>
          </w:pPr>
          <w:r w:rsidRPr="00AB5E72">
            <w:rPr>
              <w:rFonts w:ascii="Cambria" w:hAnsi="Cambria"/>
              <w:b/>
            </w:rPr>
            <w:t xml:space="preserve">Attachment 1: Product information for </w:t>
          </w:r>
          <w:proofErr w:type="spellStart"/>
          <w:r w:rsidRPr="00AB5E72">
            <w:rPr>
              <w:rFonts w:ascii="Cambria" w:hAnsi="Cambria"/>
              <w:b/>
            </w:rPr>
            <w:t>AusPAR</w:t>
          </w:r>
          <w:proofErr w:type="spellEnd"/>
          <w:r w:rsidRPr="00AB5E72">
            <w:rPr>
              <w:rFonts w:ascii="Cambria" w:hAnsi="Cambria"/>
              <w:b/>
            </w:rPr>
            <w:t xml:space="preserve"> </w:t>
          </w:r>
          <w:proofErr w:type="spellStart"/>
          <w:r w:rsidRPr="00AB5E72">
            <w:rPr>
              <w:rFonts w:ascii="Cambria" w:hAnsi="Cambria"/>
              <w:b/>
            </w:rPr>
            <w:t>Aplidin</w:t>
          </w:r>
          <w:proofErr w:type="spellEnd"/>
          <w:r w:rsidRPr="00AB5E72">
            <w:rPr>
              <w:rFonts w:ascii="Cambria" w:hAnsi="Cambria"/>
              <w:b/>
            </w:rPr>
            <w:t xml:space="preserve"> </w:t>
          </w:r>
          <w:proofErr w:type="spellStart"/>
          <w:r w:rsidRPr="00AB5E72">
            <w:rPr>
              <w:rFonts w:ascii="Cambria" w:hAnsi="Cambria"/>
              <w:b/>
            </w:rPr>
            <w:t>Plitidepsin</w:t>
          </w:r>
          <w:proofErr w:type="spellEnd"/>
          <w:r w:rsidRPr="00AB5E72">
            <w:rPr>
              <w:rFonts w:ascii="Cambria" w:hAnsi="Cambria"/>
              <w:b/>
            </w:rPr>
            <w:t xml:space="preserve"> Specialised Therapeutics </w:t>
          </w:r>
          <w:proofErr w:type="spellStart"/>
          <w:r w:rsidRPr="00AB5E72">
            <w:rPr>
              <w:rFonts w:ascii="Cambria" w:hAnsi="Cambria"/>
              <w:b/>
            </w:rPr>
            <w:t>Pharma</w:t>
          </w:r>
          <w:proofErr w:type="spellEnd"/>
          <w:r w:rsidRPr="00AB5E72">
            <w:rPr>
              <w:rFonts w:ascii="Cambria" w:hAnsi="Cambria"/>
              <w:b/>
            </w:rPr>
            <w:t xml:space="preserve"> Australia Pty Ltd PM-2017-02669-1-4 - FINAL 13 May 2019. This is the Product Information that was approved with the submission described in this </w:t>
          </w:r>
          <w:proofErr w:type="spellStart"/>
          <w:r w:rsidRPr="00AB5E72">
            <w:rPr>
              <w:rFonts w:ascii="Cambria" w:hAnsi="Cambria"/>
              <w:b/>
            </w:rPr>
            <w:t>AusPAR</w:t>
          </w:r>
          <w:proofErr w:type="spellEnd"/>
          <w:r w:rsidRPr="00AB5E72">
            <w:rPr>
              <w:rFonts w:ascii="Cambria" w:hAnsi="Cambria"/>
              <w:b/>
            </w:rPr>
            <w:t>. It may have been superseded. For the most recent PI, please refer to the TGA website at &lt;</w:t>
          </w:r>
          <w:hyperlink r:id="rId1" w:history="1">
            <w:r w:rsidRPr="00AB5E72">
              <w:rPr>
                <w:rStyle w:val="Hyperlink"/>
                <w:rFonts w:ascii="Cambria" w:hAnsi="Cambria"/>
                <w:b/>
              </w:rPr>
              <w:t>https://www.tga.gov.au/product-information-pi</w:t>
            </w:r>
          </w:hyperlink>
          <w:r w:rsidRPr="00AB5E72">
            <w:rPr>
              <w:rFonts w:ascii="Cambria" w:hAnsi="Cambria"/>
              <w:b/>
            </w:rPr>
            <w:t>&gt;</w:t>
          </w:r>
        </w:p>
      </w:tc>
    </w:tr>
  </w:tbl>
  <w:p w14:paraId="2E1E79C8" w14:textId="0EA907BA" w:rsidR="00780759" w:rsidRDefault="00780759" w:rsidP="00AB5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5C455B"/>
    <w:multiLevelType w:val="hybridMultilevel"/>
    <w:tmpl w:val="03FC1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FD3C02"/>
    <w:multiLevelType w:val="hybridMultilevel"/>
    <w:tmpl w:val="C9F437B0"/>
    <w:lvl w:ilvl="0" w:tplc="BD003162">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42109"/>
    <w:multiLevelType w:val="hybridMultilevel"/>
    <w:tmpl w:val="1F5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C0349B"/>
    <w:multiLevelType w:val="hybridMultilevel"/>
    <w:tmpl w:val="DB1A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233A1"/>
    <w:multiLevelType w:val="hybridMultilevel"/>
    <w:tmpl w:val="ABA0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9320C"/>
    <w:multiLevelType w:val="multilevel"/>
    <w:tmpl w:val="27E4DAC8"/>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AA93517"/>
    <w:multiLevelType w:val="hybridMultilevel"/>
    <w:tmpl w:val="BF12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664E6A"/>
    <w:multiLevelType w:val="hybridMultilevel"/>
    <w:tmpl w:val="EF702E4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480F3C7D"/>
    <w:multiLevelType w:val="multilevel"/>
    <w:tmpl w:val="B7F6F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B0F4549"/>
    <w:multiLevelType w:val="hybridMultilevel"/>
    <w:tmpl w:val="A76E9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013DC8"/>
    <w:multiLevelType w:val="hybridMultilevel"/>
    <w:tmpl w:val="74D6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7B6688"/>
    <w:multiLevelType w:val="hybridMultilevel"/>
    <w:tmpl w:val="696CE78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nsid w:val="57064BAF"/>
    <w:multiLevelType w:val="multilevel"/>
    <w:tmpl w:val="05AA95D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i w:val="0"/>
        <w:color w:val="auto"/>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81F5D4A"/>
    <w:multiLevelType w:val="hybridMultilevel"/>
    <w:tmpl w:val="B7F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0E60AA"/>
    <w:multiLevelType w:val="hybridMultilevel"/>
    <w:tmpl w:val="492EC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5A11AAA"/>
    <w:multiLevelType w:val="hybridMultilevel"/>
    <w:tmpl w:val="52AE73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740E73"/>
    <w:multiLevelType w:val="hybridMultilevel"/>
    <w:tmpl w:val="09F43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9C612E"/>
    <w:multiLevelType w:val="hybridMultilevel"/>
    <w:tmpl w:val="1114AC98"/>
    <w:lvl w:ilvl="0" w:tplc="2D2A33B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DBB7AF6"/>
    <w:multiLevelType w:val="multilevel"/>
    <w:tmpl w:val="05AA95D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val="0"/>
        <w:i w:val="0"/>
        <w:color w:val="auto"/>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0332797"/>
    <w:multiLevelType w:val="multilevel"/>
    <w:tmpl w:val="AC00EA2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Times New Roman" w:hAnsi="Times New Roman" w:cs="Times New Roman" w:hint="default"/>
        <w:b w:val="0"/>
        <w:i w:val="0"/>
        <w:color w:val="auto"/>
        <w:sz w:val="26"/>
        <w:szCs w:val="26"/>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BC32A73"/>
    <w:multiLevelType w:val="hybridMultilevel"/>
    <w:tmpl w:val="64E0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0"/>
  </w:num>
  <w:num w:numId="4">
    <w:abstractNumId w:val="16"/>
  </w:num>
  <w:num w:numId="5">
    <w:abstractNumId w:val="29"/>
  </w:num>
  <w:num w:numId="6">
    <w:abstractNumId w:val="26"/>
  </w:num>
  <w:num w:numId="7">
    <w:abstractNumId w:val="21"/>
  </w:num>
  <w:num w:numId="8">
    <w:abstractNumId w:val="27"/>
  </w:num>
  <w:num w:numId="9">
    <w:abstractNumId w:val="5"/>
  </w:num>
  <w:num w:numId="10">
    <w:abstractNumId w:val="20"/>
  </w:num>
  <w:num w:numId="11">
    <w:abstractNumId w:val="25"/>
  </w:num>
  <w:num w:numId="12">
    <w:abstractNumId w:val="25"/>
  </w:num>
  <w:num w:numId="13">
    <w:abstractNumId w:val="25"/>
  </w:num>
  <w:num w:numId="14">
    <w:abstractNumId w:val="28"/>
  </w:num>
  <w:num w:numId="15">
    <w:abstractNumId w:val="22"/>
  </w:num>
  <w:num w:numId="16">
    <w:abstractNumId w:val="19"/>
  </w:num>
  <w:num w:numId="17">
    <w:abstractNumId w:val="7"/>
  </w:num>
  <w:num w:numId="18">
    <w:abstractNumId w:val="17"/>
  </w:num>
  <w:num w:numId="19">
    <w:abstractNumId w:val="6"/>
  </w:num>
  <w:num w:numId="20">
    <w:abstractNumId w:val="1"/>
  </w:num>
  <w:num w:numId="21">
    <w:abstractNumId w:val="8"/>
  </w:num>
  <w:num w:numId="22">
    <w:abstractNumId w:val="15"/>
  </w:num>
  <w:num w:numId="23">
    <w:abstractNumId w:val="24"/>
  </w:num>
  <w:num w:numId="24">
    <w:abstractNumId w:val="11"/>
  </w:num>
  <w:num w:numId="25">
    <w:abstractNumId w:val="14"/>
  </w:num>
  <w:num w:numId="26">
    <w:abstractNumId w:val="4"/>
  </w:num>
  <w:num w:numId="27">
    <w:abstractNumId w:val="13"/>
  </w:num>
  <w:num w:numId="28">
    <w:abstractNumId w:val="12"/>
  </w:num>
  <w:num w:numId="29">
    <w:abstractNumId w:val="3"/>
  </w:num>
  <w:num w:numId="30">
    <w:abstractNumId w:val="9"/>
  </w:num>
  <w:num w:numId="31">
    <w:abstractNumId w:val="23"/>
  </w:num>
  <w:num w:numId="32">
    <w:abstractNumId w:val="1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oNotTrackMove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73"/>
    <w:rsid w:val="00000F11"/>
    <w:rsid w:val="00006441"/>
    <w:rsid w:val="00007549"/>
    <w:rsid w:val="00010974"/>
    <w:rsid w:val="00011C8C"/>
    <w:rsid w:val="00012C49"/>
    <w:rsid w:val="0001650A"/>
    <w:rsid w:val="000406DC"/>
    <w:rsid w:val="000426ED"/>
    <w:rsid w:val="00044ADA"/>
    <w:rsid w:val="000463D2"/>
    <w:rsid w:val="00047FAB"/>
    <w:rsid w:val="00051E02"/>
    <w:rsid w:val="0005319A"/>
    <w:rsid w:val="000577FD"/>
    <w:rsid w:val="000629F0"/>
    <w:rsid w:val="00063F9F"/>
    <w:rsid w:val="00071ABA"/>
    <w:rsid w:val="000759CA"/>
    <w:rsid w:val="00077EC3"/>
    <w:rsid w:val="0008310C"/>
    <w:rsid w:val="00084042"/>
    <w:rsid w:val="0009134C"/>
    <w:rsid w:val="00092007"/>
    <w:rsid w:val="000A17FD"/>
    <w:rsid w:val="000A65D3"/>
    <w:rsid w:val="000C02AE"/>
    <w:rsid w:val="000C08B1"/>
    <w:rsid w:val="000C73B6"/>
    <w:rsid w:val="000D78E1"/>
    <w:rsid w:val="000E1150"/>
    <w:rsid w:val="000E1FFC"/>
    <w:rsid w:val="000E369A"/>
    <w:rsid w:val="000E4EE4"/>
    <w:rsid w:val="000F0935"/>
    <w:rsid w:val="000F3582"/>
    <w:rsid w:val="000F482E"/>
    <w:rsid w:val="000F5FEB"/>
    <w:rsid w:val="00100A67"/>
    <w:rsid w:val="00102BDC"/>
    <w:rsid w:val="00102F72"/>
    <w:rsid w:val="00104C84"/>
    <w:rsid w:val="00120CCC"/>
    <w:rsid w:val="00122FE6"/>
    <w:rsid w:val="00124F89"/>
    <w:rsid w:val="00125FA8"/>
    <w:rsid w:val="001312CF"/>
    <w:rsid w:val="00134853"/>
    <w:rsid w:val="00141239"/>
    <w:rsid w:val="00151DFE"/>
    <w:rsid w:val="00156494"/>
    <w:rsid w:val="00157F69"/>
    <w:rsid w:val="00163E79"/>
    <w:rsid w:val="00167587"/>
    <w:rsid w:val="001767F2"/>
    <w:rsid w:val="00183F86"/>
    <w:rsid w:val="0018527B"/>
    <w:rsid w:val="001856C4"/>
    <w:rsid w:val="00187535"/>
    <w:rsid w:val="00195B65"/>
    <w:rsid w:val="00196A98"/>
    <w:rsid w:val="001A06F0"/>
    <w:rsid w:val="001A0BC8"/>
    <w:rsid w:val="001A3992"/>
    <w:rsid w:val="001A60CE"/>
    <w:rsid w:val="001B2C46"/>
    <w:rsid w:val="001B43AC"/>
    <w:rsid w:val="001C1F90"/>
    <w:rsid w:val="001C4317"/>
    <w:rsid w:val="001D0FA0"/>
    <w:rsid w:val="001D16DF"/>
    <w:rsid w:val="001D1AD9"/>
    <w:rsid w:val="001E2BB6"/>
    <w:rsid w:val="001E41D8"/>
    <w:rsid w:val="001E6474"/>
    <w:rsid w:val="001F1FFB"/>
    <w:rsid w:val="001F24C7"/>
    <w:rsid w:val="002010DE"/>
    <w:rsid w:val="00216F0F"/>
    <w:rsid w:val="00217C03"/>
    <w:rsid w:val="00217FF0"/>
    <w:rsid w:val="00221297"/>
    <w:rsid w:val="002233DC"/>
    <w:rsid w:val="00243159"/>
    <w:rsid w:val="002475B4"/>
    <w:rsid w:val="00250B4F"/>
    <w:rsid w:val="00272299"/>
    <w:rsid w:val="002733C6"/>
    <w:rsid w:val="00273409"/>
    <w:rsid w:val="00274B5E"/>
    <w:rsid w:val="00275281"/>
    <w:rsid w:val="002869D5"/>
    <w:rsid w:val="00290F73"/>
    <w:rsid w:val="00294676"/>
    <w:rsid w:val="00297F5E"/>
    <w:rsid w:val="002A4BCB"/>
    <w:rsid w:val="002B2E60"/>
    <w:rsid w:val="002D213E"/>
    <w:rsid w:val="002E277D"/>
    <w:rsid w:val="002E7FA9"/>
    <w:rsid w:val="002F13FA"/>
    <w:rsid w:val="002F22E5"/>
    <w:rsid w:val="002F3AA5"/>
    <w:rsid w:val="003014B4"/>
    <w:rsid w:val="00302596"/>
    <w:rsid w:val="00305065"/>
    <w:rsid w:val="00310A5A"/>
    <w:rsid w:val="0031338D"/>
    <w:rsid w:val="0031623C"/>
    <w:rsid w:val="00316ABC"/>
    <w:rsid w:val="003171B2"/>
    <w:rsid w:val="00317885"/>
    <w:rsid w:val="00322F5A"/>
    <w:rsid w:val="00323E1A"/>
    <w:rsid w:val="00335E88"/>
    <w:rsid w:val="00340889"/>
    <w:rsid w:val="00342CE8"/>
    <w:rsid w:val="00344DE6"/>
    <w:rsid w:val="00345C40"/>
    <w:rsid w:val="00347073"/>
    <w:rsid w:val="0035462F"/>
    <w:rsid w:val="00355185"/>
    <w:rsid w:val="00355857"/>
    <w:rsid w:val="003558A2"/>
    <w:rsid w:val="00360A54"/>
    <w:rsid w:val="003627E4"/>
    <w:rsid w:val="00364B02"/>
    <w:rsid w:val="00366839"/>
    <w:rsid w:val="00383122"/>
    <w:rsid w:val="00390D46"/>
    <w:rsid w:val="00394471"/>
    <w:rsid w:val="003B109B"/>
    <w:rsid w:val="003B346B"/>
    <w:rsid w:val="003B4D8C"/>
    <w:rsid w:val="003B7B63"/>
    <w:rsid w:val="003C2B87"/>
    <w:rsid w:val="003C3701"/>
    <w:rsid w:val="003C3DEA"/>
    <w:rsid w:val="003C47A3"/>
    <w:rsid w:val="003C6391"/>
    <w:rsid w:val="003D24AE"/>
    <w:rsid w:val="003D4C2E"/>
    <w:rsid w:val="003E331E"/>
    <w:rsid w:val="003E5ECC"/>
    <w:rsid w:val="003E781C"/>
    <w:rsid w:val="003F6BB4"/>
    <w:rsid w:val="00400BC6"/>
    <w:rsid w:val="00400FB0"/>
    <w:rsid w:val="004032BD"/>
    <w:rsid w:val="004036D4"/>
    <w:rsid w:val="004153B4"/>
    <w:rsid w:val="00424C1D"/>
    <w:rsid w:val="00426208"/>
    <w:rsid w:val="004265F4"/>
    <w:rsid w:val="0043134B"/>
    <w:rsid w:val="00431ACD"/>
    <w:rsid w:val="00434BC0"/>
    <w:rsid w:val="00435AE9"/>
    <w:rsid w:val="00436834"/>
    <w:rsid w:val="00437E0D"/>
    <w:rsid w:val="0044393D"/>
    <w:rsid w:val="00446230"/>
    <w:rsid w:val="004464FF"/>
    <w:rsid w:val="00455E3F"/>
    <w:rsid w:val="00456650"/>
    <w:rsid w:val="00457132"/>
    <w:rsid w:val="004626BB"/>
    <w:rsid w:val="004652D2"/>
    <w:rsid w:val="004661B8"/>
    <w:rsid w:val="0047290D"/>
    <w:rsid w:val="00480BB1"/>
    <w:rsid w:val="004917AD"/>
    <w:rsid w:val="00496331"/>
    <w:rsid w:val="00496FE8"/>
    <w:rsid w:val="004A1394"/>
    <w:rsid w:val="004A64BE"/>
    <w:rsid w:val="004B48FD"/>
    <w:rsid w:val="004D485E"/>
    <w:rsid w:val="004D4B92"/>
    <w:rsid w:val="004E2B92"/>
    <w:rsid w:val="004F0830"/>
    <w:rsid w:val="004F0D82"/>
    <w:rsid w:val="004F288D"/>
    <w:rsid w:val="0050117A"/>
    <w:rsid w:val="00503E10"/>
    <w:rsid w:val="0050573C"/>
    <w:rsid w:val="00506642"/>
    <w:rsid w:val="00512BA0"/>
    <w:rsid w:val="005130E4"/>
    <w:rsid w:val="00513C01"/>
    <w:rsid w:val="00526315"/>
    <w:rsid w:val="00533283"/>
    <w:rsid w:val="00533FEA"/>
    <w:rsid w:val="00541F94"/>
    <w:rsid w:val="00543440"/>
    <w:rsid w:val="00543E73"/>
    <w:rsid w:val="00547E7F"/>
    <w:rsid w:val="005512EA"/>
    <w:rsid w:val="00557C48"/>
    <w:rsid w:val="005609B0"/>
    <w:rsid w:val="00561F10"/>
    <w:rsid w:val="005663F7"/>
    <w:rsid w:val="00580708"/>
    <w:rsid w:val="00583EFC"/>
    <w:rsid w:val="00585DF4"/>
    <w:rsid w:val="005B0CDE"/>
    <w:rsid w:val="005B2E1D"/>
    <w:rsid w:val="005C3F31"/>
    <w:rsid w:val="005C482D"/>
    <w:rsid w:val="005C4C57"/>
    <w:rsid w:val="005D1FCC"/>
    <w:rsid w:val="005E60A6"/>
    <w:rsid w:val="00602A38"/>
    <w:rsid w:val="0061121F"/>
    <w:rsid w:val="00614256"/>
    <w:rsid w:val="006164EA"/>
    <w:rsid w:val="006205F9"/>
    <w:rsid w:val="00622286"/>
    <w:rsid w:val="0063023A"/>
    <w:rsid w:val="00632E04"/>
    <w:rsid w:val="00633C55"/>
    <w:rsid w:val="00640A8B"/>
    <w:rsid w:val="006424C9"/>
    <w:rsid w:val="00644308"/>
    <w:rsid w:val="00645AC8"/>
    <w:rsid w:val="0066323A"/>
    <w:rsid w:val="00663995"/>
    <w:rsid w:val="006677E2"/>
    <w:rsid w:val="00670F4B"/>
    <w:rsid w:val="00671749"/>
    <w:rsid w:val="00675F0A"/>
    <w:rsid w:val="006761DD"/>
    <w:rsid w:val="00682786"/>
    <w:rsid w:val="00686520"/>
    <w:rsid w:val="006A1FB8"/>
    <w:rsid w:val="006B0BA1"/>
    <w:rsid w:val="006B497F"/>
    <w:rsid w:val="006B50E1"/>
    <w:rsid w:val="006C2D22"/>
    <w:rsid w:val="006C4D37"/>
    <w:rsid w:val="006D12B9"/>
    <w:rsid w:val="006F0FD7"/>
    <w:rsid w:val="006F1E1D"/>
    <w:rsid w:val="006F24D4"/>
    <w:rsid w:val="006F4F9A"/>
    <w:rsid w:val="007058E3"/>
    <w:rsid w:val="00707253"/>
    <w:rsid w:val="00725C56"/>
    <w:rsid w:val="007338C7"/>
    <w:rsid w:val="00743F1C"/>
    <w:rsid w:val="0076208F"/>
    <w:rsid w:val="00762E4F"/>
    <w:rsid w:val="00764B5E"/>
    <w:rsid w:val="00764D64"/>
    <w:rsid w:val="00766F97"/>
    <w:rsid w:val="00772176"/>
    <w:rsid w:val="00774A7E"/>
    <w:rsid w:val="00776B36"/>
    <w:rsid w:val="00780759"/>
    <w:rsid w:val="00782471"/>
    <w:rsid w:val="00787270"/>
    <w:rsid w:val="007A150B"/>
    <w:rsid w:val="007A6600"/>
    <w:rsid w:val="007B1D09"/>
    <w:rsid w:val="007B7CD0"/>
    <w:rsid w:val="007C10A7"/>
    <w:rsid w:val="007C1514"/>
    <w:rsid w:val="007C39F5"/>
    <w:rsid w:val="007C4A89"/>
    <w:rsid w:val="007D1AAF"/>
    <w:rsid w:val="007D3879"/>
    <w:rsid w:val="007D4A97"/>
    <w:rsid w:val="007E2A09"/>
    <w:rsid w:val="007E3DBD"/>
    <w:rsid w:val="007E4BD5"/>
    <w:rsid w:val="007E4C34"/>
    <w:rsid w:val="007E57D0"/>
    <w:rsid w:val="007E5B9B"/>
    <w:rsid w:val="007E68F4"/>
    <w:rsid w:val="007E693C"/>
    <w:rsid w:val="007F54BB"/>
    <w:rsid w:val="007F56DD"/>
    <w:rsid w:val="007F5828"/>
    <w:rsid w:val="007F7495"/>
    <w:rsid w:val="0080382B"/>
    <w:rsid w:val="0080421D"/>
    <w:rsid w:val="008219B9"/>
    <w:rsid w:val="00822DCA"/>
    <w:rsid w:val="00825417"/>
    <w:rsid w:val="008258F4"/>
    <w:rsid w:val="008304DA"/>
    <w:rsid w:val="00830A9C"/>
    <w:rsid w:val="00832EEA"/>
    <w:rsid w:val="00834E3A"/>
    <w:rsid w:val="00835495"/>
    <w:rsid w:val="00845312"/>
    <w:rsid w:val="00850A12"/>
    <w:rsid w:val="008514AF"/>
    <w:rsid w:val="00866EF3"/>
    <w:rsid w:val="00872145"/>
    <w:rsid w:val="0087468A"/>
    <w:rsid w:val="00877656"/>
    <w:rsid w:val="00881150"/>
    <w:rsid w:val="00883DFA"/>
    <w:rsid w:val="008849CB"/>
    <w:rsid w:val="00886EB9"/>
    <w:rsid w:val="00887A64"/>
    <w:rsid w:val="008905D4"/>
    <w:rsid w:val="008A12F8"/>
    <w:rsid w:val="008A63D2"/>
    <w:rsid w:val="008B475C"/>
    <w:rsid w:val="008C2094"/>
    <w:rsid w:val="008C361A"/>
    <w:rsid w:val="008D541F"/>
    <w:rsid w:val="008D7952"/>
    <w:rsid w:val="008E64AE"/>
    <w:rsid w:val="008E6DFE"/>
    <w:rsid w:val="008F2F68"/>
    <w:rsid w:val="008F55B9"/>
    <w:rsid w:val="008F7C39"/>
    <w:rsid w:val="00900BCE"/>
    <w:rsid w:val="00906316"/>
    <w:rsid w:val="00913567"/>
    <w:rsid w:val="00917B17"/>
    <w:rsid w:val="00920088"/>
    <w:rsid w:val="00921613"/>
    <w:rsid w:val="00922AD1"/>
    <w:rsid w:val="009264FC"/>
    <w:rsid w:val="00932B7A"/>
    <w:rsid w:val="00932F2E"/>
    <w:rsid w:val="00937A1F"/>
    <w:rsid w:val="00943A42"/>
    <w:rsid w:val="00946140"/>
    <w:rsid w:val="00953C12"/>
    <w:rsid w:val="009602FE"/>
    <w:rsid w:val="00960811"/>
    <w:rsid w:val="00960CD5"/>
    <w:rsid w:val="009632F7"/>
    <w:rsid w:val="00966670"/>
    <w:rsid w:val="00967FA2"/>
    <w:rsid w:val="009705E9"/>
    <w:rsid w:val="00972277"/>
    <w:rsid w:val="00981F0C"/>
    <w:rsid w:val="00985830"/>
    <w:rsid w:val="009943C9"/>
    <w:rsid w:val="009A09DA"/>
    <w:rsid w:val="009A1C36"/>
    <w:rsid w:val="009A43BF"/>
    <w:rsid w:val="009A4495"/>
    <w:rsid w:val="009A56F4"/>
    <w:rsid w:val="009B32C9"/>
    <w:rsid w:val="009B47A1"/>
    <w:rsid w:val="009B6E08"/>
    <w:rsid w:val="009C05B6"/>
    <w:rsid w:val="009C59A6"/>
    <w:rsid w:val="009D1BD4"/>
    <w:rsid w:val="009D1E9B"/>
    <w:rsid w:val="009D4078"/>
    <w:rsid w:val="009D76AB"/>
    <w:rsid w:val="009E0B61"/>
    <w:rsid w:val="009E1252"/>
    <w:rsid w:val="009E373A"/>
    <w:rsid w:val="009E66F8"/>
    <w:rsid w:val="009E790E"/>
    <w:rsid w:val="009F3246"/>
    <w:rsid w:val="009F3AAD"/>
    <w:rsid w:val="009F44AE"/>
    <w:rsid w:val="009F7DD6"/>
    <w:rsid w:val="00A05065"/>
    <w:rsid w:val="00A06A87"/>
    <w:rsid w:val="00A0776F"/>
    <w:rsid w:val="00A15C44"/>
    <w:rsid w:val="00A233F1"/>
    <w:rsid w:val="00A3209C"/>
    <w:rsid w:val="00A329F3"/>
    <w:rsid w:val="00A344DE"/>
    <w:rsid w:val="00A3708B"/>
    <w:rsid w:val="00A4179C"/>
    <w:rsid w:val="00A448C9"/>
    <w:rsid w:val="00A4600A"/>
    <w:rsid w:val="00A523EC"/>
    <w:rsid w:val="00A55ADD"/>
    <w:rsid w:val="00A676D5"/>
    <w:rsid w:val="00A72D7B"/>
    <w:rsid w:val="00A85993"/>
    <w:rsid w:val="00A85F38"/>
    <w:rsid w:val="00A9597B"/>
    <w:rsid w:val="00AA211E"/>
    <w:rsid w:val="00AA3C1A"/>
    <w:rsid w:val="00AA590F"/>
    <w:rsid w:val="00AB3CA9"/>
    <w:rsid w:val="00AB5E72"/>
    <w:rsid w:val="00AC1DB3"/>
    <w:rsid w:val="00AC5822"/>
    <w:rsid w:val="00AD3E0A"/>
    <w:rsid w:val="00AE16F5"/>
    <w:rsid w:val="00AE25AB"/>
    <w:rsid w:val="00AE3589"/>
    <w:rsid w:val="00AE3DF0"/>
    <w:rsid w:val="00AE7852"/>
    <w:rsid w:val="00AF01FA"/>
    <w:rsid w:val="00AF02B1"/>
    <w:rsid w:val="00AF331A"/>
    <w:rsid w:val="00B06FB9"/>
    <w:rsid w:val="00B1083B"/>
    <w:rsid w:val="00B113E1"/>
    <w:rsid w:val="00B15D12"/>
    <w:rsid w:val="00B16930"/>
    <w:rsid w:val="00B17CAD"/>
    <w:rsid w:val="00B215C9"/>
    <w:rsid w:val="00B21C06"/>
    <w:rsid w:val="00B220C9"/>
    <w:rsid w:val="00B22869"/>
    <w:rsid w:val="00B23770"/>
    <w:rsid w:val="00B36A86"/>
    <w:rsid w:val="00B428D9"/>
    <w:rsid w:val="00B42FC6"/>
    <w:rsid w:val="00B465A3"/>
    <w:rsid w:val="00B47472"/>
    <w:rsid w:val="00B56445"/>
    <w:rsid w:val="00B56590"/>
    <w:rsid w:val="00B63C65"/>
    <w:rsid w:val="00B71A7D"/>
    <w:rsid w:val="00B725F4"/>
    <w:rsid w:val="00B72E9D"/>
    <w:rsid w:val="00B73674"/>
    <w:rsid w:val="00B766CE"/>
    <w:rsid w:val="00B8015D"/>
    <w:rsid w:val="00B8542D"/>
    <w:rsid w:val="00B90870"/>
    <w:rsid w:val="00B92125"/>
    <w:rsid w:val="00B9262C"/>
    <w:rsid w:val="00BA0999"/>
    <w:rsid w:val="00BA09F5"/>
    <w:rsid w:val="00BB641F"/>
    <w:rsid w:val="00BC1AE7"/>
    <w:rsid w:val="00BC3EC0"/>
    <w:rsid w:val="00BC7299"/>
    <w:rsid w:val="00BC74BF"/>
    <w:rsid w:val="00BD2494"/>
    <w:rsid w:val="00BD5C78"/>
    <w:rsid w:val="00BE0777"/>
    <w:rsid w:val="00BE6765"/>
    <w:rsid w:val="00BF314D"/>
    <w:rsid w:val="00BF33E0"/>
    <w:rsid w:val="00C035A1"/>
    <w:rsid w:val="00C0562C"/>
    <w:rsid w:val="00C113CE"/>
    <w:rsid w:val="00C15497"/>
    <w:rsid w:val="00C22C64"/>
    <w:rsid w:val="00C22D13"/>
    <w:rsid w:val="00C26529"/>
    <w:rsid w:val="00C32FB5"/>
    <w:rsid w:val="00C32FC5"/>
    <w:rsid w:val="00C40C4A"/>
    <w:rsid w:val="00C41E30"/>
    <w:rsid w:val="00C43D50"/>
    <w:rsid w:val="00C46BE5"/>
    <w:rsid w:val="00C4771E"/>
    <w:rsid w:val="00C52376"/>
    <w:rsid w:val="00C55469"/>
    <w:rsid w:val="00C60E48"/>
    <w:rsid w:val="00C61B79"/>
    <w:rsid w:val="00C62B77"/>
    <w:rsid w:val="00C634B7"/>
    <w:rsid w:val="00C6360A"/>
    <w:rsid w:val="00C70041"/>
    <w:rsid w:val="00C7080D"/>
    <w:rsid w:val="00C70F03"/>
    <w:rsid w:val="00C730E5"/>
    <w:rsid w:val="00C744EE"/>
    <w:rsid w:val="00C854A9"/>
    <w:rsid w:val="00C85FA4"/>
    <w:rsid w:val="00C8736E"/>
    <w:rsid w:val="00C915F8"/>
    <w:rsid w:val="00C97762"/>
    <w:rsid w:val="00C97A19"/>
    <w:rsid w:val="00CA0607"/>
    <w:rsid w:val="00CA6319"/>
    <w:rsid w:val="00CA65AD"/>
    <w:rsid w:val="00CA6CCF"/>
    <w:rsid w:val="00CB5978"/>
    <w:rsid w:val="00CD2F07"/>
    <w:rsid w:val="00CE4264"/>
    <w:rsid w:val="00CF5CB9"/>
    <w:rsid w:val="00CF64A9"/>
    <w:rsid w:val="00D049F7"/>
    <w:rsid w:val="00D10AB4"/>
    <w:rsid w:val="00D13E3E"/>
    <w:rsid w:val="00D16FFE"/>
    <w:rsid w:val="00D20CE7"/>
    <w:rsid w:val="00D216EF"/>
    <w:rsid w:val="00D25B86"/>
    <w:rsid w:val="00D3173A"/>
    <w:rsid w:val="00D358F4"/>
    <w:rsid w:val="00D37799"/>
    <w:rsid w:val="00D44BA0"/>
    <w:rsid w:val="00D44CEC"/>
    <w:rsid w:val="00D45065"/>
    <w:rsid w:val="00D47F68"/>
    <w:rsid w:val="00D52300"/>
    <w:rsid w:val="00D6472F"/>
    <w:rsid w:val="00D72549"/>
    <w:rsid w:val="00D81A01"/>
    <w:rsid w:val="00D835D0"/>
    <w:rsid w:val="00D83D0F"/>
    <w:rsid w:val="00D85691"/>
    <w:rsid w:val="00D916AC"/>
    <w:rsid w:val="00DA257B"/>
    <w:rsid w:val="00DB31B0"/>
    <w:rsid w:val="00DB32BD"/>
    <w:rsid w:val="00DB639C"/>
    <w:rsid w:val="00DC0522"/>
    <w:rsid w:val="00DD606D"/>
    <w:rsid w:val="00DE52A6"/>
    <w:rsid w:val="00DE5DEA"/>
    <w:rsid w:val="00DF0228"/>
    <w:rsid w:val="00DF2EE4"/>
    <w:rsid w:val="00DF32D9"/>
    <w:rsid w:val="00DF5E99"/>
    <w:rsid w:val="00DF61BE"/>
    <w:rsid w:val="00DF6A0F"/>
    <w:rsid w:val="00DF779A"/>
    <w:rsid w:val="00E03474"/>
    <w:rsid w:val="00E04A73"/>
    <w:rsid w:val="00E05CC8"/>
    <w:rsid w:val="00E22314"/>
    <w:rsid w:val="00E22E45"/>
    <w:rsid w:val="00E27696"/>
    <w:rsid w:val="00E30575"/>
    <w:rsid w:val="00E34E84"/>
    <w:rsid w:val="00E3613D"/>
    <w:rsid w:val="00E37364"/>
    <w:rsid w:val="00E446BB"/>
    <w:rsid w:val="00E47412"/>
    <w:rsid w:val="00E53782"/>
    <w:rsid w:val="00E545D4"/>
    <w:rsid w:val="00E54AD8"/>
    <w:rsid w:val="00E56B2B"/>
    <w:rsid w:val="00E57003"/>
    <w:rsid w:val="00E62018"/>
    <w:rsid w:val="00E71947"/>
    <w:rsid w:val="00E74A56"/>
    <w:rsid w:val="00E761AA"/>
    <w:rsid w:val="00E778C1"/>
    <w:rsid w:val="00E800C5"/>
    <w:rsid w:val="00EA2D45"/>
    <w:rsid w:val="00EA3C5B"/>
    <w:rsid w:val="00EB358C"/>
    <w:rsid w:val="00EB4EA3"/>
    <w:rsid w:val="00EB52C9"/>
    <w:rsid w:val="00EB72C4"/>
    <w:rsid w:val="00EB7EB7"/>
    <w:rsid w:val="00EC11F3"/>
    <w:rsid w:val="00EC6515"/>
    <w:rsid w:val="00ED0937"/>
    <w:rsid w:val="00ED1EDD"/>
    <w:rsid w:val="00ED501C"/>
    <w:rsid w:val="00EE593A"/>
    <w:rsid w:val="00EE7A42"/>
    <w:rsid w:val="00EF50F8"/>
    <w:rsid w:val="00F02377"/>
    <w:rsid w:val="00F0357B"/>
    <w:rsid w:val="00F05F7D"/>
    <w:rsid w:val="00F11601"/>
    <w:rsid w:val="00F15310"/>
    <w:rsid w:val="00F23E12"/>
    <w:rsid w:val="00F24A55"/>
    <w:rsid w:val="00F33B2A"/>
    <w:rsid w:val="00F34F3B"/>
    <w:rsid w:val="00F3511D"/>
    <w:rsid w:val="00F3528F"/>
    <w:rsid w:val="00F41661"/>
    <w:rsid w:val="00F42486"/>
    <w:rsid w:val="00F46496"/>
    <w:rsid w:val="00F47E2D"/>
    <w:rsid w:val="00F50480"/>
    <w:rsid w:val="00F52E92"/>
    <w:rsid w:val="00F55701"/>
    <w:rsid w:val="00F56AD1"/>
    <w:rsid w:val="00F6598D"/>
    <w:rsid w:val="00F703DF"/>
    <w:rsid w:val="00F70D95"/>
    <w:rsid w:val="00F716CE"/>
    <w:rsid w:val="00F83318"/>
    <w:rsid w:val="00F947F3"/>
    <w:rsid w:val="00F95E16"/>
    <w:rsid w:val="00F96C71"/>
    <w:rsid w:val="00FA3AA6"/>
    <w:rsid w:val="00FA48C2"/>
    <w:rsid w:val="00FA6931"/>
    <w:rsid w:val="00FA70CA"/>
    <w:rsid w:val="00FB385B"/>
    <w:rsid w:val="00FB65D1"/>
    <w:rsid w:val="00FC626A"/>
    <w:rsid w:val="00FD226B"/>
    <w:rsid w:val="00FE004B"/>
    <w:rsid w:val="00FE1AFE"/>
    <w:rsid w:val="00FE3D77"/>
    <w:rsid w:val="00FE4536"/>
    <w:rsid w:val="00FE747C"/>
    <w:rsid w:val="00FF0761"/>
    <w:rsid w:val="00FF77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BC0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BodyText">
    <w:name w:val="Body Text"/>
    <w:basedOn w:val="Normal"/>
    <w:link w:val="BodyTextChar"/>
    <w:uiPriority w:val="1"/>
    <w:qFormat/>
    <w:rsid w:val="00BC7299"/>
    <w:pPr>
      <w:widowControl w:val="0"/>
      <w:autoSpaceDE w:val="0"/>
      <w:autoSpaceDN w:val="0"/>
      <w:adjustRightInd w:val="0"/>
      <w:spacing w:after="0" w:line="240" w:lineRule="auto"/>
      <w:ind w:left="40"/>
    </w:pPr>
    <w:rPr>
      <w:rFonts w:ascii="Times New Roman" w:hAnsi="Times New Roman" w:cs="Times New Roman"/>
      <w:lang w:val="en-US"/>
    </w:rPr>
  </w:style>
  <w:style w:type="character" w:customStyle="1" w:styleId="BodyTextChar">
    <w:name w:val="Body Text Char"/>
    <w:basedOn w:val="DefaultParagraphFont"/>
    <w:link w:val="BodyText"/>
    <w:uiPriority w:val="1"/>
    <w:rsid w:val="00BC7299"/>
    <w:rPr>
      <w:rFonts w:ascii="Times New Roman" w:hAnsi="Times New Roman" w:cs="Times New Roman"/>
      <w:lang w:val="en-US"/>
    </w:rPr>
  </w:style>
  <w:style w:type="paragraph" w:customStyle="1" w:styleId="C-BodyText">
    <w:name w:val="C-Body Text"/>
    <w:link w:val="C-BodyTextChar"/>
    <w:rsid w:val="00BC7299"/>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BC7299"/>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BC7299"/>
    <w:rPr>
      <w:rFonts w:asciiTheme="minorHAnsi" w:hAnsiTheme="minorHAnsi"/>
      <w:b/>
      <w:bCs/>
    </w:rPr>
  </w:style>
  <w:style w:type="character" w:customStyle="1" w:styleId="CommentSubjectChar">
    <w:name w:val="Comment Subject Char"/>
    <w:basedOn w:val="CommentTextChar"/>
    <w:link w:val="CommentSubject"/>
    <w:uiPriority w:val="99"/>
    <w:semiHidden/>
    <w:rsid w:val="00BC7299"/>
    <w:rPr>
      <w:rFonts w:ascii="Cambria" w:hAnsi="Cambria"/>
      <w:b/>
      <w:bCs/>
      <w:sz w:val="20"/>
      <w:szCs w:val="20"/>
    </w:rPr>
  </w:style>
  <w:style w:type="character" w:customStyle="1" w:styleId="C-Hyperlink">
    <w:name w:val="C-Hyperlink"/>
    <w:rsid w:val="0043134B"/>
    <w:rPr>
      <w:color w:val="0000FF"/>
    </w:rPr>
  </w:style>
  <w:style w:type="paragraph" w:customStyle="1" w:styleId="C-Footnote">
    <w:name w:val="C-Footnote"/>
    <w:basedOn w:val="Normal"/>
    <w:qFormat/>
    <w:rsid w:val="00A676D5"/>
    <w:pPr>
      <w:tabs>
        <w:tab w:val="left" w:pos="144"/>
      </w:tabs>
      <w:spacing w:after="0" w:line="240" w:lineRule="auto"/>
    </w:pPr>
    <w:rPr>
      <w:rFonts w:ascii="Times New Roman" w:eastAsia="Times New Roman" w:hAnsi="Times New Roman" w:cs="Arial"/>
      <w:sz w:val="20"/>
      <w:szCs w:val="20"/>
      <w:lang w:val="en-US"/>
    </w:rPr>
  </w:style>
  <w:style w:type="paragraph" w:customStyle="1" w:styleId="C-TableHeader">
    <w:name w:val="C-Table Header"/>
    <w:next w:val="C-TableText"/>
    <w:rsid w:val="00A676D5"/>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rsid w:val="00A676D5"/>
    <w:pPr>
      <w:spacing w:before="60" w:after="60" w:line="240" w:lineRule="auto"/>
    </w:pPr>
    <w:rPr>
      <w:rFonts w:ascii="Times New Roman" w:eastAsia="Times New Roman" w:hAnsi="Times New Roman" w:cs="Times New Roman"/>
      <w:szCs w:val="20"/>
      <w:lang w:val="en-US"/>
    </w:rPr>
  </w:style>
  <w:style w:type="character" w:customStyle="1" w:styleId="C-TableTextChar">
    <w:name w:val="C-Table Text Char"/>
    <w:link w:val="C-TableText"/>
    <w:locked/>
    <w:rsid w:val="00A676D5"/>
    <w:rPr>
      <w:rFonts w:ascii="Times New Roman" w:eastAsia="Times New Roman" w:hAnsi="Times New Roman" w:cs="Times New Roman"/>
      <w:szCs w:val="20"/>
      <w:lang w:val="en-US"/>
    </w:rPr>
  </w:style>
  <w:style w:type="paragraph" w:customStyle="1" w:styleId="Default">
    <w:name w:val="Default"/>
    <w:rsid w:val="00A676D5"/>
    <w:pPr>
      <w:autoSpaceDE w:val="0"/>
      <w:autoSpaceDN w:val="0"/>
      <w:adjustRightInd w:val="0"/>
      <w:spacing w:after="0" w:line="240" w:lineRule="auto"/>
    </w:pPr>
    <w:rPr>
      <w:rFonts w:ascii="Verdana" w:eastAsia="SimSun" w:hAnsi="Verdana" w:cs="Verdana"/>
      <w:color w:val="000000"/>
      <w:sz w:val="24"/>
      <w:szCs w:val="24"/>
      <w:lang w:val="en-US"/>
    </w:rPr>
  </w:style>
  <w:style w:type="paragraph" w:styleId="Caption">
    <w:name w:val="caption"/>
    <w:aliases w:val="Vion Caption,Company Caption,Bayer Caption,IB Caption,IB Caption + ...,Figure heading"/>
    <w:next w:val="C-BodyText"/>
    <w:link w:val="CaptionChar"/>
    <w:qFormat/>
    <w:rsid w:val="00A676D5"/>
    <w:pPr>
      <w:keepNext/>
      <w:spacing w:before="120" w:after="120" w:line="280" w:lineRule="atLeast"/>
      <w:ind w:left="1440" w:hanging="1440"/>
    </w:pPr>
    <w:rPr>
      <w:rFonts w:ascii="Times New Roman" w:eastAsia="Times New Roman" w:hAnsi="Times New Roman" w:cs="Times New Roman"/>
      <w:b/>
      <w:bCs/>
      <w:sz w:val="24"/>
      <w:szCs w:val="24"/>
      <w:lang w:val="en-US"/>
    </w:rPr>
  </w:style>
  <w:style w:type="character" w:customStyle="1" w:styleId="CaptionChar">
    <w:name w:val="Caption Char"/>
    <w:aliases w:val="Vion Caption Char,Company Caption Char,Bayer Caption Char,IB Caption Char,IB Caption + ... Char,Figure heading Char"/>
    <w:link w:val="Caption"/>
    <w:locked/>
    <w:rsid w:val="00A676D5"/>
    <w:rPr>
      <w:rFonts w:ascii="Times New Roman" w:eastAsia="Times New Roman" w:hAnsi="Times New Roman" w:cs="Times New Roman"/>
      <w:b/>
      <w:bCs/>
      <w:sz w:val="24"/>
      <w:szCs w:val="24"/>
      <w:lang w:val="en-US"/>
    </w:rPr>
  </w:style>
  <w:style w:type="character" w:styleId="FollowedHyperlink">
    <w:name w:val="FollowedHyperlink"/>
    <w:basedOn w:val="DefaultParagraphFont"/>
    <w:uiPriority w:val="99"/>
    <w:semiHidden/>
    <w:unhideWhenUsed/>
    <w:rsid w:val="004D4B92"/>
    <w:rPr>
      <w:color w:val="800080" w:themeColor="followedHyperlink"/>
      <w:u w:val="single"/>
    </w:rPr>
  </w:style>
  <w:style w:type="character" w:customStyle="1" w:styleId="st">
    <w:name w:val="st"/>
    <w:basedOn w:val="DefaultParagraphFont"/>
    <w:rsid w:val="00A0776F"/>
  </w:style>
  <w:style w:type="table" w:styleId="TableGrid">
    <w:name w:val="Table Grid"/>
    <w:basedOn w:val="TableNormal"/>
    <w:uiPriority w:val="59"/>
    <w:rsid w:val="00A0776F"/>
    <w:pPr>
      <w:spacing w:after="12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3">
    <w:name w:val="List3"/>
    <w:basedOn w:val="Normal"/>
    <w:rsid w:val="001A0BC8"/>
    <w:pPr>
      <w:tabs>
        <w:tab w:val="num" w:pos="2016"/>
      </w:tabs>
      <w:spacing w:before="120" w:after="120" w:line="240" w:lineRule="auto"/>
      <w:ind w:left="2016" w:hanging="504"/>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157F69"/>
    <w:rPr>
      <w:color w:val="808080"/>
      <w:shd w:val="clear" w:color="auto" w:fill="E6E6E6"/>
    </w:rPr>
  </w:style>
  <w:style w:type="paragraph" w:styleId="Revision">
    <w:name w:val="Revision"/>
    <w:hidden/>
    <w:uiPriority w:val="99"/>
    <w:semiHidden/>
    <w:rsid w:val="00943A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BodyText">
    <w:name w:val="Body Text"/>
    <w:basedOn w:val="Normal"/>
    <w:link w:val="BodyTextChar"/>
    <w:uiPriority w:val="1"/>
    <w:qFormat/>
    <w:rsid w:val="00BC7299"/>
    <w:pPr>
      <w:widowControl w:val="0"/>
      <w:autoSpaceDE w:val="0"/>
      <w:autoSpaceDN w:val="0"/>
      <w:adjustRightInd w:val="0"/>
      <w:spacing w:after="0" w:line="240" w:lineRule="auto"/>
      <w:ind w:left="40"/>
    </w:pPr>
    <w:rPr>
      <w:rFonts w:ascii="Times New Roman" w:hAnsi="Times New Roman" w:cs="Times New Roman"/>
      <w:lang w:val="en-US"/>
    </w:rPr>
  </w:style>
  <w:style w:type="character" w:customStyle="1" w:styleId="BodyTextChar">
    <w:name w:val="Body Text Char"/>
    <w:basedOn w:val="DefaultParagraphFont"/>
    <w:link w:val="BodyText"/>
    <w:uiPriority w:val="1"/>
    <w:rsid w:val="00BC7299"/>
    <w:rPr>
      <w:rFonts w:ascii="Times New Roman" w:hAnsi="Times New Roman" w:cs="Times New Roman"/>
      <w:lang w:val="en-US"/>
    </w:rPr>
  </w:style>
  <w:style w:type="paragraph" w:customStyle="1" w:styleId="C-BodyText">
    <w:name w:val="C-Body Text"/>
    <w:link w:val="C-BodyTextChar"/>
    <w:rsid w:val="00BC7299"/>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BC7299"/>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BC7299"/>
    <w:rPr>
      <w:rFonts w:asciiTheme="minorHAnsi" w:hAnsiTheme="minorHAnsi"/>
      <w:b/>
      <w:bCs/>
    </w:rPr>
  </w:style>
  <w:style w:type="character" w:customStyle="1" w:styleId="CommentSubjectChar">
    <w:name w:val="Comment Subject Char"/>
    <w:basedOn w:val="CommentTextChar"/>
    <w:link w:val="CommentSubject"/>
    <w:uiPriority w:val="99"/>
    <w:semiHidden/>
    <w:rsid w:val="00BC7299"/>
    <w:rPr>
      <w:rFonts w:ascii="Cambria" w:hAnsi="Cambria"/>
      <w:b/>
      <w:bCs/>
      <w:sz w:val="20"/>
      <w:szCs w:val="20"/>
    </w:rPr>
  </w:style>
  <w:style w:type="character" w:customStyle="1" w:styleId="C-Hyperlink">
    <w:name w:val="C-Hyperlink"/>
    <w:rsid w:val="0043134B"/>
    <w:rPr>
      <w:color w:val="0000FF"/>
    </w:rPr>
  </w:style>
  <w:style w:type="paragraph" w:customStyle="1" w:styleId="C-Footnote">
    <w:name w:val="C-Footnote"/>
    <w:basedOn w:val="Normal"/>
    <w:qFormat/>
    <w:rsid w:val="00A676D5"/>
    <w:pPr>
      <w:tabs>
        <w:tab w:val="left" w:pos="144"/>
      </w:tabs>
      <w:spacing w:after="0" w:line="240" w:lineRule="auto"/>
    </w:pPr>
    <w:rPr>
      <w:rFonts w:ascii="Times New Roman" w:eastAsia="Times New Roman" w:hAnsi="Times New Roman" w:cs="Arial"/>
      <w:sz w:val="20"/>
      <w:szCs w:val="20"/>
      <w:lang w:val="en-US"/>
    </w:rPr>
  </w:style>
  <w:style w:type="paragraph" w:customStyle="1" w:styleId="C-TableHeader">
    <w:name w:val="C-Table Header"/>
    <w:next w:val="C-TableText"/>
    <w:rsid w:val="00A676D5"/>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rsid w:val="00A676D5"/>
    <w:pPr>
      <w:spacing w:before="60" w:after="60" w:line="240" w:lineRule="auto"/>
    </w:pPr>
    <w:rPr>
      <w:rFonts w:ascii="Times New Roman" w:eastAsia="Times New Roman" w:hAnsi="Times New Roman" w:cs="Times New Roman"/>
      <w:szCs w:val="20"/>
      <w:lang w:val="en-US"/>
    </w:rPr>
  </w:style>
  <w:style w:type="character" w:customStyle="1" w:styleId="C-TableTextChar">
    <w:name w:val="C-Table Text Char"/>
    <w:link w:val="C-TableText"/>
    <w:locked/>
    <w:rsid w:val="00A676D5"/>
    <w:rPr>
      <w:rFonts w:ascii="Times New Roman" w:eastAsia="Times New Roman" w:hAnsi="Times New Roman" w:cs="Times New Roman"/>
      <w:szCs w:val="20"/>
      <w:lang w:val="en-US"/>
    </w:rPr>
  </w:style>
  <w:style w:type="paragraph" w:customStyle="1" w:styleId="Default">
    <w:name w:val="Default"/>
    <w:rsid w:val="00A676D5"/>
    <w:pPr>
      <w:autoSpaceDE w:val="0"/>
      <w:autoSpaceDN w:val="0"/>
      <w:adjustRightInd w:val="0"/>
      <w:spacing w:after="0" w:line="240" w:lineRule="auto"/>
    </w:pPr>
    <w:rPr>
      <w:rFonts w:ascii="Verdana" w:eastAsia="SimSun" w:hAnsi="Verdana" w:cs="Verdana"/>
      <w:color w:val="000000"/>
      <w:sz w:val="24"/>
      <w:szCs w:val="24"/>
      <w:lang w:val="en-US"/>
    </w:rPr>
  </w:style>
  <w:style w:type="paragraph" w:styleId="Caption">
    <w:name w:val="caption"/>
    <w:aliases w:val="Vion Caption,Company Caption,Bayer Caption,IB Caption,IB Caption + ...,Figure heading"/>
    <w:next w:val="C-BodyText"/>
    <w:link w:val="CaptionChar"/>
    <w:qFormat/>
    <w:rsid w:val="00A676D5"/>
    <w:pPr>
      <w:keepNext/>
      <w:spacing w:before="120" w:after="120" w:line="280" w:lineRule="atLeast"/>
      <w:ind w:left="1440" w:hanging="1440"/>
    </w:pPr>
    <w:rPr>
      <w:rFonts w:ascii="Times New Roman" w:eastAsia="Times New Roman" w:hAnsi="Times New Roman" w:cs="Times New Roman"/>
      <w:b/>
      <w:bCs/>
      <w:sz w:val="24"/>
      <w:szCs w:val="24"/>
      <w:lang w:val="en-US"/>
    </w:rPr>
  </w:style>
  <w:style w:type="character" w:customStyle="1" w:styleId="CaptionChar">
    <w:name w:val="Caption Char"/>
    <w:aliases w:val="Vion Caption Char,Company Caption Char,Bayer Caption Char,IB Caption Char,IB Caption + ... Char,Figure heading Char"/>
    <w:link w:val="Caption"/>
    <w:locked/>
    <w:rsid w:val="00A676D5"/>
    <w:rPr>
      <w:rFonts w:ascii="Times New Roman" w:eastAsia="Times New Roman" w:hAnsi="Times New Roman" w:cs="Times New Roman"/>
      <w:b/>
      <w:bCs/>
      <w:sz w:val="24"/>
      <w:szCs w:val="24"/>
      <w:lang w:val="en-US"/>
    </w:rPr>
  </w:style>
  <w:style w:type="character" w:styleId="FollowedHyperlink">
    <w:name w:val="FollowedHyperlink"/>
    <w:basedOn w:val="DefaultParagraphFont"/>
    <w:uiPriority w:val="99"/>
    <w:semiHidden/>
    <w:unhideWhenUsed/>
    <w:rsid w:val="004D4B92"/>
    <w:rPr>
      <w:color w:val="800080" w:themeColor="followedHyperlink"/>
      <w:u w:val="single"/>
    </w:rPr>
  </w:style>
  <w:style w:type="character" w:customStyle="1" w:styleId="st">
    <w:name w:val="st"/>
    <w:basedOn w:val="DefaultParagraphFont"/>
    <w:rsid w:val="00A0776F"/>
  </w:style>
  <w:style w:type="table" w:styleId="TableGrid">
    <w:name w:val="Table Grid"/>
    <w:basedOn w:val="TableNormal"/>
    <w:uiPriority w:val="59"/>
    <w:rsid w:val="00A0776F"/>
    <w:pPr>
      <w:spacing w:after="12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3">
    <w:name w:val="List3"/>
    <w:basedOn w:val="Normal"/>
    <w:rsid w:val="001A0BC8"/>
    <w:pPr>
      <w:tabs>
        <w:tab w:val="num" w:pos="2016"/>
      </w:tabs>
      <w:spacing w:before="120" w:after="120" w:line="240" w:lineRule="auto"/>
      <w:ind w:left="2016" w:hanging="504"/>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157F69"/>
    <w:rPr>
      <w:color w:val="808080"/>
      <w:shd w:val="clear" w:color="auto" w:fill="E6E6E6"/>
    </w:rPr>
  </w:style>
  <w:style w:type="paragraph" w:styleId="Revision">
    <w:name w:val="Revision"/>
    <w:hidden/>
    <w:uiPriority w:val="99"/>
    <w:semiHidden/>
    <w:rsid w:val="00943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ugsafety-sta@stbiopharma.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ga.gov.au/reporting-problem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ga.gov.au/reporting-proble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AA\p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9C87B-E904-426A-9A3F-E83017FB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Template>
  <TotalTime>25</TotalTime>
  <Pages>22</Pages>
  <Words>7892</Words>
  <Characters>45856</Characters>
  <Application>Microsoft Office Word</Application>
  <DocSecurity>0</DocSecurity>
  <Lines>1479</Lines>
  <Paragraphs>942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Australian PI – tradename (active ingredient)</vt:lpstr>
      <vt:lpstr>Australian PI – tradename (active ingredient)</vt:lpstr>
    </vt:vector>
  </TitlesOfParts>
  <Company/>
  <LinksUpToDate>false</LinksUpToDate>
  <CharactersWithSpaces>52806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Plitidepsin</dc:title>
  <dc:subject>Prescription medicines</dc:subject>
  <dc:creator>Tiffany Nguyen</dc:creator>
  <cp:keywords>AusPARs</cp:keywords>
  <cp:lastPrinted>2018-07-12T11:31:00Z</cp:lastPrinted>
  <dcterms:created xsi:type="dcterms:W3CDTF">2019-07-04T05:22:00Z</dcterms:created>
  <dcterms:modified xsi:type="dcterms:W3CDTF">2019-07-04T06:12:00Z</dcterms:modified>
</cp:coreProperties>
</file>