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275A83" w:rsidP="00096AA7">
            <w:pPr>
              <w:rPr>
                <w:rFonts w:ascii="Arial" w:hAnsi="Arial" w:cs="Arial"/>
                <w:b/>
                <w:color w:val="002C47"/>
                <w:sz w:val="36"/>
                <w:szCs w:val="36"/>
              </w:rPr>
            </w:pPr>
            <w:r>
              <w:rPr>
                <w:rFonts w:ascii="Arial" w:hAnsi="Arial" w:cs="Arial"/>
                <w:b/>
                <w:color w:val="002C47"/>
                <w:sz w:val="36"/>
                <w:szCs w:val="36"/>
              </w:rPr>
              <w:t xml:space="preserve">August </w:t>
            </w:r>
            <w:r w:rsidR="00340608">
              <w:rPr>
                <w:rFonts w:ascii="Arial" w:hAnsi="Arial" w:cs="Arial"/>
                <w:b/>
                <w:color w:val="002C47"/>
                <w:sz w:val="36"/>
                <w:szCs w:val="36"/>
              </w:rPr>
              <w:t>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Australian Pu</w:t>
            </w:r>
            <w:r w:rsidR="00340608">
              <w:rPr>
                <w:color w:val="FFFFFF" w:themeColor="background1"/>
              </w:rPr>
              <w:t xml:space="preserve">blic Assessment Report for </w:t>
            </w:r>
            <w:proofErr w:type="spellStart"/>
            <w:r w:rsidR="00340608">
              <w:rPr>
                <w:color w:val="FFFFFF" w:themeColor="background1"/>
              </w:rPr>
              <w:t>pirfenidone</w:t>
            </w:r>
            <w:proofErr w:type="spellEnd"/>
          </w:p>
        </w:tc>
      </w:tr>
      <w:tr w:rsidR="0032583B" w:rsidRPr="00B64760" w:rsidTr="0032583B">
        <w:tc>
          <w:tcPr>
            <w:tcW w:w="9079" w:type="dxa"/>
          </w:tcPr>
          <w:p w:rsidR="0032583B" w:rsidRPr="008E7846" w:rsidRDefault="00340608" w:rsidP="0032583B">
            <w:pPr>
              <w:pStyle w:val="Subtitle"/>
              <w:rPr>
                <w:color w:val="FFFFFF" w:themeColor="background1"/>
              </w:rPr>
            </w:pPr>
            <w:r>
              <w:rPr>
                <w:color w:val="FFFFFF" w:themeColor="background1"/>
              </w:rPr>
              <w:t>Proprietary Product Name: Esbriet</w:t>
            </w:r>
          </w:p>
        </w:tc>
      </w:tr>
      <w:tr w:rsidR="0032583B" w:rsidRPr="00B64760" w:rsidTr="0032583B">
        <w:trPr>
          <w:trHeight w:val="486"/>
        </w:trPr>
        <w:tc>
          <w:tcPr>
            <w:tcW w:w="9079" w:type="dxa"/>
          </w:tcPr>
          <w:p w:rsidR="0032583B" w:rsidRPr="008E7846" w:rsidRDefault="00340608" w:rsidP="0032583B">
            <w:pPr>
              <w:pStyle w:val="Subtitle"/>
              <w:rPr>
                <w:color w:val="FFFFFF" w:themeColor="background1"/>
              </w:rPr>
            </w:pPr>
            <w:r>
              <w:rPr>
                <w:color w:val="FFFFFF" w:themeColor="background1"/>
              </w:rPr>
              <w:t>Sponsor: Roche Products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381256">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381256">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381256">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381256">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381256">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 xml:space="preserve">About </w:t>
      </w:r>
      <w:proofErr w:type="spellStart"/>
      <w:r>
        <w:t>AusPARs</w:t>
      </w:r>
      <w:proofErr w:type="spellEnd"/>
    </w:p>
    <w:p w:rsidR="008E7846" w:rsidRDefault="008E7846" w:rsidP="00381256">
      <w:pPr>
        <w:pStyle w:val="ListBullet"/>
        <w:numPr>
          <w:ilvl w:val="0"/>
          <w:numId w:val="1"/>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rsidR="008E7846" w:rsidRDefault="008E7846" w:rsidP="00381256">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381256">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381256">
      <w:pPr>
        <w:pStyle w:val="ListBullet"/>
        <w:numPr>
          <w:ilvl w:val="0"/>
          <w:numId w:val="1"/>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rsidR="00B452CE" w:rsidRDefault="008E7846" w:rsidP="00381256">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F59DC">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9A42D4"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53068475" w:history="1">
            <w:r w:rsidR="009A42D4" w:rsidRPr="007553D6">
              <w:rPr>
                <w:rStyle w:val="Hyperlink"/>
                <w:noProof/>
              </w:rPr>
              <w:t>Common abbreviations</w:t>
            </w:r>
            <w:r w:rsidR="009A42D4">
              <w:rPr>
                <w:noProof/>
                <w:webHidden/>
              </w:rPr>
              <w:tab/>
            </w:r>
            <w:r w:rsidR="009A42D4">
              <w:rPr>
                <w:noProof/>
                <w:webHidden/>
              </w:rPr>
              <w:fldChar w:fldCharType="begin"/>
            </w:r>
            <w:r w:rsidR="009A42D4">
              <w:rPr>
                <w:noProof/>
                <w:webHidden/>
              </w:rPr>
              <w:instrText xml:space="preserve"> PAGEREF _Toc453068475 \h </w:instrText>
            </w:r>
            <w:r w:rsidR="009A42D4">
              <w:rPr>
                <w:noProof/>
                <w:webHidden/>
              </w:rPr>
            </w:r>
            <w:r w:rsidR="009A42D4">
              <w:rPr>
                <w:noProof/>
                <w:webHidden/>
              </w:rPr>
              <w:fldChar w:fldCharType="separate"/>
            </w:r>
            <w:r w:rsidR="007A22E8">
              <w:rPr>
                <w:noProof/>
                <w:webHidden/>
              </w:rPr>
              <w:t>5</w:t>
            </w:r>
            <w:r w:rsidR="009A42D4">
              <w:rPr>
                <w:noProof/>
                <w:webHidden/>
              </w:rPr>
              <w:fldChar w:fldCharType="end"/>
            </w:r>
          </w:hyperlink>
        </w:p>
        <w:p w:rsidR="009A42D4" w:rsidRDefault="00DA26F9">
          <w:pPr>
            <w:pStyle w:val="TOC2"/>
            <w:rPr>
              <w:rFonts w:asciiTheme="minorHAnsi" w:eastAsiaTheme="minorEastAsia" w:hAnsiTheme="minorHAnsi" w:cstheme="minorBidi"/>
              <w:b w:val="0"/>
              <w:noProof/>
              <w:sz w:val="22"/>
              <w:lang w:eastAsia="en-AU"/>
            </w:rPr>
          </w:pPr>
          <w:hyperlink w:anchor="_Toc453068476" w:history="1">
            <w:r w:rsidR="009A42D4" w:rsidRPr="007553D6">
              <w:rPr>
                <w:rStyle w:val="Hyperlink"/>
                <w:noProof/>
              </w:rPr>
              <w:t>I. Introduction to product submission</w:t>
            </w:r>
            <w:r w:rsidR="009A42D4">
              <w:rPr>
                <w:noProof/>
                <w:webHidden/>
              </w:rPr>
              <w:tab/>
            </w:r>
            <w:r w:rsidR="009A42D4">
              <w:rPr>
                <w:noProof/>
                <w:webHidden/>
              </w:rPr>
              <w:fldChar w:fldCharType="begin"/>
            </w:r>
            <w:r w:rsidR="009A42D4">
              <w:rPr>
                <w:noProof/>
                <w:webHidden/>
              </w:rPr>
              <w:instrText xml:space="preserve"> PAGEREF _Toc453068476 \h </w:instrText>
            </w:r>
            <w:r w:rsidR="009A42D4">
              <w:rPr>
                <w:noProof/>
                <w:webHidden/>
              </w:rPr>
            </w:r>
            <w:r w:rsidR="009A42D4">
              <w:rPr>
                <w:noProof/>
                <w:webHidden/>
              </w:rPr>
              <w:fldChar w:fldCharType="separate"/>
            </w:r>
            <w:r w:rsidR="007A22E8">
              <w:rPr>
                <w:noProof/>
                <w:webHidden/>
              </w:rPr>
              <w:t>8</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477" w:history="1">
            <w:r w:rsidR="009A42D4" w:rsidRPr="007553D6">
              <w:rPr>
                <w:rStyle w:val="Hyperlink"/>
                <w:noProof/>
                <w:lang w:eastAsia="en-AU"/>
              </w:rPr>
              <w:t>Submission details</w:t>
            </w:r>
            <w:r w:rsidR="009A42D4">
              <w:rPr>
                <w:noProof/>
                <w:webHidden/>
              </w:rPr>
              <w:tab/>
            </w:r>
            <w:r w:rsidR="009A42D4">
              <w:rPr>
                <w:noProof/>
                <w:webHidden/>
              </w:rPr>
              <w:fldChar w:fldCharType="begin"/>
            </w:r>
            <w:r w:rsidR="009A42D4">
              <w:rPr>
                <w:noProof/>
                <w:webHidden/>
              </w:rPr>
              <w:instrText xml:space="preserve"> PAGEREF _Toc453068477 \h </w:instrText>
            </w:r>
            <w:r w:rsidR="009A42D4">
              <w:rPr>
                <w:noProof/>
                <w:webHidden/>
              </w:rPr>
            </w:r>
            <w:r w:rsidR="009A42D4">
              <w:rPr>
                <w:noProof/>
                <w:webHidden/>
              </w:rPr>
              <w:fldChar w:fldCharType="separate"/>
            </w:r>
            <w:r w:rsidR="007A22E8">
              <w:rPr>
                <w:noProof/>
                <w:webHidden/>
              </w:rPr>
              <w:t>8</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478" w:history="1">
            <w:r w:rsidR="009A42D4" w:rsidRPr="007553D6">
              <w:rPr>
                <w:rStyle w:val="Hyperlink"/>
                <w:noProof/>
              </w:rPr>
              <w:t>Product background</w:t>
            </w:r>
            <w:r w:rsidR="009A42D4">
              <w:rPr>
                <w:noProof/>
                <w:webHidden/>
              </w:rPr>
              <w:tab/>
            </w:r>
            <w:r w:rsidR="009A42D4">
              <w:rPr>
                <w:noProof/>
                <w:webHidden/>
              </w:rPr>
              <w:fldChar w:fldCharType="begin"/>
            </w:r>
            <w:r w:rsidR="009A42D4">
              <w:rPr>
                <w:noProof/>
                <w:webHidden/>
              </w:rPr>
              <w:instrText xml:space="preserve"> PAGEREF _Toc453068478 \h </w:instrText>
            </w:r>
            <w:r w:rsidR="009A42D4">
              <w:rPr>
                <w:noProof/>
                <w:webHidden/>
              </w:rPr>
            </w:r>
            <w:r w:rsidR="009A42D4">
              <w:rPr>
                <w:noProof/>
                <w:webHidden/>
              </w:rPr>
              <w:fldChar w:fldCharType="separate"/>
            </w:r>
            <w:r w:rsidR="007A22E8">
              <w:rPr>
                <w:noProof/>
                <w:webHidden/>
              </w:rPr>
              <w:t>8</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479" w:history="1">
            <w:r w:rsidR="009A42D4" w:rsidRPr="007553D6">
              <w:rPr>
                <w:rStyle w:val="Hyperlink"/>
                <w:noProof/>
              </w:rPr>
              <w:t>Regulatory status</w:t>
            </w:r>
            <w:r w:rsidR="009A42D4">
              <w:rPr>
                <w:noProof/>
                <w:webHidden/>
              </w:rPr>
              <w:tab/>
            </w:r>
            <w:r w:rsidR="009A42D4">
              <w:rPr>
                <w:noProof/>
                <w:webHidden/>
              </w:rPr>
              <w:fldChar w:fldCharType="begin"/>
            </w:r>
            <w:r w:rsidR="009A42D4">
              <w:rPr>
                <w:noProof/>
                <w:webHidden/>
              </w:rPr>
              <w:instrText xml:space="preserve"> PAGEREF _Toc453068479 \h </w:instrText>
            </w:r>
            <w:r w:rsidR="009A42D4">
              <w:rPr>
                <w:noProof/>
                <w:webHidden/>
              </w:rPr>
            </w:r>
            <w:r w:rsidR="009A42D4">
              <w:rPr>
                <w:noProof/>
                <w:webHidden/>
              </w:rPr>
              <w:fldChar w:fldCharType="separate"/>
            </w:r>
            <w:r w:rsidR="007A22E8">
              <w:rPr>
                <w:noProof/>
                <w:webHidden/>
              </w:rPr>
              <w:t>9</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480" w:history="1">
            <w:r w:rsidR="009A42D4" w:rsidRPr="007553D6">
              <w:rPr>
                <w:rStyle w:val="Hyperlink"/>
                <w:noProof/>
              </w:rPr>
              <w:t>Product Information</w:t>
            </w:r>
            <w:r w:rsidR="009A42D4">
              <w:rPr>
                <w:noProof/>
                <w:webHidden/>
              </w:rPr>
              <w:tab/>
            </w:r>
            <w:r w:rsidR="009A42D4">
              <w:rPr>
                <w:noProof/>
                <w:webHidden/>
              </w:rPr>
              <w:fldChar w:fldCharType="begin"/>
            </w:r>
            <w:r w:rsidR="009A42D4">
              <w:rPr>
                <w:noProof/>
                <w:webHidden/>
              </w:rPr>
              <w:instrText xml:space="preserve"> PAGEREF _Toc453068480 \h </w:instrText>
            </w:r>
            <w:r w:rsidR="009A42D4">
              <w:rPr>
                <w:noProof/>
                <w:webHidden/>
              </w:rPr>
            </w:r>
            <w:r w:rsidR="009A42D4">
              <w:rPr>
                <w:noProof/>
                <w:webHidden/>
              </w:rPr>
              <w:fldChar w:fldCharType="separate"/>
            </w:r>
            <w:r w:rsidR="007A22E8">
              <w:rPr>
                <w:noProof/>
                <w:webHidden/>
              </w:rPr>
              <w:t>9</w:t>
            </w:r>
            <w:r w:rsidR="009A42D4">
              <w:rPr>
                <w:noProof/>
                <w:webHidden/>
              </w:rPr>
              <w:fldChar w:fldCharType="end"/>
            </w:r>
          </w:hyperlink>
        </w:p>
        <w:p w:rsidR="009A42D4" w:rsidRDefault="00DA26F9">
          <w:pPr>
            <w:pStyle w:val="TOC2"/>
            <w:rPr>
              <w:rFonts w:asciiTheme="minorHAnsi" w:eastAsiaTheme="minorEastAsia" w:hAnsiTheme="minorHAnsi" w:cstheme="minorBidi"/>
              <w:b w:val="0"/>
              <w:noProof/>
              <w:sz w:val="22"/>
              <w:lang w:eastAsia="en-AU"/>
            </w:rPr>
          </w:pPr>
          <w:hyperlink w:anchor="_Toc453068481" w:history="1">
            <w:r w:rsidR="009A42D4" w:rsidRPr="007553D6">
              <w:rPr>
                <w:rStyle w:val="Hyperlink"/>
                <w:noProof/>
              </w:rPr>
              <w:t>II. Quality findings</w:t>
            </w:r>
            <w:r w:rsidR="009A42D4">
              <w:rPr>
                <w:noProof/>
                <w:webHidden/>
              </w:rPr>
              <w:tab/>
            </w:r>
            <w:r w:rsidR="009A42D4">
              <w:rPr>
                <w:noProof/>
                <w:webHidden/>
              </w:rPr>
              <w:fldChar w:fldCharType="begin"/>
            </w:r>
            <w:r w:rsidR="009A42D4">
              <w:rPr>
                <w:noProof/>
                <w:webHidden/>
              </w:rPr>
              <w:instrText xml:space="preserve"> PAGEREF _Toc453068481 \h </w:instrText>
            </w:r>
            <w:r w:rsidR="009A42D4">
              <w:rPr>
                <w:noProof/>
                <w:webHidden/>
              </w:rPr>
            </w:r>
            <w:r w:rsidR="009A42D4">
              <w:rPr>
                <w:noProof/>
                <w:webHidden/>
              </w:rPr>
              <w:fldChar w:fldCharType="separate"/>
            </w:r>
            <w:r w:rsidR="007A22E8">
              <w:rPr>
                <w:noProof/>
                <w:webHidden/>
              </w:rPr>
              <w:t>10</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482" w:history="1">
            <w:r w:rsidR="009A42D4" w:rsidRPr="007553D6">
              <w:rPr>
                <w:rStyle w:val="Hyperlink"/>
                <w:noProof/>
              </w:rPr>
              <w:t>Introduction</w:t>
            </w:r>
            <w:r w:rsidR="009A42D4">
              <w:rPr>
                <w:noProof/>
                <w:webHidden/>
              </w:rPr>
              <w:tab/>
            </w:r>
            <w:r w:rsidR="009A42D4">
              <w:rPr>
                <w:noProof/>
                <w:webHidden/>
              </w:rPr>
              <w:fldChar w:fldCharType="begin"/>
            </w:r>
            <w:r w:rsidR="009A42D4">
              <w:rPr>
                <w:noProof/>
                <w:webHidden/>
              </w:rPr>
              <w:instrText xml:space="preserve"> PAGEREF _Toc453068482 \h </w:instrText>
            </w:r>
            <w:r w:rsidR="009A42D4">
              <w:rPr>
                <w:noProof/>
                <w:webHidden/>
              </w:rPr>
            </w:r>
            <w:r w:rsidR="009A42D4">
              <w:rPr>
                <w:noProof/>
                <w:webHidden/>
              </w:rPr>
              <w:fldChar w:fldCharType="separate"/>
            </w:r>
            <w:r w:rsidR="007A22E8">
              <w:rPr>
                <w:noProof/>
                <w:webHidden/>
              </w:rPr>
              <w:t>10</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483" w:history="1">
            <w:r w:rsidR="009A42D4" w:rsidRPr="007553D6">
              <w:rPr>
                <w:rStyle w:val="Hyperlink"/>
                <w:noProof/>
              </w:rPr>
              <w:t>Drug substance (active ingredient)</w:t>
            </w:r>
            <w:r w:rsidR="009A42D4">
              <w:rPr>
                <w:noProof/>
                <w:webHidden/>
              </w:rPr>
              <w:tab/>
            </w:r>
            <w:r w:rsidR="009A42D4">
              <w:rPr>
                <w:noProof/>
                <w:webHidden/>
              </w:rPr>
              <w:fldChar w:fldCharType="begin"/>
            </w:r>
            <w:r w:rsidR="009A42D4">
              <w:rPr>
                <w:noProof/>
                <w:webHidden/>
              </w:rPr>
              <w:instrText xml:space="preserve"> PAGEREF _Toc453068483 \h </w:instrText>
            </w:r>
            <w:r w:rsidR="009A42D4">
              <w:rPr>
                <w:noProof/>
                <w:webHidden/>
              </w:rPr>
            </w:r>
            <w:r w:rsidR="009A42D4">
              <w:rPr>
                <w:noProof/>
                <w:webHidden/>
              </w:rPr>
              <w:fldChar w:fldCharType="separate"/>
            </w:r>
            <w:r w:rsidR="007A22E8">
              <w:rPr>
                <w:noProof/>
                <w:webHidden/>
              </w:rPr>
              <w:t>10</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484" w:history="1">
            <w:r w:rsidR="009A42D4" w:rsidRPr="007553D6">
              <w:rPr>
                <w:rStyle w:val="Hyperlink"/>
                <w:noProof/>
              </w:rPr>
              <w:t>Drug product</w:t>
            </w:r>
            <w:r w:rsidR="009A42D4">
              <w:rPr>
                <w:noProof/>
                <w:webHidden/>
              </w:rPr>
              <w:tab/>
            </w:r>
            <w:r w:rsidR="009A42D4">
              <w:rPr>
                <w:noProof/>
                <w:webHidden/>
              </w:rPr>
              <w:fldChar w:fldCharType="begin"/>
            </w:r>
            <w:r w:rsidR="009A42D4">
              <w:rPr>
                <w:noProof/>
                <w:webHidden/>
              </w:rPr>
              <w:instrText xml:space="preserve"> PAGEREF _Toc453068484 \h </w:instrText>
            </w:r>
            <w:r w:rsidR="009A42D4">
              <w:rPr>
                <w:noProof/>
                <w:webHidden/>
              </w:rPr>
            </w:r>
            <w:r w:rsidR="009A42D4">
              <w:rPr>
                <w:noProof/>
                <w:webHidden/>
              </w:rPr>
              <w:fldChar w:fldCharType="separate"/>
            </w:r>
            <w:r w:rsidR="007A22E8">
              <w:rPr>
                <w:noProof/>
                <w:webHidden/>
              </w:rPr>
              <w:t>10</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485" w:history="1">
            <w:r w:rsidR="009A42D4" w:rsidRPr="007553D6">
              <w:rPr>
                <w:rStyle w:val="Hyperlink"/>
                <w:noProof/>
              </w:rPr>
              <w:t>Biopharmaceutics</w:t>
            </w:r>
            <w:r w:rsidR="009A42D4">
              <w:rPr>
                <w:noProof/>
                <w:webHidden/>
              </w:rPr>
              <w:tab/>
            </w:r>
            <w:r w:rsidR="009A42D4">
              <w:rPr>
                <w:noProof/>
                <w:webHidden/>
              </w:rPr>
              <w:fldChar w:fldCharType="begin"/>
            </w:r>
            <w:r w:rsidR="009A42D4">
              <w:rPr>
                <w:noProof/>
                <w:webHidden/>
              </w:rPr>
              <w:instrText xml:space="preserve"> PAGEREF _Toc453068485 \h </w:instrText>
            </w:r>
            <w:r w:rsidR="009A42D4">
              <w:rPr>
                <w:noProof/>
                <w:webHidden/>
              </w:rPr>
            </w:r>
            <w:r w:rsidR="009A42D4">
              <w:rPr>
                <w:noProof/>
                <w:webHidden/>
              </w:rPr>
              <w:fldChar w:fldCharType="separate"/>
            </w:r>
            <w:r w:rsidR="007A22E8">
              <w:rPr>
                <w:noProof/>
                <w:webHidden/>
              </w:rPr>
              <w:t>11</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486" w:history="1">
            <w:r w:rsidR="009A42D4" w:rsidRPr="007553D6">
              <w:rPr>
                <w:rStyle w:val="Hyperlink"/>
                <w:noProof/>
              </w:rPr>
              <w:t>Quality summary and conclusions</w:t>
            </w:r>
            <w:r w:rsidR="009A42D4">
              <w:rPr>
                <w:noProof/>
                <w:webHidden/>
              </w:rPr>
              <w:tab/>
            </w:r>
            <w:r w:rsidR="009A42D4">
              <w:rPr>
                <w:noProof/>
                <w:webHidden/>
              </w:rPr>
              <w:fldChar w:fldCharType="begin"/>
            </w:r>
            <w:r w:rsidR="009A42D4">
              <w:rPr>
                <w:noProof/>
                <w:webHidden/>
              </w:rPr>
              <w:instrText xml:space="preserve"> PAGEREF _Toc453068486 \h </w:instrText>
            </w:r>
            <w:r w:rsidR="009A42D4">
              <w:rPr>
                <w:noProof/>
                <w:webHidden/>
              </w:rPr>
            </w:r>
            <w:r w:rsidR="009A42D4">
              <w:rPr>
                <w:noProof/>
                <w:webHidden/>
              </w:rPr>
              <w:fldChar w:fldCharType="separate"/>
            </w:r>
            <w:r w:rsidR="007A22E8">
              <w:rPr>
                <w:noProof/>
                <w:webHidden/>
              </w:rPr>
              <w:t>12</w:t>
            </w:r>
            <w:r w:rsidR="009A42D4">
              <w:rPr>
                <w:noProof/>
                <w:webHidden/>
              </w:rPr>
              <w:fldChar w:fldCharType="end"/>
            </w:r>
          </w:hyperlink>
        </w:p>
        <w:p w:rsidR="009A42D4" w:rsidRDefault="00DA26F9">
          <w:pPr>
            <w:pStyle w:val="TOC2"/>
            <w:rPr>
              <w:rFonts w:asciiTheme="minorHAnsi" w:eastAsiaTheme="minorEastAsia" w:hAnsiTheme="minorHAnsi" w:cstheme="minorBidi"/>
              <w:b w:val="0"/>
              <w:noProof/>
              <w:sz w:val="22"/>
              <w:lang w:eastAsia="en-AU"/>
            </w:rPr>
          </w:pPr>
          <w:hyperlink w:anchor="_Toc453068487" w:history="1">
            <w:r w:rsidR="009A42D4" w:rsidRPr="007553D6">
              <w:rPr>
                <w:rStyle w:val="Hyperlink"/>
                <w:noProof/>
              </w:rPr>
              <w:t>III. Nonclinical findings</w:t>
            </w:r>
            <w:r w:rsidR="009A42D4">
              <w:rPr>
                <w:noProof/>
                <w:webHidden/>
              </w:rPr>
              <w:tab/>
            </w:r>
            <w:r w:rsidR="009A42D4">
              <w:rPr>
                <w:noProof/>
                <w:webHidden/>
              </w:rPr>
              <w:fldChar w:fldCharType="begin"/>
            </w:r>
            <w:r w:rsidR="009A42D4">
              <w:rPr>
                <w:noProof/>
                <w:webHidden/>
              </w:rPr>
              <w:instrText xml:space="preserve"> PAGEREF _Toc453068487 \h </w:instrText>
            </w:r>
            <w:r w:rsidR="009A42D4">
              <w:rPr>
                <w:noProof/>
                <w:webHidden/>
              </w:rPr>
            </w:r>
            <w:r w:rsidR="009A42D4">
              <w:rPr>
                <w:noProof/>
                <w:webHidden/>
              </w:rPr>
              <w:fldChar w:fldCharType="separate"/>
            </w:r>
            <w:r w:rsidR="007A22E8">
              <w:rPr>
                <w:noProof/>
                <w:webHidden/>
              </w:rPr>
              <w:t>13</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488" w:history="1">
            <w:r w:rsidR="009A42D4" w:rsidRPr="007553D6">
              <w:rPr>
                <w:rStyle w:val="Hyperlink"/>
                <w:noProof/>
              </w:rPr>
              <w:t>Pharmacology</w:t>
            </w:r>
            <w:r w:rsidR="009A42D4">
              <w:rPr>
                <w:noProof/>
                <w:webHidden/>
              </w:rPr>
              <w:tab/>
            </w:r>
            <w:r w:rsidR="009A42D4">
              <w:rPr>
                <w:noProof/>
                <w:webHidden/>
              </w:rPr>
              <w:fldChar w:fldCharType="begin"/>
            </w:r>
            <w:r w:rsidR="009A42D4">
              <w:rPr>
                <w:noProof/>
                <w:webHidden/>
              </w:rPr>
              <w:instrText xml:space="preserve"> PAGEREF _Toc453068488 \h </w:instrText>
            </w:r>
            <w:r w:rsidR="009A42D4">
              <w:rPr>
                <w:noProof/>
                <w:webHidden/>
              </w:rPr>
            </w:r>
            <w:r w:rsidR="009A42D4">
              <w:rPr>
                <w:noProof/>
                <w:webHidden/>
              </w:rPr>
              <w:fldChar w:fldCharType="separate"/>
            </w:r>
            <w:r w:rsidR="007A22E8">
              <w:rPr>
                <w:noProof/>
                <w:webHidden/>
              </w:rPr>
              <w:t>13</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489" w:history="1">
            <w:r w:rsidR="009A42D4" w:rsidRPr="007553D6">
              <w:rPr>
                <w:rStyle w:val="Hyperlink"/>
                <w:noProof/>
              </w:rPr>
              <w:t>Pharmacokinetics</w:t>
            </w:r>
            <w:r w:rsidR="009A42D4">
              <w:rPr>
                <w:noProof/>
                <w:webHidden/>
              </w:rPr>
              <w:tab/>
            </w:r>
            <w:r w:rsidR="009A42D4">
              <w:rPr>
                <w:noProof/>
                <w:webHidden/>
              </w:rPr>
              <w:fldChar w:fldCharType="begin"/>
            </w:r>
            <w:r w:rsidR="009A42D4">
              <w:rPr>
                <w:noProof/>
                <w:webHidden/>
              </w:rPr>
              <w:instrText xml:space="preserve"> PAGEREF _Toc453068489 \h </w:instrText>
            </w:r>
            <w:r w:rsidR="009A42D4">
              <w:rPr>
                <w:noProof/>
                <w:webHidden/>
              </w:rPr>
            </w:r>
            <w:r w:rsidR="009A42D4">
              <w:rPr>
                <w:noProof/>
                <w:webHidden/>
              </w:rPr>
              <w:fldChar w:fldCharType="separate"/>
            </w:r>
            <w:r w:rsidR="007A22E8">
              <w:rPr>
                <w:noProof/>
                <w:webHidden/>
              </w:rPr>
              <w:t>16</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490" w:history="1">
            <w:r w:rsidR="009A42D4" w:rsidRPr="007553D6">
              <w:rPr>
                <w:rStyle w:val="Hyperlink"/>
                <w:noProof/>
              </w:rPr>
              <w:t>Toxicology</w:t>
            </w:r>
            <w:r w:rsidR="009A42D4">
              <w:rPr>
                <w:noProof/>
                <w:webHidden/>
              </w:rPr>
              <w:tab/>
            </w:r>
            <w:r w:rsidR="009A42D4">
              <w:rPr>
                <w:noProof/>
                <w:webHidden/>
              </w:rPr>
              <w:fldChar w:fldCharType="begin"/>
            </w:r>
            <w:r w:rsidR="009A42D4">
              <w:rPr>
                <w:noProof/>
                <w:webHidden/>
              </w:rPr>
              <w:instrText xml:space="preserve"> PAGEREF _Toc453068490 \h </w:instrText>
            </w:r>
            <w:r w:rsidR="009A42D4">
              <w:rPr>
                <w:noProof/>
                <w:webHidden/>
              </w:rPr>
            </w:r>
            <w:r w:rsidR="009A42D4">
              <w:rPr>
                <w:noProof/>
                <w:webHidden/>
              </w:rPr>
              <w:fldChar w:fldCharType="separate"/>
            </w:r>
            <w:r w:rsidR="007A22E8">
              <w:rPr>
                <w:noProof/>
                <w:webHidden/>
              </w:rPr>
              <w:t>17</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491" w:history="1">
            <w:r w:rsidR="009A42D4" w:rsidRPr="007553D6">
              <w:rPr>
                <w:rStyle w:val="Hyperlink"/>
                <w:noProof/>
              </w:rPr>
              <w:t>Impurities</w:t>
            </w:r>
            <w:r w:rsidR="009A42D4">
              <w:rPr>
                <w:noProof/>
                <w:webHidden/>
              </w:rPr>
              <w:tab/>
            </w:r>
            <w:r w:rsidR="009A42D4">
              <w:rPr>
                <w:noProof/>
                <w:webHidden/>
              </w:rPr>
              <w:fldChar w:fldCharType="begin"/>
            </w:r>
            <w:r w:rsidR="009A42D4">
              <w:rPr>
                <w:noProof/>
                <w:webHidden/>
              </w:rPr>
              <w:instrText xml:space="preserve"> PAGEREF _Toc453068491 \h </w:instrText>
            </w:r>
            <w:r w:rsidR="009A42D4">
              <w:rPr>
                <w:noProof/>
                <w:webHidden/>
              </w:rPr>
            </w:r>
            <w:r w:rsidR="009A42D4">
              <w:rPr>
                <w:noProof/>
                <w:webHidden/>
              </w:rPr>
              <w:fldChar w:fldCharType="separate"/>
            </w:r>
            <w:r w:rsidR="007A22E8">
              <w:rPr>
                <w:noProof/>
                <w:webHidden/>
              </w:rPr>
              <w:t>25</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492" w:history="1">
            <w:r w:rsidR="009A42D4" w:rsidRPr="007553D6">
              <w:rPr>
                <w:rStyle w:val="Hyperlink"/>
                <w:noProof/>
              </w:rPr>
              <w:t>Paediatric use</w:t>
            </w:r>
            <w:r w:rsidR="009A42D4">
              <w:rPr>
                <w:noProof/>
                <w:webHidden/>
              </w:rPr>
              <w:tab/>
            </w:r>
            <w:r w:rsidR="009A42D4">
              <w:rPr>
                <w:noProof/>
                <w:webHidden/>
              </w:rPr>
              <w:fldChar w:fldCharType="begin"/>
            </w:r>
            <w:r w:rsidR="009A42D4">
              <w:rPr>
                <w:noProof/>
                <w:webHidden/>
              </w:rPr>
              <w:instrText xml:space="preserve"> PAGEREF _Toc453068492 \h </w:instrText>
            </w:r>
            <w:r w:rsidR="009A42D4">
              <w:rPr>
                <w:noProof/>
                <w:webHidden/>
              </w:rPr>
            </w:r>
            <w:r w:rsidR="009A42D4">
              <w:rPr>
                <w:noProof/>
                <w:webHidden/>
              </w:rPr>
              <w:fldChar w:fldCharType="separate"/>
            </w:r>
            <w:r w:rsidR="007A22E8">
              <w:rPr>
                <w:noProof/>
                <w:webHidden/>
              </w:rPr>
              <w:t>25</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493" w:history="1">
            <w:r w:rsidR="009A42D4" w:rsidRPr="007553D6">
              <w:rPr>
                <w:rStyle w:val="Hyperlink"/>
                <w:noProof/>
              </w:rPr>
              <w:t>Nonclinical summary</w:t>
            </w:r>
            <w:r w:rsidR="009A42D4">
              <w:rPr>
                <w:noProof/>
                <w:webHidden/>
              </w:rPr>
              <w:tab/>
            </w:r>
            <w:r w:rsidR="009A42D4">
              <w:rPr>
                <w:noProof/>
                <w:webHidden/>
              </w:rPr>
              <w:fldChar w:fldCharType="begin"/>
            </w:r>
            <w:r w:rsidR="009A42D4">
              <w:rPr>
                <w:noProof/>
                <w:webHidden/>
              </w:rPr>
              <w:instrText xml:space="preserve"> PAGEREF _Toc453068493 \h </w:instrText>
            </w:r>
            <w:r w:rsidR="009A42D4">
              <w:rPr>
                <w:noProof/>
                <w:webHidden/>
              </w:rPr>
            </w:r>
            <w:r w:rsidR="009A42D4">
              <w:rPr>
                <w:noProof/>
                <w:webHidden/>
              </w:rPr>
              <w:fldChar w:fldCharType="separate"/>
            </w:r>
            <w:r w:rsidR="007A22E8">
              <w:rPr>
                <w:noProof/>
                <w:webHidden/>
              </w:rPr>
              <w:t>26</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494" w:history="1">
            <w:r w:rsidR="009A42D4" w:rsidRPr="007553D6">
              <w:rPr>
                <w:rStyle w:val="Hyperlink"/>
                <w:noProof/>
              </w:rPr>
              <w:t>Nonclinical conclusions</w:t>
            </w:r>
            <w:r w:rsidR="009A42D4">
              <w:rPr>
                <w:noProof/>
                <w:webHidden/>
              </w:rPr>
              <w:tab/>
            </w:r>
            <w:r w:rsidR="009A42D4">
              <w:rPr>
                <w:noProof/>
                <w:webHidden/>
              </w:rPr>
              <w:fldChar w:fldCharType="begin"/>
            </w:r>
            <w:r w:rsidR="009A42D4">
              <w:rPr>
                <w:noProof/>
                <w:webHidden/>
              </w:rPr>
              <w:instrText xml:space="preserve"> PAGEREF _Toc453068494 \h </w:instrText>
            </w:r>
            <w:r w:rsidR="009A42D4">
              <w:rPr>
                <w:noProof/>
                <w:webHidden/>
              </w:rPr>
            </w:r>
            <w:r w:rsidR="009A42D4">
              <w:rPr>
                <w:noProof/>
                <w:webHidden/>
              </w:rPr>
              <w:fldChar w:fldCharType="separate"/>
            </w:r>
            <w:r w:rsidR="007A22E8">
              <w:rPr>
                <w:noProof/>
                <w:webHidden/>
              </w:rPr>
              <w:t>27</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495" w:history="1">
            <w:r w:rsidR="009A42D4" w:rsidRPr="007553D6">
              <w:rPr>
                <w:rStyle w:val="Hyperlink"/>
                <w:noProof/>
              </w:rPr>
              <w:t>Comments on the Safety Specification of the Risk Management Plan</w:t>
            </w:r>
            <w:r w:rsidR="009A42D4">
              <w:rPr>
                <w:noProof/>
                <w:webHidden/>
              </w:rPr>
              <w:tab/>
            </w:r>
            <w:r w:rsidR="009A42D4">
              <w:rPr>
                <w:noProof/>
                <w:webHidden/>
              </w:rPr>
              <w:fldChar w:fldCharType="begin"/>
            </w:r>
            <w:r w:rsidR="009A42D4">
              <w:rPr>
                <w:noProof/>
                <w:webHidden/>
              </w:rPr>
              <w:instrText xml:space="preserve"> PAGEREF _Toc453068495 \h </w:instrText>
            </w:r>
            <w:r w:rsidR="009A42D4">
              <w:rPr>
                <w:noProof/>
                <w:webHidden/>
              </w:rPr>
            </w:r>
            <w:r w:rsidR="009A42D4">
              <w:rPr>
                <w:noProof/>
                <w:webHidden/>
              </w:rPr>
              <w:fldChar w:fldCharType="separate"/>
            </w:r>
            <w:r w:rsidR="007A22E8">
              <w:rPr>
                <w:noProof/>
                <w:webHidden/>
              </w:rPr>
              <w:t>28</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496" w:history="1">
            <w:r w:rsidR="009A42D4" w:rsidRPr="007553D6">
              <w:rPr>
                <w:rStyle w:val="Hyperlink"/>
                <w:noProof/>
              </w:rPr>
              <w:t>Nonclinical evaluator’s recommendations</w:t>
            </w:r>
            <w:r w:rsidR="009A42D4">
              <w:rPr>
                <w:noProof/>
                <w:webHidden/>
              </w:rPr>
              <w:tab/>
            </w:r>
            <w:r w:rsidR="009A42D4">
              <w:rPr>
                <w:noProof/>
                <w:webHidden/>
              </w:rPr>
              <w:fldChar w:fldCharType="begin"/>
            </w:r>
            <w:r w:rsidR="009A42D4">
              <w:rPr>
                <w:noProof/>
                <w:webHidden/>
              </w:rPr>
              <w:instrText xml:space="preserve"> PAGEREF _Toc453068496 \h </w:instrText>
            </w:r>
            <w:r w:rsidR="009A42D4">
              <w:rPr>
                <w:noProof/>
                <w:webHidden/>
              </w:rPr>
            </w:r>
            <w:r w:rsidR="009A42D4">
              <w:rPr>
                <w:noProof/>
                <w:webHidden/>
              </w:rPr>
              <w:fldChar w:fldCharType="separate"/>
            </w:r>
            <w:r w:rsidR="007A22E8">
              <w:rPr>
                <w:noProof/>
                <w:webHidden/>
              </w:rPr>
              <w:t>28</w:t>
            </w:r>
            <w:r w:rsidR="009A42D4">
              <w:rPr>
                <w:noProof/>
                <w:webHidden/>
              </w:rPr>
              <w:fldChar w:fldCharType="end"/>
            </w:r>
          </w:hyperlink>
        </w:p>
        <w:p w:rsidR="009A42D4" w:rsidRDefault="00DA26F9">
          <w:pPr>
            <w:pStyle w:val="TOC2"/>
            <w:rPr>
              <w:rFonts w:asciiTheme="minorHAnsi" w:eastAsiaTheme="minorEastAsia" w:hAnsiTheme="minorHAnsi" w:cstheme="minorBidi"/>
              <w:b w:val="0"/>
              <w:noProof/>
              <w:sz w:val="22"/>
              <w:lang w:eastAsia="en-AU"/>
            </w:rPr>
          </w:pPr>
          <w:hyperlink w:anchor="_Toc453068497" w:history="1">
            <w:r w:rsidR="009A42D4" w:rsidRPr="007553D6">
              <w:rPr>
                <w:rStyle w:val="Hyperlink"/>
                <w:noProof/>
              </w:rPr>
              <w:t>IV. Clinical findings</w:t>
            </w:r>
            <w:r w:rsidR="009A42D4">
              <w:rPr>
                <w:noProof/>
                <w:webHidden/>
              </w:rPr>
              <w:tab/>
            </w:r>
            <w:r w:rsidR="009A42D4">
              <w:rPr>
                <w:noProof/>
                <w:webHidden/>
              </w:rPr>
              <w:fldChar w:fldCharType="begin"/>
            </w:r>
            <w:r w:rsidR="009A42D4">
              <w:rPr>
                <w:noProof/>
                <w:webHidden/>
              </w:rPr>
              <w:instrText xml:space="preserve"> PAGEREF _Toc453068497 \h </w:instrText>
            </w:r>
            <w:r w:rsidR="009A42D4">
              <w:rPr>
                <w:noProof/>
                <w:webHidden/>
              </w:rPr>
            </w:r>
            <w:r w:rsidR="009A42D4">
              <w:rPr>
                <w:noProof/>
                <w:webHidden/>
              </w:rPr>
              <w:fldChar w:fldCharType="separate"/>
            </w:r>
            <w:r w:rsidR="007A22E8">
              <w:rPr>
                <w:noProof/>
                <w:webHidden/>
              </w:rPr>
              <w:t>29</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498" w:history="1">
            <w:r w:rsidR="009A42D4" w:rsidRPr="007553D6">
              <w:rPr>
                <w:rStyle w:val="Hyperlink"/>
                <w:noProof/>
              </w:rPr>
              <w:t>Pharmacokinetics</w:t>
            </w:r>
            <w:r w:rsidR="009A42D4">
              <w:rPr>
                <w:noProof/>
                <w:webHidden/>
              </w:rPr>
              <w:tab/>
            </w:r>
            <w:r w:rsidR="009A42D4">
              <w:rPr>
                <w:noProof/>
                <w:webHidden/>
              </w:rPr>
              <w:fldChar w:fldCharType="begin"/>
            </w:r>
            <w:r w:rsidR="009A42D4">
              <w:rPr>
                <w:noProof/>
                <w:webHidden/>
              </w:rPr>
              <w:instrText xml:space="preserve"> PAGEREF _Toc453068498 \h </w:instrText>
            </w:r>
            <w:r w:rsidR="009A42D4">
              <w:rPr>
                <w:noProof/>
                <w:webHidden/>
              </w:rPr>
            </w:r>
            <w:r w:rsidR="009A42D4">
              <w:rPr>
                <w:noProof/>
                <w:webHidden/>
              </w:rPr>
              <w:fldChar w:fldCharType="separate"/>
            </w:r>
            <w:r w:rsidR="007A22E8">
              <w:rPr>
                <w:noProof/>
                <w:webHidden/>
              </w:rPr>
              <w:t>30</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499" w:history="1">
            <w:r w:rsidR="009A42D4" w:rsidRPr="007553D6">
              <w:rPr>
                <w:rStyle w:val="Hyperlink"/>
                <w:noProof/>
              </w:rPr>
              <w:t>Pharmacodynamics</w:t>
            </w:r>
            <w:r w:rsidR="009A42D4">
              <w:rPr>
                <w:noProof/>
                <w:webHidden/>
              </w:rPr>
              <w:tab/>
            </w:r>
            <w:r w:rsidR="009A42D4">
              <w:rPr>
                <w:noProof/>
                <w:webHidden/>
              </w:rPr>
              <w:fldChar w:fldCharType="begin"/>
            </w:r>
            <w:r w:rsidR="009A42D4">
              <w:rPr>
                <w:noProof/>
                <w:webHidden/>
              </w:rPr>
              <w:instrText xml:space="preserve"> PAGEREF _Toc453068499 \h </w:instrText>
            </w:r>
            <w:r w:rsidR="009A42D4">
              <w:rPr>
                <w:noProof/>
                <w:webHidden/>
              </w:rPr>
            </w:r>
            <w:r w:rsidR="009A42D4">
              <w:rPr>
                <w:noProof/>
                <w:webHidden/>
              </w:rPr>
              <w:fldChar w:fldCharType="separate"/>
            </w:r>
            <w:r w:rsidR="007A22E8">
              <w:rPr>
                <w:noProof/>
                <w:webHidden/>
              </w:rPr>
              <w:t>31</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500" w:history="1">
            <w:r w:rsidR="009A42D4" w:rsidRPr="007553D6">
              <w:rPr>
                <w:rStyle w:val="Hyperlink"/>
                <w:noProof/>
              </w:rPr>
              <w:t>Dosage selection for the pivotal studies</w:t>
            </w:r>
            <w:r w:rsidR="009A42D4">
              <w:rPr>
                <w:noProof/>
                <w:webHidden/>
              </w:rPr>
              <w:tab/>
            </w:r>
            <w:r w:rsidR="009A42D4">
              <w:rPr>
                <w:noProof/>
                <w:webHidden/>
              </w:rPr>
              <w:fldChar w:fldCharType="begin"/>
            </w:r>
            <w:r w:rsidR="009A42D4">
              <w:rPr>
                <w:noProof/>
                <w:webHidden/>
              </w:rPr>
              <w:instrText xml:space="preserve"> PAGEREF _Toc453068500 \h </w:instrText>
            </w:r>
            <w:r w:rsidR="009A42D4">
              <w:rPr>
                <w:noProof/>
                <w:webHidden/>
              </w:rPr>
            </w:r>
            <w:r w:rsidR="009A42D4">
              <w:rPr>
                <w:noProof/>
                <w:webHidden/>
              </w:rPr>
              <w:fldChar w:fldCharType="separate"/>
            </w:r>
            <w:r w:rsidR="007A22E8">
              <w:rPr>
                <w:noProof/>
                <w:webHidden/>
              </w:rPr>
              <w:t>32</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501" w:history="1">
            <w:r w:rsidR="009A42D4" w:rsidRPr="007553D6">
              <w:rPr>
                <w:rStyle w:val="Hyperlink"/>
                <w:noProof/>
              </w:rPr>
              <w:t>Efficacy</w:t>
            </w:r>
            <w:r w:rsidR="009A42D4">
              <w:rPr>
                <w:noProof/>
                <w:webHidden/>
              </w:rPr>
              <w:tab/>
            </w:r>
            <w:r w:rsidR="009A42D4">
              <w:rPr>
                <w:noProof/>
                <w:webHidden/>
              </w:rPr>
              <w:fldChar w:fldCharType="begin"/>
            </w:r>
            <w:r w:rsidR="009A42D4">
              <w:rPr>
                <w:noProof/>
                <w:webHidden/>
              </w:rPr>
              <w:instrText xml:space="preserve"> PAGEREF _Toc453068501 \h </w:instrText>
            </w:r>
            <w:r w:rsidR="009A42D4">
              <w:rPr>
                <w:noProof/>
                <w:webHidden/>
              </w:rPr>
            </w:r>
            <w:r w:rsidR="009A42D4">
              <w:rPr>
                <w:noProof/>
                <w:webHidden/>
              </w:rPr>
              <w:fldChar w:fldCharType="separate"/>
            </w:r>
            <w:r w:rsidR="007A22E8">
              <w:rPr>
                <w:noProof/>
                <w:webHidden/>
              </w:rPr>
              <w:t>32</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502" w:history="1">
            <w:r w:rsidR="009A42D4" w:rsidRPr="007553D6">
              <w:rPr>
                <w:rStyle w:val="Hyperlink"/>
                <w:noProof/>
              </w:rPr>
              <w:t>Safety</w:t>
            </w:r>
            <w:r w:rsidR="009A42D4">
              <w:rPr>
                <w:noProof/>
                <w:webHidden/>
              </w:rPr>
              <w:tab/>
            </w:r>
            <w:r w:rsidR="009A42D4">
              <w:rPr>
                <w:noProof/>
                <w:webHidden/>
              </w:rPr>
              <w:fldChar w:fldCharType="begin"/>
            </w:r>
            <w:r w:rsidR="009A42D4">
              <w:rPr>
                <w:noProof/>
                <w:webHidden/>
              </w:rPr>
              <w:instrText xml:space="preserve"> PAGEREF _Toc453068502 \h </w:instrText>
            </w:r>
            <w:r w:rsidR="009A42D4">
              <w:rPr>
                <w:noProof/>
                <w:webHidden/>
              </w:rPr>
            </w:r>
            <w:r w:rsidR="009A42D4">
              <w:rPr>
                <w:noProof/>
                <w:webHidden/>
              </w:rPr>
              <w:fldChar w:fldCharType="separate"/>
            </w:r>
            <w:r w:rsidR="007A22E8">
              <w:rPr>
                <w:noProof/>
                <w:webHidden/>
              </w:rPr>
              <w:t>33</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503" w:history="1">
            <w:r w:rsidR="009A42D4" w:rsidRPr="007553D6">
              <w:rPr>
                <w:rStyle w:val="Hyperlink"/>
                <w:noProof/>
              </w:rPr>
              <w:t>First Round Benefit-Risk Assessment</w:t>
            </w:r>
            <w:r w:rsidR="009A42D4">
              <w:rPr>
                <w:noProof/>
                <w:webHidden/>
              </w:rPr>
              <w:tab/>
            </w:r>
            <w:r w:rsidR="009A42D4">
              <w:rPr>
                <w:noProof/>
                <w:webHidden/>
              </w:rPr>
              <w:fldChar w:fldCharType="begin"/>
            </w:r>
            <w:r w:rsidR="009A42D4">
              <w:rPr>
                <w:noProof/>
                <w:webHidden/>
              </w:rPr>
              <w:instrText xml:space="preserve"> PAGEREF _Toc453068503 \h </w:instrText>
            </w:r>
            <w:r w:rsidR="009A42D4">
              <w:rPr>
                <w:noProof/>
                <w:webHidden/>
              </w:rPr>
            </w:r>
            <w:r w:rsidR="009A42D4">
              <w:rPr>
                <w:noProof/>
                <w:webHidden/>
              </w:rPr>
              <w:fldChar w:fldCharType="separate"/>
            </w:r>
            <w:r w:rsidR="007A22E8">
              <w:rPr>
                <w:noProof/>
                <w:webHidden/>
              </w:rPr>
              <w:t>39</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504" w:history="1">
            <w:r w:rsidR="009A42D4" w:rsidRPr="007553D6">
              <w:rPr>
                <w:rStyle w:val="Hyperlink"/>
                <w:noProof/>
              </w:rPr>
              <w:t>First Round Recommendation Regarding Authorisation</w:t>
            </w:r>
            <w:r w:rsidR="009A42D4">
              <w:rPr>
                <w:noProof/>
                <w:webHidden/>
              </w:rPr>
              <w:tab/>
            </w:r>
            <w:r w:rsidR="009A42D4">
              <w:rPr>
                <w:noProof/>
                <w:webHidden/>
              </w:rPr>
              <w:fldChar w:fldCharType="begin"/>
            </w:r>
            <w:r w:rsidR="009A42D4">
              <w:rPr>
                <w:noProof/>
                <w:webHidden/>
              </w:rPr>
              <w:instrText xml:space="preserve"> PAGEREF _Toc453068504 \h </w:instrText>
            </w:r>
            <w:r w:rsidR="009A42D4">
              <w:rPr>
                <w:noProof/>
                <w:webHidden/>
              </w:rPr>
            </w:r>
            <w:r w:rsidR="009A42D4">
              <w:rPr>
                <w:noProof/>
                <w:webHidden/>
              </w:rPr>
              <w:fldChar w:fldCharType="separate"/>
            </w:r>
            <w:r w:rsidR="007A22E8">
              <w:rPr>
                <w:noProof/>
                <w:webHidden/>
              </w:rPr>
              <w:t>39</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505" w:history="1">
            <w:r w:rsidR="009A42D4" w:rsidRPr="007553D6">
              <w:rPr>
                <w:rStyle w:val="Hyperlink"/>
                <w:noProof/>
              </w:rPr>
              <w:t>Clinical Questions</w:t>
            </w:r>
            <w:r w:rsidR="009A42D4">
              <w:rPr>
                <w:noProof/>
                <w:webHidden/>
              </w:rPr>
              <w:tab/>
            </w:r>
            <w:r w:rsidR="009A42D4">
              <w:rPr>
                <w:noProof/>
                <w:webHidden/>
              </w:rPr>
              <w:fldChar w:fldCharType="begin"/>
            </w:r>
            <w:r w:rsidR="009A42D4">
              <w:rPr>
                <w:noProof/>
                <w:webHidden/>
              </w:rPr>
              <w:instrText xml:space="preserve"> PAGEREF _Toc453068505 \h </w:instrText>
            </w:r>
            <w:r w:rsidR="009A42D4">
              <w:rPr>
                <w:noProof/>
                <w:webHidden/>
              </w:rPr>
            </w:r>
            <w:r w:rsidR="009A42D4">
              <w:rPr>
                <w:noProof/>
                <w:webHidden/>
              </w:rPr>
              <w:fldChar w:fldCharType="separate"/>
            </w:r>
            <w:r w:rsidR="007A22E8">
              <w:rPr>
                <w:noProof/>
                <w:webHidden/>
              </w:rPr>
              <w:t>40</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506" w:history="1">
            <w:r w:rsidR="009A42D4" w:rsidRPr="007553D6">
              <w:rPr>
                <w:rStyle w:val="Hyperlink"/>
                <w:noProof/>
              </w:rPr>
              <w:t>Second Round Evaluation of clinical data submitted in response to questions</w:t>
            </w:r>
            <w:r w:rsidR="009A42D4">
              <w:rPr>
                <w:noProof/>
                <w:webHidden/>
              </w:rPr>
              <w:tab/>
            </w:r>
            <w:r w:rsidR="009A42D4">
              <w:rPr>
                <w:noProof/>
                <w:webHidden/>
              </w:rPr>
              <w:fldChar w:fldCharType="begin"/>
            </w:r>
            <w:r w:rsidR="009A42D4">
              <w:rPr>
                <w:noProof/>
                <w:webHidden/>
              </w:rPr>
              <w:instrText xml:space="preserve"> PAGEREF _Toc453068506 \h </w:instrText>
            </w:r>
            <w:r w:rsidR="009A42D4">
              <w:rPr>
                <w:noProof/>
                <w:webHidden/>
              </w:rPr>
            </w:r>
            <w:r w:rsidR="009A42D4">
              <w:rPr>
                <w:noProof/>
                <w:webHidden/>
              </w:rPr>
              <w:fldChar w:fldCharType="separate"/>
            </w:r>
            <w:r w:rsidR="007A22E8">
              <w:rPr>
                <w:noProof/>
                <w:webHidden/>
              </w:rPr>
              <w:t>40</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507" w:history="1">
            <w:r w:rsidR="009A42D4" w:rsidRPr="007553D6">
              <w:rPr>
                <w:rStyle w:val="Hyperlink"/>
                <w:noProof/>
              </w:rPr>
              <w:t>Second Round Benefit-Risk Assessment</w:t>
            </w:r>
            <w:r w:rsidR="009A42D4">
              <w:rPr>
                <w:noProof/>
                <w:webHidden/>
              </w:rPr>
              <w:tab/>
            </w:r>
            <w:r w:rsidR="009A42D4">
              <w:rPr>
                <w:noProof/>
                <w:webHidden/>
              </w:rPr>
              <w:fldChar w:fldCharType="begin"/>
            </w:r>
            <w:r w:rsidR="009A42D4">
              <w:rPr>
                <w:noProof/>
                <w:webHidden/>
              </w:rPr>
              <w:instrText xml:space="preserve"> PAGEREF _Toc453068507 \h </w:instrText>
            </w:r>
            <w:r w:rsidR="009A42D4">
              <w:rPr>
                <w:noProof/>
                <w:webHidden/>
              </w:rPr>
            </w:r>
            <w:r w:rsidR="009A42D4">
              <w:rPr>
                <w:noProof/>
                <w:webHidden/>
              </w:rPr>
              <w:fldChar w:fldCharType="separate"/>
            </w:r>
            <w:r w:rsidR="007A22E8">
              <w:rPr>
                <w:noProof/>
                <w:webHidden/>
              </w:rPr>
              <w:t>42</w:t>
            </w:r>
            <w:r w:rsidR="009A42D4">
              <w:rPr>
                <w:noProof/>
                <w:webHidden/>
              </w:rPr>
              <w:fldChar w:fldCharType="end"/>
            </w:r>
          </w:hyperlink>
        </w:p>
        <w:p w:rsidR="009A42D4" w:rsidRDefault="00DA26F9">
          <w:pPr>
            <w:pStyle w:val="TOC2"/>
            <w:rPr>
              <w:rFonts w:asciiTheme="minorHAnsi" w:eastAsiaTheme="minorEastAsia" w:hAnsiTheme="minorHAnsi" w:cstheme="minorBidi"/>
              <w:b w:val="0"/>
              <w:noProof/>
              <w:sz w:val="22"/>
              <w:lang w:eastAsia="en-AU"/>
            </w:rPr>
          </w:pPr>
          <w:hyperlink w:anchor="_Toc453068508" w:history="1">
            <w:r w:rsidR="009A42D4" w:rsidRPr="007553D6">
              <w:rPr>
                <w:rStyle w:val="Hyperlink"/>
                <w:noProof/>
              </w:rPr>
              <w:t>V. Pharmacovigilance findings</w:t>
            </w:r>
            <w:r w:rsidR="009A42D4">
              <w:rPr>
                <w:noProof/>
                <w:webHidden/>
              </w:rPr>
              <w:tab/>
            </w:r>
            <w:r w:rsidR="009A42D4">
              <w:rPr>
                <w:noProof/>
                <w:webHidden/>
              </w:rPr>
              <w:fldChar w:fldCharType="begin"/>
            </w:r>
            <w:r w:rsidR="009A42D4">
              <w:rPr>
                <w:noProof/>
                <w:webHidden/>
              </w:rPr>
              <w:instrText xml:space="preserve"> PAGEREF _Toc453068508 \h </w:instrText>
            </w:r>
            <w:r w:rsidR="009A42D4">
              <w:rPr>
                <w:noProof/>
                <w:webHidden/>
              </w:rPr>
            </w:r>
            <w:r w:rsidR="009A42D4">
              <w:rPr>
                <w:noProof/>
                <w:webHidden/>
              </w:rPr>
              <w:fldChar w:fldCharType="separate"/>
            </w:r>
            <w:r w:rsidR="007A22E8">
              <w:rPr>
                <w:noProof/>
                <w:webHidden/>
              </w:rPr>
              <w:t>42</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509" w:history="1">
            <w:r w:rsidR="009A42D4" w:rsidRPr="007553D6">
              <w:rPr>
                <w:rStyle w:val="Hyperlink"/>
                <w:noProof/>
                <w:lang w:eastAsia="en-AU"/>
              </w:rPr>
              <w:t>Risk management plan</w:t>
            </w:r>
            <w:r w:rsidR="009A42D4">
              <w:rPr>
                <w:noProof/>
                <w:webHidden/>
              </w:rPr>
              <w:tab/>
            </w:r>
            <w:r w:rsidR="009A42D4">
              <w:rPr>
                <w:noProof/>
                <w:webHidden/>
              </w:rPr>
              <w:fldChar w:fldCharType="begin"/>
            </w:r>
            <w:r w:rsidR="009A42D4">
              <w:rPr>
                <w:noProof/>
                <w:webHidden/>
              </w:rPr>
              <w:instrText xml:space="preserve"> PAGEREF _Toc453068509 \h </w:instrText>
            </w:r>
            <w:r w:rsidR="009A42D4">
              <w:rPr>
                <w:noProof/>
                <w:webHidden/>
              </w:rPr>
            </w:r>
            <w:r w:rsidR="009A42D4">
              <w:rPr>
                <w:noProof/>
                <w:webHidden/>
              </w:rPr>
              <w:fldChar w:fldCharType="separate"/>
            </w:r>
            <w:r w:rsidR="007A22E8">
              <w:rPr>
                <w:noProof/>
                <w:webHidden/>
              </w:rPr>
              <w:t>42</w:t>
            </w:r>
            <w:r w:rsidR="009A42D4">
              <w:rPr>
                <w:noProof/>
                <w:webHidden/>
              </w:rPr>
              <w:fldChar w:fldCharType="end"/>
            </w:r>
          </w:hyperlink>
        </w:p>
        <w:p w:rsidR="009A42D4" w:rsidRDefault="00DA26F9">
          <w:pPr>
            <w:pStyle w:val="TOC2"/>
            <w:rPr>
              <w:rFonts w:asciiTheme="minorHAnsi" w:eastAsiaTheme="minorEastAsia" w:hAnsiTheme="minorHAnsi" w:cstheme="minorBidi"/>
              <w:b w:val="0"/>
              <w:noProof/>
              <w:sz w:val="22"/>
              <w:lang w:eastAsia="en-AU"/>
            </w:rPr>
          </w:pPr>
          <w:hyperlink w:anchor="_Toc453068510" w:history="1">
            <w:r w:rsidR="009A42D4" w:rsidRPr="007553D6">
              <w:rPr>
                <w:rStyle w:val="Hyperlink"/>
                <w:noProof/>
              </w:rPr>
              <w:t>VI. Overall conclusion and risk/benefit assessment</w:t>
            </w:r>
            <w:r w:rsidR="009A42D4">
              <w:rPr>
                <w:noProof/>
                <w:webHidden/>
              </w:rPr>
              <w:tab/>
            </w:r>
            <w:r w:rsidR="009A42D4">
              <w:rPr>
                <w:noProof/>
                <w:webHidden/>
              </w:rPr>
              <w:fldChar w:fldCharType="begin"/>
            </w:r>
            <w:r w:rsidR="009A42D4">
              <w:rPr>
                <w:noProof/>
                <w:webHidden/>
              </w:rPr>
              <w:instrText xml:space="preserve"> PAGEREF _Toc453068510 \h </w:instrText>
            </w:r>
            <w:r w:rsidR="009A42D4">
              <w:rPr>
                <w:noProof/>
                <w:webHidden/>
              </w:rPr>
            </w:r>
            <w:r w:rsidR="009A42D4">
              <w:rPr>
                <w:noProof/>
                <w:webHidden/>
              </w:rPr>
              <w:fldChar w:fldCharType="separate"/>
            </w:r>
            <w:r w:rsidR="007A22E8">
              <w:rPr>
                <w:noProof/>
                <w:webHidden/>
              </w:rPr>
              <w:t>52</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511" w:history="1">
            <w:r w:rsidR="009A42D4" w:rsidRPr="007553D6">
              <w:rPr>
                <w:rStyle w:val="Hyperlink"/>
                <w:noProof/>
              </w:rPr>
              <w:t>Background</w:t>
            </w:r>
            <w:r w:rsidR="009A42D4">
              <w:rPr>
                <w:noProof/>
                <w:webHidden/>
              </w:rPr>
              <w:tab/>
            </w:r>
            <w:r w:rsidR="009A42D4">
              <w:rPr>
                <w:noProof/>
                <w:webHidden/>
              </w:rPr>
              <w:fldChar w:fldCharType="begin"/>
            </w:r>
            <w:r w:rsidR="009A42D4">
              <w:rPr>
                <w:noProof/>
                <w:webHidden/>
              </w:rPr>
              <w:instrText xml:space="preserve"> PAGEREF _Toc453068511 \h </w:instrText>
            </w:r>
            <w:r w:rsidR="009A42D4">
              <w:rPr>
                <w:noProof/>
                <w:webHidden/>
              </w:rPr>
            </w:r>
            <w:r w:rsidR="009A42D4">
              <w:rPr>
                <w:noProof/>
                <w:webHidden/>
              </w:rPr>
              <w:fldChar w:fldCharType="separate"/>
            </w:r>
            <w:r w:rsidR="007A22E8">
              <w:rPr>
                <w:noProof/>
                <w:webHidden/>
              </w:rPr>
              <w:t>52</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512" w:history="1">
            <w:r w:rsidR="009A42D4" w:rsidRPr="007553D6">
              <w:rPr>
                <w:rStyle w:val="Hyperlink"/>
                <w:noProof/>
              </w:rPr>
              <w:t>Quality</w:t>
            </w:r>
            <w:r w:rsidR="009A42D4">
              <w:rPr>
                <w:noProof/>
                <w:webHidden/>
              </w:rPr>
              <w:tab/>
            </w:r>
            <w:r w:rsidR="009A42D4">
              <w:rPr>
                <w:noProof/>
                <w:webHidden/>
              </w:rPr>
              <w:fldChar w:fldCharType="begin"/>
            </w:r>
            <w:r w:rsidR="009A42D4">
              <w:rPr>
                <w:noProof/>
                <w:webHidden/>
              </w:rPr>
              <w:instrText xml:space="preserve"> PAGEREF _Toc453068512 \h </w:instrText>
            </w:r>
            <w:r w:rsidR="009A42D4">
              <w:rPr>
                <w:noProof/>
                <w:webHidden/>
              </w:rPr>
            </w:r>
            <w:r w:rsidR="009A42D4">
              <w:rPr>
                <w:noProof/>
                <w:webHidden/>
              </w:rPr>
              <w:fldChar w:fldCharType="separate"/>
            </w:r>
            <w:r w:rsidR="007A22E8">
              <w:rPr>
                <w:noProof/>
                <w:webHidden/>
              </w:rPr>
              <w:t>52</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513" w:history="1">
            <w:r w:rsidR="009A42D4" w:rsidRPr="007553D6">
              <w:rPr>
                <w:rStyle w:val="Hyperlink"/>
                <w:noProof/>
              </w:rPr>
              <w:t>Nonclinical</w:t>
            </w:r>
            <w:r w:rsidR="009A42D4">
              <w:rPr>
                <w:noProof/>
                <w:webHidden/>
              </w:rPr>
              <w:tab/>
            </w:r>
            <w:r w:rsidR="009A42D4">
              <w:rPr>
                <w:noProof/>
                <w:webHidden/>
              </w:rPr>
              <w:fldChar w:fldCharType="begin"/>
            </w:r>
            <w:r w:rsidR="009A42D4">
              <w:rPr>
                <w:noProof/>
                <w:webHidden/>
              </w:rPr>
              <w:instrText xml:space="preserve"> PAGEREF _Toc453068513 \h </w:instrText>
            </w:r>
            <w:r w:rsidR="009A42D4">
              <w:rPr>
                <w:noProof/>
                <w:webHidden/>
              </w:rPr>
            </w:r>
            <w:r w:rsidR="009A42D4">
              <w:rPr>
                <w:noProof/>
                <w:webHidden/>
              </w:rPr>
              <w:fldChar w:fldCharType="separate"/>
            </w:r>
            <w:r w:rsidR="007A22E8">
              <w:rPr>
                <w:noProof/>
                <w:webHidden/>
              </w:rPr>
              <w:t>53</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514" w:history="1">
            <w:r w:rsidR="009A42D4" w:rsidRPr="007553D6">
              <w:rPr>
                <w:rStyle w:val="Hyperlink"/>
                <w:noProof/>
              </w:rPr>
              <w:t>Clinical</w:t>
            </w:r>
            <w:r w:rsidR="009A42D4">
              <w:rPr>
                <w:noProof/>
                <w:webHidden/>
              </w:rPr>
              <w:tab/>
            </w:r>
            <w:r w:rsidR="009A42D4">
              <w:rPr>
                <w:noProof/>
                <w:webHidden/>
              </w:rPr>
              <w:fldChar w:fldCharType="begin"/>
            </w:r>
            <w:r w:rsidR="009A42D4">
              <w:rPr>
                <w:noProof/>
                <w:webHidden/>
              </w:rPr>
              <w:instrText xml:space="preserve"> PAGEREF _Toc453068514 \h </w:instrText>
            </w:r>
            <w:r w:rsidR="009A42D4">
              <w:rPr>
                <w:noProof/>
                <w:webHidden/>
              </w:rPr>
            </w:r>
            <w:r w:rsidR="009A42D4">
              <w:rPr>
                <w:noProof/>
                <w:webHidden/>
              </w:rPr>
              <w:fldChar w:fldCharType="separate"/>
            </w:r>
            <w:r w:rsidR="007A22E8">
              <w:rPr>
                <w:noProof/>
                <w:webHidden/>
              </w:rPr>
              <w:t>54</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515" w:history="1">
            <w:r w:rsidR="009A42D4" w:rsidRPr="007553D6">
              <w:rPr>
                <w:rStyle w:val="Hyperlink"/>
                <w:noProof/>
                <w:lang w:eastAsia="en-AU"/>
              </w:rPr>
              <w:t>Risk management plan</w:t>
            </w:r>
            <w:r w:rsidR="009A42D4">
              <w:rPr>
                <w:noProof/>
                <w:webHidden/>
              </w:rPr>
              <w:tab/>
            </w:r>
            <w:r w:rsidR="009A42D4">
              <w:rPr>
                <w:noProof/>
                <w:webHidden/>
              </w:rPr>
              <w:fldChar w:fldCharType="begin"/>
            </w:r>
            <w:r w:rsidR="009A42D4">
              <w:rPr>
                <w:noProof/>
                <w:webHidden/>
              </w:rPr>
              <w:instrText xml:space="preserve"> PAGEREF _Toc453068515 \h </w:instrText>
            </w:r>
            <w:r w:rsidR="009A42D4">
              <w:rPr>
                <w:noProof/>
                <w:webHidden/>
              </w:rPr>
            </w:r>
            <w:r w:rsidR="009A42D4">
              <w:rPr>
                <w:noProof/>
                <w:webHidden/>
              </w:rPr>
              <w:fldChar w:fldCharType="separate"/>
            </w:r>
            <w:r w:rsidR="007A22E8">
              <w:rPr>
                <w:noProof/>
                <w:webHidden/>
              </w:rPr>
              <w:t>61</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516" w:history="1">
            <w:r w:rsidR="009A42D4" w:rsidRPr="007553D6">
              <w:rPr>
                <w:rStyle w:val="Hyperlink"/>
                <w:noProof/>
              </w:rPr>
              <w:t>Risk-benefit analysis</w:t>
            </w:r>
            <w:r w:rsidR="009A42D4">
              <w:rPr>
                <w:noProof/>
                <w:webHidden/>
              </w:rPr>
              <w:tab/>
            </w:r>
            <w:r w:rsidR="009A42D4">
              <w:rPr>
                <w:noProof/>
                <w:webHidden/>
              </w:rPr>
              <w:fldChar w:fldCharType="begin"/>
            </w:r>
            <w:r w:rsidR="009A42D4">
              <w:rPr>
                <w:noProof/>
                <w:webHidden/>
              </w:rPr>
              <w:instrText xml:space="preserve"> PAGEREF _Toc453068516 \h </w:instrText>
            </w:r>
            <w:r w:rsidR="009A42D4">
              <w:rPr>
                <w:noProof/>
                <w:webHidden/>
              </w:rPr>
            </w:r>
            <w:r w:rsidR="009A42D4">
              <w:rPr>
                <w:noProof/>
                <w:webHidden/>
              </w:rPr>
              <w:fldChar w:fldCharType="separate"/>
            </w:r>
            <w:r w:rsidR="007A22E8">
              <w:rPr>
                <w:noProof/>
                <w:webHidden/>
              </w:rPr>
              <w:t>62</w:t>
            </w:r>
            <w:r w:rsidR="009A42D4">
              <w:rPr>
                <w:noProof/>
                <w:webHidden/>
              </w:rPr>
              <w:fldChar w:fldCharType="end"/>
            </w:r>
          </w:hyperlink>
        </w:p>
        <w:p w:rsidR="009A42D4" w:rsidRDefault="00DA26F9">
          <w:pPr>
            <w:pStyle w:val="TOC3"/>
            <w:rPr>
              <w:rFonts w:asciiTheme="minorHAnsi" w:eastAsiaTheme="minorEastAsia" w:hAnsiTheme="minorHAnsi" w:cstheme="minorBidi"/>
              <w:noProof/>
              <w:lang w:eastAsia="en-AU"/>
            </w:rPr>
          </w:pPr>
          <w:hyperlink w:anchor="_Toc453068517" w:history="1">
            <w:r w:rsidR="009A42D4" w:rsidRPr="007553D6">
              <w:rPr>
                <w:rStyle w:val="Hyperlink"/>
                <w:noProof/>
              </w:rPr>
              <w:t>Outcome</w:t>
            </w:r>
            <w:r w:rsidR="009A42D4">
              <w:rPr>
                <w:noProof/>
                <w:webHidden/>
              </w:rPr>
              <w:tab/>
            </w:r>
            <w:r w:rsidR="009A42D4">
              <w:rPr>
                <w:noProof/>
                <w:webHidden/>
              </w:rPr>
              <w:fldChar w:fldCharType="begin"/>
            </w:r>
            <w:r w:rsidR="009A42D4">
              <w:rPr>
                <w:noProof/>
                <w:webHidden/>
              </w:rPr>
              <w:instrText xml:space="preserve"> PAGEREF _Toc453068517 \h </w:instrText>
            </w:r>
            <w:r w:rsidR="009A42D4">
              <w:rPr>
                <w:noProof/>
                <w:webHidden/>
              </w:rPr>
            </w:r>
            <w:r w:rsidR="009A42D4">
              <w:rPr>
                <w:noProof/>
                <w:webHidden/>
              </w:rPr>
              <w:fldChar w:fldCharType="separate"/>
            </w:r>
            <w:r w:rsidR="007A22E8">
              <w:rPr>
                <w:noProof/>
                <w:webHidden/>
              </w:rPr>
              <w:t>69</w:t>
            </w:r>
            <w:r w:rsidR="009A42D4">
              <w:rPr>
                <w:noProof/>
                <w:webHidden/>
              </w:rPr>
              <w:fldChar w:fldCharType="end"/>
            </w:r>
          </w:hyperlink>
        </w:p>
        <w:p w:rsidR="009A42D4" w:rsidRDefault="00DA26F9">
          <w:pPr>
            <w:pStyle w:val="TOC2"/>
            <w:rPr>
              <w:rFonts w:asciiTheme="minorHAnsi" w:eastAsiaTheme="minorEastAsia" w:hAnsiTheme="minorHAnsi" w:cstheme="minorBidi"/>
              <w:b w:val="0"/>
              <w:noProof/>
              <w:sz w:val="22"/>
              <w:lang w:eastAsia="en-AU"/>
            </w:rPr>
          </w:pPr>
          <w:hyperlink w:anchor="_Toc453068518" w:history="1">
            <w:r w:rsidR="009A42D4" w:rsidRPr="007553D6">
              <w:rPr>
                <w:rStyle w:val="Hyperlink"/>
                <w:noProof/>
              </w:rPr>
              <w:t>Attachment 1. Product Information</w:t>
            </w:r>
            <w:r w:rsidR="009A42D4">
              <w:rPr>
                <w:noProof/>
                <w:webHidden/>
              </w:rPr>
              <w:tab/>
            </w:r>
            <w:r w:rsidR="009A42D4">
              <w:rPr>
                <w:noProof/>
                <w:webHidden/>
              </w:rPr>
              <w:fldChar w:fldCharType="begin"/>
            </w:r>
            <w:r w:rsidR="009A42D4">
              <w:rPr>
                <w:noProof/>
                <w:webHidden/>
              </w:rPr>
              <w:instrText xml:space="preserve"> PAGEREF _Toc453068518 \h </w:instrText>
            </w:r>
            <w:r w:rsidR="009A42D4">
              <w:rPr>
                <w:noProof/>
                <w:webHidden/>
              </w:rPr>
            </w:r>
            <w:r w:rsidR="009A42D4">
              <w:rPr>
                <w:noProof/>
                <w:webHidden/>
              </w:rPr>
              <w:fldChar w:fldCharType="separate"/>
            </w:r>
            <w:r w:rsidR="007A22E8">
              <w:rPr>
                <w:noProof/>
                <w:webHidden/>
              </w:rPr>
              <w:t>69</w:t>
            </w:r>
            <w:r w:rsidR="009A42D4">
              <w:rPr>
                <w:noProof/>
                <w:webHidden/>
              </w:rPr>
              <w:fldChar w:fldCharType="end"/>
            </w:r>
          </w:hyperlink>
        </w:p>
        <w:p w:rsidR="009A42D4" w:rsidRDefault="00DA26F9">
          <w:pPr>
            <w:pStyle w:val="TOC2"/>
            <w:rPr>
              <w:rFonts w:asciiTheme="minorHAnsi" w:eastAsiaTheme="minorEastAsia" w:hAnsiTheme="minorHAnsi" w:cstheme="minorBidi"/>
              <w:b w:val="0"/>
              <w:noProof/>
              <w:sz w:val="22"/>
              <w:lang w:eastAsia="en-AU"/>
            </w:rPr>
          </w:pPr>
          <w:hyperlink w:anchor="_Toc453068519" w:history="1">
            <w:r w:rsidR="009A42D4" w:rsidRPr="007553D6">
              <w:rPr>
                <w:rStyle w:val="Hyperlink"/>
                <w:noProof/>
                <w:lang w:eastAsia="en-AU"/>
              </w:rPr>
              <w:t>Attachment 2. Extract from the Clinical Evaluation Report</w:t>
            </w:r>
            <w:r w:rsidR="009A42D4">
              <w:rPr>
                <w:noProof/>
                <w:webHidden/>
              </w:rPr>
              <w:tab/>
            </w:r>
            <w:r w:rsidR="009A42D4">
              <w:rPr>
                <w:noProof/>
                <w:webHidden/>
              </w:rPr>
              <w:fldChar w:fldCharType="begin"/>
            </w:r>
            <w:r w:rsidR="009A42D4">
              <w:rPr>
                <w:noProof/>
                <w:webHidden/>
              </w:rPr>
              <w:instrText xml:space="preserve"> PAGEREF _Toc453068519 \h </w:instrText>
            </w:r>
            <w:r w:rsidR="009A42D4">
              <w:rPr>
                <w:noProof/>
                <w:webHidden/>
              </w:rPr>
            </w:r>
            <w:r w:rsidR="009A42D4">
              <w:rPr>
                <w:noProof/>
                <w:webHidden/>
              </w:rPr>
              <w:fldChar w:fldCharType="separate"/>
            </w:r>
            <w:r w:rsidR="007A22E8">
              <w:rPr>
                <w:noProof/>
                <w:webHidden/>
              </w:rPr>
              <w:t>69</w:t>
            </w:r>
            <w:r w:rsidR="009A42D4">
              <w:rPr>
                <w:noProof/>
                <w:webHidden/>
              </w:rPr>
              <w:fldChar w:fldCharType="end"/>
            </w:r>
          </w:hyperlink>
        </w:p>
        <w:p w:rsidR="003A7F6C" w:rsidRPr="00B811C6" w:rsidRDefault="00DB6124" w:rsidP="00B811C6">
          <w:pPr>
            <w:pStyle w:val="TOC2"/>
          </w:pPr>
          <w:r>
            <w:fldChar w:fldCharType="end"/>
          </w:r>
        </w:p>
      </w:sdtContent>
    </w:sdt>
    <w:bookmarkStart w:id="2"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3" w:name="_Toc351716269"/>
      <w:bookmarkStart w:id="4" w:name="_Toc351718881"/>
      <w:bookmarkStart w:id="5" w:name="_Toc355338616"/>
      <w:bookmarkStart w:id="6" w:name="_Toc356306144"/>
      <w:bookmarkStart w:id="7" w:name="_Toc453068475"/>
      <w:r>
        <w:lastRenderedPageBreak/>
        <w:t>Common</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830"/>
      </w:tblGrid>
      <w:tr w:rsidR="009A42D4"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9A42D4" w:rsidRPr="00FD119B" w:rsidRDefault="009A42D4" w:rsidP="00FD119B">
            <w:r w:rsidRPr="00FD119B">
              <w:t>Abbreviation</w:t>
            </w:r>
          </w:p>
        </w:tc>
        <w:tc>
          <w:tcPr>
            <w:tcW w:w="6911" w:type="dxa"/>
          </w:tcPr>
          <w:p w:rsidR="009A42D4" w:rsidRPr="00FD119B" w:rsidRDefault="009A42D4" w:rsidP="00FD119B">
            <w:r w:rsidRPr="00FD119B">
              <w:t>Meaning</w:t>
            </w:r>
          </w:p>
        </w:tc>
      </w:tr>
      <w:tr w:rsidR="006E7E9F" w:rsidRPr="00FD119B" w:rsidTr="00FD119B">
        <w:tc>
          <w:tcPr>
            <w:tcW w:w="1809" w:type="dxa"/>
          </w:tcPr>
          <w:p w:rsidR="006E7E9F" w:rsidRDefault="006E7E9F" w:rsidP="00A83E46">
            <w:r>
              <w:t>ACPM</w:t>
            </w:r>
          </w:p>
        </w:tc>
        <w:tc>
          <w:tcPr>
            <w:tcW w:w="6911" w:type="dxa"/>
          </w:tcPr>
          <w:p w:rsidR="006E7E9F" w:rsidRDefault="006E7E9F" w:rsidP="00A83E46">
            <w:r>
              <w:t>Advisory Committee on Prescription Medicines</w:t>
            </w:r>
          </w:p>
        </w:tc>
      </w:tr>
      <w:tr w:rsidR="009A42D4" w:rsidRPr="00FD119B" w:rsidTr="00FD119B">
        <w:tc>
          <w:tcPr>
            <w:tcW w:w="1809" w:type="dxa"/>
          </w:tcPr>
          <w:p w:rsidR="009A42D4" w:rsidRDefault="009A42D4" w:rsidP="00A83E46">
            <w:r>
              <w:t>ADR</w:t>
            </w:r>
          </w:p>
        </w:tc>
        <w:tc>
          <w:tcPr>
            <w:tcW w:w="6911" w:type="dxa"/>
          </w:tcPr>
          <w:p w:rsidR="009A42D4" w:rsidRDefault="009A42D4" w:rsidP="00A83E46">
            <w:r>
              <w:t>Adverse Drug Reaction</w:t>
            </w:r>
          </w:p>
        </w:tc>
      </w:tr>
      <w:tr w:rsidR="009A42D4" w:rsidRPr="00FD119B" w:rsidTr="00FD119B">
        <w:tc>
          <w:tcPr>
            <w:tcW w:w="1809" w:type="dxa"/>
          </w:tcPr>
          <w:p w:rsidR="009A42D4" w:rsidRDefault="009A42D4" w:rsidP="00A83E46">
            <w:r>
              <w:t>AE</w:t>
            </w:r>
          </w:p>
        </w:tc>
        <w:tc>
          <w:tcPr>
            <w:tcW w:w="6911" w:type="dxa"/>
          </w:tcPr>
          <w:p w:rsidR="009A42D4" w:rsidRPr="007C37EF" w:rsidRDefault="009A42D4" w:rsidP="00A83E46">
            <w:r>
              <w:t>Adverse Event</w:t>
            </w:r>
          </w:p>
        </w:tc>
      </w:tr>
      <w:tr w:rsidR="009A42D4" w:rsidRPr="00FD119B" w:rsidTr="00FD119B">
        <w:tc>
          <w:tcPr>
            <w:tcW w:w="1809" w:type="dxa"/>
          </w:tcPr>
          <w:p w:rsidR="009A42D4" w:rsidRDefault="009A42D4" w:rsidP="00A83E46">
            <w:r>
              <w:t>ALP</w:t>
            </w:r>
          </w:p>
        </w:tc>
        <w:tc>
          <w:tcPr>
            <w:tcW w:w="6911" w:type="dxa"/>
          </w:tcPr>
          <w:p w:rsidR="009A42D4" w:rsidRPr="00A5386A" w:rsidRDefault="009A42D4" w:rsidP="00A83E46">
            <w:r>
              <w:t>Alkaline phosphatase</w:t>
            </w:r>
          </w:p>
        </w:tc>
      </w:tr>
      <w:tr w:rsidR="009A42D4" w:rsidRPr="00FD119B" w:rsidTr="00FD119B">
        <w:tc>
          <w:tcPr>
            <w:tcW w:w="1809" w:type="dxa"/>
          </w:tcPr>
          <w:p w:rsidR="009A42D4" w:rsidRDefault="009A42D4" w:rsidP="00A83E46">
            <w:r>
              <w:t>ALT</w:t>
            </w:r>
          </w:p>
        </w:tc>
        <w:tc>
          <w:tcPr>
            <w:tcW w:w="6911" w:type="dxa"/>
          </w:tcPr>
          <w:p w:rsidR="009A42D4" w:rsidRDefault="009A42D4" w:rsidP="00A83E46">
            <w:r w:rsidRPr="00A5386A">
              <w:t>Alanine transaminase</w:t>
            </w:r>
          </w:p>
        </w:tc>
      </w:tr>
      <w:tr w:rsidR="009A42D4" w:rsidRPr="00FD119B" w:rsidTr="00FD119B">
        <w:tc>
          <w:tcPr>
            <w:tcW w:w="1809" w:type="dxa"/>
          </w:tcPr>
          <w:p w:rsidR="009A42D4" w:rsidRDefault="009A42D4" w:rsidP="00A83E46">
            <w:r>
              <w:t>APTT</w:t>
            </w:r>
          </w:p>
        </w:tc>
        <w:tc>
          <w:tcPr>
            <w:tcW w:w="6911" w:type="dxa"/>
          </w:tcPr>
          <w:p w:rsidR="009A42D4" w:rsidRDefault="009A42D4" w:rsidP="00A83E46">
            <w:r>
              <w:t>Activated Partial Thromboplastin Time</w:t>
            </w:r>
          </w:p>
        </w:tc>
      </w:tr>
      <w:tr w:rsidR="006E7E9F" w:rsidRPr="00FD119B" w:rsidTr="00FD119B">
        <w:tc>
          <w:tcPr>
            <w:tcW w:w="1809" w:type="dxa"/>
          </w:tcPr>
          <w:p w:rsidR="006E7E9F" w:rsidRDefault="006E7E9F" w:rsidP="00A83E46">
            <w:r>
              <w:t>ASA</w:t>
            </w:r>
          </w:p>
        </w:tc>
        <w:tc>
          <w:tcPr>
            <w:tcW w:w="6911" w:type="dxa"/>
          </w:tcPr>
          <w:p w:rsidR="006E7E9F" w:rsidRDefault="006E7E9F" w:rsidP="00A83E46">
            <w:r>
              <w:t>Australian</w:t>
            </w:r>
            <w:r>
              <w:noBreakHyphen/>
              <w:t>Specific Annex</w:t>
            </w:r>
          </w:p>
        </w:tc>
      </w:tr>
      <w:tr w:rsidR="009A42D4" w:rsidRPr="00FD119B" w:rsidTr="00FD119B">
        <w:tc>
          <w:tcPr>
            <w:tcW w:w="1809" w:type="dxa"/>
          </w:tcPr>
          <w:p w:rsidR="009A42D4" w:rsidRDefault="009A42D4" w:rsidP="00A83E46">
            <w:r>
              <w:t>AST</w:t>
            </w:r>
          </w:p>
        </w:tc>
        <w:tc>
          <w:tcPr>
            <w:tcW w:w="6911" w:type="dxa"/>
          </w:tcPr>
          <w:p w:rsidR="009A42D4" w:rsidRDefault="009A42D4" w:rsidP="00A83E46">
            <w:r w:rsidRPr="00A5386A">
              <w:t>Aspartate transaminase</w:t>
            </w:r>
          </w:p>
        </w:tc>
      </w:tr>
      <w:tr w:rsidR="009A42D4" w:rsidRPr="00FD119B" w:rsidTr="00FD119B">
        <w:tc>
          <w:tcPr>
            <w:tcW w:w="1809" w:type="dxa"/>
          </w:tcPr>
          <w:p w:rsidR="009A42D4" w:rsidRDefault="009A42D4" w:rsidP="00A83E46">
            <w:r>
              <w:t>ATC</w:t>
            </w:r>
          </w:p>
        </w:tc>
        <w:tc>
          <w:tcPr>
            <w:tcW w:w="6911" w:type="dxa"/>
          </w:tcPr>
          <w:p w:rsidR="009A42D4" w:rsidRDefault="009A42D4" w:rsidP="00A83E46">
            <w:r w:rsidRPr="00304D17">
              <w:t>Anatomical Therapeutic Chemical Classification</w:t>
            </w:r>
          </w:p>
        </w:tc>
      </w:tr>
      <w:tr w:rsidR="009A42D4" w:rsidRPr="00FD119B" w:rsidTr="00526DBA">
        <w:trPr>
          <w:trHeight w:val="550"/>
        </w:trPr>
        <w:tc>
          <w:tcPr>
            <w:tcW w:w="1809" w:type="dxa"/>
          </w:tcPr>
          <w:p w:rsidR="009A42D4" w:rsidRDefault="009A42D4" w:rsidP="00A83E46">
            <w:r>
              <w:t>AUC</w:t>
            </w:r>
          </w:p>
        </w:tc>
        <w:tc>
          <w:tcPr>
            <w:tcW w:w="6911" w:type="dxa"/>
          </w:tcPr>
          <w:p w:rsidR="009A42D4" w:rsidRDefault="009A42D4" w:rsidP="00A83E46">
            <w:r>
              <w:t>Area Under the Curve</w:t>
            </w:r>
          </w:p>
        </w:tc>
      </w:tr>
      <w:tr w:rsidR="00B01CB1" w:rsidRPr="00FD119B" w:rsidTr="00526DBA">
        <w:trPr>
          <w:trHeight w:val="550"/>
        </w:trPr>
        <w:tc>
          <w:tcPr>
            <w:tcW w:w="1809" w:type="dxa"/>
          </w:tcPr>
          <w:p w:rsidR="00B01CB1" w:rsidRDefault="00B01CB1" w:rsidP="00A83E46">
            <w:r w:rsidRPr="00B01CB1">
              <w:t>AUC</w:t>
            </w:r>
            <w:r w:rsidRPr="00B01CB1">
              <w:rPr>
                <w:vertAlign w:val="subscript"/>
              </w:rPr>
              <w:t>0–24 h</w:t>
            </w:r>
          </w:p>
        </w:tc>
        <w:tc>
          <w:tcPr>
            <w:tcW w:w="6911" w:type="dxa"/>
          </w:tcPr>
          <w:p w:rsidR="00B01CB1" w:rsidRDefault="00B01CB1" w:rsidP="00A83E46">
            <w:r>
              <w:t>Area Under the Curve (0 to 24 hours)</w:t>
            </w:r>
          </w:p>
        </w:tc>
      </w:tr>
      <w:tr w:rsidR="009A42D4" w:rsidRPr="00FD119B" w:rsidTr="00FD119B">
        <w:tc>
          <w:tcPr>
            <w:tcW w:w="1809" w:type="dxa"/>
          </w:tcPr>
          <w:p w:rsidR="009A42D4" w:rsidRDefault="009A42D4" w:rsidP="00A83E46">
            <w:r w:rsidRPr="003851AE">
              <w:t>AUC</w:t>
            </w:r>
            <w:r w:rsidRPr="00526DBA">
              <w:rPr>
                <w:vertAlign w:val="subscript"/>
              </w:rPr>
              <w:t>0-72</w:t>
            </w:r>
            <w:r>
              <w:rPr>
                <w:vertAlign w:val="subscript"/>
              </w:rPr>
              <w:t>h</w:t>
            </w:r>
          </w:p>
        </w:tc>
        <w:tc>
          <w:tcPr>
            <w:tcW w:w="6911" w:type="dxa"/>
          </w:tcPr>
          <w:p w:rsidR="009A42D4" w:rsidRDefault="009A42D4" w:rsidP="00A83E46">
            <w:r>
              <w:t>Area Under the Curve (0 to 72 hours)</w:t>
            </w:r>
          </w:p>
        </w:tc>
      </w:tr>
      <w:tr w:rsidR="009A42D4" w:rsidRPr="00FD119B" w:rsidTr="00FD119B">
        <w:tc>
          <w:tcPr>
            <w:tcW w:w="1809" w:type="dxa"/>
          </w:tcPr>
          <w:p w:rsidR="009A42D4" w:rsidRDefault="009A42D4" w:rsidP="00A83E46">
            <w:r>
              <w:t>BCS</w:t>
            </w:r>
          </w:p>
        </w:tc>
        <w:tc>
          <w:tcPr>
            <w:tcW w:w="6911" w:type="dxa"/>
          </w:tcPr>
          <w:p w:rsidR="009A42D4" w:rsidRDefault="009A42D4" w:rsidP="00A83E46">
            <w:r>
              <w:t>Biopharmaceutics Classification System (FDA)</w:t>
            </w:r>
          </w:p>
        </w:tc>
      </w:tr>
      <w:tr w:rsidR="003F2BD9" w:rsidRPr="00FD119B" w:rsidTr="00FD119B">
        <w:tc>
          <w:tcPr>
            <w:tcW w:w="1809" w:type="dxa"/>
          </w:tcPr>
          <w:p w:rsidR="003F2BD9" w:rsidRDefault="003F2BD9" w:rsidP="00A83E46">
            <w:r>
              <w:t>CDS</w:t>
            </w:r>
          </w:p>
        </w:tc>
        <w:tc>
          <w:tcPr>
            <w:tcW w:w="6911" w:type="dxa"/>
          </w:tcPr>
          <w:p w:rsidR="003F2BD9" w:rsidRDefault="003F2BD9" w:rsidP="00A83E46">
            <w:r>
              <w:t>Core Data Sheet</w:t>
            </w:r>
          </w:p>
        </w:tc>
      </w:tr>
      <w:tr w:rsidR="009A42D4" w:rsidRPr="00FD119B" w:rsidTr="00FD119B">
        <w:tc>
          <w:tcPr>
            <w:tcW w:w="1809" w:type="dxa"/>
          </w:tcPr>
          <w:p w:rsidR="009A42D4" w:rsidRDefault="009A42D4" w:rsidP="00A83E46">
            <w:r>
              <w:t>CER</w:t>
            </w:r>
          </w:p>
        </w:tc>
        <w:tc>
          <w:tcPr>
            <w:tcW w:w="6911" w:type="dxa"/>
          </w:tcPr>
          <w:p w:rsidR="009A42D4" w:rsidRPr="00304D17" w:rsidRDefault="009A42D4" w:rsidP="00A83E46">
            <w:r>
              <w:t>Clinical Evaluation Data</w:t>
            </w:r>
          </w:p>
        </w:tc>
      </w:tr>
      <w:tr w:rsidR="009A42D4" w:rsidRPr="00FD119B" w:rsidTr="00FD119B">
        <w:tc>
          <w:tcPr>
            <w:tcW w:w="1809" w:type="dxa"/>
          </w:tcPr>
          <w:p w:rsidR="009A42D4" w:rsidRDefault="009A42D4" w:rsidP="00A83E46">
            <w:r>
              <w:t>CHMP</w:t>
            </w:r>
          </w:p>
        </w:tc>
        <w:tc>
          <w:tcPr>
            <w:tcW w:w="6911" w:type="dxa"/>
          </w:tcPr>
          <w:p w:rsidR="009A42D4" w:rsidRDefault="009A42D4" w:rsidP="00A83E46">
            <w:r w:rsidRPr="007C37EF">
              <w:t>Committee for Medicinal Products for Human Use</w:t>
            </w:r>
          </w:p>
        </w:tc>
      </w:tr>
      <w:tr w:rsidR="009A42D4" w:rsidRPr="00FD119B" w:rsidTr="00FD119B">
        <w:tc>
          <w:tcPr>
            <w:tcW w:w="1809" w:type="dxa"/>
          </w:tcPr>
          <w:p w:rsidR="009A42D4" w:rsidRDefault="009A42D4" w:rsidP="00A83E46">
            <w:proofErr w:type="spellStart"/>
            <w:r>
              <w:t>C</w:t>
            </w:r>
            <w:r w:rsidRPr="00DF24EC">
              <w:rPr>
                <w:vertAlign w:val="subscript"/>
              </w:rPr>
              <w:t>max</w:t>
            </w:r>
            <w:proofErr w:type="spellEnd"/>
          </w:p>
        </w:tc>
        <w:tc>
          <w:tcPr>
            <w:tcW w:w="6911" w:type="dxa"/>
          </w:tcPr>
          <w:p w:rsidR="009A42D4" w:rsidRDefault="009A42D4" w:rsidP="00A83E46">
            <w:r>
              <w:t>Maximum plasma concentration post dose</w:t>
            </w:r>
          </w:p>
        </w:tc>
      </w:tr>
      <w:tr w:rsidR="009A42D4" w:rsidRPr="00FD119B" w:rsidTr="00FD119B">
        <w:tc>
          <w:tcPr>
            <w:tcW w:w="1809" w:type="dxa"/>
          </w:tcPr>
          <w:p w:rsidR="009A42D4" w:rsidRDefault="009A42D4" w:rsidP="00A83E46">
            <w:r>
              <w:t>CNS</w:t>
            </w:r>
          </w:p>
        </w:tc>
        <w:tc>
          <w:tcPr>
            <w:tcW w:w="6911" w:type="dxa"/>
          </w:tcPr>
          <w:p w:rsidR="009A42D4" w:rsidRPr="007C37EF" w:rsidRDefault="009A42D4" w:rsidP="00A83E46">
            <w:r>
              <w:t>Central Nervous System</w:t>
            </w:r>
          </w:p>
        </w:tc>
      </w:tr>
      <w:tr w:rsidR="009A42D4" w:rsidRPr="00FD119B" w:rsidTr="00FD119B">
        <w:tc>
          <w:tcPr>
            <w:tcW w:w="1809" w:type="dxa"/>
          </w:tcPr>
          <w:p w:rsidR="009A42D4" w:rsidRDefault="009A42D4" w:rsidP="00A83E46">
            <w:r>
              <w:t>CYP</w:t>
            </w:r>
          </w:p>
        </w:tc>
        <w:tc>
          <w:tcPr>
            <w:tcW w:w="6911" w:type="dxa"/>
          </w:tcPr>
          <w:p w:rsidR="009A42D4" w:rsidRDefault="009A42D4" w:rsidP="00A83E46">
            <w:r>
              <w:t>Cytochromes P450</w:t>
            </w:r>
          </w:p>
        </w:tc>
      </w:tr>
      <w:tr w:rsidR="009A42D4" w:rsidRPr="00FD119B" w:rsidTr="00FD119B">
        <w:tc>
          <w:tcPr>
            <w:tcW w:w="1809" w:type="dxa"/>
          </w:tcPr>
          <w:p w:rsidR="009A42D4" w:rsidRPr="00FD119B" w:rsidRDefault="009A42D4" w:rsidP="00FD119B">
            <w:proofErr w:type="spellStart"/>
            <w:r>
              <w:t>ddY</w:t>
            </w:r>
            <w:proofErr w:type="spellEnd"/>
          </w:p>
        </w:tc>
        <w:tc>
          <w:tcPr>
            <w:tcW w:w="6911" w:type="dxa"/>
          </w:tcPr>
          <w:p w:rsidR="009A42D4" w:rsidRPr="00FD119B" w:rsidRDefault="009A42D4" w:rsidP="00FD119B">
            <w:r>
              <w:t xml:space="preserve">Deutschland, </w:t>
            </w:r>
            <w:proofErr w:type="spellStart"/>
            <w:r>
              <w:t>Denken</w:t>
            </w:r>
            <w:proofErr w:type="spellEnd"/>
            <w:r>
              <w:t xml:space="preserve"> et </w:t>
            </w:r>
            <w:proofErr w:type="spellStart"/>
            <w:r>
              <w:t>Yoken</w:t>
            </w:r>
            <w:proofErr w:type="spellEnd"/>
            <w:r>
              <w:t xml:space="preserve"> mouse</w:t>
            </w:r>
          </w:p>
        </w:tc>
      </w:tr>
      <w:tr w:rsidR="00FC64A7" w:rsidRPr="00FD119B" w:rsidTr="00FD119B">
        <w:tc>
          <w:tcPr>
            <w:tcW w:w="1809" w:type="dxa"/>
          </w:tcPr>
          <w:p w:rsidR="00FC64A7" w:rsidRDefault="00FC64A7" w:rsidP="00FD119B">
            <w:r>
              <w:t>DL</w:t>
            </w:r>
            <w:r w:rsidRPr="00FC64A7">
              <w:rPr>
                <w:vertAlign w:val="subscript"/>
              </w:rPr>
              <w:t>CO</w:t>
            </w:r>
          </w:p>
        </w:tc>
        <w:tc>
          <w:tcPr>
            <w:tcW w:w="6911" w:type="dxa"/>
          </w:tcPr>
          <w:p w:rsidR="00FC64A7" w:rsidRDefault="00FC64A7" w:rsidP="00FC64A7">
            <w:r>
              <w:t xml:space="preserve">Diffusing capacity of the lung for </w:t>
            </w:r>
            <w:proofErr w:type="spellStart"/>
            <w:r>
              <w:t>arbon</w:t>
            </w:r>
            <w:proofErr w:type="spellEnd"/>
            <w:r>
              <w:t xml:space="preserve"> monoxide</w:t>
            </w:r>
          </w:p>
        </w:tc>
      </w:tr>
      <w:tr w:rsidR="009A42D4" w:rsidRPr="00FD119B" w:rsidTr="00FD119B">
        <w:tc>
          <w:tcPr>
            <w:tcW w:w="1809" w:type="dxa"/>
          </w:tcPr>
          <w:p w:rsidR="009A42D4" w:rsidRDefault="009A42D4" w:rsidP="00A83E46">
            <w:r>
              <w:t>DHCPL</w:t>
            </w:r>
          </w:p>
        </w:tc>
        <w:tc>
          <w:tcPr>
            <w:tcW w:w="6911" w:type="dxa"/>
          </w:tcPr>
          <w:p w:rsidR="009A42D4" w:rsidRDefault="006E7E9F" w:rsidP="00A83E46">
            <w:r>
              <w:t>Dear healthcare professional letter</w:t>
            </w:r>
          </w:p>
        </w:tc>
      </w:tr>
      <w:tr w:rsidR="009A42D4" w:rsidRPr="00FD119B" w:rsidTr="00FD119B">
        <w:tc>
          <w:tcPr>
            <w:tcW w:w="1809" w:type="dxa"/>
          </w:tcPr>
          <w:p w:rsidR="009A42D4" w:rsidRPr="00FD119B" w:rsidRDefault="009A42D4" w:rsidP="00FD119B">
            <w:r>
              <w:t>ECG</w:t>
            </w:r>
          </w:p>
        </w:tc>
        <w:tc>
          <w:tcPr>
            <w:tcW w:w="6911" w:type="dxa"/>
          </w:tcPr>
          <w:p w:rsidR="009A42D4" w:rsidRPr="00FD119B" w:rsidRDefault="009A42D4" w:rsidP="00FD119B">
            <w:r>
              <w:t>Electrocardiogram</w:t>
            </w:r>
          </w:p>
        </w:tc>
      </w:tr>
      <w:tr w:rsidR="009A42D4" w:rsidRPr="00FD119B" w:rsidTr="00FD119B">
        <w:tc>
          <w:tcPr>
            <w:tcW w:w="1809" w:type="dxa"/>
          </w:tcPr>
          <w:p w:rsidR="009A42D4" w:rsidRDefault="009A42D4" w:rsidP="00FD119B">
            <w:r>
              <w:t>ED</w:t>
            </w:r>
            <w:r w:rsidRPr="001F47B6">
              <w:rPr>
                <w:vertAlign w:val="subscript"/>
              </w:rPr>
              <w:t>50</w:t>
            </w:r>
          </w:p>
        </w:tc>
        <w:tc>
          <w:tcPr>
            <w:tcW w:w="6911" w:type="dxa"/>
          </w:tcPr>
          <w:p w:rsidR="009A42D4" w:rsidRDefault="009A42D4" w:rsidP="00FD119B">
            <w:r>
              <w:t>Half maximal effective dose</w:t>
            </w:r>
          </w:p>
        </w:tc>
      </w:tr>
      <w:tr w:rsidR="009A42D4" w:rsidRPr="00FD119B" w:rsidTr="00FD119B">
        <w:tc>
          <w:tcPr>
            <w:tcW w:w="1809" w:type="dxa"/>
          </w:tcPr>
          <w:p w:rsidR="009A42D4" w:rsidRPr="00FD119B" w:rsidRDefault="009A42D4" w:rsidP="00FD119B">
            <w:r>
              <w:t>FBS</w:t>
            </w:r>
          </w:p>
        </w:tc>
        <w:tc>
          <w:tcPr>
            <w:tcW w:w="6911" w:type="dxa"/>
          </w:tcPr>
          <w:p w:rsidR="009A42D4" w:rsidRPr="00FD119B" w:rsidRDefault="009A42D4" w:rsidP="00FD119B">
            <w:proofErr w:type="spellStart"/>
            <w:r>
              <w:t>Fetal</w:t>
            </w:r>
            <w:proofErr w:type="spellEnd"/>
            <w:r>
              <w:t xml:space="preserve"> Bovine Serum</w:t>
            </w:r>
          </w:p>
        </w:tc>
      </w:tr>
      <w:tr w:rsidR="009A42D4" w:rsidRPr="00FD119B" w:rsidTr="00FD119B">
        <w:tc>
          <w:tcPr>
            <w:tcW w:w="1809" w:type="dxa"/>
          </w:tcPr>
          <w:p w:rsidR="009A42D4" w:rsidRDefault="009A42D4" w:rsidP="00FD119B">
            <w:r>
              <w:lastRenderedPageBreak/>
              <w:t>FDA</w:t>
            </w:r>
          </w:p>
        </w:tc>
        <w:tc>
          <w:tcPr>
            <w:tcW w:w="6911" w:type="dxa"/>
          </w:tcPr>
          <w:p w:rsidR="009A42D4" w:rsidRDefault="009A42D4" w:rsidP="00FD119B">
            <w:r>
              <w:t>Food and Drug Administration (USA)</w:t>
            </w:r>
          </w:p>
        </w:tc>
      </w:tr>
      <w:tr w:rsidR="009A42D4" w:rsidRPr="00FD119B" w:rsidTr="00FD119B">
        <w:tc>
          <w:tcPr>
            <w:tcW w:w="1809" w:type="dxa"/>
          </w:tcPr>
          <w:p w:rsidR="009A42D4" w:rsidRDefault="009A42D4" w:rsidP="00A83E46">
            <w:r>
              <w:t>GD</w:t>
            </w:r>
          </w:p>
        </w:tc>
        <w:tc>
          <w:tcPr>
            <w:tcW w:w="6911" w:type="dxa"/>
          </w:tcPr>
          <w:p w:rsidR="009A42D4" w:rsidRDefault="009A42D4" w:rsidP="00A83E46">
            <w:r>
              <w:t>Gestation Day</w:t>
            </w:r>
          </w:p>
        </w:tc>
      </w:tr>
      <w:tr w:rsidR="009A42D4" w:rsidRPr="00FD119B" w:rsidTr="00FD119B">
        <w:tc>
          <w:tcPr>
            <w:tcW w:w="1809" w:type="dxa"/>
          </w:tcPr>
          <w:p w:rsidR="009A42D4" w:rsidRPr="00FD119B" w:rsidRDefault="009A42D4" w:rsidP="00FD119B">
            <w:r>
              <w:t>GI</w:t>
            </w:r>
          </w:p>
        </w:tc>
        <w:tc>
          <w:tcPr>
            <w:tcW w:w="6911" w:type="dxa"/>
          </w:tcPr>
          <w:p w:rsidR="009A42D4" w:rsidRPr="00FD119B" w:rsidRDefault="009A42D4" w:rsidP="00FD119B">
            <w:r>
              <w:t>Gastrointestinal system</w:t>
            </w:r>
          </w:p>
        </w:tc>
      </w:tr>
      <w:tr w:rsidR="009A42D4" w:rsidRPr="00FD119B" w:rsidTr="00FD119B">
        <w:tc>
          <w:tcPr>
            <w:tcW w:w="1809" w:type="dxa"/>
          </w:tcPr>
          <w:p w:rsidR="009A42D4" w:rsidRPr="00FD119B" w:rsidRDefault="009A42D4" w:rsidP="00FD119B">
            <w:r>
              <w:t>HDPE</w:t>
            </w:r>
          </w:p>
        </w:tc>
        <w:tc>
          <w:tcPr>
            <w:tcW w:w="6911" w:type="dxa"/>
          </w:tcPr>
          <w:p w:rsidR="009A42D4" w:rsidRPr="00FD119B" w:rsidRDefault="009A42D4" w:rsidP="00542BF5">
            <w:r w:rsidRPr="00542BF5">
              <w:t>High</w:t>
            </w:r>
            <w:r>
              <w:t xml:space="preserve"> Density P</w:t>
            </w:r>
            <w:r w:rsidRPr="00542BF5">
              <w:t>olyethylene</w:t>
            </w:r>
          </w:p>
        </w:tc>
      </w:tr>
      <w:tr w:rsidR="009A42D4" w:rsidRPr="00FD119B" w:rsidTr="00FD119B">
        <w:tc>
          <w:tcPr>
            <w:tcW w:w="1809" w:type="dxa"/>
          </w:tcPr>
          <w:p w:rsidR="009A42D4" w:rsidRPr="00FD119B" w:rsidRDefault="009A42D4" w:rsidP="00FD119B">
            <w:proofErr w:type="spellStart"/>
            <w:r>
              <w:t>hERG</w:t>
            </w:r>
            <w:proofErr w:type="spellEnd"/>
          </w:p>
        </w:tc>
        <w:tc>
          <w:tcPr>
            <w:tcW w:w="6911" w:type="dxa"/>
          </w:tcPr>
          <w:p w:rsidR="009A42D4" w:rsidRPr="00FD119B" w:rsidRDefault="009A42D4" w:rsidP="00FD119B">
            <w:r w:rsidRPr="00E31608">
              <w:t>human Ether-à-go-go-Related Gene</w:t>
            </w:r>
          </w:p>
        </w:tc>
      </w:tr>
      <w:tr w:rsidR="009A42D4" w:rsidRPr="00FD119B" w:rsidTr="00FD119B">
        <w:tc>
          <w:tcPr>
            <w:tcW w:w="1809" w:type="dxa"/>
          </w:tcPr>
          <w:p w:rsidR="009A42D4" w:rsidRPr="00FD119B" w:rsidRDefault="009A42D4" w:rsidP="00FD119B">
            <w:r>
              <w:t>IC</w:t>
            </w:r>
            <w:r w:rsidRPr="00062AE4">
              <w:rPr>
                <w:vertAlign w:val="subscript"/>
              </w:rPr>
              <w:t>50</w:t>
            </w:r>
          </w:p>
        </w:tc>
        <w:tc>
          <w:tcPr>
            <w:tcW w:w="6911" w:type="dxa"/>
          </w:tcPr>
          <w:p w:rsidR="009A42D4" w:rsidRPr="00FD119B" w:rsidRDefault="009A42D4" w:rsidP="00FD119B">
            <w:r>
              <w:t>Half maximal inhibitory concentration</w:t>
            </w:r>
          </w:p>
        </w:tc>
      </w:tr>
      <w:tr w:rsidR="009A42D4" w:rsidRPr="00FD119B" w:rsidTr="00FD119B">
        <w:tc>
          <w:tcPr>
            <w:tcW w:w="1809" w:type="dxa"/>
          </w:tcPr>
          <w:p w:rsidR="009A42D4" w:rsidRDefault="009A42D4" w:rsidP="00FD119B">
            <w:r>
              <w:t>ICH</w:t>
            </w:r>
          </w:p>
        </w:tc>
        <w:tc>
          <w:tcPr>
            <w:tcW w:w="6911" w:type="dxa"/>
          </w:tcPr>
          <w:p w:rsidR="009A42D4" w:rsidRDefault="009A42D4" w:rsidP="00FD119B">
            <w:r>
              <w:t>International Conference on Harmonisation</w:t>
            </w:r>
          </w:p>
        </w:tc>
      </w:tr>
      <w:tr w:rsidR="009A42D4" w:rsidRPr="00FD119B" w:rsidTr="00FD119B">
        <w:tc>
          <w:tcPr>
            <w:tcW w:w="1809" w:type="dxa"/>
          </w:tcPr>
          <w:p w:rsidR="009A42D4" w:rsidRPr="00FD119B" w:rsidRDefault="009A42D4" w:rsidP="00FD119B">
            <w:r>
              <w:t>IFN</w:t>
            </w:r>
            <w:r>
              <w:noBreakHyphen/>
              <w:t>γ</w:t>
            </w:r>
          </w:p>
        </w:tc>
        <w:tc>
          <w:tcPr>
            <w:tcW w:w="6911" w:type="dxa"/>
          </w:tcPr>
          <w:p w:rsidR="009A42D4" w:rsidRPr="00FD119B" w:rsidRDefault="009A42D4" w:rsidP="00FD119B">
            <w:r>
              <w:t>Interferon gamma</w:t>
            </w:r>
          </w:p>
        </w:tc>
      </w:tr>
      <w:tr w:rsidR="009A42D4" w:rsidRPr="00FD119B" w:rsidTr="00FD119B">
        <w:tc>
          <w:tcPr>
            <w:tcW w:w="1809" w:type="dxa"/>
          </w:tcPr>
          <w:p w:rsidR="009A42D4" w:rsidRPr="00FD119B" w:rsidRDefault="009A42D4" w:rsidP="00062AE4">
            <w:r>
              <w:t>IL</w:t>
            </w:r>
            <w:r>
              <w:noBreakHyphen/>
              <w:t>12</w:t>
            </w:r>
          </w:p>
        </w:tc>
        <w:tc>
          <w:tcPr>
            <w:tcW w:w="6911" w:type="dxa"/>
          </w:tcPr>
          <w:p w:rsidR="009A42D4" w:rsidRPr="00FD119B" w:rsidRDefault="009A42D4" w:rsidP="00FD119B">
            <w:r>
              <w:t>Interleukin-12</w:t>
            </w:r>
          </w:p>
        </w:tc>
      </w:tr>
      <w:tr w:rsidR="009A42D4" w:rsidRPr="00FD119B" w:rsidTr="00FD119B">
        <w:tc>
          <w:tcPr>
            <w:tcW w:w="1809" w:type="dxa"/>
          </w:tcPr>
          <w:p w:rsidR="009A42D4" w:rsidRDefault="009A42D4" w:rsidP="00062AE4">
            <w:r>
              <w:t>Ki</w:t>
            </w:r>
          </w:p>
        </w:tc>
        <w:tc>
          <w:tcPr>
            <w:tcW w:w="6911" w:type="dxa"/>
          </w:tcPr>
          <w:p w:rsidR="009A42D4" w:rsidRDefault="009A42D4" w:rsidP="00FD119B">
            <w:r>
              <w:t>Binding affinity</w:t>
            </w:r>
          </w:p>
        </w:tc>
      </w:tr>
      <w:tr w:rsidR="009A42D4" w:rsidRPr="00FD119B" w:rsidTr="00FD119B">
        <w:tc>
          <w:tcPr>
            <w:tcW w:w="1809" w:type="dxa"/>
          </w:tcPr>
          <w:p w:rsidR="009A42D4" w:rsidRPr="00FD119B" w:rsidRDefault="009A42D4" w:rsidP="00FD119B">
            <w:r>
              <w:t>LD</w:t>
            </w:r>
            <w:r w:rsidRPr="00BB6E74">
              <w:rPr>
                <w:vertAlign w:val="subscript"/>
              </w:rPr>
              <w:t>50</w:t>
            </w:r>
          </w:p>
        </w:tc>
        <w:tc>
          <w:tcPr>
            <w:tcW w:w="6911" w:type="dxa"/>
          </w:tcPr>
          <w:p w:rsidR="009A42D4" w:rsidRPr="00FD119B" w:rsidRDefault="009A42D4" w:rsidP="00005678">
            <w:r>
              <w:t>Median Lethal Dose</w:t>
            </w:r>
          </w:p>
        </w:tc>
      </w:tr>
      <w:tr w:rsidR="009A42D4" w:rsidRPr="00FD119B" w:rsidTr="00FD119B">
        <w:tc>
          <w:tcPr>
            <w:tcW w:w="1809" w:type="dxa"/>
          </w:tcPr>
          <w:p w:rsidR="009A42D4" w:rsidRDefault="009A42D4" w:rsidP="00A83E46">
            <w:r>
              <w:t>LD</w:t>
            </w:r>
            <w:r w:rsidRPr="005371B8">
              <w:rPr>
                <w:vertAlign w:val="subscript"/>
              </w:rPr>
              <w:t>50</w:t>
            </w:r>
          </w:p>
        </w:tc>
        <w:tc>
          <w:tcPr>
            <w:tcW w:w="6911" w:type="dxa"/>
          </w:tcPr>
          <w:p w:rsidR="009A42D4" w:rsidRDefault="009A42D4" w:rsidP="00A83E46">
            <w:r>
              <w:t>Median Lethal Dose</w:t>
            </w:r>
          </w:p>
        </w:tc>
      </w:tr>
      <w:tr w:rsidR="009A42D4" w:rsidRPr="00FD119B" w:rsidTr="00FD119B">
        <w:tc>
          <w:tcPr>
            <w:tcW w:w="1809" w:type="dxa"/>
          </w:tcPr>
          <w:p w:rsidR="009A42D4" w:rsidRDefault="009A42D4" w:rsidP="00A83E46">
            <w:r>
              <w:t>LFT(s)</w:t>
            </w:r>
          </w:p>
        </w:tc>
        <w:tc>
          <w:tcPr>
            <w:tcW w:w="6911" w:type="dxa"/>
          </w:tcPr>
          <w:p w:rsidR="009A42D4" w:rsidRDefault="009A42D4" w:rsidP="00A83E46">
            <w:r>
              <w:t>Liver Function Test(s)</w:t>
            </w:r>
          </w:p>
        </w:tc>
      </w:tr>
      <w:tr w:rsidR="009A42D4" w:rsidRPr="00FD119B" w:rsidTr="00FD119B">
        <w:tc>
          <w:tcPr>
            <w:tcW w:w="1809" w:type="dxa"/>
          </w:tcPr>
          <w:p w:rsidR="009A42D4" w:rsidRDefault="009A42D4" w:rsidP="00FD119B">
            <w:r>
              <w:t>LPS</w:t>
            </w:r>
          </w:p>
        </w:tc>
        <w:tc>
          <w:tcPr>
            <w:tcW w:w="6911" w:type="dxa"/>
          </w:tcPr>
          <w:p w:rsidR="009A42D4" w:rsidRDefault="009A42D4" w:rsidP="00005678">
            <w:r>
              <w:t>Lipopolysaccharide</w:t>
            </w:r>
          </w:p>
        </w:tc>
      </w:tr>
      <w:tr w:rsidR="009A42D4" w:rsidRPr="00FD119B" w:rsidTr="00FD119B">
        <w:tc>
          <w:tcPr>
            <w:tcW w:w="1809" w:type="dxa"/>
          </w:tcPr>
          <w:p w:rsidR="009A42D4" w:rsidRPr="00FD119B" w:rsidRDefault="009A42D4" w:rsidP="00FD119B">
            <w:r>
              <w:t>MMP</w:t>
            </w:r>
          </w:p>
        </w:tc>
        <w:tc>
          <w:tcPr>
            <w:tcW w:w="6911" w:type="dxa"/>
          </w:tcPr>
          <w:p w:rsidR="009A42D4" w:rsidRPr="00FD119B" w:rsidRDefault="009A42D4" w:rsidP="00FD119B">
            <w:r>
              <w:t>Metalloproteinase</w:t>
            </w:r>
          </w:p>
        </w:tc>
      </w:tr>
      <w:tr w:rsidR="009A42D4" w:rsidRPr="00FD119B" w:rsidTr="00FD119B">
        <w:tc>
          <w:tcPr>
            <w:tcW w:w="1809" w:type="dxa"/>
          </w:tcPr>
          <w:p w:rsidR="009A42D4" w:rsidRPr="00FD119B" w:rsidRDefault="009A42D4" w:rsidP="00FD119B">
            <w:r>
              <w:t>MRHD</w:t>
            </w:r>
          </w:p>
        </w:tc>
        <w:tc>
          <w:tcPr>
            <w:tcW w:w="6911" w:type="dxa"/>
          </w:tcPr>
          <w:p w:rsidR="009A42D4" w:rsidRPr="00FD119B" w:rsidRDefault="009A42D4" w:rsidP="00FD119B">
            <w:r>
              <w:t>Maximum Recommended Human Dose</w:t>
            </w:r>
          </w:p>
        </w:tc>
      </w:tr>
      <w:tr w:rsidR="009A42D4" w:rsidRPr="00FD119B" w:rsidTr="00FD119B">
        <w:tc>
          <w:tcPr>
            <w:tcW w:w="1809" w:type="dxa"/>
          </w:tcPr>
          <w:p w:rsidR="009A42D4" w:rsidRDefault="009A42D4" w:rsidP="00A83E46">
            <w:r>
              <w:t>NAC</w:t>
            </w:r>
          </w:p>
        </w:tc>
        <w:tc>
          <w:tcPr>
            <w:tcW w:w="6911" w:type="dxa"/>
          </w:tcPr>
          <w:p w:rsidR="009A42D4" w:rsidRDefault="009A42D4" w:rsidP="00A83E46">
            <w:r>
              <w:t>N-acetyl-cysteine</w:t>
            </w:r>
          </w:p>
        </w:tc>
      </w:tr>
      <w:tr w:rsidR="009A42D4" w:rsidRPr="00FD119B" w:rsidTr="00FD119B">
        <w:tc>
          <w:tcPr>
            <w:tcW w:w="1809" w:type="dxa"/>
          </w:tcPr>
          <w:p w:rsidR="009A42D4" w:rsidRPr="00FD119B" w:rsidRDefault="009A42D4" w:rsidP="00FD119B">
            <w:r>
              <w:t>NCE</w:t>
            </w:r>
          </w:p>
        </w:tc>
        <w:tc>
          <w:tcPr>
            <w:tcW w:w="6911" w:type="dxa"/>
          </w:tcPr>
          <w:p w:rsidR="009A42D4" w:rsidRPr="00FD119B" w:rsidRDefault="009A42D4" w:rsidP="00FD119B">
            <w:r>
              <w:t>New Chemical Entity</w:t>
            </w:r>
          </w:p>
        </w:tc>
      </w:tr>
      <w:tr w:rsidR="009A42D4" w:rsidRPr="00FD119B" w:rsidTr="00FD119B">
        <w:tc>
          <w:tcPr>
            <w:tcW w:w="1809" w:type="dxa"/>
          </w:tcPr>
          <w:p w:rsidR="009A42D4" w:rsidRPr="00FD119B" w:rsidRDefault="009A42D4" w:rsidP="00FD119B">
            <w:r>
              <w:t>NMT</w:t>
            </w:r>
          </w:p>
        </w:tc>
        <w:tc>
          <w:tcPr>
            <w:tcW w:w="6911" w:type="dxa"/>
          </w:tcPr>
          <w:p w:rsidR="009A42D4" w:rsidRPr="00FD119B" w:rsidRDefault="009A42D4" w:rsidP="00DF24EC">
            <w:r>
              <w:t>Not More Than</w:t>
            </w:r>
          </w:p>
        </w:tc>
      </w:tr>
      <w:tr w:rsidR="009A42D4" w:rsidRPr="00FD119B" w:rsidTr="00FD119B">
        <w:tc>
          <w:tcPr>
            <w:tcW w:w="1809" w:type="dxa"/>
          </w:tcPr>
          <w:p w:rsidR="009A42D4" w:rsidRDefault="009A42D4" w:rsidP="00FD119B">
            <w:r w:rsidRPr="00A30B91">
              <w:t>PCS</w:t>
            </w:r>
          </w:p>
        </w:tc>
        <w:tc>
          <w:tcPr>
            <w:tcW w:w="6911" w:type="dxa"/>
          </w:tcPr>
          <w:p w:rsidR="009A42D4" w:rsidRDefault="009A42D4" w:rsidP="00DF24EC">
            <w:r w:rsidRPr="00A30B91">
              <w:t>Pharmaceutical Sub-Committee</w:t>
            </w:r>
          </w:p>
        </w:tc>
      </w:tr>
      <w:tr w:rsidR="009A42D4" w:rsidRPr="00FD119B" w:rsidTr="00FD119B">
        <w:tc>
          <w:tcPr>
            <w:tcW w:w="1809" w:type="dxa"/>
          </w:tcPr>
          <w:p w:rsidR="009A42D4" w:rsidRPr="00FD119B" w:rsidRDefault="009A42D4" w:rsidP="00FD119B">
            <w:r>
              <w:t>PDE</w:t>
            </w:r>
          </w:p>
        </w:tc>
        <w:tc>
          <w:tcPr>
            <w:tcW w:w="6911" w:type="dxa"/>
          </w:tcPr>
          <w:p w:rsidR="009A42D4" w:rsidRPr="00FD119B" w:rsidRDefault="009A42D4" w:rsidP="00FD119B">
            <w:r>
              <w:t>Permitted Daily Exposure</w:t>
            </w:r>
          </w:p>
        </w:tc>
      </w:tr>
      <w:tr w:rsidR="009A42D4" w:rsidRPr="00FD119B" w:rsidTr="00FD119B">
        <w:tc>
          <w:tcPr>
            <w:tcW w:w="1809" w:type="dxa"/>
          </w:tcPr>
          <w:p w:rsidR="009A42D4" w:rsidRDefault="009A42D4" w:rsidP="00FD119B">
            <w:r>
              <w:t>PDGF</w:t>
            </w:r>
          </w:p>
        </w:tc>
        <w:tc>
          <w:tcPr>
            <w:tcW w:w="6911" w:type="dxa"/>
          </w:tcPr>
          <w:p w:rsidR="009A42D4" w:rsidRDefault="009A42D4" w:rsidP="00FD119B">
            <w:r>
              <w:t>Platelet Derived Growth Factor</w:t>
            </w:r>
          </w:p>
        </w:tc>
      </w:tr>
      <w:tr w:rsidR="009A42D4" w:rsidRPr="00FD119B" w:rsidTr="00FD119B">
        <w:tc>
          <w:tcPr>
            <w:tcW w:w="1809" w:type="dxa"/>
          </w:tcPr>
          <w:p w:rsidR="009A42D4" w:rsidRDefault="009A42D4" w:rsidP="00526DBA">
            <w:r>
              <w:t>PDGF</w:t>
            </w:r>
          </w:p>
        </w:tc>
        <w:tc>
          <w:tcPr>
            <w:tcW w:w="6911" w:type="dxa"/>
          </w:tcPr>
          <w:p w:rsidR="009A42D4" w:rsidRDefault="009A42D4" w:rsidP="00A83E46">
            <w:r>
              <w:t>Platelet Derived Growth Factor</w:t>
            </w:r>
          </w:p>
        </w:tc>
      </w:tr>
      <w:tr w:rsidR="009A42D4" w:rsidRPr="00FD119B" w:rsidTr="00FD119B">
        <w:tc>
          <w:tcPr>
            <w:tcW w:w="1809" w:type="dxa"/>
          </w:tcPr>
          <w:p w:rsidR="009A42D4" w:rsidRPr="00FD119B" w:rsidRDefault="009A42D4" w:rsidP="00FD119B">
            <w:r>
              <w:t>P-</w:t>
            </w:r>
            <w:proofErr w:type="spellStart"/>
            <w:r>
              <w:t>gp</w:t>
            </w:r>
            <w:proofErr w:type="spellEnd"/>
          </w:p>
        </w:tc>
        <w:tc>
          <w:tcPr>
            <w:tcW w:w="6911" w:type="dxa"/>
          </w:tcPr>
          <w:p w:rsidR="009A42D4" w:rsidRPr="00FD119B" w:rsidRDefault="009A42D4" w:rsidP="00FD119B">
            <w:r>
              <w:t>P-glycoprotein</w:t>
            </w:r>
          </w:p>
        </w:tc>
      </w:tr>
      <w:tr w:rsidR="009A42D4" w:rsidRPr="00FD119B" w:rsidTr="00FD119B">
        <w:tc>
          <w:tcPr>
            <w:tcW w:w="1809" w:type="dxa"/>
          </w:tcPr>
          <w:p w:rsidR="009A42D4" w:rsidRDefault="009A42D4" w:rsidP="00FD119B">
            <w:r>
              <w:t>PI</w:t>
            </w:r>
          </w:p>
        </w:tc>
        <w:tc>
          <w:tcPr>
            <w:tcW w:w="6911" w:type="dxa"/>
          </w:tcPr>
          <w:p w:rsidR="009A42D4" w:rsidRDefault="009A42D4" w:rsidP="00062AE4">
            <w:r>
              <w:t>Product Information</w:t>
            </w:r>
          </w:p>
        </w:tc>
      </w:tr>
      <w:tr w:rsidR="009A42D4" w:rsidRPr="00FD119B" w:rsidTr="00FD119B">
        <w:tc>
          <w:tcPr>
            <w:tcW w:w="1809" w:type="dxa"/>
          </w:tcPr>
          <w:p w:rsidR="009A42D4" w:rsidRPr="00FD119B" w:rsidRDefault="009A42D4" w:rsidP="00FD119B">
            <w:r>
              <w:t>PO</w:t>
            </w:r>
          </w:p>
        </w:tc>
        <w:tc>
          <w:tcPr>
            <w:tcW w:w="6911" w:type="dxa"/>
          </w:tcPr>
          <w:p w:rsidR="009A42D4" w:rsidRPr="00FD119B" w:rsidRDefault="009A42D4" w:rsidP="005371B8">
            <w:r>
              <w:t>Oral administration (</w:t>
            </w:r>
            <w:proofErr w:type="spellStart"/>
            <w:r w:rsidRPr="005371B8">
              <w:rPr>
                <w:i/>
              </w:rPr>
              <w:t>latin</w:t>
            </w:r>
            <w:proofErr w:type="spellEnd"/>
            <w:r w:rsidRPr="005371B8">
              <w:rPr>
                <w:i/>
              </w:rPr>
              <w:t xml:space="preserve">: per </w:t>
            </w:r>
            <w:proofErr w:type="spellStart"/>
            <w:r w:rsidRPr="005371B8">
              <w:rPr>
                <w:i/>
              </w:rPr>
              <w:t>os</w:t>
            </w:r>
            <w:proofErr w:type="spellEnd"/>
            <w:r>
              <w:t>)</w:t>
            </w:r>
          </w:p>
        </w:tc>
      </w:tr>
      <w:tr w:rsidR="009A42D4" w:rsidRPr="00FD119B" w:rsidTr="00FD119B">
        <w:tc>
          <w:tcPr>
            <w:tcW w:w="1809" w:type="dxa"/>
          </w:tcPr>
          <w:p w:rsidR="009A42D4" w:rsidRPr="00FD119B" w:rsidRDefault="006E7E9F" w:rsidP="00FD119B">
            <w:r>
              <w:lastRenderedPageBreak/>
              <w:t>PK</w:t>
            </w:r>
          </w:p>
        </w:tc>
        <w:tc>
          <w:tcPr>
            <w:tcW w:w="6911" w:type="dxa"/>
          </w:tcPr>
          <w:p w:rsidR="009A42D4" w:rsidRPr="00FD119B" w:rsidRDefault="006E7E9F" w:rsidP="00062AE4">
            <w:r>
              <w:t>Pharmacokinetic</w:t>
            </w:r>
          </w:p>
        </w:tc>
      </w:tr>
      <w:tr w:rsidR="006E7E9F" w:rsidRPr="00FD119B" w:rsidTr="00FD119B">
        <w:tc>
          <w:tcPr>
            <w:tcW w:w="1809" w:type="dxa"/>
          </w:tcPr>
          <w:p w:rsidR="006E7E9F" w:rsidRDefault="006E7E9F" w:rsidP="00FD119B">
            <w:r>
              <w:t>PD</w:t>
            </w:r>
          </w:p>
        </w:tc>
        <w:tc>
          <w:tcPr>
            <w:tcW w:w="6911" w:type="dxa"/>
          </w:tcPr>
          <w:p w:rsidR="006E7E9F" w:rsidRDefault="006E7E9F" w:rsidP="00062AE4">
            <w:proofErr w:type="spellStart"/>
            <w:r>
              <w:t>Pharmacodynamic</w:t>
            </w:r>
            <w:proofErr w:type="spellEnd"/>
          </w:p>
        </w:tc>
      </w:tr>
      <w:tr w:rsidR="009A42D4" w:rsidRPr="00FD119B" w:rsidTr="00FD119B">
        <w:tc>
          <w:tcPr>
            <w:tcW w:w="1809" w:type="dxa"/>
          </w:tcPr>
          <w:p w:rsidR="009A42D4" w:rsidRDefault="009A42D4" w:rsidP="00A83E46">
            <w:r>
              <w:t>PSUR</w:t>
            </w:r>
          </w:p>
        </w:tc>
        <w:tc>
          <w:tcPr>
            <w:tcW w:w="6911" w:type="dxa"/>
          </w:tcPr>
          <w:p w:rsidR="009A42D4" w:rsidRDefault="009A42D4" w:rsidP="00A83E46">
            <w:r>
              <w:t>Post</w:t>
            </w:r>
            <w:r>
              <w:noBreakHyphen/>
              <w:t>marketing Safety Update Reports</w:t>
            </w:r>
          </w:p>
        </w:tc>
      </w:tr>
      <w:tr w:rsidR="009A42D4" w:rsidRPr="00FD119B" w:rsidTr="00FD119B">
        <w:tc>
          <w:tcPr>
            <w:tcW w:w="1809" w:type="dxa"/>
          </w:tcPr>
          <w:p w:rsidR="009A42D4" w:rsidRPr="00FD119B" w:rsidRDefault="009A42D4" w:rsidP="00FD119B">
            <w:r>
              <w:t>RE</w:t>
            </w:r>
          </w:p>
        </w:tc>
        <w:tc>
          <w:tcPr>
            <w:tcW w:w="6911" w:type="dxa"/>
          </w:tcPr>
          <w:p w:rsidR="009A42D4" w:rsidRPr="00FD119B" w:rsidRDefault="009A42D4" w:rsidP="00FD119B">
            <w:r>
              <w:t>Relative Exposure</w:t>
            </w:r>
          </w:p>
        </w:tc>
      </w:tr>
      <w:tr w:rsidR="006E7E9F" w:rsidRPr="00FD119B" w:rsidTr="00FD119B">
        <w:tc>
          <w:tcPr>
            <w:tcW w:w="1809" w:type="dxa"/>
          </w:tcPr>
          <w:p w:rsidR="006E7E9F" w:rsidRDefault="006E7E9F" w:rsidP="00FD119B">
            <w:r>
              <w:t>RMP</w:t>
            </w:r>
          </w:p>
        </w:tc>
        <w:tc>
          <w:tcPr>
            <w:tcW w:w="6911" w:type="dxa"/>
          </w:tcPr>
          <w:p w:rsidR="006E7E9F" w:rsidRDefault="006E7E9F" w:rsidP="00FD119B">
            <w:r>
              <w:t>Risk Management Plan</w:t>
            </w:r>
          </w:p>
        </w:tc>
      </w:tr>
      <w:tr w:rsidR="006E7E9F" w:rsidRPr="00FD119B" w:rsidTr="00FD119B">
        <w:tc>
          <w:tcPr>
            <w:tcW w:w="1809" w:type="dxa"/>
          </w:tcPr>
          <w:p w:rsidR="006E7E9F" w:rsidRDefault="006E7E9F" w:rsidP="00FD119B">
            <w:r>
              <w:t>SAE</w:t>
            </w:r>
          </w:p>
        </w:tc>
        <w:tc>
          <w:tcPr>
            <w:tcW w:w="6911" w:type="dxa"/>
          </w:tcPr>
          <w:p w:rsidR="006E7E9F" w:rsidRDefault="006E7E9F" w:rsidP="00FD119B">
            <w:r>
              <w:t>Serious adverse event</w:t>
            </w:r>
          </w:p>
        </w:tc>
      </w:tr>
      <w:tr w:rsidR="009A42D4" w:rsidRPr="00FD119B" w:rsidTr="00FD119B">
        <w:tc>
          <w:tcPr>
            <w:tcW w:w="1809" w:type="dxa"/>
          </w:tcPr>
          <w:p w:rsidR="009A42D4" w:rsidRDefault="009A42D4" w:rsidP="00A83E46">
            <w:r>
              <w:t>SAS</w:t>
            </w:r>
          </w:p>
        </w:tc>
        <w:tc>
          <w:tcPr>
            <w:tcW w:w="6911" w:type="dxa"/>
          </w:tcPr>
          <w:p w:rsidR="009A42D4" w:rsidRDefault="009A42D4" w:rsidP="00A83E46">
            <w:r>
              <w:t>Special Access Scheme</w:t>
            </w:r>
          </w:p>
        </w:tc>
      </w:tr>
      <w:tr w:rsidR="009A42D4" w:rsidRPr="00FD119B" w:rsidTr="00FD119B">
        <w:tc>
          <w:tcPr>
            <w:tcW w:w="1809" w:type="dxa"/>
          </w:tcPr>
          <w:p w:rsidR="009A42D4" w:rsidRPr="00FD119B" w:rsidRDefault="009A42D4" w:rsidP="00FD119B">
            <w:r>
              <w:t>SD</w:t>
            </w:r>
          </w:p>
        </w:tc>
        <w:tc>
          <w:tcPr>
            <w:tcW w:w="6911" w:type="dxa"/>
          </w:tcPr>
          <w:p w:rsidR="009A42D4" w:rsidRPr="00FD119B" w:rsidRDefault="009A42D4" w:rsidP="00FD119B">
            <w:r>
              <w:t>Sprague Dawley</w:t>
            </w:r>
          </w:p>
        </w:tc>
      </w:tr>
      <w:tr w:rsidR="009A42D4" w:rsidRPr="00FD119B" w:rsidTr="00FD119B">
        <w:tc>
          <w:tcPr>
            <w:tcW w:w="1809" w:type="dxa"/>
          </w:tcPr>
          <w:p w:rsidR="009A42D4" w:rsidRDefault="009A42D4" w:rsidP="00A83E46">
            <w:r>
              <w:t>SPC</w:t>
            </w:r>
          </w:p>
        </w:tc>
        <w:tc>
          <w:tcPr>
            <w:tcW w:w="6911" w:type="dxa"/>
          </w:tcPr>
          <w:p w:rsidR="009A42D4" w:rsidRDefault="009A42D4" w:rsidP="00A83E46">
            <w:r>
              <w:t>Summary of Product Characteristics</w:t>
            </w:r>
          </w:p>
        </w:tc>
      </w:tr>
      <w:tr w:rsidR="009A42D4" w:rsidRPr="00FD119B" w:rsidTr="00FD119B">
        <w:tc>
          <w:tcPr>
            <w:tcW w:w="1809" w:type="dxa"/>
          </w:tcPr>
          <w:p w:rsidR="009A42D4" w:rsidRDefault="009A42D4" w:rsidP="00A83E46">
            <w:r>
              <w:t>TDS</w:t>
            </w:r>
          </w:p>
        </w:tc>
        <w:tc>
          <w:tcPr>
            <w:tcW w:w="6911" w:type="dxa"/>
          </w:tcPr>
          <w:p w:rsidR="009A42D4" w:rsidRDefault="009A42D4" w:rsidP="00A83E46">
            <w:r>
              <w:t>Three Times Daily</w:t>
            </w:r>
          </w:p>
        </w:tc>
      </w:tr>
      <w:tr w:rsidR="006E7E9F" w:rsidRPr="00FD119B" w:rsidTr="00FD119B">
        <w:tc>
          <w:tcPr>
            <w:tcW w:w="1809" w:type="dxa"/>
          </w:tcPr>
          <w:p w:rsidR="006E7E9F" w:rsidRDefault="006E7E9F" w:rsidP="00A83E46">
            <w:r>
              <w:t>TE</w:t>
            </w:r>
          </w:p>
        </w:tc>
        <w:tc>
          <w:tcPr>
            <w:tcW w:w="6911" w:type="dxa"/>
          </w:tcPr>
          <w:p w:rsidR="006E7E9F" w:rsidRDefault="006E7E9F" w:rsidP="00A83E46">
            <w:r>
              <w:t>Treatment emergent</w:t>
            </w:r>
          </w:p>
        </w:tc>
      </w:tr>
      <w:tr w:rsidR="009A42D4" w:rsidRPr="00FD119B" w:rsidTr="00FD119B">
        <w:tc>
          <w:tcPr>
            <w:tcW w:w="1809" w:type="dxa"/>
          </w:tcPr>
          <w:p w:rsidR="009A42D4" w:rsidRDefault="009A42D4" w:rsidP="00A83E46">
            <w:r>
              <w:t>TEAEs</w:t>
            </w:r>
          </w:p>
        </w:tc>
        <w:tc>
          <w:tcPr>
            <w:tcW w:w="6911" w:type="dxa"/>
          </w:tcPr>
          <w:p w:rsidR="009A42D4" w:rsidRDefault="006E7E9F" w:rsidP="00A83E46">
            <w:r>
              <w:t>Treatment emergent adverse event</w:t>
            </w:r>
          </w:p>
        </w:tc>
      </w:tr>
      <w:tr w:rsidR="009A42D4" w:rsidRPr="00FD119B" w:rsidTr="00FD119B">
        <w:tc>
          <w:tcPr>
            <w:tcW w:w="1809" w:type="dxa"/>
          </w:tcPr>
          <w:p w:rsidR="009A42D4" w:rsidRPr="00FD119B" w:rsidRDefault="009A42D4" w:rsidP="00FD119B">
            <w:r>
              <w:t>TGF</w:t>
            </w:r>
            <w:r>
              <w:noBreakHyphen/>
              <w:t>β1</w:t>
            </w:r>
          </w:p>
        </w:tc>
        <w:tc>
          <w:tcPr>
            <w:tcW w:w="6911" w:type="dxa"/>
          </w:tcPr>
          <w:p w:rsidR="009A42D4" w:rsidRPr="00FD119B" w:rsidRDefault="009A42D4" w:rsidP="00FD119B">
            <w:r>
              <w:t>Transforming Growth Factor beta1</w:t>
            </w:r>
          </w:p>
        </w:tc>
      </w:tr>
      <w:tr w:rsidR="009A42D4" w:rsidRPr="00FD119B" w:rsidTr="00FD119B">
        <w:tc>
          <w:tcPr>
            <w:tcW w:w="1809" w:type="dxa"/>
          </w:tcPr>
          <w:p w:rsidR="009A42D4" w:rsidRPr="00FD119B" w:rsidRDefault="009A42D4" w:rsidP="00FD119B">
            <w:proofErr w:type="spellStart"/>
            <w:r>
              <w:t>T</w:t>
            </w:r>
            <w:r w:rsidRPr="005371B8">
              <w:rPr>
                <w:vertAlign w:val="subscript"/>
              </w:rPr>
              <w:t>max</w:t>
            </w:r>
            <w:proofErr w:type="spellEnd"/>
          </w:p>
        </w:tc>
        <w:tc>
          <w:tcPr>
            <w:tcW w:w="6911" w:type="dxa"/>
          </w:tcPr>
          <w:p w:rsidR="009A42D4" w:rsidRPr="00FD119B" w:rsidRDefault="009A42D4" w:rsidP="00FD119B">
            <w:r>
              <w:t>Time to peak plasma concentration</w:t>
            </w:r>
          </w:p>
        </w:tc>
      </w:tr>
      <w:tr w:rsidR="009A42D4" w:rsidRPr="00FD119B" w:rsidTr="00FD119B">
        <w:tc>
          <w:tcPr>
            <w:tcW w:w="1809" w:type="dxa"/>
          </w:tcPr>
          <w:p w:rsidR="009A42D4" w:rsidRPr="00FD119B" w:rsidRDefault="009A42D4" w:rsidP="00FD119B">
            <w:r>
              <w:t>TNFα</w:t>
            </w:r>
          </w:p>
        </w:tc>
        <w:tc>
          <w:tcPr>
            <w:tcW w:w="6911" w:type="dxa"/>
          </w:tcPr>
          <w:p w:rsidR="009A42D4" w:rsidRPr="00FD119B" w:rsidRDefault="009A42D4" w:rsidP="00FD119B">
            <w:r>
              <w:t>Tumour Necrosis Factor alpha</w:t>
            </w:r>
          </w:p>
        </w:tc>
      </w:tr>
      <w:tr w:rsidR="009A42D4" w:rsidRPr="00FD119B" w:rsidTr="00FD119B">
        <w:tc>
          <w:tcPr>
            <w:tcW w:w="1809" w:type="dxa"/>
          </w:tcPr>
          <w:p w:rsidR="009A42D4" w:rsidRDefault="009A42D4" w:rsidP="00A83E46">
            <w:r>
              <w:t>ULN</w:t>
            </w:r>
          </w:p>
        </w:tc>
        <w:tc>
          <w:tcPr>
            <w:tcW w:w="6911" w:type="dxa"/>
          </w:tcPr>
          <w:p w:rsidR="009A42D4" w:rsidRDefault="009A42D4" w:rsidP="00A83E46">
            <w:r>
              <w:t>Upper Limit of Normal</w:t>
            </w:r>
          </w:p>
        </w:tc>
      </w:tr>
      <w:tr w:rsidR="009A42D4" w:rsidRPr="00FD119B" w:rsidTr="00FD119B">
        <w:tc>
          <w:tcPr>
            <w:tcW w:w="1809" w:type="dxa"/>
          </w:tcPr>
          <w:p w:rsidR="009A42D4" w:rsidRDefault="009A42D4" w:rsidP="00A83E46">
            <w:r>
              <w:t>UV</w:t>
            </w:r>
          </w:p>
        </w:tc>
        <w:tc>
          <w:tcPr>
            <w:tcW w:w="6911" w:type="dxa"/>
          </w:tcPr>
          <w:p w:rsidR="009A42D4" w:rsidRDefault="009A42D4" w:rsidP="00A83E46">
            <w:r>
              <w:t>Ultraviolet</w:t>
            </w:r>
          </w:p>
        </w:tc>
      </w:tr>
      <w:tr w:rsidR="009A42D4" w:rsidRPr="00FD119B" w:rsidTr="00FD119B">
        <w:tc>
          <w:tcPr>
            <w:tcW w:w="1809" w:type="dxa"/>
          </w:tcPr>
          <w:p w:rsidR="009A42D4" w:rsidRDefault="009A42D4" w:rsidP="00A83E46">
            <w:r>
              <w:t>VEGF</w:t>
            </w:r>
          </w:p>
        </w:tc>
        <w:tc>
          <w:tcPr>
            <w:tcW w:w="6911" w:type="dxa"/>
          </w:tcPr>
          <w:p w:rsidR="009A42D4" w:rsidRDefault="009A42D4" w:rsidP="00A83E46">
            <w:r>
              <w:t>Vascular Endothelial Growth Factor</w:t>
            </w:r>
          </w:p>
        </w:tc>
      </w:tr>
      <w:tr w:rsidR="009A42D4" w:rsidRPr="00FD119B" w:rsidTr="00FD119B">
        <w:tc>
          <w:tcPr>
            <w:tcW w:w="1809" w:type="dxa"/>
          </w:tcPr>
          <w:p w:rsidR="009A42D4" w:rsidRDefault="009A42D4" w:rsidP="00FD119B">
            <w:r>
              <w:t>w/w</w:t>
            </w:r>
          </w:p>
        </w:tc>
        <w:tc>
          <w:tcPr>
            <w:tcW w:w="6911" w:type="dxa"/>
          </w:tcPr>
          <w:p w:rsidR="009A42D4" w:rsidRDefault="009A42D4" w:rsidP="00FD119B">
            <w:r>
              <w:t>Weight for weight</w:t>
            </w:r>
          </w:p>
        </w:tc>
      </w:tr>
      <w:tr w:rsidR="009A42D4" w:rsidRPr="00FD119B" w:rsidTr="00FD119B">
        <w:tc>
          <w:tcPr>
            <w:tcW w:w="1809" w:type="dxa"/>
          </w:tcPr>
          <w:p w:rsidR="009A42D4" w:rsidRDefault="009A42D4" w:rsidP="00A83E46">
            <w:r>
              <w:t>WHOCC</w:t>
            </w:r>
          </w:p>
        </w:tc>
        <w:tc>
          <w:tcPr>
            <w:tcW w:w="6911" w:type="dxa"/>
          </w:tcPr>
          <w:p w:rsidR="009A42D4" w:rsidRPr="00304D17" w:rsidRDefault="009A42D4" w:rsidP="00A83E46">
            <w:r>
              <w:t>World Health Organisation Collaborating Centres</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8" w:name="_Toc453068476"/>
      <w:r>
        <w:lastRenderedPageBreak/>
        <w:t>I.</w:t>
      </w:r>
      <w:r w:rsidR="008E7846">
        <w:t xml:space="preserve"> Introduction to product submission</w:t>
      </w:r>
      <w:bookmarkEnd w:id="8"/>
      <w:bookmarkEnd w:id="0"/>
      <w:bookmarkEnd w:id="2"/>
    </w:p>
    <w:p w:rsidR="008E7846" w:rsidRDefault="008E7846" w:rsidP="008E7846">
      <w:pPr>
        <w:pStyle w:val="Heading3"/>
        <w:rPr>
          <w:lang w:eastAsia="en-AU"/>
        </w:rPr>
      </w:pPr>
      <w:bookmarkStart w:id="9" w:name="_Toc247691502"/>
      <w:bookmarkStart w:id="10" w:name="_Toc314842483"/>
      <w:bookmarkStart w:id="11" w:name="_Toc453068477"/>
      <w:r>
        <w:rPr>
          <w:lang w:eastAsia="en-AU"/>
        </w:rPr>
        <w:t>Submission details</w:t>
      </w:r>
      <w:bookmarkEnd w:id="9"/>
      <w:bookmarkEnd w:id="10"/>
      <w:bookmarkEnd w:id="11"/>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8E7846" w:rsidP="00340608">
            <w:r w:rsidRPr="003D1E62">
              <w:t xml:space="preserve">New </w:t>
            </w:r>
            <w:r w:rsidR="001B5C90">
              <w:t>c</w:t>
            </w:r>
            <w:r w:rsidRPr="003D1E62">
              <w:t xml:space="preserve">hemical </w:t>
            </w:r>
            <w:r w:rsidR="001B5C90">
              <w:t>e</w:t>
            </w:r>
            <w:r w:rsidR="00340608">
              <w:t>ntity</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340608" w:rsidP="00340608">
            <w:r>
              <w:t>Approved</w:t>
            </w:r>
          </w:p>
        </w:tc>
      </w:tr>
      <w:tr w:rsidR="008E7846" w:rsidRPr="003D1E62" w:rsidTr="008963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5371B8" w:rsidP="001B5C90">
            <w:r>
              <w:t>5 February 2016</w:t>
            </w:r>
          </w:p>
        </w:tc>
      </w:tr>
      <w:tr w:rsidR="00ED2922" w:rsidRPr="003D1E62" w:rsidTr="0089635C">
        <w:trPr>
          <w:trHeight w:hRule="exact" w:val="454"/>
        </w:trPr>
        <w:tc>
          <w:tcPr>
            <w:tcW w:w="2907" w:type="dxa"/>
          </w:tcPr>
          <w:p w:rsidR="00ED2922" w:rsidRPr="00441C3F" w:rsidRDefault="00ED2922" w:rsidP="001B5C90">
            <w:pPr>
              <w:rPr>
                <w:i/>
              </w:rPr>
            </w:pPr>
            <w:r w:rsidRPr="00441C3F">
              <w:rPr>
                <w:i/>
              </w:rPr>
              <w:t>Date of entry onto ARTG</w:t>
            </w:r>
            <w:r w:rsidR="007A22E8">
              <w:rPr>
                <w:i/>
              </w:rPr>
              <w:t>:</w:t>
            </w:r>
          </w:p>
        </w:tc>
        <w:tc>
          <w:tcPr>
            <w:tcW w:w="6590" w:type="dxa"/>
          </w:tcPr>
          <w:p w:rsidR="00ED2922" w:rsidRPr="00441C3F" w:rsidRDefault="002061E0" w:rsidP="00EC463D">
            <w:pPr>
              <w:rPr>
                <w:i/>
              </w:rPr>
            </w:pPr>
            <w:r w:rsidRPr="002061E0">
              <w:t>29 Feb</w:t>
            </w:r>
            <w:r w:rsidR="005371B8">
              <w:t>ruary</w:t>
            </w:r>
            <w:r w:rsidRPr="002061E0">
              <w:t xml:space="preserve"> 2016</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DB3FB9" w:rsidP="00E45619">
            <w:pPr>
              <w:rPr>
                <w:i/>
              </w:rPr>
            </w:pPr>
            <w:r>
              <w:rPr>
                <w:i/>
              </w:rPr>
              <w:t>Active ingredient</w:t>
            </w:r>
            <w:r w:rsidR="001B5C90">
              <w:rPr>
                <w:i/>
              </w:rPr>
              <w:t>:</w:t>
            </w:r>
          </w:p>
        </w:tc>
        <w:tc>
          <w:tcPr>
            <w:tcW w:w="6307" w:type="dxa"/>
          </w:tcPr>
          <w:p w:rsidR="008E7846" w:rsidRPr="00487162" w:rsidRDefault="00340608" w:rsidP="00E45619">
            <w:proofErr w:type="spellStart"/>
            <w:r>
              <w:t>Pirfenidone</w:t>
            </w:r>
            <w:proofErr w:type="spellEnd"/>
          </w:p>
        </w:tc>
      </w:tr>
      <w:tr w:rsidR="008E7846" w:rsidRPr="00487162" w:rsidTr="00BF1190">
        <w:tc>
          <w:tcPr>
            <w:tcW w:w="2907" w:type="dxa"/>
          </w:tcPr>
          <w:p w:rsidR="008E7846" w:rsidRPr="00487162" w:rsidRDefault="008E7846" w:rsidP="001B5C90">
            <w:pPr>
              <w:rPr>
                <w:i/>
              </w:rPr>
            </w:pPr>
            <w:r w:rsidRPr="00487162">
              <w:rPr>
                <w:i/>
              </w:rPr>
              <w:t>Product</w:t>
            </w:r>
            <w:r w:rsidR="00DB3FB9">
              <w:rPr>
                <w:i/>
              </w:rPr>
              <w:t xml:space="preserve"> name</w:t>
            </w:r>
            <w:r w:rsidR="001B5C90">
              <w:rPr>
                <w:i/>
              </w:rPr>
              <w:t>:</w:t>
            </w:r>
          </w:p>
        </w:tc>
        <w:tc>
          <w:tcPr>
            <w:tcW w:w="6307" w:type="dxa"/>
          </w:tcPr>
          <w:p w:rsidR="008E7846" w:rsidRPr="00487162" w:rsidRDefault="00340608" w:rsidP="00E45619">
            <w:r>
              <w:t>Esbriet</w:t>
            </w:r>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2061E0" w:rsidP="00E45619">
            <w:r>
              <w:t>Roche Products Pty Ltd</w:t>
            </w:r>
          </w:p>
          <w:p w:rsidR="002061E0" w:rsidRDefault="002061E0" w:rsidP="00E45619">
            <w:r>
              <w:t>PO Box 255</w:t>
            </w:r>
          </w:p>
          <w:p w:rsidR="002061E0" w:rsidRPr="00487162" w:rsidRDefault="002061E0" w:rsidP="00E45619">
            <w:r>
              <w:t>Dee Why NSW 2099</w:t>
            </w:r>
          </w:p>
        </w:tc>
      </w:tr>
      <w:tr w:rsidR="008E7846" w:rsidRPr="00487162" w:rsidTr="00BF1190">
        <w:tc>
          <w:tcPr>
            <w:tcW w:w="2907" w:type="dxa"/>
          </w:tcPr>
          <w:p w:rsidR="008E7846" w:rsidRPr="00487162" w:rsidRDefault="00DB3FB9" w:rsidP="00E45619">
            <w:pPr>
              <w:rPr>
                <w:i/>
              </w:rPr>
            </w:pPr>
            <w:r>
              <w:rPr>
                <w:i/>
              </w:rPr>
              <w:t>Dose form</w:t>
            </w:r>
            <w:r w:rsidR="001B5C90">
              <w:rPr>
                <w:i/>
              </w:rPr>
              <w:t>:</w:t>
            </w:r>
          </w:p>
        </w:tc>
        <w:tc>
          <w:tcPr>
            <w:tcW w:w="6307" w:type="dxa"/>
          </w:tcPr>
          <w:p w:rsidR="008E7846" w:rsidRPr="00487162" w:rsidRDefault="00DB3FB9" w:rsidP="00E45619">
            <w:r>
              <w:t>Hard capsule</w:t>
            </w:r>
            <w:r w:rsidR="00C6525D">
              <w:t>s</w:t>
            </w:r>
          </w:p>
        </w:tc>
      </w:tr>
      <w:tr w:rsidR="008E7846" w:rsidRPr="00487162" w:rsidTr="00BF1190">
        <w:tc>
          <w:tcPr>
            <w:tcW w:w="2907" w:type="dxa"/>
          </w:tcPr>
          <w:p w:rsidR="008E7846" w:rsidRPr="00487162" w:rsidRDefault="00DB3FB9" w:rsidP="00E45619">
            <w:pPr>
              <w:rPr>
                <w:i/>
              </w:rPr>
            </w:pPr>
            <w:r>
              <w:rPr>
                <w:i/>
              </w:rPr>
              <w:t>Strength:</w:t>
            </w:r>
          </w:p>
        </w:tc>
        <w:tc>
          <w:tcPr>
            <w:tcW w:w="6307" w:type="dxa"/>
          </w:tcPr>
          <w:p w:rsidR="008E7846" w:rsidRPr="00487162" w:rsidRDefault="002061E0" w:rsidP="008724A7">
            <w:r>
              <w:t>267</w:t>
            </w:r>
            <w:r w:rsidR="008724A7">
              <w:t> </w:t>
            </w:r>
            <w:r>
              <w:t>mg</w:t>
            </w:r>
          </w:p>
        </w:tc>
      </w:tr>
      <w:tr w:rsidR="008E7846" w:rsidRPr="00487162" w:rsidTr="00BF1190">
        <w:tc>
          <w:tcPr>
            <w:tcW w:w="2907" w:type="dxa"/>
          </w:tcPr>
          <w:p w:rsidR="008E7846" w:rsidRPr="00487162" w:rsidRDefault="00DB3FB9" w:rsidP="00E45619">
            <w:pPr>
              <w:rPr>
                <w:i/>
              </w:rPr>
            </w:pPr>
            <w:r>
              <w:rPr>
                <w:i/>
              </w:rPr>
              <w:t>Container</w:t>
            </w:r>
            <w:r w:rsidR="008E7846" w:rsidRPr="00487162">
              <w:rPr>
                <w:i/>
              </w:rPr>
              <w:t>:</w:t>
            </w:r>
          </w:p>
        </w:tc>
        <w:tc>
          <w:tcPr>
            <w:tcW w:w="6307" w:type="dxa"/>
          </w:tcPr>
          <w:p w:rsidR="008E7846" w:rsidRPr="00487162" w:rsidRDefault="00DB3FB9" w:rsidP="005371B8">
            <w:r>
              <w:t xml:space="preserve">HDPE </w:t>
            </w:r>
            <w:r w:rsidR="005371B8">
              <w:t>b</w:t>
            </w:r>
            <w:r w:rsidR="008724A7">
              <w:t>ottle</w:t>
            </w:r>
          </w:p>
        </w:tc>
      </w:tr>
      <w:tr w:rsidR="008E7846" w:rsidRPr="00487162" w:rsidTr="00BF1190">
        <w:tc>
          <w:tcPr>
            <w:tcW w:w="2907" w:type="dxa"/>
          </w:tcPr>
          <w:p w:rsidR="008E7846" w:rsidRPr="00487162" w:rsidRDefault="00DB3FB9" w:rsidP="00E45619">
            <w:pPr>
              <w:rPr>
                <w:i/>
              </w:rPr>
            </w:pPr>
            <w:r>
              <w:rPr>
                <w:i/>
              </w:rPr>
              <w:t>Pack size</w:t>
            </w:r>
            <w:r w:rsidR="008E7846" w:rsidRPr="00487162">
              <w:rPr>
                <w:i/>
              </w:rPr>
              <w:t>:</w:t>
            </w:r>
          </w:p>
        </w:tc>
        <w:tc>
          <w:tcPr>
            <w:tcW w:w="6307" w:type="dxa"/>
          </w:tcPr>
          <w:p w:rsidR="008E7846" w:rsidRPr="00487162" w:rsidRDefault="002061E0" w:rsidP="00E45619">
            <w:r>
              <w:t>270 tablets</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8724A7" w:rsidRDefault="008724A7" w:rsidP="00DB3FB9">
            <w:pPr>
              <w:rPr>
                <w:rFonts w:eastAsia="MS Mincho"/>
                <w:i/>
                <w:lang w:eastAsia="ja-JP"/>
              </w:rPr>
            </w:pPr>
            <w:r w:rsidRPr="008724A7">
              <w:rPr>
                <w:i/>
              </w:rPr>
              <w:t>E</w:t>
            </w:r>
            <w:r w:rsidR="00DB3FB9">
              <w:rPr>
                <w:i/>
              </w:rPr>
              <w:t>sbriet</w:t>
            </w:r>
            <w:r w:rsidRPr="008724A7">
              <w:rPr>
                <w:i/>
              </w:rPr>
              <w:t xml:space="preserve"> is indicated for the treatment of idiopathic pulmonary fibrosis (IPF)</w:t>
            </w:r>
          </w:p>
        </w:tc>
      </w:tr>
      <w:tr w:rsidR="008E7846" w:rsidRPr="00487162" w:rsidTr="00BF1190">
        <w:tc>
          <w:tcPr>
            <w:tcW w:w="2907" w:type="dxa"/>
          </w:tcPr>
          <w:p w:rsidR="008E7846" w:rsidRPr="00487162" w:rsidRDefault="008E7846" w:rsidP="00E45619">
            <w:pPr>
              <w:rPr>
                <w:i/>
              </w:rPr>
            </w:pPr>
            <w:r w:rsidRPr="00487162">
              <w:rPr>
                <w:i/>
              </w:rPr>
              <w:t>Route(s) of administration:</w:t>
            </w:r>
          </w:p>
        </w:tc>
        <w:tc>
          <w:tcPr>
            <w:tcW w:w="6307" w:type="dxa"/>
          </w:tcPr>
          <w:p w:rsidR="008E7846" w:rsidRPr="00487162" w:rsidRDefault="008724A7" w:rsidP="00E45619">
            <w:r>
              <w:t>Oral</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DB3FB9" w:rsidRDefault="00A136C5" w:rsidP="00DB3FB9">
            <w:r>
              <w:t>Treatment dose: T</w:t>
            </w:r>
            <w:r w:rsidR="005371B8">
              <w:t>hree 267 mg tables (</w:t>
            </w:r>
            <w:r w:rsidR="00DB3FB9">
              <w:t>801 mg per dose) taken three times dai</w:t>
            </w:r>
            <w:r>
              <w:t xml:space="preserve">ly (total daily dose = </w:t>
            </w:r>
            <w:r w:rsidR="00C6681F">
              <w:t>2,403</w:t>
            </w:r>
            <w:r>
              <w:t> mg) following 14 day dose escalation period. S</w:t>
            </w:r>
            <w:r w:rsidR="00DB3FB9">
              <w:t>ee approved Product Information</w:t>
            </w:r>
            <w:r>
              <w:t xml:space="preserve"> (PI) for full details of dosage and administration</w:t>
            </w:r>
          </w:p>
        </w:tc>
      </w:tr>
      <w:tr w:rsidR="008E7846" w:rsidRPr="00487162" w:rsidTr="00BF1190">
        <w:tc>
          <w:tcPr>
            <w:tcW w:w="2907" w:type="dxa"/>
          </w:tcPr>
          <w:p w:rsidR="008E7846" w:rsidRPr="00487162" w:rsidRDefault="008E7846" w:rsidP="001B5C90">
            <w:pPr>
              <w:rPr>
                <w:i/>
              </w:rPr>
            </w:pPr>
            <w:r w:rsidRPr="00487162">
              <w:rPr>
                <w:i/>
              </w:rPr>
              <w:t xml:space="preserve">ARTG </w:t>
            </w:r>
            <w:r w:rsidR="001B5C90">
              <w:rPr>
                <w:i/>
              </w:rPr>
              <w:t>n</w:t>
            </w:r>
            <w:r w:rsidR="00DB3FB9">
              <w:rPr>
                <w:i/>
              </w:rPr>
              <w:t>umber</w:t>
            </w:r>
            <w:r w:rsidR="001B5C90">
              <w:rPr>
                <w:i/>
              </w:rPr>
              <w:t>:</w:t>
            </w:r>
          </w:p>
        </w:tc>
        <w:tc>
          <w:tcPr>
            <w:tcW w:w="6307" w:type="dxa"/>
          </w:tcPr>
          <w:p w:rsidR="008E7846" w:rsidRPr="00487162" w:rsidRDefault="00DB3FB9" w:rsidP="00E45619">
            <w:r>
              <w:t>235577</w:t>
            </w:r>
          </w:p>
        </w:tc>
      </w:tr>
    </w:tbl>
    <w:p w:rsidR="008E7846" w:rsidRDefault="008E7846" w:rsidP="008E7846">
      <w:pPr>
        <w:pStyle w:val="Heading3"/>
      </w:pPr>
      <w:bookmarkStart w:id="12" w:name="_Toc247691503"/>
      <w:bookmarkStart w:id="13" w:name="_Toc314842484"/>
      <w:bookmarkStart w:id="14" w:name="_Toc453068478"/>
      <w:r>
        <w:t>Product background</w:t>
      </w:r>
      <w:bookmarkEnd w:id="12"/>
      <w:bookmarkEnd w:id="13"/>
      <w:bookmarkEnd w:id="14"/>
    </w:p>
    <w:p w:rsidR="00484FC4" w:rsidRDefault="00484FC4" w:rsidP="00484FC4">
      <w:r>
        <w:t xml:space="preserve">This </w:t>
      </w:r>
      <w:proofErr w:type="spellStart"/>
      <w:r>
        <w:t>AusPAR</w:t>
      </w:r>
      <w:proofErr w:type="spellEnd"/>
      <w:r>
        <w:t xml:space="preserve"> describes the application by Roche Products Pty Ltd </w:t>
      </w:r>
      <w:r w:rsidR="002152D1">
        <w:t xml:space="preserve">(the sponsor) </w:t>
      </w:r>
      <w:r>
        <w:t xml:space="preserve">to register </w:t>
      </w:r>
      <w:r w:rsidR="00DB3FB9">
        <w:t xml:space="preserve">capsules containing 267 mg </w:t>
      </w:r>
      <w:r w:rsidR="00ED65FD">
        <w:t>of the new chemical entity</w:t>
      </w:r>
      <w:r w:rsidR="00542BF5">
        <w:t xml:space="preserve"> (NCE)</w:t>
      </w:r>
      <w:r w:rsidR="00ED65FD">
        <w:t xml:space="preserve"> </w:t>
      </w:r>
      <w:proofErr w:type="spellStart"/>
      <w:r w:rsidR="002152D1">
        <w:t>pirfenidone</w:t>
      </w:r>
      <w:proofErr w:type="spellEnd"/>
      <w:r w:rsidR="00ED65FD">
        <w:t xml:space="preserve"> under the trade name Esbriet. The application was </w:t>
      </w:r>
      <w:r w:rsidR="002152D1">
        <w:t>for the indication of:</w:t>
      </w:r>
    </w:p>
    <w:p w:rsidR="002152D1" w:rsidRDefault="002152D1" w:rsidP="002152D1">
      <w:pPr>
        <w:ind w:left="1440"/>
        <w:rPr>
          <w:rFonts w:eastAsia="MS Mincho" w:cs="Calibri"/>
          <w:i/>
          <w:lang w:eastAsia="ja-JP"/>
        </w:rPr>
      </w:pPr>
      <w:r w:rsidRPr="002152D1">
        <w:rPr>
          <w:rFonts w:eastAsia="MS Mincho" w:cs="Calibri"/>
          <w:i/>
          <w:lang w:eastAsia="ja-JP"/>
        </w:rPr>
        <w:t>‘</w:t>
      </w:r>
      <w:proofErr w:type="gramStart"/>
      <w:r w:rsidRPr="002152D1">
        <w:rPr>
          <w:rFonts w:eastAsia="MS Mincho" w:cs="Calibri"/>
          <w:i/>
          <w:lang w:eastAsia="ja-JP"/>
        </w:rPr>
        <w:t>the</w:t>
      </w:r>
      <w:proofErr w:type="gramEnd"/>
      <w:r w:rsidRPr="002152D1">
        <w:rPr>
          <w:rFonts w:eastAsia="MS Mincho" w:cs="Calibri"/>
          <w:i/>
          <w:lang w:eastAsia="ja-JP"/>
        </w:rPr>
        <w:t xml:space="preserve"> treatment of idiopathic pulmonary fibrosis (IPF)’</w:t>
      </w:r>
    </w:p>
    <w:p w:rsidR="006132A2" w:rsidRDefault="006132A2" w:rsidP="006132A2">
      <w:proofErr w:type="spellStart"/>
      <w:r>
        <w:t>Pirfenidone</w:t>
      </w:r>
      <w:proofErr w:type="spellEnd"/>
      <w:r w:rsidR="003548DC">
        <w:t xml:space="preserve"> </w:t>
      </w:r>
      <w:r>
        <w:t xml:space="preserve">is the first </w:t>
      </w:r>
      <w:r w:rsidR="00542BF5">
        <w:t xml:space="preserve">drug </w:t>
      </w:r>
      <w:r>
        <w:t>in its pharmacological class and has been placed in the WHOCC (World Health Organisation Collaborating Centres) ATC (</w:t>
      </w:r>
      <w:r w:rsidRPr="00304D17">
        <w:t>Anatomical Therapeutic Chemical Classification</w:t>
      </w:r>
      <w:r>
        <w:t xml:space="preserve">) drug class of other </w:t>
      </w:r>
      <w:proofErr w:type="spellStart"/>
      <w:r>
        <w:t>immunosuppressants</w:t>
      </w:r>
      <w:proofErr w:type="spellEnd"/>
      <w:r>
        <w:t xml:space="preserve">’ and has been designated an ATC </w:t>
      </w:r>
      <w:r w:rsidR="00542BF5">
        <w:t xml:space="preserve">drug </w:t>
      </w:r>
      <w:r>
        <w:t>code of L04AX05.</w:t>
      </w:r>
    </w:p>
    <w:p w:rsidR="00A136C5" w:rsidRDefault="00ED65FD" w:rsidP="00A136C5">
      <w:pPr>
        <w:rPr>
          <w:lang w:eastAsia="ja-JP"/>
        </w:rPr>
      </w:pPr>
      <w:r>
        <w:rPr>
          <w:lang w:eastAsia="ja-JP"/>
        </w:rPr>
        <w:lastRenderedPageBreak/>
        <w:t>T</w:t>
      </w:r>
      <w:r w:rsidR="006132A2" w:rsidRPr="006B33B2">
        <w:rPr>
          <w:lang w:eastAsia="ja-JP"/>
        </w:rPr>
        <w:t>he</w:t>
      </w:r>
      <w:r>
        <w:rPr>
          <w:lang w:eastAsia="ja-JP"/>
        </w:rPr>
        <w:t xml:space="preserve"> exact</w:t>
      </w:r>
      <w:r w:rsidR="006132A2" w:rsidRPr="006B33B2">
        <w:rPr>
          <w:lang w:eastAsia="ja-JP"/>
        </w:rPr>
        <w:t xml:space="preserve"> mechanism</w:t>
      </w:r>
      <w:r>
        <w:rPr>
          <w:lang w:eastAsia="ja-JP"/>
        </w:rPr>
        <w:t xml:space="preserve"> </w:t>
      </w:r>
      <w:r w:rsidR="00526DBA">
        <w:rPr>
          <w:lang w:eastAsia="ja-JP"/>
        </w:rPr>
        <w:t>of action</w:t>
      </w:r>
      <w:r>
        <w:rPr>
          <w:lang w:eastAsia="ja-JP"/>
        </w:rPr>
        <w:t xml:space="preserve"> </w:t>
      </w:r>
      <w:r w:rsidR="006132A2" w:rsidRPr="006B33B2">
        <w:rPr>
          <w:lang w:eastAsia="ja-JP"/>
        </w:rPr>
        <w:t xml:space="preserve">has not </w:t>
      </w:r>
      <w:r w:rsidR="006132A2">
        <w:rPr>
          <w:lang w:eastAsia="ja-JP"/>
        </w:rPr>
        <w:t xml:space="preserve">yet </w:t>
      </w:r>
      <w:r w:rsidR="006132A2" w:rsidRPr="006B33B2">
        <w:rPr>
          <w:lang w:eastAsia="ja-JP"/>
        </w:rPr>
        <w:t>been fully established.</w:t>
      </w:r>
      <w:r w:rsidR="006132A2">
        <w:rPr>
          <w:lang w:eastAsia="ja-JP"/>
        </w:rPr>
        <w:t xml:space="preserve"> </w:t>
      </w:r>
      <w:r w:rsidR="006132A2">
        <w:t xml:space="preserve">It is </w:t>
      </w:r>
      <w:r w:rsidR="006132A2">
        <w:rPr>
          <w:lang w:eastAsia="ja-JP"/>
        </w:rPr>
        <w:t>and described as an anti</w:t>
      </w:r>
      <w:r>
        <w:rPr>
          <w:lang w:eastAsia="ja-JP"/>
        </w:rPr>
        <w:noBreakHyphen/>
      </w:r>
      <w:r w:rsidR="006132A2">
        <w:rPr>
          <w:lang w:eastAsia="ja-JP"/>
        </w:rPr>
        <w:t>fibrotic agent with anti</w:t>
      </w:r>
      <w:r>
        <w:rPr>
          <w:lang w:eastAsia="ja-JP"/>
        </w:rPr>
        <w:noBreakHyphen/>
        <w:t>inflammatory properties.</w:t>
      </w:r>
    </w:p>
    <w:p w:rsidR="00A136C5" w:rsidRDefault="00A136C5">
      <w:r>
        <w:rPr>
          <w:lang w:eastAsia="ja-JP"/>
        </w:rPr>
        <w:t>Idiopathic pulmonary fibrosis</w:t>
      </w:r>
      <w:r w:rsidR="00D44886">
        <w:rPr>
          <w:lang w:eastAsia="ja-JP"/>
        </w:rPr>
        <w:t xml:space="preserve"> (</w:t>
      </w:r>
      <w:r>
        <w:t>IPF</w:t>
      </w:r>
      <w:r w:rsidR="00D44886">
        <w:t>)</w:t>
      </w:r>
      <w:r w:rsidR="002152D1">
        <w:t xml:space="preserve"> is a distinct form of </w:t>
      </w:r>
      <w:r>
        <w:t xml:space="preserve">irreversible </w:t>
      </w:r>
      <w:r w:rsidR="002152D1">
        <w:t xml:space="preserve">chronic fibrosing interstitial pneumonia </w:t>
      </w:r>
      <w:r>
        <w:t>of unknown aetiology. It generally occurs in older adults, is limited to the lungs and is associated with a histological/radiological appearance known as ‘usual interstitial pneumonia’. It is a rare condition with a prevalence estimated at between 2 and 29 cases per 100,000 of the population.</w:t>
      </w:r>
      <w:r w:rsidR="00F92CEB">
        <w:t xml:space="preserve"> </w:t>
      </w:r>
      <w:r w:rsidR="002152D1">
        <w:t>The clinical course is characterised by debilitating loss of lung function</w:t>
      </w:r>
      <w:r w:rsidR="00F92CEB">
        <w:t xml:space="preserve"> resulting in respiratory insufficiency</w:t>
      </w:r>
      <w:r w:rsidR="002152D1">
        <w:t>, with an estimated median survival after di</w:t>
      </w:r>
      <w:r w:rsidR="00F92CEB">
        <w:t xml:space="preserve">agnosis of </w:t>
      </w:r>
      <w:r>
        <w:t>2.5 to 5 years.</w:t>
      </w:r>
      <w:r w:rsidR="00D44886">
        <w:t xml:space="preserve"> </w:t>
      </w:r>
      <w:r w:rsidR="00D44886" w:rsidRPr="00D44886">
        <w:t>Early medical treatments for IPF were largely ineffective, and despite being a rare condition, currently IPF accounts for approximately 23% of lung transplantations performed worldwide, usually for selected younger patients.</w:t>
      </w:r>
    </w:p>
    <w:p w:rsidR="002152D1" w:rsidRDefault="002152D1" w:rsidP="002152D1">
      <w:r>
        <w:t xml:space="preserve">One view of pathogenesis </w:t>
      </w:r>
      <w:r w:rsidR="00D44886">
        <w:t xml:space="preserve">of IPF </w:t>
      </w:r>
      <w:r>
        <w:t>postulates fibroblastic foci and excess collagen following release of pro-fibrotic mediators</w:t>
      </w:r>
      <w:r w:rsidR="00F92CEB">
        <w:t xml:space="preserve"> such as </w:t>
      </w:r>
      <w:r w:rsidR="00526DBA">
        <w:t>platelet derived growth factor (</w:t>
      </w:r>
      <w:r w:rsidR="00F92CEB" w:rsidRPr="00526DBA">
        <w:t>PDGF</w:t>
      </w:r>
      <w:r w:rsidR="00526DBA">
        <w:t>)</w:t>
      </w:r>
      <w:r w:rsidR="00F92CEB">
        <w:t xml:space="preserve"> and possibly </w:t>
      </w:r>
      <w:r w:rsidR="00526DBA">
        <w:t>vascular endothelial growth factor (</w:t>
      </w:r>
      <w:r w:rsidR="00F92CEB" w:rsidRPr="00526DBA">
        <w:t>VEGF</w:t>
      </w:r>
      <w:r w:rsidR="00526DBA">
        <w:t>)</w:t>
      </w:r>
      <w:r>
        <w:t xml:space="preserve"> due to micro-injuries to alveolar epithelium.</w:t>
      </w:r>
      <w:r w:rsidR="00F92CEB">
        <w:t xml:space="preserve"> The aetiology of initial alveolar cell injury is as yet unknown.</w:t>
      </w:r>
    </w:p>
    <w:p w:rsidR="00484FC4" w:rsidRDefault="002152D1" w:rsidP="00744158">
      <w:r>
        <w:t xml:space="preserve">In 2011 the American Thoracic Society and other international respiratory organisations published </w:t>
      </w:r>
      <w:r w:rsidR="00F92CEB">
        <w:t>E</w:t>
      </w:r>
      <w:r>
        <w:t>vidence-based Guidelines for Diagnosis and Management for IPF.</w:t>
      </w:r>
      <w:r w:rsidRPr="00ED65FD">
        <w:rPr>
          <w:rStyle w:val="FootnoteReference"/>
        </w:rPr>
        <w:footnoteReference w:id="1"/>
      </w:r>
      <w:r w:rsidR="00D44886">
        <w:t xml:space="preserve"> </w:t>
      </w:r>
    </w:p>
    <w:p w:rsidR="008E7846" w:rsidRPr="003F31A2" w:rsidRDefault="00386150" w:rsidP="008E7846">
      <w:pPr>
        <w:pStyle w:val="Heading3"/>
      </w:pPr>
      <w:bookmarkStart w:id="15" w:name="_Toc314842485"/>
      <w:bookmarkStart w:id="16" w:name="_Toc247691504"/>
      <w:bookmarkStart w:id="17" w:name="_Toc453068479"/>
      <w:r>
        <w:t>Regulatory s</w:t>
      </w:r>
      <w:r w:rsidR="008E7846">
        <w:t>tatus</w:t>
      </w:r>
      <w:bookmarkEnd w:id="15"/>
      <w:bookmarkEnd w:id="16"/>
      <w:bookmarkEnd w:id="17"/>
    </w:p>
    <w:p w:rsidR="00940A89" w:rsidRDefault="00940A89" w:rsidP="00940A89">
      <w:bookmarkStart w:id="18" w:name="_Toc247691505"/>
      <w:bookmarkStart w:id="19" w:name="_Toc314842486"/>
      <w:r w:rsidRPr="00ED65FD">
        <w:t>The product received initial registration on the Australian Register of Therapeutic Goods (ARTG) on</w:t>
      </w:r>
      <w:r w:rsidR="00ED65FD">
        <w:t xml:space="preserve"> 29 February 2015.</w:t>
      </w:r>
    </w:p>
    <w:p w:rsidR="00850676" w:rsidRDefault="00850676" w:rsidP="00850676">
      <w:pPr>
        <w:pStyle w:val="Heading4"/>
      </w:pPr>
      <w:r>
        <w:t>Australian regulatory status</w:t>
      </w:r>
    </w:p>
    <w:p w:rsidR="00340360" w:rsidRDefault="00A94DD5" w:rsidP="00A94DD5">
      <w:proofErr w:type="spellStart"/>
      <w:r w:rsidRPr="00A94DD5">
        <w:t>Pirfenidone</w:t>
      </w:r>
      <w:proofErr w:type="spellEnd"/>
      <w:r w:rsidRPr="00A94DD5">
        <w:t xml:space="preserve"> has not previously been submitted to the TGA for approval within Australia. Through the </w:t>
      </w:r>
      <w:r w:rsidR="00340360" w:rsidRPr="00A94DD5">
        <w:t xml:space="preserve">Special Access Scheme (SAS) </w:t>
      </w:r>
      <w:r w:rsidRPr="00A94DD5">
        <w:t xml:space="preserve">of </w:t>
      </w:r>
      <w:r w:rsidR="00340360" w:rsidRPr="00A94DD5">
        <w:t>Australia</w:t>
      </w:r>
      <w:r w:rsidRPr="00A94DD5">
        <w:t xml:space="preserve">, </w:t>
      </w:r>
      <w:proofErr w:type="spellStart"/>
      <w:r w:rsidRPr="00A94DD5">
        <w:t>pirfenidone</w:t>
      </w:r>
      <w:proofErr w:type="spellEnd"/>
      <w:r w:rsidRPr="00A94DD5">
        <w:t xml:space="preserve"> has been occasionally prescribed</w:t>
      </w:r>
      <w:r w:rsidR="00340360" w:rsidRPr="00A94DD5">
        <w:t xml:space="preserve"> usually </w:t>
      </w:r>
      <w:r w:rsidRPr="00A94DD5">
        <w:t>through the requests of</w:t>
      </w:r>
      <w:r w:rsidR="00340360" w:rsidRPr="00A94DD5">
        <w:t xml:space="preserve"> respiratory specialists to supply </w:t>
      </w:r>
      <w:r w:rsidR="00D32AA1">
        <w:t xml:space="preserve">on a named </w:t>
      </w:r>
      <w:r w:rsidRPr="00A94DD5">
        <w:t xml:space="preserve">patient basis or to </w:t>
      </w:r>
      <w:r w:rsidR="00340360" w:rsidRPr="00A94DD5">
        <w:t>specified patients who were participants in clinical trials.</w:t>
      </w:r>
      <w:r w:rsidR="00850676" w:rsidRPr="00A94DD5">
        <w:t xml:space="preserve"> </w:t>
      </w:r>
      <w:proofErr w:type="spellStart"/>
      <w:r w:rsidR="00850676" w:rsidRPr="00A94DD5">
        <w:t>Pirfenidone</w:t>
      </w:r>
      <w:proofErr w:type="spellEnd"/>
      <w:r w:rsidR="00850676" w:rsidRPr="00A94DD5">
        <w:t xml:space="preserve"> does not have orphan drug status.</w:t>
      </w:r>
    </w:p>
    <w:p w:rsidR="00340360" w:rsidRDefault="00340360" w:rsidP="00340360">
      <w:pPr>
        <w:pStyle w:val="Heading4"/>
      </w:pPr>
      <w:r>
        <w:t>International regulatory status</w:t>
      </w:r>
      <w:r w:rsidR="00ED65FD">
        <w:t xml:space="preserve"> and approval history</w:t>
      </w:r>
    </w:p>
    <w:p w:rsidR="003A3D88" w:rsidRDefault="003A3D88" w:rsidP="00340360">
      <w:proofErr w:type="spellStart"/>
      <w:r>
        <w:t>Pirfenidone</w:t>
      </w:r>
      <w:proofErr w:type="spellEnd"/>
      <w:r>
        <w:t xml:space="preserve"> was first </w:t>
      </w:r>
      <w:r w:rsidR="006132A2">
        <w:t xml:space="preserve">approved for </w:t>
      </w:r>
      <w:r>
        <w:t xml:space="preserve">the </w:t>
      </w:r>
      <w:r w:rsidR="006132A2">
        <w:t xml:space="preserve">treatment of IPF in </w:t>
      </w:r>
      <w:r>
        <w:t>Japan in 2008</w:t>
      </w:r>
      <w:r w:rsidR="00340360">
        <w:t>.</w:t>
      </w:r>
    </w:p>
    <w:p w:rsidR="00340360" w:rsidRPr="00340360" w:rsidRDefault="00340360" w:rsidP="00940A89">
      <w:pPr>
        <w:rPr>
          <w:kern w:val="2"/>
        </w:rPr>
      </w:pPr>
      <w:proofErr w:type="spellStart"/>
      <w:r w:rsidRPr="0096468A">
        <w:rPr>
          <w:kern w:val="2"/>
        </w:rPr>
        <w:t>Pirfenidone</w:t>
      </w:r>
      <w:proofErr w:type="spellEnd"/>
      <w:r w:rsidRPr="0096468A">
        <w:rPr>
          <w:kern w:val="2"/>
        </w:rPr>
        <w:t xml:space="preserve"> </w:t>
      </w:r>
      <w:r>
        <w:rPr>
          <w:kern w:val="2"/>
        </w:rPr>
        <w:t>has since been</w:t>
      </w:r>
      <w:r w:rsidRPr="0096468A">
        <w:rPr>
          <w:kern w:val="2"/>
        </w:rPr>
        <w:t xml:space="preserve"> approved for the </w:t>
      </w:r>
      <w:r>
        <w:rPr>
          <w:kern w:val="2"/>
        </w:rPr>
        <w:t>indication</w:t>
      </w:r>
      <w:r w:rsidRPr="0096468A">
        <w:rPr>
          <w:kern w:val="2"/>
        </w:rPr>
        <w:t xml:space="preserve"> of </w:t>
      </w:r>
      <w:r>
        <w:rPr>
          <w:kern w:val="2"/>
        </w:rPr>
        <w:t>‘</w:t>
      </w:r>
      <w:r w:rsidRPr="00340360">
        <w:rPr>
          <w:i/>
          <w:kern w:val="2"/>
        </w:rPr>
        <w:t>mild to moderate idiopathic pulmonary fibrosis</w:t>
      </w:r>
      <w:r>
        <w:rPr>
          <w:i/>
          <w:kern w:val="2"/>
        </w:rPr>
        <w:t>’</w:t>
      </w:r>
      <w:r w:rsidRPr="0096468A">
        <w:rPr>
          <w:kern w:val="2"/>
        </w:rPr>
        <w:t xml:space="preserve"> in the EU (February 2011) and Canada (October 2012), and for the treatment of idiopathic pulmonary fibrosis in the US (October 2014)</w:t>
      </w:r>
      <w:r w:rsidR="00D02FFF">
        <w:rPr>
          <w:kern w:val="2"/>
        </w:rPr>
        <w:t xml:space="preserve"> and Switzerland (September 2015)</w:t>
      </w:r>
    </w:p>
    <w:p w:rsidR="008E7846" w:rsidRDefault="008E7846" w:rsidP="00940A89">
      <w:pPr>
        <w:pStyle w:val="Heading3"/>
      </w:pPr>
      <w:bookmarkStart w:id="20" w:name="_Toc453068480"/>
      <w:r>
        <w:t>Product Information</w:t>
      </w:r>
      <w:bookmarkEnd w:id="18"/>
      <w:bookmarkEnd w:id="19"/>
      <w:bookmarkEnd w:id="20"/>
    </w:p>
    <w:p w:rsidR="00940A89" w:rsidRDefault="00940A89" w:rsidP="00940A89">
      <w:pPr>
        <w:rPr>
          <w:b/>
          <w:bCs/>
        </w:rPr>
      </w:pPr>
      <w:bookmarkStart w:id="21" w:name="_Toc247691506"/>
      <w:bookmarkStart w:id="22" w:name="_Toc314842487"/>
      <w:r w:rsidRPr="00940A89">
        <w:t xml:space="preserve">The approved Product Information (PI) current at the time this </w:t>
      </w:r>
      <w:proofErr w:type="spellStart"/>
      <w:r w:rsidRPr="00940A89">
        <w:t>AusPAR</w:t>
      </w:r>
      <w:proofErr w:type="spellEnd"/>
      <w:r w:rsidRPr="00940A89">
        <w:t xml:space="preserve">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4" w:history="1">
        <w:r w:rsidR="00441C3F" w:rsidRPr="00441C3F">
          <w:rPr>
            <w:rStyle w:val="Hyperlink"/>
          </w:rPr>
          <w:t>https://www.tga.gov.au/product-information-pi</w:t>
        </w:r>
      </w:hyperlink>
      <w:r w:rsidR="00441C3F">
        <w:t>&gt;</w:t>
      </w:r>
      <w:r w:rsidRPr="00940A89">
        <w:t>.</w:t>
      </w:r>
    </w:p>
    <w:p w:rsidR="008E7846" w:rsidRDefault="008E7846" w:rsidP="008E7846">
      <w:pPr>
        <w:pStyle w:val="Heading2"/>
        <w:ind w:left="-11"/>
      </w:pPr>
      <w:bookmarkStart w:id="23" w:name="_Toc453068481"/>
      <w:r>
        <w:lastRenderedPageBreak/>
        <w:t>II. Quality</w:t>
      </w:r>
      <w:bookmarkEnd w:id="1"/>
      <w:r>
        <w:t xml:space="preserve"> findings</w:t>
      </w:r>
      <w:bookmarkEnd w:id="21"/>
      <w:bookmarkEnd w:id="22"/>
      <w:bookmarkEnd w:id="23"/>
    </w:p>
    <w:p w:rsidR="00ED65FD" w:rsidRDefault="00ED65FD" w:rsidP="00ED65FD">
      <w:pPr>
        <w:pStyle w:val="Heading3"/>
      </w:pPr>
      <w:bookmarkStart w:id="24" w:name="_Toc453068482"/>
      <w:r>
        <w:t>Introduction</w:t>
      </w:r>
      <w:bookmarkEnd w:id="24"/>
    </w:p>
    <w:p w:rsidR="00ED65FD" w:rsidRDefault="00ED65FD" w:rsidP="00ED65FD">
      <w:r>
        <w:t>The sponsor</w:t>
      </w:r>
      <w:r w:rsidR="00A83E46">
        <w:t xml:space="preserve"> proposed to register hard opaque capsule</w:t>
      </w:r>
      <w:r w:rsidR="00DB63E9">
        <w:t xml:space="preserve">s containing 267 mg </w:t>
      </w:r>
      <w:proofErr w:type="spellStart"/>
      <w:r w:rsidR="00DB63E9">
        <w:t>pirfenidone</w:t>
      </w:r>
      <w:proofErr w:type="spellEnd"/>
      <w:r w:rsidR="00DB63E9">
        <w:t xml:space="preserve">. The active ingredient is a new chemical entity </w:t>
      </w:r>
      <w:r w:rsidR="00C62213">
        <w:t>with the structure shown below (Figure 1). It has an unclear mechanism of action, and has been placed in the ‘other immunosuppressant’ class by the WHOCC.</w:t>
      </w:r>
    </w:p>
    <w:p w:rsidR="00C62213" w:rsidRPr="00ED65FD" w:rsidRDefault="00C62213" w:rsidP="00ED65FD">
      <w:r>
        <w:t xml:space="preserve">The recommended effective and maximum dose is </w:t>
      </w:r>
      <w:r w:rsidR="00C6681F">
        <w:t>2,403</w:t>
      </w:r>
      <w:r>
        <w:t xml:space="preserve"> mg/day (three 267 mg capsules taken three times daily (TDS), therefore a maximum of nine capsules/day).</w:t>
      </w:r>
    </w:p>
    <w:p w:rsidR="0071523A" w:rsidRDefault="008E7846" w:rsidP="00915A22">
      <w:pPr>
        <w:pStyle w:val="Heading3"/>
      </w:pPr>
      <w:bookmarkStart w:id="25" w:name="_Toc247691507"/>
      <w:bookmarkStart w:id="26" w:name="_Toc314842488"/>
      <w:bookmarkStart w:id="27" w:name="_Toc453068483"/>
      <w:r w:rsidRPr="008751DC">
        <w:t xml:space="preserve">Drug </w:t>
      </w:r>
      <w:r>
        <w:t>s</w:t>
      </w:r>
      <w:r w:rsidRPr="008751DC">
        <w:t>ubstance</w:t>
      </w:r>
      <w:r>
        <w:t xml:space="preserve"> (active ingredient)</w:t>
      </w:r>
      <w:bookmarkEnd w:id="25"/>
      <w:bookmarkEnd w:id="26"/>
      <w:bookmarkEnd w:id="27"/>
    </w:p>
    <w:p w:rsidR="00A83E46" w:rsidRPr="00A83E46" w:rsidRDefault="00A83E46" w:rsidP="00A83E46">
      <w:pPr>
        <w:pStyle w:val="FigureTitle"/>
      </w:pPr>
      <w:r>
        <w:t xml:space="preserve">Figure 1: Structure of </w:t>
      </w:r>
      <w:proofErr w:type="spellStart"/>
      <w:r>
        <w:t>p</w:t>
      </w:r>
      <w:r w:rsidR="00DF24EC">
        <w:t>irfenidone</w:t>
      </w:r>
      <w:proofErr w:type="spellEnd"/>
      <w:r w:rsidR="00DF24EC">
        <w:t xml:space="preserve"> and basic properties</w:t>
      </w:r>
      <w:r w:rsidR="006653F8">
        <w:t xml:space="preserve"> of the active drug substance</w:t>
      </w:r>
    </w:p>
    <w:p w:rsidR="00340360" w:rsidRDefault="00340360" w:rsidP="00940A89">
      <w:pPr>
        <w:rPr>
          <w:b/>
          <w:i/>
        </w:rPr>
      </w:pPr>
      <w:r>
        <w:rPr>
          <w:noProof/>
          <w:lang w:eastAsia="en-AU"/>
        </w:rPr>
        <w:drawing>
          <wp:inline distT="0" distB="0" distL="0" distR="0" wp14:anchorId="76188665" wp14:editId="25E8BCE4">
            <wp:extent cx="5400040" cy="1279048"/>
            <wp:effectExtent l="0" t="0" r="0" b="0"/>
            <wp:docPr id="1" name="Picture 1" descr="Figure 1: Structure of pirfenidone and basic properties of the active drug sub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1279048"/>
                    </a:xfrm>
                    <a:prstGeom prst="rect">
                      <a:avLst/>
                    </a:prstGeom>
                  </pic:spPr>
                </pic:pic>
              </a:graphicData>
            </a:graphic>
          </wp:inline>
        </w:drawing>
      </w:r>
    </w:p>
    <w:p w:rsidR="008E7846" w:rsidRDefault="00915A22" w:rsidP="00940A89">
      <w:r>
        <w:t xml:space="preserve">The drug substance </w:t>
      </w:r>
      <w:proofErr w:type="spellStart"/>
      <w:r>
        <w:t>pirfenidone</w:t>
      </w:r>
      <w:proofErr w:type="spellEnd"/>
      <w:r>
        <w:t xml:space="preserve"> is an achiral, non</w:t>
      </w:r>
      <w:r>
        <w:noBreakHyphen/>
      </w:r>
      <w:r w:rsidR="0071523A" w:rsidRPr="0071523A">
        <w:t xml:space="preserve">hygroscopic white to pale yellow powder. </w:t>
      </w:r>
      <w:proofErr w:type="spellStart"/>
      <w:r w:rsidR="0071523A" w:rsidRPr="0071523A">
        <w:t>Pirfenidone</w:t>
      </w:r>
      <w:proofErr w:type="spellEnd"/>
      <w:r w:rsidR="0071523A" w:rsidRPr="0071523A">
        <w:t xml:space="preserve"> has been shown to have high permeability. The solubility and permeability profile</w:t>
      </w:r>
      <w:r>
        <w:t xml:space="preserve">s suggest that </w:t>
      </w:r>
      <w:proofErr w:type="spellStart"/>
      <w:r>
        <w:t>pirfenidone</w:t>
      </w:r>
      <w:proofErr w:type="spellEnd"/>
      <w:r>
        <w:t xml:space="preserve"> is a Biopharmaceutics Classification System </w:t>
      </w:r>
      <w:r w:rsidR="002A6201">
        <w:t xml:space="preserve">(BCS) </w:t>
      </w:r>
      <w:r w:rsidR="0071523A" w:rsidRPr="0071523A">
        <w:t>Class 1 drug.</w:t>
      </w:r>
      <w:r>
        <w:rPr>
          <w:rStyle w:val="FootnoteReference"/>
        </w:rPr>
        <w:footnoteReference w:id="2"/>
      </w:r>
    </w:p>
    <w:p w:rsidR="0071523A" w:rsidRDefault="0071523A" w:rsidP="00940A89">
      <w:r w:rsidRPr="0071523A">
        <w:t xml:space="preserve">There is only one polymorphic form of </w:t>
      </w:r>
      <w:proofErr w:type="spellStart"/>
      <w:r w:rsidRPr="0071523A">
        <w:t>pirfenidone</w:t>
      </w:r>
      <w:proofErr w:type="spellEnd"/>
      <w:r w:rsidRPr="0071523A">
        <w:t xml:space="preserve">, designated as Form A, which was identified during the phase transition studies. The polymorphic form was not affected by the milling process and the manufacturing processes of the drug product. Form A of </w:t>
      </w:r>
      <w:proofErr w:type="spellStart"/>
      <w:r w:rsidRPr="0071523A">
        <w:t>pirfenidone</w:t>
      </w:r>
      <w:proofErr w:type="spellEnd"/>
      <w:r w:rsidRPr="0071523A">
        <w:t xml:space="preserve"> was used in all non-clinical and clinical studies.</w:t>
      </w:r>
    </w:p>
    <w:p w:rsidR="003C188E" w:rsidRDefault="003C188E" w:rsidP="00812C76">
      <w:r w:rsidRPr="0023395F">
        <w:t xml:space="preserve">The quality control of the drug substance (including the drug substance specification) is mostly acceptable. The proposed specification limits have been adequately justified except for the limit for one of the specified impurities. Although the proposed limits for specified and unspecified impurities comply with the </w:t>
      </w:r>
      <w:r w:rsidR="00915A22">
        <w:t>International Conference on Harmonisation (</w:t>
      </w:r>
      <w:r w:rsidRPr="0023395F">
        <w:t>ICH</w:t>
      </w:r>
      <w:r w:rsidR="00915A22">
        <w:t>)</w:t>
      </w:r>
      <w:r w:rsidRPr="0023395F">
        <w:t xml:space="preserve"> identification/qualification threshold (0.05%), this limit was not accepted by the </w:t>
      </w:r>
      <w:r>
        <w:t>t</w:t>
      </w:r>
      <w:r w:rsidRPr="0023395F">
        <w:t xml:space="preserve">oxicological </w:t>
      </w:r>
      <w:r w:rsidR="00E60988">
        <w:t>Delegate</w:t>
      </w:r>
      <w:r w:rsidRPr="0023395F">
        <w:t xml:space="preserve"> for specified impurity</w:t>
      </w:r>
      <w:r w:rsidR="009A36CE">
        <w:t xml:space="preserve"> D of the </w:t>
      </w:r>
      <w:proofErr w:type="spellStart"/>
      <w:r w:rsidR="009A36CE">
        <w:t>pirfenidone</w:t>
      </w:r>
      <w:proofErr w:type="spellEnd"/>
      <w:r w:rsidR="009A36CE">
        <w:t xml:space="preserve"> monograph in the European </w:t>
      </w:r>
      <w:r w:rsidR="00622087">
        <w:t>Pharmacopoeia</w:t>
      </w:r>
      <w:r w:rsidR="004236DA">
        <w:t>.</w:t>
      </w:r>
      <w:bookmarkStart w:id="28" w:name="_Ref455588256"/>
      <w:r w:rsidR="004236DA">
        <w:rPr>
          <w:rStyle w:val="FootnoteReference"/>
        </w:rPr>
        <w:footnoteReference w:id="3"/>
      </w:r>
      <w:bookmarkEnd w:id="28"/>
      <w:r w:rsidRPr="0023395F">
        <w:t xml:space="preserve"> </w:t>
      </w:r>
    </w:p>
    <w:p w:rsidR="008E7846" w:rsidRDefault="008E7846" w:rsidP="008E7846">
      <w:pPr>
        <w:pStyle w:val="Heading3"/>
      </w:pPr>
      <w:bookmarkStart w:id="29" w:name="_Toc247691508"/>
      <w:bookmarkStart w:id="30" w:name="_Toc314842490"/>
      <w:bookmarkStart w:id="31" w:name="_Toc453068484"/>
      <w:r w:rsidRPr="008751DC">
        <w:t xml:space="preserve">Drug </w:t>
      </w:r>
      <w:r>
        <w:t>p</w:t>
      </w:r>
      <w:r w:rsidRPr="008751DC">
        <w:t>roduct</w:t>
      </w:r>
      <w:bookmarkEnd w:id="29"/>
      <w:bookmarkEnd w:id="30"/>
      <w:bookmarkEnd w:id="31"/>
    </w:p>
    <w:p w:rsidR="00A83E46" w:rsidRPr="00A83E46" w:rsidRDefault="00A83E46" w:rsidP="00A83E46">
      <w:r>
        <w:t>The following table lists each ingredient, with respective quantities</w:t>
      </w:r>
      <w:r w:rsidR="00DF24EC">
        <w:t xml:space="preserve"> (in mg)</w:t>
      </w:r>
      <w:r>
        <w:t xml:space="preserve"> and function</w:t>
      </w:r>
      <w:r w:rsidR="00DF24EC">
        <w:t xml:space="preserve"> of each excipient in the drug product:</w:t>
      </w:r>
    </w:p>
    <w:p w:rsidR="00A83E46" w:rsidRPr="002A6201" w:rsidRDefault="00DF24EC" w:rsidP="002A6201">
      <w:pPr>
        <w:pStyle w:val="Tabletitle0"/>
      </w:pPr>
      <w:r>
        <w:lastRenderedPageBreak/>
        <w:t xml:space="preserve">Table 1: </w:t>
      </w:r>
      <w:r w:rsidR="00001D2E">
        <w:t>Drug p</w:t>
      </w:r>
      <w:r>
        <w:t>roduct excipients</w:t>
      </w:r>
    </w:p>
    <w:tbl>
      <w:tblPr>
        <w:tblStyle w:val="TableTGAblue"/>
        <w:tblW w:w="6062" w:type="dxa"/>
        <w:tblLayout w:type="fixed"/>
        <w:tblLook w:val="01E0" w:firstRow="1" w:lastRow="1" w:firstColumn="1" w:lastColumn="1" w:noHBand="0" w:noVBand="0"/>
        <w:tblCaption w:val="Table 1: Product ingredients with respective function and quantities."/>
        <w:tblDescription w:val="Product ingredients with respective function and quantities (in mg)."/>
      </w:tblPr>
      <w:tblGrid>
        <w:gridCol w:w="1951"/>
        <w:gridCol w:w="4111"/>
      </w:tblGrid>
      <w:tr w:rsidR="00001D2E" w:rsidRPr="0096468A" w:rsidTr="007A22E8">
        <w:trPr>
          <w:cnfStyle w:val="100000000000" w:firstRow="1" w:lastRow="0" w:firstColumn="0" w:lastColumn="0" w:oddVBand="0" w:evenVBand="0" w:oddHBand="0" w:evenHBand="0" w:firstRowFirstColumn="0" w:firstRowLastColumn="0" w:lastRowFirstColumn="0" w:lastRowLastColumn="0"/>
        </w:trPr>
        <w:tc>
          <w:tcPr>
            <w:tcW w:w="6062" w:type="dxa"/>
            <w:gridSpan w:val="2"/>
          </w:tcPr>
          <w:p w:rsidR="00001D2E" w:rsidRPr="00DF24EC" w:rsidRDefault="00001D2E" w:rsidP="00A83E46">
            <w:pPr>
              <w:pStyle w:val="TableHeader"/>
              <w:rPr>
                <w:b/>
              </w:rPr>
            </w:pPr>
            <w:proofErr w:type="spellStart"/>
            <w:r>
              <w:rPr>
                <w:b/>
              </w:rPr>
              <w:t>Exipients</w:t>
            </w:r>
            <w:proofErr w:type="spellEnd"/>
          </w:p>
        </w:tc>
      </w:tr>
      <w:tr w:rsidR="00001D2E" w:rsidRPr="0096468A" w:rsidTr="007A22E8">
        <w:trPr>
          <w:trHeight w:val="255"/>
        </w:trPr>
        <w:tc>
          <w:tcPr>
            <w:tcW w:w="1951" w:type="dxa"/>
            <w:vMerge w:val="restart"/>
          </w:tcPr>
          <w:p w:rsidR="00001D2E" w:rsidRPr="00DF24EC" w:rsidRDefault="00001D2E" w:rsidP="00A83E46">
            <w:pPr>
              <w:pStyle w:val="Tabletext"/>
              <w:rPr>
                <w:b/>
                <w:i/>
              </w:rPr>
            </w:pPr>
            <w:r w:rsidRPr="00DF24EC">
              <w:rPr>
                <w:b/>
                <w:i/>
              </w:rPr>
              <w:t>Capsule fill</w:t>
            </w:r>
          </w:p>
        </w:tc>
        <w:tc>
          <w:tcPr>
            <w:tcW w:w="4111" w:type="dxa"/>
          </w:tcPr>
          <w:p w:rsidR="00001D2E" w:rsidRPr="0096468A" w:rsidRDefault="00001D2E" w:rsidP="00A83E46">
            <w:pPr>
              <w:pStyle w:val="Tabletext"/>
              <w:tabs>
                <w:tab w:val="left" w:pos="1134"/>
              </w:tabs>
              <w:ind w:left="142"/>
            </w:pPr>
            <w:proofErr w:type="spellStart"/>
            <w:r w:rsidRPr="0096468A">
              <w:t>Pirfenidone</w:t>
            </w:r>
            <w:proofErr w:type="spellEnd"/>
          </w:p>
        </w:tc>
      </w:tr>
      <w:tr w:rsidR="00001D2E" w:rsidRPr="0096468A" w:rsidTr="007A22E8">
        <w:trPr>
          <w:trHeight w:val="255"/>
        </w:trPr>
        <w:tc>
          <w:tcPr>
            <w:tcW w:w="1951" w:type="dxa"/>
            <w:vMerge/>
          </w:tcPr>
          <w:p w:rsidR="00001D2E" w:rsidRPr="00DF24EC" w:rsidRDefault="00001D2E" w:rsidP="00A83E46">
            <w:pPr>
              <w:pStyle w:val="Tabletext"/>
              <w:rPr>
                <w:rFonts w:cs="Arial"/>
                <w:b/>
                <w:color w:val="000000"/>
              </w:rPr>
            </w:pPr>
          </w:p>
        </w:tc>
        <w:tc>
          <w:tcPr>
            <w:tcW w:w="4111" w:type="dxa"/>
          </w:tcPr>
          <w:p w:rsidR="00001D2E" w:rsidRPr="0096468A" w:rsidRDefault="00001D2E" w:rsidP="00A83E46">
            <w:pPr>
              <w:pStyle w:val="Tabletext"/>
              <w:tabs>
                <w:tab w:val="left" w:pos="1134"/>
              </w:tabs>
              <w:ind w:left="142"/>
              <w:rPr>
                <w:rFonts w:cs="Arial"/>
                <w:color w:val="000000"/>
              </w:rPr>
            </w:pPr>
            <w:proofErr w:type="spellStart"/>
            <w:r w:rsidRPr="0096468A">
              <w:rPr>
                <w:rFonts w:cs="Arial"/>
                <w:color w:val="000000"/>
              </w:rPr>
              <w:t>Croscarmellose</w:t>
            </w:r>
            <w:proofErr w:type="spellEnd"/>
            <w:r w:rsidRPr="0096468A">
              <w:rPr>
                <w:rFonts w:cs="Arial"/>
                <w:color w:val="000000"/>
              </w:rPr>
              <w:t xml:space="preserve"> sodium</w:t>
            </w:r>
          </w:p>
        </w:tc>
      </w:tr>
      <w:tr w:rsidR="00001D2E" w:rsidRPr="0096468A" w:rsidTr="007A22E8">
        <w:trPr>
          <w:trHeight w:val="255"/>
        </w:trPr>
        <w:tc>
          <w:tcPr>
            <w:tcW w:w="1951" w:type="dxa"/>
            <w:vMerge/>
          </w:tcPr>
          <w:p w:rsidR="00001D2E" w:rsidRPr="00DF24EC" w:rsidRDefault="00001D2E" w:rsidP="00A83E46">
            <w:pPr>
              <w:pStyle w:val="Tabletext"/>
              <w:rPr>
                <w:rFonts w:cs="Arial"/>
                <w:b/>
                <w:color w:val="000000"/>
              </w:rPr>
            </w:pPr>
          </w:p>
        </w:tc>
        <w:tc>
          <w:tcPr>
            <w:tcW w:w="4111" w:type="dxa"/>
          </w:tcPr>
          <w:p w:rsidR="00001D2E" w:rsidRPr="0096468A" w:rsidRDefault="00001D2E" w:rsidP="00A83E46">
            <w:pPr>
              <w:pStyle w:val="Tabletext"/>
              <w:tabs>
                <w:tab w:val="left" w:pos="1134"/>
              </w:tabs>
              <w:ind w:left="142"/>
              <w:rPr>
                <w:rFonts w:cs="Arial"/>
                <w:color w:val="000000"/>
              </w:rPr>
            </w:pPr>
            <w:r>
              <w:rPr>
                <w:rFonts w:cs="Arial"/>
                <w:color w:val="000000"/>
              </w:rPr>
              <w:t>Cellulose (</w:t>
            </w:r>
            <w:r w:rsidRPr="0096468A">
              <w:rPr>
                <w:rFonts w:cs="Arial"/>
                <w:color w:val="000000"/>
              </w:rPr>
              <w:t>microcrystalline</w:t>
            </w:r>
            <w:r>
              <w:rPr>
                <w:rFonts w:cs="Arial"/>
                <w:color w:val="000000"/>
              </w:rPr>
              <w:t>)</w:t>
            </w:r>
          </w:p>
        </w:tc>
      </w:tr>
      <w:tr w:rsidR="00001D2E" w:rsidRPr="0096468A" w:rsidTr="007A22E8">
        <w:trPr>
          <w:trHeight w:val="255"/>
        </w:trPr>
        <w:tc>
          <w:tcPr>
            <w:tcW w:w="1951" w:type="dxa"/>
            <w:vMerge/>
          </w:tcPr>
          <w:p w:rsidR="00001D2E" w:rsidRPr="00DF24EC" w:rsidRDefault="00001D2E" w:rsidP="00A83E46">
            <w:pPr>
              <w:pStyle w:val="Tabletext"/>
              <w:rPr>
                <w:rFonts w:cs="Arial"/>
                <w:b/>
                <w:color w:val="000000"/>
              </w:rPr>
            </w:pPr>
          </w:p>
        </w:tc>
        <w:tc>
          <w:tcPr>
            <w:tcW w:w="4111" w:type="dxa"/>
          </w:tcPr>
          <w:p w:rsidR="00001D2E" w:rsidRPr="0096468A" w:rsidRDefault="00001D2E" w:rsidP="00A83E46">
            <w:pPr>
              <w:pStyle w:val="Tabletext"/>
              <w:tabs>
                <w:tab w:val="left" w:pos="1134"/>
              </w:tabs>
              <w:ind w:left="142"/>
              <w:rPr>
                <w:rFonts w:cs="Arial"/>
                <w:color w:val="000000"/>
              </w:rPr>
            </w:pPr>
            <w:r w:rsidRPr="0096468A">
              <w:rPr>
                <w:rFonts w:cs="Arial"/>
                <w:color w:val="000000"/>
              </w:rPr>
              <w:t>Povidone</w:t>
            </w:r>
          </w:p>
        </w:tc>
      </w:tr>
      <w:tr w:rsidR="00001D2E" w:rsidRPr="0096468A" w:rsidTr="007A22E8">
        <w:trPr>
          <w:trHeight w:val="255"/>
        </w:trPr>
        <w:tc>
          <w:tcPr>
            <w:tcW w:w="1951" w:type="dxa"/>
            <w:vMerge/>
          </w:tcPr>
          <w:p w:rsidR="00001D2E" w:rsidRPr="00DF24EC" w:rsidRDefault="00001D2E" w:rsidP="00A83E46">
            <w:pPr>
              <w:pStyle w:val="Tabletext"/>
              <w:rPr>
                <w:rFonts w:cs="Arial"/>
                <w:b/>
                <w:color w:val="000000"/>
              </w:rPr>
            </w:pPr>
          </w:p>
        </w:tc>
        <w:tc>
          <w:tcPr>
            <w:tcW w:w="4111" w:type="dxa"/>
          </w:tcPr>
          <w:p w:rsidR="00001D2E" w:rsidRPr="0096468A" w:rsidRDefault="00001D2E" w:rsidP="00A83E46">
            <w:pPr>
              <w:pStyle w:val="Tabletext"/>
              <w:tabs>
                <w:tab w:val="left" w:pos="1134"/>
              </w:tabs>
              <w:ind w:left="142"/>
              <w:rPr>
                <w:rFonts w:cs="Arial"/>
                <w:color w:val="000000"/>
              </w:rPr>
            </w:pPr>
            <w:r w:rsidRPr="0096468A">
              <w:rPr>
                <w:rFonts w:cs="Arial"/>
                <w:color w:val="000000"/>
              </w:rPr>
              <w:t>Magnesium stearate</w:t>
            </w:r>
          </w:p>
        </w:tc>
      </w:tr>
      <w:tr w:rsidR="00001D2E" w:rsidRPr="0096468A" w:rsidTr="007A22E8">
        <w:trPr>
          <w:trHeight w:val="255"/>
        </w:trPr>
        <w:tc>
          <w:tcPr>
            <w:tcW w:w="1951" w:type="dxa"/>
            <w:vMerge/>
          </w:tcPr>
          <w:p w:rsidR="00001D2E" w:rsidRPr="00DF24EC" w:rsidRDefault="00001D2E" w:rsidP="00A83E46">
            <w:pPr>
              <w:pStyle w:val="Tabletext"/>
              <w:rPr>
                <w:rFonts w:cs="Arial"/>
                <w:b/>
                <w:color w:val="000000"/>
              </w:rPr>
            </w:pPr>
          </w:p>
        </w:tc>
        <w:tc>
          <w:tcPr>
            <w:tcW w:w="4111" w:type="dxa"/>
          </w:tcPr>
          <w:p w:rsidR="00001D2E" w:rsidRPr="0096468A" w:rsidRDefault="00001D2E" w:rsidP="00A83E46">
            <w:pPr>
              <w:pStyle w:val="Tabletext"/>
              <w:tabs>
                <w:tab w:val="left" w:pos="1134"/>
              </w:tabs>
              <w:ind w:left="142"/>
              <w:rPr>
                <w:rFonts w:cs="Arial"/>
                <w:color w:val="000000"/>
              </w:rPr>
            </w:pPr>
            <w:r w:rsidRPr="0096468A">
              <w:rPr>
                <w:rFonts w:cs="Arial"/>
                <w:color w:val="000000"/>
              </w:rPr>
              <w:t>Purified water</w:t>
            </w:r>
          </w:p>
        </w:tc>
      </w:tr>
      <w:tr w:rsidR="00001D2E" w:rsidRPr="0096468A" w:rsidTr="007A22E8">
        <w:trPr>
          <w:trHeight w:val="255"/>
        </w:trPr>
        <w:tc>
          <w:tcPr>
            <w:tcW w:w="1951" w:type="dxa"/>
            <w:vMerge w:val="restart"/>
          </w:tcPr>
          <w:p w:rsidR="00001D2E" w:rsidRPr="00DF24EC" w:rsidRDefault="00001D2E" w:rsidP="00A83E46">
            <w:pPr>
              <w:pStyle w:val="Tabletext"/>
              <w:rPr>
                <w:rFonts w:cs="Arial"/>
                <w:b/>
                <w:i/>
                <w:color w:val="000000"/>
              </w:rPr>
            </w:pPr>
            <w:r w:rsidRPr="00DF24EC">
              <w:rPr>
                <w:rFonts w:cs="Arial"/>
                <w:b/>
                <w:i/>
                <w:color w:val="000000"/>
              </w:rPr>
              <w:t>Capsule shell</w:t>
            </w:r>
          </w:p>
        </w:tc>
        <w:tc>
          <w:tcPr>
            <w:tcW w:w="4111" w:type="dxa"/>
          </w:tcPr>
          <w:p w:rsidR="00001D2E" w:rsidRPr="0096468A" w:rsidRDefault="00001D2E" w:rsidP="00A83E46">
            <w:pPr>
              <w:pStyle w:val="Tabletext"/>
              <w:tabs>
                <w:tab w:val="left" w:pos="1134"/>
              </w:tabs>
              <w:ind w:left="142"/>
              <w:rPr>
                <w:rFonts w:cs="Arial"/>
                <w:color w:val="000000"/>
              </w:rPr>
            </w:pPr>
            <w:r w:rsidRPr="0096468A">
              <w:rPr>
                <w:rFonts w:cs="Arial"/>
                <w:color w:val="000000"/>
              </w:rPr>
              <w:t xml:space="preserve">Hard </w:t>
            </w:r>
            <w:proofErr w:type="spellStart"/>
            <w:r w:rsidRPr="0096468A">
              <w:rPr>
                <w:rFonts w:cs="Arial"/>
                <w:color w:val="000000"/>
              </w:rPr>
              <w:t>gelatin</w:t>
            </w:r>
            <w:proofErr w:type="spellEnd"/>
            <w:r w:rsidRPr="0096468A">
              <w:rPr>
                <w:rFonts w:cs="Arial"/>
                <w:color w:val="000000"/>
              </w:rPr>
              <w:t xml:space="preserve"> capsule #1</w:t>
            </w:r>
          </w:p>
        </w:tc>
      </w:tr>
      <w:tr w:rsidR="00001D2E" w:rsidRPr="0096468A" w:rsidTr="007A22E8">
        <w:trPr>
          <w:trHeight w:val="426"/>
        </w:trPr>
        <w:tc>
          <w:tcPr>
            <w:tcW w:w="1951" w:type="dxa"/>
            <w:vMerge/>
          </w:tcPr>
          <w:p w:rsidR="00001D2E" w:rsidRPr="0096468A" w:rsidRDefault="00001D2E" w:rsidP="00A83E46">
            <w:pPr>
              <w:pStyle w:val="Tabletext"/>
              <w:rPr>
                <w:rFonts w:cs="Arial"/>
                <w:color w:val="000000"/>
              </w:rPr>
            </w:pPr>
          </w:p>
        </w:tc>
        <w:tc>
          <w:tcPr>
            <w:tcW w:w="4111" w:type="dxa"/>
          </w:tcPr>
          <w:p w:rsidR="00001D2E" w:rsidRPr="0096468A" w:rsidRDefault="00001D2E" w:rsidP="00A83E46">
            <w:pPr>
              <w:pStyle w:val="Tabletext"/>
              <w:tabs>
                <w:tab w:val="left" w:pos="1134"/>
              </w:tabs>
              <w:ind w:left="142"/>
              <w:rPr>
                <w:rFonts w:cs="Arial"/>
                <w:color w:val="000000"/>
              </w:rPr>
            </w:pPr>
            <w:proofErr w:type="spellStart"/>
            <w:r w:rsidRPr="0096468A">
              <w:rPr>
                <w:rFonts w:cs="Arial"/>
                <w:color w:val="000000"/>
              </w:rPr>
              <w:t>Opacode</w:t>
            </w:r>
            <w:proofErr w:type="spellEnd"/>
            <w:r w:rsidRPr="0096468A">
              <w:rPr>
                <w:rFonts w:cs="Arial"/>
                <w:color w:val="000000"/>
              </w:rPr>
              <w:t xml:space="preserve"> Brown</w:t>
            </w:r>
          </w:p>
        </w:tc>
      </w:tr>
    </w:tbl>
    <w:p w:rsidR="006653F8" w:rsidRDefault="006653F8" w:rsidP="006653F8">
      <w:pPr>
        <w:pStyle w:val="TableDescription"/>
      </w:pPr>
      <w:proofErr w:type="spellStart"/>
      <w:r>
        <w:t>q.s</w:t>
      </w:r>
      <w:proofErr w:type="spellEnd"/>
      <w:r>
        <w:t xml:space="preserve">. (quantum </w:t>
      </w:r>
      <w:proofErr w:type="spellStart"/>
      <w:r>
        <w:t>statis</w:t>
      </w:r>
      <w:proofErr w:type="spellEnd"/>
      <w:r>
        <w:t>) = the amount needed for drug product manufacture</w:t>
      </w:r>
    </w:p>
    <w:p w:rsidR="0071523A" w:rsidRPr="0071523A" w:rsidRDefault="0071523A" w:rsidP="006653F8">
      <w:r w:rsidRPr="0071523A">
        <w:t xml:space="preserve">The product is an immediate release oral capsule containing 267 mg of </w:t>
      </w:r>
      <w:proofErr w:type="spellStart"/>
      <w:r w:rsidRPr="0071523A">
        <w:t>pirfenidone</w:t>
      </w:r>
      <w:proofErr w:type="spellEnd"/>
      <w:r w:rsidRPr="0071523A">
        <w:t xml:space="preserve"> and four other conventional pharmaceutical excipients including </w:t>
      </w:r>
      <w:proofErr w:type="spellStart"/>
      <w:r w:rsidRPr="0071523A">
        <w:t>croscarmellose</w:t>
      </w:r>
      <w:proofErr w:type="spellEnd"/>
      <w:r w:rsidRPr="0071523A">
        <w:t xml:space="preserve"> sodium, microcrystalline cellulose, </w:t>
      </w:r>
      <w:proofErr w:type="gramStart"/>
      <w:r w:rsidRPr="0071523A">
        <w:t>povidone</w:t>
      </w:r>
      <w:proofErr w:type="gramEnd"/>
      <w:r w:rsidRPr="0071523A">
        <w:t xml:space="preserve"> and magnesium stearate. The hard </w:t>
      </w:r>
      <w:proofErr w:type="spellStart"/>
      <w:r w:rsidRPr="0071523A">
        <w:t>gelatin</w:t>
      </w:r>
      <w:proofErr w:type="spellEnd"/>
      <w:r w:rsidRPr="0071523A">
        <w:t xml:space="preserve"> capsule of size</w:t>
      </w:r>
      <w:r w:rsidR="00E577E1">
        <w:t> </w:t>
      </w:r>
      <w:r w:rsidRPr="0071523A">
        <w:t>#1 is a small capsule size, which was chosen to facilitate capsule administration in patients who are generally older and with difficulty in swallowing.</w:t>
      </w:r>
    </w:p>
    <w:p w:rsidR="0071523A" w:rsidRPr="0071523A" w:rsidRDefault="0071523A" w:rsidP="0071523A">
      <w:r w:rsidRPr="0071523A">
        <w:t>Two formulations were used in the pivotal clinical studies; 133 mg and 267 mg capsules. The 267 mg capsules used in the clinical studies consist of the same formulation as the proposed commercial formulation with exception of the source of the capsule shell</w:t>
      </w:r>
      <w:r w:rsidR="00E577E1">
        <w:t xml:space="preserve"> (bovine/porcine origin)</w:t>
      </w:r>
      <w:r w:rsidRPr="0071523A">
        <w:t xml:space="preserve"> </w:t>
      </w:r>
      <w:r w:rsidR="003C188E">
        <w:t>and the ink printing design</w:t>
      </w:r>
      <w:r w:rsidR="00E577E1">
        <w:t xml:space="preserve"> (the proposed ‘PFD267 mg’ versus </w:t>
      </w:r>
      <w:r w:rsidR="00E577E1" w:rsidRPr="00047E0D">
        <w:rPr>
          <w:lang w:eastAsia="en-AU"/>
        </w:rPr>
        <w:t>‘</w:t>
      </w:r>
      <w:proofErr w:type="spellStart"/>
      <w:r w:rsidR="00E577E1" w:rsidRPr="00047E0D">
        <w:rPr>
          <w:lang w:eastAsia="en-AU"/>
        </w:rPr>
        <w:t>Intermune</w:t>
      </w:r>
      <w:proofErr w:type="spellEnd"/>
      <w:r w:rsidR="00E577E1" w:rsidRPr="00047E0D">
        <w:rPr>
          <w:lang w:eastAsia="en-AU"/>
        </w:rPr>
        <w:t xml:space="preserve"> 267 mg’ in clinical </w:t>
      </w:r>
      <w:r w:rsidR="00E577E1">
        <w:rPr>
          <w:lang w:eastAsia="en-AU"/>
        </w:rPr>
        <w:t>trials</w:t>
      </w:r>
      <w:r w:rsidR="00471801">
        <w:rPr>
          <w:lang w:eastAsia="en-AU"/>
        </w:rPr>
        <w:t>)</w:t>
      </w:r>
      <w:r w:rsidR="00E577E1">
        <w:rPr>
          <w:lang w:eastAsia="en-AU"/>
        </w:rPr>
        <w:t xml:space="preserve">. </w:t>
      </w:r>
      <w:r w:rsidR="009F1B71">
        <w:t xml:space="preserve">These </w:t>
      </w:r>
      <w:r w:rsidR="00E577E1">
        <w:t>differences were</w:t>
      </w:r>
      <w:r w:rsidR="009F1B71">
        <w:t> </w:t>
      </w:r>
      <w:r w:rsidRPr="0071523A">
        <w:t>acceptable.</w:t>
      </w:r>
    </w:p>
    <w:p w:rsidR="0071523A" w:rsidRDefault="00E577E1" w:rsidP="0071523A">
      <w:r w:rsidRPr="00E577E1">
        <w:t xml:space="preserve">The quality of the product is controlled by acceptable specification that includes tests and limits for appearance, identification, assay, dose uniformity, impurities, water content, and dissolution of the drug substance. Microbiological quality is also controlled by microbial limits. The assay release and expiry specification limits comply with </w:t>
      </w:r>
      <w:r>
        <w:t>the TGA’s Therapeutic Goods Order No. 78 (</w:t>
      </w:r>
      <w:r w:rsidRPr="00E577E1">
        <w:t>TGO 78</w:t>
      </w:r>
      <w:r>
        <w:t>)</w:t>
      </w:r>
      <w:r w:rsidRPr="00E577E1">
        <w:t xml:space="preserve"> and the impurities limits comply with the ICH guidance and are acceptable.</w:t>
      </w:r>
      <w:r>
        <w:rPr>
          <w:rStyle w:val="FootnoteReference"/>
        </w:rPr>
        <w:footnoteReference w:id="4"/>
      </w:r>
      <w:r w:rsidR="009F1B71">
        <w:t xml:space="preserve"> </w:t>
      </w:r>
      <w:r w:rsidR="009F1B71" w:rsidRPr="009F1B71">
        <w:t>The analytical methods used to analyse the product were adequately described and validated</w:t>
      </w:r>
      <w:r w:rsidR="009F1B71">
        <w:t>.</w:t>
      </w:r>
    </w:p>
    <w:p w:rsidR="00AB4CDB" w:rsidRPr="00AB4CDB" w:rsidRDefault="00AB4CDB" w:rsidP="00AB4CDB">
      <w:r w:rsidRPr="00AB4CDB">
        <w:t>The stability data supplied supported a shelf life of 48 months for the unopened pro</w:t>
      </w:r>
      <w:r w:rsidR="00BF25BA">
        <w:t>duct when it is stored below 30</w:t>
      </w:r>
      <w:r w:rsidRPr="00AB4CDB">
        <w:t>°C</w:t>
      </w:r>
      <w:r>
        <w:t xml:space="preserve">. </w:t>
      </w:r>
      <w:r w:rsidRPr="00AB4CDB">
        <w:t>Once opened, the product may be stored for a maximum period of 2 months, with storage</w:t>
      </w:r>
      <w:r>
        <w:t xml:space="preserve"> below 30</w:t>
      </w:r>
      <w:r w:rsidRPr="00AB4CDB">
        <w:t>°C</w:t>
      </w:r>
    </w:p>
    <w:p w:rsidR="008E7846" w:rsidRDefault="008E7846" w:rsidP="008E7846">
      <w:pPr>
        <w:pStyle w:val="Heading3"/>
      </w:pPr>
      <w:bookmarkStart w:id="32" w:name="_Toc314842491"/>
      <w:bookmarkStart w:id="33" w:name="_Toc453068485"/>
      <w:r>
        <w:t>Biopharmaceutics</w:t>
      </w:r>
      <w:bookmarkEnd w:id="32"/>
      <w:bookmarkEnd w:id="33"/>
    </w:p>
    <w:p w:rsidR="0071523A" w:rsidRDefault="0071523A" w:rsidP="0071523A">
      <w:r>
        <w:t xml:space="preserve">No absolute bioavailability study was performed by the sponsor. Justification for not providing the absolute bioavailability study was on the basis that </w:t>
      </w:r>
      <w:proofErr w:type="spellStart"/>
      <w:r>
        <w:t>pirfenidone</w:t>
      </w:r>
      <w:proofErr w:type="spellEnd"/>
      <w:r>
        <w:t xml:space="preserve"> is a highly soluble and highly permeable drug substance with pharmacokinetic properties suggestive of high oral bioavailability. Given the rapid in vitro dissolution (&gt; 80% in 10 minutes), the company believes that the rate and extent of drug absorption is unlikely to be dependent on drug dissolution and/or</w:t>
      </w:r>
      <w:r w:rsidR="003C188E">
        <w:t xml:space="preserve"> gastrointestinal transit time.</w:t>
      </w:r>
    </w:p>
    <w:p w:rsidR="0071523A" w:rsidRDefault="0071523A" w:rsidP="0071523A">
      <w:r>
        <w:lastRenderedPageBreak/>
        <w:t>A food effect study (</w:t>
      </w:r>
      <w:r w:rsidR="00DF24EC">
        <w:t xml:space="preserve">Study </w:t>
      </w:r>
      <w:r>
        <w:t>PIPF</w:t>
      </w:r>
      <w:r w:rsidR="003C188E">
        <w:noBreakHyphen/>
      </w:r>
      <w:r>
        <w:t>005) was provided in this submission. The study comprised of a single</w:t>
      </w:r>
      <w:r w:rsidR="001269B2">
        <w:t xml:space="preserve"> </w:t>
      </w:r>
      <w:r>
        <w:t>dose and a multi</w:t>
      </w:r>
      <w:r w:rsidR="001269B2">
        <w:t xml:space="preserve"> </w:t>
      </w:r>
      <w:r>
        <w:t xml:space="preserve">dose bioavailability study. </w:t>
      </w:r>
      <w:r w:rsidR="003C188E">
        <w:t>Assessment was based on</w:t>
      </w:r>
      <w:r>
        <w:t xml:space="preserve"> the single</w:t>
      </w:r>
      <w:r w:rsidR="001269B2">
        <w:t xml:space="preserve"> </w:t>
      </w:r>
      <w:r>
        <w:t xml:space="preserve">dose study only, in which the pharmacokinetics of orally administered </w:t>
      </w:r>
      <w:proofErr w:type="spellStart"/>
      <w:r>
        <w:t>pirfenidone</w:t>
      </w:r>
      <w:proofErr w:type="spellEnd"/>
      <w:r>
        <w:t xml:space="preserve"> capsules under fasted and fed conditi</w:t>
      </w:r>
      <w:r w:rsidR="00DF24EC">
        <w:t xml:space="preserve">ons, and when administered with and </w:t>
      </w:r>
      <w:r>
        <w:t>without antacids were examined. The outcomes of the study are summarised below:</w:t>
      </w:r>
    </w:p>
    <w:p w:rsidR="0071523A" w:rsidRDefault="0071523A" w:rsidP="0071523A">
      <w:pPr>
        <w:pStyle w:val="ListBullet"/>
      </w:pPr>
      <w:r>
        <w:t>The single-dose study demonstrated that the metabolite</w:t>
      </w:r>
      <w:r w:rsidR="00C0102E">
        <w:t xml:space="preserve"> 5</w:t>
      </w:r>
      <w:r w:rsidR="00DC6DFE">
        <w:noBreakHyphen/>
        <w:t>carboxy</w:t>
      </w:r>
      <w:r w:rsidR="00DC6DFE">
        <w:noBreakHyphen/>
      </w:r>
      <w:r w:rsidR="00C0102E">
        <w:t>pirfenidone (5</w:t>
      </w:r>
      <w:r w:rsidR="00C0102E">
        <w:noBreakHyphen/>
        <w:t>CA</w:t>
      </w:r>
      <w:r w:rsidR="00C0102E">
        <w:noBreakHyphen/>
        <w:t>pirfenidone)</w:t>
      </w:r>
      <w:r>
        <w:t xml:space="preserve"> was the only significant first pass metabolite. However, this major metabolite does not appear to be biologically active, based on evidence to date.</w:t>
      </w:r>
    </w:p>
    <w:p w:rsidR="003C188E" w:rsidRDefault="0071523A" w:rsidP="0071523A">
      <w:pPr>
        <w:pStyle w:val="ListBullet"/>
      </w:pPr>
      <w:r>
        <w:t xml:space="preserve">The presence of food significantly reduced the rate and extent of absorption of </w:t>
      </w:r>
      <w:proofErr w:type="spellStart"/>
      <w:r>
        <w:t>pirfenidone</w:t>
      </w:r>
      <w:proofErr w:type="spellEnd"/>
      <w:r>
        <w:t>. Th</w:t>
      </w:r>
      <w:r w:rsidR="003C188E">
        <w:t>e PI states (under Absorption):</w:t>
      </w:r>
    </w:p>
    <w:p w:rsidR="003C188E" w:rsidRDefault="003C188E" w:rsidP="0071523A">
      <w:pPr>
        <w:pStyle w:val="ListBullet2"/>
      </w:pPr>
      <w:r>
        <w:t>‘</w:t>
      </w:r>
      <w:r w:rsidR="0071523A">
        <w:t>Administration of E</w:t>
      </w:r>
      <w:r w:rsidR="002A6201" w:rsidRPr="002A6201">
        <w:t>sbriet</w:t>
      </w:r>
      <w:r w:rsidR="0071523A">
        <w:t xml:space="preserve"> with food results in a large reduction in </w:t>
      </w:r>
      <w:proofErr w:type="spellStart"/>
      <w:r w:rsidR="0071523A">
        <w:t>C</w:t>
      </w:r>
      <w:r w:rsidR="0071523A" w:rsidRPr="00DF24EC">
        <w:rPr>
          <w:vertAlign w:val="subscript"/>
        </w:rPr>
        <w:t>max</w:t>
      </w:r>
      <w:proofErr w:type="spellEnd"/>
      <w:r w:rsidR="0071523A">
        <w:t xml:space="preserve"> (by 50%) and a smaller effect on AUC</w:t>
      </w:r>
      <w:r w:rsidR="00C66D25">
        <w:t xml:space="preserve"> (area under the curve)</w:t>
      </w:r>
      <w:r w:rsidR="0071523A">
        <w:t>, compared to the fasted state. Following oral administration of a single dose of 801 mg to hea</w:t>
      </w:r>
      <w:r w:rsidR="002A6201">
        <w:t>lthy older adult volunteers (50 to </w:t>
      </w:r>
      <w:r w:rsidR="0071523A">
        <w:t xml:space="preserve">66 years of age) in the fed state, the rate of </w:t>
      </w:r>
      <w:proofErr w:type="spellStart"/>
      <w:r w:rsidR="0071523A">
        <w:t>pirfenidone</w:t>
      </w:r>
      <w:proofErr w:type="spellEnd"/>
      <w:r w:rsidR="0071523A">
        <w:t xml:space="preserve"> absorption slowed, while the </w:t>
      </w:r>
      <w:r w:rsidR="0071523A" w:rsidRPr="00C0102E">
        <w:t>AUC</w:t>
      </w:r>
      <w:r w:rsidR="00C0102E">
        <w:t xml:space="preserve"> </w:t>
      </w:r>
      <w:r w:rsidR="0071523A">
        <w:t>in the fed state was approximately 80</w:t>
      </w:r>
      <w:r w:rsidR="002A6201">
        <w:t> to </w:t>
      </w:r>
      <w:r w:rsidR="0071523A">
        <w:t>85% of the AU</w:t>
      </w:r>
      <w:r>
        <w:t>C observed in the fasted state</w:t>
      </w:r>
      <w:r w:rsidR="002A6201">
        <w:t>.’</w:t>
      </w:r>
    </w:p>
    <w:p w:rsidR="003C188E" w:rsidRDefault="0071523A" w:rsidP="0071523A">
      <w:pPr>
        <w:pStyle w:val="ListBullet2"/>
      </w:pPr>
      <w:r>
        <w:t xml:space="preserve">The </w:t>
      </w:r>
      <w:r w:rsidR="002A6201">
        <w:t>half-lives</w:t>
      </w:r>
      <w:r>
        <w:t xml:space="preserve"> of absorption were longer under fed conditions. However, given the reduction in adverse experience reported under fed condition, the company has proposed to include a recommendation that the product is t</w:t>
      </w:r>
      <w:r w:rsidR="003C188E">
        <w:t>o be given with food on the PI.</w:t>
      </w:r>
    </w:p>
    <w:p w:rsidR="003C188E" w:rsidRDefault="0071523A" w:rsidP="0071523A">
      <w:pPr>
        <w:pStyle w:val="ListBullet"/>
      </w:pPr>
      <w:r>
        <w:t>Administration of antacid did not affect the rate or extent of a</w:t>
      </w:r>
      <w:r w:rsidR="002A6201">
        <w:t>bsorption of the drug substance.</w:t>
      </w:r>
    </w:p>
    <w:p w:rsidR="0071523A" w:rsidRDefault="0071523A" w:rsidP="0071523A">
      <w:pPr>
        <w:pStyle w:val="ListBullet"/>
      </w:pPr>
      <w:r>
        <w:t xml:space="preserve">Although the multi-dose study was not evaluated by </w:t>
      </w:r>
      <w:r w:rsidR="00DC6DFE">
        <w:t>the Pharmaceutical Chemistry Sub-Committee</w:t>
      </w:r>
      <w:r>
        <w:t xml:space="preserve">, it was noted that the study indicated that both </w:t>
      </w:r>
      <w:proofErr w:type="spellStart"/>
      <w:r>
        <w:t>p</w:t>
      </w:r>
      <w:r w:rsidR="00DC6DFE">
        <w:t>irfenidone</w:t>
      </w:r>
      <w:proofErr w:type="spellEnd"/>
      <w:r w:rsidR="00DC6DFE">
        <w:t xml:space="preserve"> and the 5</w:t>
      </w:r>
      <w:r w:rsidR="00DC6DFE">
        <w:noBreakHyphen/>
        <w:t>CA</w:t>
      </w:r>
      <w:r w:rsidR="00DC6DFE">
        <w:noBreakHyphen/>
      </w:r>
      <w:r>
        <w:t xml:space="preserve">pirfenidone metabolite showed decreased clearance with increasing dose given. Oral clearance is saturable with increasing dose, particularly at above </w:t>
      </w:r>
      <w:r w:rsidR="00C6681F">
        <w:t>2,403</w:t>
      </w:r>
      <w:r>
        <w:t xml:space="preserve"> mg/day, which has been set as the </w:t>
      </w:r>
      <w:r w:rsidR="00DC6DFE">
        <w:t>maximum recommended daily dose.</w:t>
      </w:r>
    </w:p>
    <w:p w:rsidR="003C188E" w:rsidRDefault="0071523A" w:rsidP="0071523A">
      <w:r>
        <w:t>These results were brought to the attention of the Clinical Deleg</w:t>
      </w:r>
      <w:r w:rsidR="003C188E">
        <w:t>ate so that they could consider:</w:t>
      </w:r>
    </w:p>
    <w:p w:rsidR="003C188E" w:rsidRDefault="003C188E" w:rsidP="003C188E">
      <w:pPr>
        <w:pStyle w:val="ListBullet"/>
      </w:pPr>
      <w:r>
        <w:t>W</w:t>
      </w:r>
      <w:r w:rsidR="0071523A">
        <w:t>hether it is acceptable from a clinical perspective for the product t</w:t>
      </w:r>
      <w:r>
        <w:t>o be given with or without food.</w:t>
      </w:r>
    </w:p>
    <w:p w:rsidR="0071523A" w:rsidRPr="0071523A" w:rsidRDefault="003C188E" w:rsidP="003C188E">
      <w:pPr>
        <w:pStyle w:val="ListBullet"/>
      </w:pPr>
      <w:r>
        <w:t>W</w:t>
      </w:r>
      <w:r w:rsidR="0071523A">
        <w:t>hether the proposed maximum recommended daily dose (based on the results from this multi-dose bioavailability study) is acceptable.</w:t>
      </w:r>
    </w:p>
    <w:p w:rsidR="008E7846" w:rsidRPr="008751DC" w:rsidRDefault="008E7846" w:rsidP="008E7846">
      <w:pPr>
        <w:pStyle w:val="Heading3"/>
      </w:pPr>
      <w:bookmarkStart w:id="34" w:name="_Toc247691509"/>
      <w:bookmarkStart w:id="35" w:name="_Toc314842493"/>
      <w:bookmarkStart w:id="36" w:name="_Toc453068486"/>
      <w:r>
        <w:t>Quality s</w:t>
      </w:r>
      <w:r w:rsidRPr="008751DC">
        <w:t>ummary</w:t>
      </w:r>
      <w:r>
        <w:t xml:space="preserve"> and conclusions</w:t>
      </w:r>
      <w:bookmarkEnd w:id="34"/>
      <w:bookmarkEnd w:id="35"/>
      <w:bookmarkEnd w:id="36"/>
    </w:p>
    <w:p w:rsidR="003C188E" w:rsidRPr="003C188E" w:rsidRDefault="003C188E" w:rsidP="003C188E">
      <w:r w:rsidRPr="003C188E">
        <w:t>Approval is not recommended with respect to chemistry and quality control because there are unresolved issues as summarised below:</w:t>
      </w:r>
    </w:p>
    <w:p w:rsidR="003C188E" w:rsidRPr="003C188E" w:rsidRDefault="003C188E" w:rsidP="003C188E">
      <w:pPr>
        <w:pStyle w:val="ListBullet"/>
      </w:pPr>
      <w:r w:rsidRPr="003C188E">
        <w:t xml:space="preserve">The proposed limit of NMT 0.05% for </w:t>
      </w:r>
      <w:r w:rsidR="00045F10">
        <w:t xml:space="preserve">the </w:t>
      </w:r>
      <w:r w:rsidR="00812C76">
        <w:t xml:space="preserve">specified </w:t>
      </w:r>
      <w:r w:rsidRPr="003C188E">
        <w:t>impurity  in the drug su</w:t>
      </w:r>
      <w:r>
        <w:t>bstance has not been qualified</w:t>
      </w:r>
    </w:p>
    <w:p w:rsidR="003C188E" w:rsidRPr="003C188E" w:rsidRDefault="003C188E" w:rsidP="003C188E">
      <w:pPr>
        <w:pStyle w:val="ListBullet"/>
      </w:pPr>
      <w:r w:rsidRPr="003C188E">
        <w:t xml:space="preserve">No data has been provided to demonstrate that the qualified </w:t>
      </w:r>
      <w:r w:rsidR="00045F10">
        <w:t xml:space="preserve">limit of NMT 0.0055% for </w:t>
      </w:r>
      <w:r w:rsidR="00812C76">
        <w:t>specified impurity</w:t>
      </w:r>
      <w:r w:rsidRPr="003C188E">
        <w:t xml:space="preserve"> in the drug substance can be met.</w:t>
      </w:r>
    </w:p>
    <w:p w:rsidR="003C188E" w:rsidRPr="003C188E" w:rsidRDefault="003C188E" w:rsidP="003C188E">
      <w:r w:rsidRPr="003C188E">
        <w:t>The company has been informed of ways to address these issues.</w:t>
      </w:r>
    </w:p>
    <w:p w:rsidR="003C188E" w:rsidRPr="003C188E" w:rsidRDefault="003C188E" w:rsidP="003C188E">
      <w:r w:rsidRPr="003C188E">
        <w:t xml:space="preserve">There were </w:t>
      </w:r>
      <w:r w:rsidR="00045F10">
        <w:t>biopharmaceutical</w:t>
      </w:r>
      <w:r w:rsidRPr="003C188E">
        <w:t xml:space="preserve"> issues that were brought to the attention of the Clinical Delegate for consideration on the basis of the </w:t>
      </w:r>
      <w:r w:rsidR="00045F10">
        <w:t>biopharmaceutical S</w:t>
      </w:r>
      <w:r w:rsidRPr="003C188E">
        <w:t xml:space="preserve">tudy PIPF-005; </w:t>
      </w:r>
      <w:r>
        <w:t xml:space="preserve">specifically </w:t>
      </w:r>
      <w:r w:rsidRPr="003C188E">
        <w:t xml:space="preserve">whether it is acceptable from a clinical perspective for the product to be given </w:t>
      </w:r>
      <w:r w:rsidRPr="003C188E">
        <w:lastRenderedPageBreak/>
        <w:t>with food and whether the results from the multi-dose bioavailability study (</w:t>
      </w:r>
      <w:r w:rsidR="00045F10">
        <w:t xml:space="preserve">Study </w:t>
      </w:r>
      <w:r w:rsidR="00AB4CDB">
        <w:t>PIPF</w:t>
      </w:r>
      <w:r w:rsidR="00AB4CDB">
        <w:noBreakHyphen/>
      </w:r>
      <w:r w:rsidRPr="003C188E">
        <w:t xml:space="preserve">005) support the proposed maximum recommended daily dose of </w:t>
      </w:r>
      <w:r w:rsidR="00C6681F">
        <w:t>2,403</w:t>
      </w:r>
      <w:r w:rsidRPr="003C188E">
        <w:t xml:space="preserve"> mg/day.</w:t>
      </w:r>
    </w:p>
    <w:p w:rsidR="008E7846" w:rsidRDefault="008E7846" w:rsidP="008E7846">
      <w:pPr>
        <w:pStyle w:val="Heading2"/>
      </w:pPr>
      <w:bookmarkStart w:id="37" w:name="_Toc196046439"/>
      <w:bookmarkStart w:id="38" w:name="_Toc247691510"/>
      <w:bookmarkStart w:id="39" w:name="_Toc314842494"/>
      <w:bookmarkStart w:id="40" w:name="_Toc453068487"/>
      <w:r>
        <w:t>III. Nonclinical</w:t>
      </w:r>
      <w:bookmarkEnd w:id="37"/>
      <w:r>
        <w:t xml:space="preserve"> findings</w:t>
      </w:r>
      <w:bookmarkEnd w:id="38"/>
      <w:bookmarkEnd w:id="39"/>
      <w:bookmarkEnd w:id="40"/>
    </w:p>
    <w:p w:rsidR="008E7846" w:rsidRDefault="008E7846" w:rsidP="008E7846">
      <w:pPr>
        <w:pStyle w:val="Heading3"/>
      </w:pPr>
      <w:bookmarkStart w:id="41" w:name="_Toc247691512"/>
      <w:bookmarkStart w:id="42" w:name="_Toc314842496"/>
      <w:bookmarkStart w:id="43" w:name="_Toc453068488"/>
      <w:r w:rsidRPr="00020030">
        <w:t>Pharmacology</w:t>
      </w:r>
      <w:bookmarkEnd w:id="41"/>
      <w:bookmarkEnd w:id="42"/>
      <w:bookmarkEnd w:id="43"/>
    </w:p>
    <w:p w:rsidR="00F66581" w:rsidRPr="00F66581" w:rsidRDefault="00BF25BA" w:rsidP="00526DBA">
      <w:pPr>
        <w:pStyle w:val="Heading4"/>
      </w:pPr>
      <w:r>
        <w:t>Primary pharmacology</w:t>
      </w:r>
    </w:p>
    <w:p w:rsidR="00F66581" w:rsidRPr="00A66186" w:rsidRDefault="006653F8" w:rsidP="00275A83">
      <w:r>
        <w:t>IPF</w:t>
      </w:r>
      <w:r w:rsidR="00F66581" w:rsidRPr="0033494A">
        <w:t xml:space="preserve"> is a form of chronic fibrosing interstitial pneumonia that is restricted to the lung with unknown aetiology. The pathogenesis of IPF involves inflammation and fibrosis. The sponsor has proposed that </w:t>
      </w:r>
      <w:proofErr w:type="spellStart"/>
      <w:r w:rsidR="00F66581" w:rsidRPr="0033494A">
        <w:t>pirfenidone</w:t>
      </w:r>
      <w:proofErr w:type="spellEnd"/>
      <w:r w:rsidR="00F66581" w:rsidRPr="0033494A">
        <w:t xml:space="preserve"> has both anti-inflamma</w:t>
      </w:r>
      <w:r w:rsidR="00F66581" w:rsidRPr="00A66186">
        <w:t>tory and anti-fibrotic properties, but a clear mechanism of action has not been identified. The in vitro and in vivo studies submitted support some anti-inflammatory and anti-fibrotic effects of the drug.</w:t>
      </w:r>
    </w:p>
    <w:p w:rsidR="00B32268" w:rsidRPr="00E45897" w:rsidRDefault="00B32268" w:rsidP="00B32268">
      <w:pPr>
        <w:pStyle w:val="Heading4"/>
      </w:pPr>
      <w:r w:rsidRPr="00E45897">
        <w:t>Anti-inflammatory effects</w:t>
      </w:r>
    </w:p>
    <w:p w:rsidR="00B32268" w:rsidRPr="00B32268" w:rsidRDefault="00B32268" w:rsidP="00275A83">
      <w:proofErr w:type="spellStart"/>
      <w:r w:rsidRPr="00B32268">
        <w:t>Pirfenidone</w:t>
      </w:r>
      <w:proofErr w:type="spellEnd"/>
      <w:r w:rsidRPr="00B32268">
        <w:t xml:space="preserve"> inhibited the release of </w:t>
      </w:r>
      <w:r w:rsidR="006846A7">
        <w:t>tumour necrosis factor alpha (</w:t>
      </w:r>
      <w:r w:rsidRPr="00B32268">
        <w:t>TNFα</w:t>
      </w:r>
      <w:r w:rsidR="006846A7">
        <w:t>)</w:t>
      </w:r>
      <w:r w:rsidRPr="00B32268">
        <w:t xml:space="preserve"> in response to lipopolysaccharide (LPS) in a human monocyte cell line with </w:t>
      </w:r>
      <w:proofErr w:type="gramStart"/>
      <w:r w:rsidRPr="00B32268">
        <w:t>an</w:t>
      </w:r>
      <w:proofErr w:type="gramEnd"/>
      <w:r w:rsidRPr="00B32268">
        <w:t xml:space="preserve"> </w:t>
      </w:r>
      <w:r w:rsidR="002A6201">
        <w:t>half maximal inhibitory concentration (</w:t>
      </w:r>
      <w:r w:rsidRPr="00B32268">
        <w:t>IC</w:t>
      </w:r>
      <w:r w:rsidRPr="001E5EE3">
        <w:rPr>
          <w:vertAlign w:val="subscript"/>
        </w:rPr>
        <w:t>50</w:t>
      </w:r>
      <w:r w:rsidR="002A6201">
        <w:t xml:space="preserve">) </w:t>
      </w:r>
      <w:r w:rsidRPr="00B32268">
        <w:t xml:space="preserve">value of 48 </w:t>
      </w:r>
      <w:proofErr w:type="spellStart"/>
      <w:r w:rsidRPr="00B32268">
        <w:t>μg</w:t>
      </w:r>
      <w:proofErr w:type="spellEnd"/>
      <w:r w:rsidRPr="00B32268">
        <w:t>/</w:t>
      </w:r>
      <w:proofErr w:type="spellStart"/>
      <w:r w:rsidRPr="00B32268">
        <w:t>mL.</w:t>
      </w:r>
      <w:proofErr w:type="spellEnd"/>
      <w:r w:rsidRPr="00B32268">
        <w:t xml:space="preserve"> This is </w:t>
      </w:r>
      <w:r w:rsidR="001E5EE3">
        <w:t xml:space="preserve">approximately </w:t>
      </w:r>
      <w:r w:rsidRPr="00B32268">
        <w:t xml:space="preserve">3 times the clinical </w:t>
      </w:r>
      <w:r w:rsidR="001E5EE3">
        <w:t>maximum serum concentration (</w:t>
      </w:r>
      <w:proofErr w:type="spellStart"/>
      <w:r w:rsidRPr="00B32268">
        <w:t>C</w:t>
      </w:r>
      <w:r w:rsidRPr="001E5EE3">
        <w:rPr>
          <w:vertAlign w:val="subscript"/>
        </w:rPr>
        <w:t>max</w:t>
      </w:r>
      <w:proofErr w:type="spellEnd"/>
      <w:r w:rsidR="001E5EE3">
        <w:t>)</w:t>
      </w:r>
      <w:r w:rsidRPr="00B32268">
        <w:t xml:space="preserve"> for tota</w:t>
      </w:r>
      <w:r w:rsidR="001E5EE3">
        <w:t xml:space="preserve">l </w:t>
      </w:r>
      <w:proofErr w:type="spellStart"/>
      <w:r w:rsidR="001E5EE3">
        <w:t>pirfenidone</w:t>
      </w:r>
      <w:proofErr w:type="spellEnd"/>
      <w:r w:rsidR="001E5EE3">
        <w:t xml:space="preserve"> (</w:t>
      </w:r>
      <w:proofErr w:type="gramStart"/>
      <w:r w:rsidR="001E5EE3">
        <w:t>14.7 </w:t>
      </w:r>
      <w:proofErr w:type="spellStart"/>
      <w:r w:rsidR="001E5EE3">
        <w:t>μg</w:t>
      </w:r>
      <w:proofErr w:type="spellEnd"/>
      <w:r w:rsidR="001E5EE3">
        <w:t>/mL</w:t>
      </w:r>
      <w:proofErr w:type="gramEnd"/>
      <w:r w:rsidR="001E5EE3">
        <w:t xml:space="preserve"> or 79 </w:t>
      </w:r>
      <w:r w:rsidR="0033494A">
        <w:t>µM</w:t>
      </w:r>
      <w:r w:rsidRPr="00B32268">
        <w:t xml:space="preserve">), suggesting these effects may not be clinically relevant. </w:t>
      </w:r>
      <w:proofErr w:type="spellStart"/>
      <w:r w:rsidRPr="00B32268">
        <w:t>Pirfenidone</w:t>
      </w:r>
      <w:proofErr w:type="spellEnd"/>
      <w:r w:rsidRPr="00B32268">
        <w:t xml:space="preserve"> metabolites were not seen t</w:t>
      </w:r>
      <w:r w:rsidR="001E5EE3">
        <w:t>o have clinically relevant anti</w:t>
      </w:r>
      <w:r w:rsidR="001E5EE3">
        <w:noBreakHyphen/>
      </w:r>
      <w:r w:rsidRPr="00B32268">
        <w:t>inflammatory activity in this assay due to eithe</w:t>
      </w:r>
      <w:r w:rsidR="001E5EE3">
        <w:t>r very low clinical exposure (5</w:t>
      </w:r>
      <w:r w:rsidR="001E5EE3">
        <w:noBreakHyphen/>
        <w:t>OH</w:t>
      </w:r>
      <w:r w:rsidR="001E5EE3">
        <w:noBreakHyphen/>
      </w:r>
      <w:r w:rsidRPr="00B32268">
        <w:t>pirfenidone) or only very</w:t>
      </w:r>
      <w:r w:rsidR="001E5EE3">
        <w:t xml:space="preserve"> weak inhibitory activity (5</w:t>
      </w:r>
      <w:r w:rsidR="001E5EE3">
        <w:noBreakHyphen/>
        <w:t>CA</w:t>
      </w:r>
      <w:r w:rsidR="001E5EE3">
        <w:noBreakHyphen/>
      </w:r>
      <w:r w:rsidRPr="00B32268">
        <w:t>pirfenidone)</w:t>
      </w:r>
      <w:r w:rsidR="001E5EE3">
        <w:t xml:space="preserve">. </w:t>
      </w:r>
      <w:proofErr w:type="spellStart"/>
      <w:r w:rsidR="001E5EE3">
        <w:t>Pirfenidone</w:t>
      </w:r>
      <w:proofErr w:type="spellEnd"/>
      <w:r w:rsidR="001E5EE3">
        <w:t xml:space="preserve"> did not have anti</w:t>
      </w:r>
      <w:r w:rsidR="001E5EE3">
        <w:noBreakHyphen/>
      </w:r>
      <w:r w:rsidRPr="00B32268">
        <w:t>oxidant properties or inhibit cyclooxygenase activity in vitro.</w:t>
      </w:r>
    </w:p>
    <w:p w:rsidR="00B32268" w:rsidRPr="00B32268" w:rsidRDefault="00B32268" w:rsidP="00275A83">
      <w:r w:rsidRPr="00B32268">
        <w:t>In</w:t>
      </w:r>
      <w:r w:rsidR="001E5EE3">
        <w:t xml:space="preserve"> vivo studies examined the anti</w:t>
      </w:r>
      <w:r w:rsidR="001E5EE3">
        <w:noBreakHyphen/>
      </w:r>
      <w:r w:rsidRPr="00B32268">
        <w:t xml:space="preserve">inflammatory activity of </w:t>
      </w:r>
      <w:proofErr w:type="spellStart"/>
      <w:r w:rsidRPr="00B32268">
        <w:t>pirfenidone</w:t>
      </w:r>
      <w:proofErr w:type="spellEnd"/>
      <w:r w:rsidRPr="00B32268">
        <w:t xml:space="preserve"> in a variety of animal mo</w:t>
      </w:r>
      <w:r w:rsidR="001E5EE3">
        <w:t>dels. In mice sensitised with D</w:t>
      </w:r>
      <w:r w:rsidR="001E5EE3">
        <w:noBreakHyphen/>
      </w:r>
      <w:proofErr w:type="spellStart"/>
      <w:r w:rsidR="001E5EE3">
        <w:t>galactosamine</w:t>
      </w:r>
      <w:proofErr w:type="spellEnd"/>
      <w:r w:rsidR="001E5EE3">
        <w:t xml:space="preserve">, 500 mg/kg of oral (PO) </w:t>
      </w:r>
      <w:proofErr w:type="spellStart"/>
      <w:r w:rsidR="001E5EE3">
        <w:t>pirfenidone</w:t>
      </w:r>
      <w:proofErr w:type="spellEnd"/>
      <w:r w:rsidR="001E5EE3">
        <w:t xml:space="preserve"> attenuated LPS</w:t>
      </w:r>
      <w:r w:rsidR="0033494A">
        <w:t xml:space="preserve"> </w:t>
      </w:r>
      <w:r w:rsidRPr="00B32268">
        <w:t xml:space="preserve">induced mortality and reduced hepatocyte necrosis and apoptosis. Consistent with this, </w:t>
      </w:r>
      <w:proofErr w:type="spellStart"/>
      <w:r w:rsidRPr="00B32268">
        <w:t>pirfenidone</w:t>
      </w:r>
      <w:proofErr w:type="spellEnd"/>
      <w:r w:rsidRPr="00B32268">
        <w:t xml:space="preserve"> attenuated the release of </w:t>
      </w:r>
      <w:r w:rsidR="001E5EE3">
        <w:t>the pro</w:t>
      </w:r>
      <w:r w:rsidR="001E5EE3">
        <w:noBreakHyphen/>
        <w:t xml:space="preserve">inflammatory cytokines </w:t>
      </w:r>
      <w:r w:rsidR="0033494A">
        <w:t>(</w:t>
      </w:r>
      <w:r w:rsidR="001E5EE3">
        <w:t>TNFα, interleukin 12 (IL</w:t>
      </w:r>
      <w:r w:rsidR="001E5EE3">
        <w:noBreakHyphen/>
      </w:r>
      <w:r w:rsidRPr="00B32268">
        <w:t>12</w:t>
      </w:r>
      <w:r w:rsidR="001E5EE3">
        <w:t>) and</w:t>
      </w:r>
      <w:r w:rsidRPr="00B32268">
        <w:t xml:space="preserve"> </w:t>
      </w:r>
      <w:r w:rsidR="001E5EE3">
        <w:t>interferon gamma (</w:t>
      </w:r>
      <w:proofErr w:type="spellStart"/>
      <w:r w:rsidRPr="00B32268">
        <w:t>IFN</w:t>
      </w:r>
      <w:r w:rsidR="0033494A">
        <w:t>γ</w:t>
      </w:r>
      <w:proofErr w:type="spellEnd"/>
      <w:r w:rsidR="001E5EE3">
        <w:t>)</w:t>
      </w:r>
      <w:r w:rsidR="0033494A">
        <w:t>)</w:t>
      </w:r>
      <w:r w:rsidR="001E5EE3">
        <w:t xml:space="preserve"> </w:t>
      </w:r>
      <w:r w:rsidRPr="00B32268">
        <w:t>as well as the pro</w:t>
      </w:r>
      <w:r w:rsidR="001E5EE3">
        <w:noBreakHyphen/>
      </w:r>
      <w:r w:rsidRPr="00B32268">
        <w:t xml:space="preserve">fibrotic cytokine </w:t>
      </w:r>
      <w:r w:rsidR="001E5EE3">
        <w:t>t</w:t>
      </w:r>
      <w:r w:rsidR="001E5EE3" w:rsidRPr="001E5EE3">
        <w:t>ransforming growth factor beta 1</w:t>
      </w:r>
      <w:r w:rsidR="001E5EE3">
        <w:t xml:space="preserve"> (</w:t>
      </w:r>
      <w:r w:rsidRPr="00B32268">
        <w:t>TGF-β1</w:t>
      </w:r>
      <w:r w:rsidR="001E5EE3">
        <w:t>)</w:t>
      </w:r>
      <w:r w:rsidRPr="00B32268">
        <w:t>, and increased levels of the anti-inflammatory cytokine IL-10 at doses approximating the maximum recommended human dose (MRHD) on a body surface area basis.</w:t>
      </w:r>
      <w:r w:rsidR="001E5EE3">
        <w:t xml:space="preserve"> The half maximal effective dose (ED</w:t>
      </w:r>
      <w:r w:rsidR="001E5EE3" w:rsidRPr="001E5EE3">
        <w:rPr>
          <w:vertAlign w:val="subscript"/>
        </w:rPr>
        <w:t>50</w:t>
      </w:r>
      <w:r w:rsidR="001E5EE3">
        <w:t>) for inhibition of TNF</w:t>
      </w:r>
      <w:r w:rsidRPr="00B32268">
        <w:t>α release was 148 mg/kg/day, which is approximately one third the MRHD based on mg/m</w:t>
      </w:r>
      <w:r w:rsidRPr="001E5EE3">
        <w:rPr>
          <w:vertAlign w:val="superscript"/>
        </w:rPr>
        <w:t>2</w:t>
      </w:r>
      <w:r w:rsidRPr="00B32268">
        <w:t xml:space="preserve">. Similarly, </w:t>
      </w:r>
      <w:proofErr w:type="spellStart"/>
      <w:r w:rsidRPr="00B32268">
        <w:t>pirfenidone</w:t>
      </w:r>
      <w:proofErr w:type="spellEnd"/>
      <w:r w:rsidRPr="00B32268">
        <w:t xml:space="preserve"> reduced inflammation</w:t>
      </w:r>
      <w:r w:rsidR="0033494A">
        <w:t xml:space="preserve"> </w:t>
      </w:r>
      <w:r w:rsidRPr="00B32268">
        <w:t>induced swelling in a variety of rat models, with effects reported at doses as low as 10 mg/kg PO. However, these study reports lacked detail, and used relatively crude methods of measuring oedema, limiting confidence in the interpretation of these studies. Unlike its parent, the 5</w:t>
      </w:r>
      <w:r w:rsidRPr="00B32268">
        <w:noBreakHyphen/>
        <w:t>CA-pirfenidone metabolite (≤</w:t>
      </w:r>
      <w:r w:rsidR="001E5EE3">
        <w:t> </w:t>
      </w:r>
      <w:r w:rsidRPr="00B32268">
        <w:t>500 mg/kg PO) produced no significan</w:t>
      </w:r>
      <w:r w:rsidR="001E5EE3">
        <w:t>t inhibition of LPS</w:t>
      </w:r>
      <w:r w:rsidR="0033494A">
        <w:t xml:space="preserve"> </w:t>
      </w:r>
      <w:r w:rsidR="001E5EE3">
        <w:t>induced TNF</w:t>
      </w:r>
      <w:r w:rsidRPr="00B32268">
        <w:t>α production in mice.</w:t>
      </w:r>
    </w:p>
    <w:p w:rsidR="00B32268" w:rsidRPr="00B32268" w:rsidRDefault="00B32268" w:rsidP="00B32268">
      <w:pPr>
        <w:pStyle w:val="Heading4"/>
      </w:pPr>
      <w:r w:rsidRPr="00B32268">
        <w:t>Anti-fibrotic effects</w:t>
      </w:r>
    </w:p>
    <w:p w:rsidR="00B32268" w:rsidRPr="00B32268" w:rsidRDefault="00B32268" w:rsidP="00275A83">
      <w:proofErr w:type="spellStart"/>
      <w:r w:rsidRPr="00275A83">
        <w:t>Pirfenidone</w:t>
      </w:r>
      <w:proofErr w:type="spellEnd"/>
      <w:r w:rsidRPr="00275A83">
        <w:t xml:space="preserve"> weakly inhibited the proliferation of a human lung fibroblast cell line in vitro. In unstimulated lung fibroblasts, inhibition was not dose</w:t>
      </w:r>
      <w:r w:rsidR="0033494A" w:rsidRPr="00275A83">
        <w:t xml:space="preserve"> </w:t>
      </w:r>
      <w:r w:rsidRPr="00275A83">
        <w:t xml:space="preserve">dependent, with small reductions in proliferation observed at 100 and </w:t>
      </w:r>
      <w:r w:rsidR="00B15BB5" w:rsidRPr="00275A83">
        <w:t>1,000</w:t>
      </w:r>
      <w:r w:rsidRPr="00275A83">
        <w:t xml:space="preserve"> </w:t>
      </w:r>
      <w:r w:rsidR="0033494A" w:rsidRPr="00275A83">
        <w:t>µ</w:t>
      </w:r>
      <w:r w:rsidRPr="00275A83">
        <w:t xml:space="preserve">M. </w:t>
      </w:r>
      <w:proofErr w:type="spellStart"/>
      <w:r w:rsidRPr="00275A83">
        <w:t>Pirfenidone</w:t>
      </w:r>
      <w:proofErr w:type="spellEnd"/>
      <w:r w:rsidRPr="00275A83">
        <w:t xml:space="preserve"> (</w:t>
      </w:r>
      <w:r w:rsidR="00B15BB5" w:rsidRPr="00275A83">
        <w:t>1,000</w:t>
      </w:r>
      <w:r w:rsidR="00DA1DF1" w:rsidRPr="00275A83">
        <w:t> </w:t>
      </w:r>
      <w:r w:rsidR="0033494A" w:rsidRPr="00275A83">
        <w:t>µ</w:t>
      </w:r>
      <w:r w:rsidRPr="00275A83">
        <w:t xml:space="preserve">M) inhibited proliferation by </w:t>
      </w:r>
      <w:r w:rsidR="00DA1DF1" w:rsidRPr="00275A83">
        <w:t xml:space="preserve">approximately </w:t>
      </w:r>
      <w:r w:rsidRPr="00275A83">
        <w:t xml:space="preserve">50% in lung fibroblasts stimulated with </w:t>
      </w:r>
      <w:r w:rsidR="00DA1DF1" w:rsidRPr="00275A83">
        <w:t>platelet derived growth factor (</w:t>
      </w:r>
      <w:r w:rsidRPr="00275A83">
        <w:t>PDGF</w:t>
      </w:r>
      <w:r w:rsidR="00DA1DF1" w:rsidRPr="00275A83">
        <w:t>)</w:t>
      </w:r>
      <w:r w:rsidRPr="00275A83">
        <w:t xml:space="preserve">, but not </w:t>
      </w:r>
      <w:r w:rsidR="00DA1DF1" w:rsidRPr="00275A83">
        <w:t>interleukin 1beta (IL</w:t>
      </w:r>
      <w:r w:rsidR="00DA1DF1" w:rsidRPr="00275A83">
        <w:noBreakHyphen/>
      </w:r>
      <w:r w:rsidRPr="00275A83">
        <w:t>1β</w:t>
      </w:r>
      <w:r w:rsidR="00DA1DF1" w:rsidRPr="00275A83">
        <w:t>)</w:t>
      </w:r>
      <w:r w:rsidRPr="00275A83">
        <w:t xml:space="preserve">. In contrast, </w:t>
      </w:r>
      <w:proofErr w:type="spellStart"/>
      <w:r w:rsidRPr="00275A83">
        <w:t>nintedanib</w:t>
      </w:r>
      <w:proofErr w:type="spellEnd"/>
      <w:r w:rsidRPr="00275A83">
        <w:t xml:space="preserve"> (approved by the TGA for IPF in September 2015) inhibited lung fibroblast proliferation in response to PDGF with an EC50 of 0.01</w:t>
      </w:r>
      <w:r w:rsidR="00DA1DF1" w:rsidRPr="00275A83">
        <w:t> </w:t>
      </w:r>
      <w:r w:rsidR="0033494A" w:rsidRPr="00275A83">
        <w:t>µ</w:t>
      </w:r>
      <w:r w:rsidRPr="00275A83">
        <w:t xml:space="preserve">M. Furthermore, </w:t>
      </w:r>
      <w:proofErr w:type="spellStart"/>
      <w:r w:rsidRPr="00275A83">
        <w:t>pirfenidone</w:t>
      </w:r>
      <w:proofErr w:type="spellEnd"/>
      <w:r w:rsidRPr="00275A83">
        <w:t xml:space="preserve"> did not inhibit collagen</w:t>
      </w:r>
      <w:r w:rsidRPr="00B32268">
        <w:t xml:space="preserve"> </w:t>
      </w:r>
      <w:r w:rsidRPr="00B32268">
        <w:lastRenderedPageBreak/>
        <w:t>production in lung fibroblasts in response to TGF</w:t>
      </w:r>
      <w:r w:rsidRPr="00B32268">
        <w:noBreakHyphen/>
      </w:r>
      <w:r w:rsidR="00DA1DF1">
        <w:t xml:space="preserve">β1 at concentrations up to </w:t>
      </w:r>
      <w:r w:rsidR="00B15BB5">
        <w:t>1,000</w:t>
      </w:r>
      <w:r w:rsidR="00DA1DF1">
        <w:t> </w:t>
      </w:r>
      <w:r w:rsidR="0033494A">
        <w:t>µM</w:t>
      </w:r>
      <w:r w:rsidRPr="00B32268">
        <w:t xml:space="preserve">. </w:t>
      </w:r>
      <w:proofErr w:type="spellStart"/>
      <w:r w:rsidRPr="00B32268">
        <w:t>Pirfenidone</w:t>
      </w:r>
      <w:proofErr w:type="spellEnd"/>
      <w:r w:rsidRPr="00B32268">
        <w:t xml:space="preserve"> appeared to have greater anti</w:t>
      </w:r>
      <w:r w:rsidR="00C77A5C">
        <w:noBreakHyphen/>
      </w:r>
      <w:r w:rsidRPr="00B32268">
        <w:t xml:space="preserve">fibrotic activity in a human dermal fibroblast cell line. </w:t>
      </w:r>
      <w:proofErr w:type="spellStart"/>
      <w:r w:rsidRPr="00B32268">
        <w:t>Pirfenidone</w:t>
      </w:r>
      <w:proofErr w:type="spellEnd"/>
      <w:r w:rsidRPr="00B32268">
        <w:t xml:space="preserve"> (≥</w:t>
      </w:r>
      <w:r w:rsidR="001C15A9">
        <w:t> 30 </w:t>
      </w:r>
      <w:r w:rsidR="0033494A">
        <w:t>µM</w:t>
      </w:r>
      <w:r w:rsidRPr="00B32268">
        <w:t xml:space="preserve">) inhibited proliferation in unstimulated dermal fibroblasts in the absence of </w:t>
      </w:r>
      <w:proofErr w:type="spellStart"/>
      <w:r w:rsidRPr="00B32268">
        <w:t>fetal</w:t>
      </w:r>
      <w:proofErr w:type="spellEnd"/>
      <w:r w:rsidRPr="00B32268">
        <w:t xml:space="preserve"> bovine serum (FBS). However, inhibition of proliferation in the presence of FBS and in response to TGF-β1 or IL-1β was observed only at </w:t>
      </w:r>
      <w:r w:rsidR="00B15BB5">
        <w:t>1,000</w:t>
      </w:r>
      <w:r w:rsidRPr="00B32268">
        <w:t xml:space="preserve"> </w:t>
      </w:r>
      <w:r w:rsidR="0033494A">
        <w:t>µM</w:t>
      </w:r>
      <w:r w:rsidRPr="00B32268">
        <w:t xml:space="preserve"> </w:t>
      </w:r>
      <w:proofErr w:type="spellStart"/>
      <w:r w:rsidRPr="00B32268">
        <w:t>pirfenidone</w:t>
      </w:r>
      <w:proofErr w:type="spellEnd"/>
      <w:r w:rsidRPr="00B32268">
        <w:t>. Collagen production in response to TGF</w:t>
      </w:r>
      <w:r w:rsidRPr="00B32268">
        <w:noBreakHyphen/>
        <w:t xml:space="preserve">β1 stimulation was inhibited by </w:t>
      </w:r>
      <w:proofErr w:type="spellStart"/>
      <w:r w:rsidRPr="00B32268">
        <w:t>pirfenidone</w:t>
      </w:r>
      <w:proofErr w:type="spellEnd"/>
      <w:r w:rsidRPr="00B32268">
        <w:t xml:space="preserve"> (≥</w:t>
      </w:r>
      <w:r w:rsidR="001F47B6">
        <w:t> </w:t>
      </w:r>
      <w:r w:rsidRPr="00B32268">
        <w:t xml:space="preserve">300 </w:t>
      </w:r>
      <w:r w:rsidR="0033494A">
        <w:t>µM</w:t>
      </w:r>
      <w:r w:rsidRPr="00B32268">
        <w:t xml:space="preserve">). Collagenase release was promoted by </w:t>
      </w:r>
      <w:proofErr w:type="spellStart"/>
      <w:r w:rsidRPr="00B32268">
        <w:t>pirfenidone</w:t>
      </w:r>
      <w:proofErr w:type="spellEnd"/>
      <w:r w:rsidRPr="00B32268">
        <w:t xml:space="preserve"> in unstimulated, but not IL-1β-stimulated dermal fibroblasts. In a human monocyte cell line, </w:t>
      </w:r>
      <w:proofErr w:type="spellStart"/>
      <w:r w:rsidRPr="00B32268">
        <w:t>pirfenidone</w:t>
      </w:r>
      <w:proofErr w:type="spellEnd"/>
      <w:r w:rsidRPr="00B32268">
        <w:t xml:space="preserve"> attenuated the release of TGF-β1 in response to LPS, but these effects were less pronounced in the presence of FBS. A secondary pharmacology screening assay found </w:t>
      </w:r>
      <w:r w:rsidR="00270A99">
        <w:t xml:space="preserve">the </w:t>
      </w:r>
      <w:r w:rsidRPr="00B32268">
        <w:t xml:space="preserve">inhibition of </w:t>
      </w:r>
      <w:r w:rsidR="00270A99">
        <w:t xml:space="preserve">the following </w:t>
      </w:r>
      <w:r w:rsidRPr="00B32268">
        <w:t>matrix m</w:t>
      </w:r>
      <w:r w:rsidR="001C15A9">
        <w:t>etalloproteinase</w:t>
      </w:r>
      <w:r w:rsidR="00270A99">
        <w:t>s (MMP): MMP-</w:t>
      </w:r>
      <w:r w:rsidR="001C15A9">
        <w:t>3, MMP</w:t>
      </w:r>
      <w:r w:rsidR="001C15A9">
        <w:noBreakHyphen/>
        <w:t>8, MMP</w:t>
      </w:r>
      <w:r w:rsidR="001C15A9">
        <w:noBreakHyphen/>
        <w:t>12 and MMP</w:t>
      </w:r>
      <w:r w:rsidR="001C15A9">
        <w:noBreakHyphen/>
      </w:r>
      <w:r w:rsidRPr="00B32268">
        <w:t>13. However, based on the IC</w:t>
      </w:r>
      <w:r w:rsidRPr="001C15A9">
        <w:rPr>
          <w:vertAlign w:val="subscript"/>
        </w:rPr>
        <w:t>50</w:t>
      </w:r>
      <w:r w:rsidRPr="00B32268">
        <w:t xml:space="preserve"> values (0.7</w:t>
      </w:r>
      <w:r w:rsidR="001F47B6">
        <w:t> to </w:t>
      </w:r>
      <w:r w:rsidRPr="00B32268">
        <w:t xml:space="preserve">1.5 </w:t>
      </w:r>
      <w:proofErr w:type="spellStart"/>
      <w:r w:rsidRPr="00B32268">
        <w:t>mM</w:t>
      </w:r>
      <w:proofErr w:type="spellEnd"/>
      <w:r w:rsidRPr="00B32268">
        <w:t>), it is unlikely that inhibition of MMP would occur clinically.</w:t>
      </w:r>
    </w:p>
    <w:p w:rsidR="00B32268" w:rsidRPr="00B32268" w:rsidRDefault="00B32268" w:rsidP="00275A83">
      <w:r w:rsidRPr="00B32268">
        <w:t>The anti</w:t>
      </w:r>
      <w:r w:rsidR="001C15A9">
        <w:noBreakHyphen/>
      </w:r>
      <w:r w:rsidRPr="00B32268">
        <w:t xml:space="preserve">fibrotic effects of </w:t>
      </w:r>
      <w:proofErr w:type="spellStart"/>
      <w:r w:rsidRPr="00B32268">
        <w:t>pirfenidone</w:t>
      </w:r>
      <w:proofErr w:type="spellEnd"/>
      <w:r w:rsidRPr="00B32268">
        <w:t xml:space="preserve"> were also assesse</w:t>
      </w:r>
      <w:r w:rsidR="001F47B6">
        <w:t>d in rodent models of bleomycin</w:t>
      </w:r>
      <w:r w:rsidR="0033494A">
        <w:t xml:space="preserve"> </w:t>
      </w:r>
      <w:r w:rsidRPr="00B32268">
        <w:t xml:space="preserve">induced lung fibrosis. Prophylactic administration of </w:t>
      </w:r>
      <w:proofErr w:type="spellStart"/>
      <w:r w:rsidRPr="00B32268">
        <w:t>pirfenidone</w:t>
      </w:r>
      <w:proofErr w:type="spellEnd"/>
      <w:r w:rsidRPr="00B32268">
        <w:t xml:space="preserve"> markedly reduced fibrotic lesions, with associated reductions in bleomycin-induced lung </w:t>
      </w:r>
      <w:proofErr w:type="spellStart"/>
      <w:r w:rsidRPr="00B32268">
        <w:t>hy</w:t>
      </w:r>
      <w:r w:rsidR="001F47B6">
        <w:t>droxyproline</w:t>
      </w:r>
      <w:proofErr w:type="spellEnd"/>
      <w:r w:rsidR="001F47B6">
        <w:t xml:space="preserve"> content and prolyl</w:t>
      </w:r>
      <w:r w:rsidR="0033494A">
        <w:t xml:space="preserve"> </w:t>
      </w:r>
      <w:r w:rsidRPr="00B32268">
        <w:t xml:space="preserve">hydroxylase activity in hamsters (0.5% w/w in diet, </w:t>
      </w:r>
      <w:r w:rsidR="0033494A">
        <w:t xml:space="preserve">approximately </w:t>
      </w:r>
      <w:r w:rsidR="001F47B6">
        <w:t>500 </w:t>
      </w:r>
      <w:r w:rsidRPr="00B32268">
        <w:t>mg/kg/day</w:t>
      </w:r>
      <w:r w:rsidRPr="001C15A9">
        <w:rPr>
          <w:vertAlign w:val="superscript"/>
        </w:rPr>
        <w:footnoteReference w:id="5"/>
      </w:r>
      <w:r w:rsidR="001C15A9">
        <w:t>; relative exposure (RE)</w:t>
      </w:r>
      <w:r w:rsidRPr="00B32268">
        <w:t xml:space="preserve"> 1.6</w:t>
      </w:r>
      <w:r w:rsidR="001C15A9">
        <w:t> </w:t>
      </w:r>
      <w:proofErr w:type="gramStart"/>
      <w:r w:rsidR="00E60988">
        <w:t>x</w:t>
      </w:r>
      <w:proofErr w:type="gramEnd"/>
      <w:r w:rsidRPr="00B32268">
        <w:t xml:space="preserve"> based on mg/m</w:t>
      </w:r>
      <w:r w:rsidRPr="001C15A9">
        <w:rPr>
          <w:vertAlign w:val="superscript"/>
        </w:rPr>
        <w:t>2</w:t>
      </w:r>
      <w:r w:rsidRPr="00B32268">
        <w:t xml:space="preserve"> body surface area doses). Inflammatory markers were also reduced by </w:t>
      </w:r>
      <w:proofErr w:type="spellStart"/>
      <w:r w:rsidRPr="00B32268">
        <w:t>pirfenidone</w:t>
      </w:r>
      <w:proofErr w:type="spellEnd"/>
      <w:r w:rsidRPr="00B32268">
        <w:t xml:space="preserve"> (</w:t>
      </w:r>
      <w:proofErr w:type="spellStart"/>
      <w:r w:rsidRPr="00B32268">
        <w:t>malondialdehyde</w:t>
      </w:r>
      <w:proofErr w:type="spellEnd"/>
      <w:r w:rsidRPr="00B32268">
        <w:t xml:space="preserve"> content, myeloperoxidase and superoxide dismutase activity). Similarly, prophylactic treatment attenuated fibrosis development in rats (≥</w:t>
      </w:r>
      <w:r w:rsidR="001C15A9">
        <w:t> </w:t>
      </w:r>
      <w:r w:rsidRPr="00B32268">
        <w:t xml:space="preserve">300 mg/kg/day </w:t>
      </w:r>
      <w:r w:rsidRPr="00A66186">
        <w:t>PO</w:t>
      </w:r>
      <w:r w:rsidRPr="00B32268">
        <w:t xml:space="preserve"> </w:t>
      </w:r>
      <w:r w:rsidR="001F47B6">
        <w:t>(diet)</w:t>
      </w:r>
      <w:r w:rsidRPr="00B32268">
        <w:t>, RE 1.1</w:t>
      </w:r>
      <w:r w:rsidR="001C15A9">
        <w:t> </w:t>
      </w:r>
      <w:r w:rsidR="001F47B6">
        <w:t>x</w:t>
      </w:r>
      <w:r w:rsidRPr="00B32268">
        <w:t xml:space="preserve"> based on mg/m</w:t>
      </w:r>
      <w:r w:rsidRPr="001C15A9">
        <w:rPr>
          <w:vertAlign w:val="superscript"/>
        </w:rPr>
        <w:t>2</w:t>
      </w:r>
      <w:r w:rsidRPr="00B32268">
        <w:t>) and mice at subclinical exposures (based on AUC).</w:t>
      </w:r>
      <w:r w:rsidRPr="001C15A9">
        <w:rPr>
          <w:vertAlign w:val="superscript"/>
        </w:rPr>
        <w:footnoteReference w:id="6"/>
      </w:r>
      <w:r w:rsidRPr="00B32268">
        <w:t xml:space="preserve"> However, treatment with </w:t>
      </w:r>
      <w:proofErr w:type="spellStart"/>
      <w:r w:rsidRPr="00B32268">
        <w:t>pirfenidone</w:t>
      </w:r>
      <w:proofErr w:type="spellEnd"/>
      <w:r w:rsidRPr="00B32268">
        <w:t xml:space="preserve"> had little effect on established fibrosis in rats. There was a trend towards decreased fibrosis score after 4 weeks treatment with 30</w:t>
      </w:r>
      <w:r w:rsidR="001C15A9">
        <w:t> to </w:t>
      </w:r>
      <w:r w:rsidRPr="00B32268">
        <w:t xml:space="preserve">300 mg/kg/day </w:t>
      </w:r>
      <w:proofErr w:type="spellStart"/>
      <w:r w:rsidRPr="00B32268">
        <w:t>pirfenidone</w:t>
      </w:r>
      <w:proofErr w:type="spellEnd"/>
      <w:r w:rsidRPr="00B32268">
        <w:t xml:space="preserve">, but there was no effect on lung </w:t>
      </w:r>
      <w:proofErr w:type="spellStart"/>
      <w:r w:rsidRPr="00B32268">
        <w:t>hydroxyproline</w:t>
      </w:r>
      <w:proofErr w:type="spellEnd"/>
      <w:r w:rsidRPr="00B32268">
        <w:t xml:space="preserve"> content. In mice, </w:t>
      </w:r>
      <w:proofErr w:type="spellStart"/>
      <w:r w:rsidRPr="00B32268">
        <w:t>pirfenidone</w:t>
      </w:r>
      <w:proofErr w:type="spellEnd"/>
      <w:r w:rsidRPr="00B32268">
        <w:t xml:space="preserve"> appeared to arrest the development of bleomycin</w:t>
      </w:r>
      <w:r w:rsidR="001C15A9">
        <w:t xml:space="preserve"> </w:t>
      </w:r>
      <w:r w:rsidRPr="00B32268">
        <w:t>induced lung fibrosi</w:t>
      </w:r>
      <w:r w:rsidR="001C15A9">
        <w:t>s (at 30 and 100 mg/kg/day PO T</w:t>
      </w:r>
      <w:r w:rsidRPr="00B32268">
        <w:t>D</w:t>
      </w:r>
      <w:r w:rsidR="001C15A9">
        <w:t>S</w:t>
      </w:r>
      <w:r w:rsidRPr="00B32268">
        <w:t>; RE, 0.04</w:t>
      </w:r>
      <w:r w:rsidR="001C15A9">
        <w:t xml:space="preserve"> to </w:t>
      </w:r>
      <w:r w:rsidRPr="00B32268">
        <w:t>0.08</w:t>
      </w:r>
      <w:r w:rsidR="0033494A">
        <w:t xml:space="preserve"> </w:t>
      </w:r>
      <w:r w:rsidR="00E60988">
        <w:t>x</w:t>
      </w:r>
      <w:r w:rsidRPr="00B32268">
        <w:t xml:space="preserve"> based on AUC). An anti</w:t>
      </w:r>
      <w:r w:rsidR="001C15A9">
        <w:noBreakHyphen/>
      </w:r>
      <w:r w:rsidRPr="00B32268">
        <w:t xml:space="preserve">fibrotic mechanism of </w:t>
      </w:r>
      <w:proofErr w:type="spellStart"/>
      <w:r w:rsidRPr="00B32268">
        <w:t>pirfenidone</w:t>
      </w:r>
      <w:proofErr w:type="spellEnd"/>
      <w:r w:rsidRPr="00B32268">
        <w:t xml:space="preserve"> was also supported by a published study in dogs with induced chronic heart failure.</w:t>
      </w:r>
      <w:r w:rsidRPr="001C15A9">
        <w:rPr>
          <w:vertAlign w:val="superscript"/>
        </w:rPr>
        <w:footnoteReference w:id="7"/>
      </w:r>
    </w:p>
    <w:p w:rsidR="00B32268" w:rsidRPr="00B32268" w:rsidRDefault="00B32268" w:rsidP="00275A83">
      <w:r w:rsidRPr="00B32268">
        <w:t>Together, the primary pharmacology data provide some evidence t</w:t>
      </w:r>
      <w:r w:rsidR="001C15A9">
        <w:t>o support an anti</w:t>
      </w:r>
      <w:r w:rsidR="001C15A9">
        <w:noBreakHyphen/>
      </w:r>
      <w:r w:rsidRPr="00B32268">
        <w:t>inflammatory and anti</w:t>
      </w:r>
      <w:r w:rsidR="001C15A9">
        <w:noBreakHyphen/>
      </w:r>
      <w:r w:rsidRPr="00B32268">
        <w:t xml:space="preserve">fibrotic mechanism of action. The in vitro studies did not identify the pharmacological target or provide compelling evidence for clinically relevant mechanisms of action. However, the in vivo data did provide evidence of the ability of </w:t>
      </w:r>
      <w:proofErr w:type="spellStart"/>
      <w:r w:rsidRPr="00B32268">
        <w:t>pirfenidone</w:t>
      </w:r>
      <w:proofErr w:type="spellEnd"/>
      <w:r w:rsidRPr="00B32268">
        <w:t xml:space="preserve"> to modulate inflammatory and fibrotic pathways in response to pathological stimuli. This included inhibition of fibrosis progression at clinically relevant doses (based on comparison of doses adjusted for body surface area, or plasma AUC).</w:t>
      </w:r>
    </w:p>
    <w:p w:rsidR="00B32268" w:rsidRPr="00283845" w:rsidRDefault="00B32268" w:rsidP="00B32268">
      <w:pPr>
        <w:pStyle w:val="Heading4"/>
      </w:pPr>
      <w:r w:rsidRPr="00283845">
        <w:t>Secondary pharmacodynamics and safety pharmacology</w:t>
      </w:r>
    </w:p>
    <w:p w:rsidR="00B32268" w:rsidRPr="00B32268" w:rsidRDefault="00B32268" w:rsidP="00275A83">
      <w:r w:rsidRPr="00B32268">
        <w:t xml:space="preserve">Secondary </w:t>
      </w:r>
      <w:proofErr w:type="spellStart"/>
      <w:r w:rsidRPr="00B32268">
        <w:t>pharmacodynamic</w:t>
      </w:r>
      <w:proofErr w:type="spellEnd"/>
      <w:r w:rsidRPr="00B32268">
        <w:t xml:space="preserve"> studies revealed that </w:t>
      </w:r>
      <w:proofErr w:type="spellStart"/>
      <w:r w:rsidRPr="00B32268">
        <w:t>pirfenidone</w:t>
      </w:r>
      <w:proofErr w:type="spellEnd"/>
      <w:r w:rsidRPr="00B32268">
        <w:t xml:space="preserve"> inhibited </w:t>
      </w:r>
      <w:r w:rsidR="006967FD" w:rsidRPr="00B32268">
        <w:t>radio ligand</w:t>
      </w:r>
      <w:r w:rsidRPr="00B32268">
        <w:t xml:space="preserve"> binding to a number of human transporters, receptors and/or enzymes at high concentrations and with relatively low affinity. The highest affinity interaction was at </w:t>
      </w:r>
      <w:proofErr w:type="spellStart"/>
      <w:r w:rsidRPr="00B32268">
        <w:t>rolipram</w:t>
      </w:r>
      <w:proofErr w:type="spellEnd"/>
      <w:r w:rsidRPr="00B32268">
        <w:t xml:space="preserve"> binding sites in rat brain (</w:t>
      </w:r>
      <w:r w:rsidR="001F47B6">
        <w:t>binding affinity (Ki):</w:t>
      </w:r>
      <w:r w:rsidRPr="00B32268">
        <w:t xml:space="preserve"> 222 </w:t>
      </w:r>
      <w:r w:rsidR="0033494A">
        <w:t>µM</w:t>
      </w:r>
      <w:r w:rsidRPr="00B32268">
        <w:t>; IC</w:t>
      </w:r>
      <w:r w:rsidRPr="00CF43A2">
        <w:rPr>
          <w:vertAlign w:val="subscript"/>
        </w:rPr>
        <w:t>50</w:t>
      </w:r>
      <w:r w:rsidRPr="00B32268">
        <w:t xml:space="preserve">, 621 </w:t>
      </w:r>
      <w:r w:rsidR="0033494A">
        <w:t>µM</w:t>
      </w:r>
      <w:r w:rsidRPr="00B32268">
        <w:t xml:space="preserve">). As the clinical </w:t>
      </w:r>
      <w:proofErr w:type="spellStart"/>
      <w:r w:rsidRPr="00B32268">
        <w:t>C</w:t>
      </w:r>
      <w:r w:rsidRPr="00CF43A2">
        <w:rPr>
          <w:vertAlign w:val="subscript"/>
        </w:rPr>
        <w:t>max</w:t>
      </w:r>
      <w:proofErr w:type="spellEnd"/>
      <w:r w:rsidRPr="00B32268">
        <w:t xml:space="preserve"> was </w:t>
      </w:r>
      <w:r w:rsidR="00025FB3">
        <w:t>approximately</w:t>
      </w:r>
      <w:r w:rsidR="006967FD">
        <w:t xml:space="preserve"> </w:t>
      </w:r>
      <w:r w:rsidRPr="00B32268">
        <w:t xml:space="preserve">79 </w:t>
      </w:r>
      <w:r w:rsidR="0033494A">
        <w:t>µM</w:t>
      </w:r>
      <w:r w:rsidRPr="00B32268">
        <w:t xml:space="preserve"> at the MRHD, it is unlikely that any clinically significant interaction with the screened targets would occur.</w:t>
      </w:r>
    </w:p>
    <w:p w:rsidR="00B32268" w:rsidRPr="00B32268" w:rsidRDefault="00B32268" w:rsidP="00275A83">
      <w:r w:rsidRPr="00B32268">
        <w:t xml:space="preserve">Specialised safety pharmacology studies covered the </w:t>
      </w:r>
      <w:r w:rsidR="00D171DB">
        <w:t>central nervous system (</w:t>
      </w:r>
      <w:r w:rsidRPr="00B32268">
        <w:t>CNS</w:t>
      </w:r>
      <w:r w:rsidR="00D171DB">
        <w:t>)</w:t>
      </w:r>
      <w:r w:rsidRPr="00B32268">
        <w:t xml:space="preserve">, cardiovascular, respiratory and gastrointestinal </w:t>
      </w:r>
      <w:r w:rsidR="00D171DB">
        <w:t xml:space="preserve">(GI) </w:t>
      </w:r>
      <w:r w:rsidRPr="00B32268">
        <w:t xml:space="preserve">systems. </w:t>
      </w:r>
      <w:bookmarkStart w:id="44" w:name="CNSsafety"/>
      <w:r w:rsidRPr="00B32268">
        <w:t>CNS studies</w:t>
      </w:r>
      <w:bookmarkEnd w:id="44"/>
      <w:r w:rsidRPr="00B32268">
        <w:t xml:space="preserve"> in </w:t>
      </w:r>
      <w:proofErr w:type="spellStart"/>
      <w:r w:rsidRPr="00B32268">
        <w:t>ddY</w:t>
      </w:r>
      <w:proofErr w:type="spellEnd"/>
      <w:r w:rsidRPr="00B32268">
        <w:t xml:space="preserve"> mice</w:t>
      </w:r>
      <w:r w:rsidR="00CF43A2">
        <w:rPr>
          <w:rStyle w:val="FootnoteReference"/>
        </w:rPr>
        <w:footnoteReference w:id="8"/>
      </w:r>
      <w:r w:rsidRPr="00B32268">
        <w:t xml:space="preserve"> revealed </w:t>
      </w:r>
      <w:r w:rsidR="006967FD">
        <w:t>dose dependent</w:t>
      </w:r>
      <w:r w:rsidRPr="00B32268">
        <w:t xml:space="preserve"> sedation and ptosis (≥</w:t>
      </w:r>
      <w:r w:rsidR="006967FD">
        <w:t xml:space="preserve"> </w:t>
      </w:r>
      <w:r w:rsidRPr="00B32268">
        <w:t xml:space="preserve">30 mg/kg PO), with hypothermia, </w:t>
      </w:r>
      <w:proofErr w:type="spellStart"/>
      <w:r w:rsidRPr="00B32268">
        <w:lastRenderedPageBreak/>
        <w:t>hypoactivity</w:t>
      </w:r>
      <w:proofErr w:type="spellEnd"/>
      <w:r w:rsidRPr="00B32268">
        <w:t xml:space="preserve"> and abnormal posture observed after a single dose of ≥</w:t>
      </w:r>
      <w:r w:rsidR="00C0102E">
        <w:t> </w:t>
      </w:r>
      <w:r w:rsidRPr="00B32268">
        <w:t>100 mg/kg (estimated RE &lt;</w:t>
      </w:r>
      <w:r w:rsidR="006967FD">
        <w:t xml:space="preserve"> </w:t>
      </w:r>
      <w:r w:rsidRPr="00B32268">
        <w:t>0.1</w:t>
      </w:r>
      <w:r w:rsidR="00D171DB">
        <w:t xml:space="preserve"> x</w:t>
      </w:r>
      <w:r w:rsidRPr="00B32268">
        <w:t xml:space="preserve"> and 0.2</w:t>
      </w:r>
      <w:r w:rsidR="00D171DB">
        <w:t xml:space="preserve"> </w:t>
      </w:r>
      <w:r w:rsidR="00E60988">
        <w:t>x</w:t>
      </w:r>
      <w:r w:rsidRPr="00B32268">
        <w:t xml:space="preserve"> based on mg/m</w:t>
      </w:r>
      <w:r w:rsidRPr="00D171DB">
        <w:rPr>
          <w:vertAlign w:val="superscript"/>
        </w:rPr>
        <w:t>2</w:t>
      </w:r>
      <w:r w:rsidRPr="00B32268">
        <w:t xml:space="preserve"> doses, respectively). In addition, doses of 300 mg/kg were associated with staggering gait and abnormal limb position (estimated RE 0.6</w:t>
      </w:r>
      <w:r w:rsidR="006967FD">
        <w:t xml:space="preserve"> </w:t>
      </w:r>
      <w:r w:rsidR="00E60988">
        <w:t>x</w:t>
      </w:r>
      <w:r w:rsidRPr="00B32268">
        <w:t xml:space="preserve"> based on mg/m</w:t>
      </w:r>
      <w:r w:rsidRPr="00526DBA">
        <w:rPr>
          <w:vertAlign w:val="superscript"/>
        </w:rPr>
        <w:t>2</w:t>
      </w:r>
      <w:r w:rsidRPr="00B32268">
        <w:t xml:space="preserve">). These adverse neurological signs resolved by 2 h post-dose. In a preliminary study, </w:t>
      </w:r>
      <w:r w:rsidR="00B15BB5">
        <w:t>1,000</w:t>
      </w:r>
      <w:r w:rsidRPr="00B32268">
        <w:t xml:space="preserve"> mg/kg PO </w:t>
      </w:r>
      <w:proofErr w:type="spellStart"/>
      <w:r w:rsidRPr="00B32268">
        <w:t>pirfenidone</w:t>
      </w:r>
      <w:proofErr w:type="spellEnd"/>
      <w:r w:rsidRPr="00B32268">
        <w:t xml:space="preserve"> was associated with similar CNS effects as well as convulsions, rearing behaviour, palpebral opening and respiratory inhibition, with mortality in 3 of 4 mice occurring within 10 minutes of dosing (estimated RE 1.9</w:t>
      </w:r>
      <w:r w:rsidR="006967FD">
        <w:t xml:space="preserve"> </w:t>
      </w:r>
      <w:r w:rsidR="00E60988">
        <w:t>x</w:t>
      </w:r>
      <w:r w:rsidRPr="00B32268">
        <w:t xml:space="preserve"> based on mg/m</w:t>
      </w:r>
      <w:r w:rsidRPr="00537D26">
        <w:rPr>
          <w:vertAlign w:val="superscript"/>
        </w:rPr>
        <w:t>2</w:t>
      </w:r>
      <w:r w:rsidRPr="00B32268">
        <w:t xml:space="preserve">). </w:t>
      </w:r>
      <w:proofErr w:type="spellStart"/>
      <w:r w:rsidRPr="00B32268">
        <w:t>Pirfenidone</w:t>
      </w:r>
      <w:proofErr w:type="spellEnd"/>
      <w:r w:rsidRPr="00B32268">
        <w:t xml:space="preserve"> increased pentobarbital</w:t>
      </w:r>
      <w:r w:rsidR="006967FD">
        <w:t xml:space="preserve"> </w:t>
      </w:r>
      <w:r w:rsidRPr="00B32268">
        <w:t>induced sleep time and displayed analgesic activity in the acetic</w:t>
      </w:r>
      <w:r w:rsidR="006967FD">
        <w:t xml:space="preserve"> </w:t>
      </w:r>
      <w:r w:rsidRPr="00B32268">
        <w:t>acid induced writhing test in mice (≥</w:t>
      </w:r>
      <w:r w:rsidR="00537D26">
        <w:t> </w:t>
      </w:r>
      <w:r w:rsidRPr="00B32268">
        <w:t xml:space="preserve">100 mg/kg, significant at 300 mg/kg). </w:t>
      </w:r>
      <w:proofErr w:type="spellStart"/>
      <w:r w:rsidRPr="00B32268">
        <w:t>P</w:t>
      </w:r>
      <w:r w:rsidR="00537D26">
        <w:t>irfenidone</w:t>
      </w:r>
      <w:proofErr w:type="spellEnd"/>
      <w:r w:rsidR="00537D26">
        <w:t xml:space="preserve"> (300 </w:t>
      </w:r>
      <w:r w:rsidRPr="00B32268">
        <w:t>mg/kg) also increased</w:t>
      </w:r>
      <w:r w:rsidR="00537D26">
        <w:t xml:space="preserve"> the threshold for electroshock and </w:t>
      </w:r>
      <w:proofErr w:type="spellStart"/>
      <w:r w:rsidR="00537D26">
        <w:t>pentylenetetrazole</w:t>
      </w:r>
      <w:proofErr w:type="spellEnd"/>
      <w:r w:rsidR="002A6201">
        <w:t xml:space="preserve"> </w:t>
      </w:r>
      <w:r w:rsidRPr="00B32268">
        <w:t>induced convulsions in mice. The sponsor proposed that some of the observed CNS effects may be related to the binding and/or inhibition of centrally expressed receptors and transporters demonstrated in radio</w:t>
      </w:r>
      <w:r w:rsidR="006967FD">
        <w:t xml:space="preserve"> </w:t>
      </w:r>
      <w:r w:rsidRPr="00B32268">
        <w:t xml:space="preserve">ligand studies. This is considered plausible as </w:t>
      </w:r>
      <w:proofErr w:type="spellStart"/>
      <w:r w:rsidRPr="00B32268">
        <w:t>C</w:t>
      </w:r>
      <w:r w:rsidRPr="00D171DB">
        <w:rPr>
          <w:vertAlign w:val="subscript"/>
        </w:rPr>
        <w:t>max</w:t>
      </w:r>
      <w:proofErr w:type="spellEnd"/>
      <w:r w:rsidRPr="00B32268">
        <w:t xml:space="preserve"> values were </w:t>
      </w:r>
      <w:r w:rsidR="00876BB3">
        <w:t>approximately</w:t>
      </w:r>
      <w:r w:rsidR="00D171DB">
        <w:t xml:space="preserve"> </w:t>
      </w:r>
      <w:r w:rsidRPr="00B32268">
        <w:t xml:space="preserve">1 or 2 </w:t>
      </w:r>
      <w:proofErr w:type="spellStart"/>
      <w:r w:rsidRPr="00B32268">
        <w:t>mM</w:t>
      </w:r>
      <w:proofErr w:type="spellEnd"/>
      <w:r w:rsidRPr="00B32268">
        <w:t xml:space="preserve"> in </w:t>
      </w:r>
      <w:r w:rsidR="00215026">
        <w:t xml:space="preserve">B6C3F1 </w:t>
      </w:r>
      <w:r w:rsidRPr="00B32268">
        <w:t xml:space="preserve">mice that received a single oral dose of 500 or </w:t>
      </w:r>
      <w:r w:rsidR="00B15BB5">
        <w:t>1,000</w:t>
      </w:r>
      <w:r w:rsidRPr="00B32268">
        <w:t xml:space="preserve"> mg/kg </w:t>
      </w:r>
      <w:proofErr w:type="spellStart"/>
      <w:r w:rsidRPr="00B32268">
        <w:t>pirfenidone</w:t>
      </w:r>
      <w:proofErr w:type="spellEnd"/>
      <w:r w:rsidRPr="00B32268">
        <w:t>, respectively, and transfer across the blood</w:t>
      </w:r>
      <w:r w:rsidR="006967FD">
        <w:t xml:space="preserve"> </w:t>
      </w:r>
      <w:r w:rsidRPr="00B32268">
        <w:t>brain barrier was high.</w:t>
      </w:r>
      <w:r w:rsidRPr="00537D26">
        <w:rPr>
          <w:vertAlign w:val="superscript"/>
        </w:rPr>
        <w:footnoteReference w:id="9"/>
      </w:r>
      <w:r w:rsidRPr="00B32268">
        <w:t xml:space="preserve"> However, these effects are not expected clinically given the </w:t>
      </w:r>
      <w:proofErr w:type="spellStart"/>
      <w:r w:rsidRPr="00B32268">
        <w:t>C</w:t>
      </w:r>
      <w:r w:rsidRPr="00537D26">
        <w:rPr>
          <w:vertAlign w:val="subscript"/>
        </w:rPr>
        <w:t>max</w:t>
      </w:r>
      <w:proofErr w:type="spellEnd"/>
      <w:r w:rsidRPr="00B32268">
        <w:t xml:space="preserve"> value of 0.08 </w:t>
      </w:r>
      <w:proofErr w:type="spellStart"/>
      <w:r w:rsidRPr="00B32268">
        <w:t>mM</w:t>
      </w:r>
      <w:proofErr w:type="spellEnd"/>
      <w:r w:rsidRPr="00B32268">
        <w:t xml:space="preserve"> at the MRHD.</w:t>
      </w:r>
    </w:p>
    <w:p w:rsidR="00B32268" w:rsidRPr="00B32268" w:rsidRDefault="00B32268" w:rsidP="00275A83">
      <w:r w:rsidRPr="00B32268">
        <w:t xml:space="preserve">In vitro, </w:t>
      </w:r>
      <w:proofErr w:type="spellStart"/>
      <w:r w:rsidRPr="00B32268">
        <w:t>pirfenidone</w:t>
      </w:r>
      <w:proofErr w:type="spellEnd"/>
      <w:r w:rsidRPr="00B32268">
        <w:t xml:space="preserve"> </w:t>
      </w:r>
      <w:r w:rsidR="006967FD">
        <w:t>dose dependent</w:t>
      </w:r>
      <w:r w:rsidRPr="00B32268">
        <w:t xml:space="preserve">ly inhibited </w:t>
      </w:r>
      <w:proofErr w:type="spellStart"/>
      <w:r w:rsidRPr="00B32268">
        <w:t>hERG</w:t>
      </w:r>
      <w:proofErr w:type="spellEnd"/>
      <w:r w:rsidRPr="00B32268">
        <w:t xml:space="preserve"> </w:t>
      </w:r>
      <w:r w:rsidR="00537D26">
        <w:t>potassium ion</w:t>
      </w:r>
      <w:r w:rsidRPr="00B32268">
        <w:t xml:space="preserve"> channel current with an IC</w:t>
      </w:r>
      <w:r w:rsidRPr="00537D26">
        <w:rPr>
          <w:vertAlign w:val="subscript"/>
        </w:rPr>
        <w:t>50</w:t>
      </w:r>
      <w:r w:rsidR="00537D26">
        <w:t xml:space="preserve"> of approximately </w:t>
      </w:r>
      <w:r w:rsidRPr="00B32268">
        <w:t>5 </w:t>
      </w:r>
      <w:proofErr w:type="spellStart"/>
      <w:r w:rsidRPr="00B32268">
        <w:t>mM</w:t>
      </w:r>
      <w:proofErr w:type="spellEnd"/>
      <w:r w:rsidRPr="00B32268">
        <w:t xml:space="preserve">, which </w:t>
      </w:r>
      <w:proofErr w:type="gramStart"/>
      <w:r w:rsidRPr="00B32268">
        <w:t>is</w:t>
      </w:r>
      <w:proofErr w:type="gramEnd"/>
      <w:r w:rsidRPr="00B32268">
        <w:t xml:space="preserve"> </w:t>
      </w:r>
      <w:r w:rsidR="00537D26">
        <w:t xml:space="preserve">around 60 </w:t>
      </w:r>
      <w:r w:rsidR="006967FD">
        <w:t>x</w:t>
      </w:r>
      <w:r w:rsidR="006967FD" w:rsidRPr="00B32268">
        <w:t xml:space="preserve"> </w:t>
      </w:r>
      <w:r w:rsidRPr="00B32268">
        <w:t xml:space="preserve">the clinical </w:t>
      </w:r>
      <w:proofErr w:type="spellStart"/>
      <w:r w:rsidRPr="00B32268">
        <w:t>C</w:t>
      </w:r>
      <w:r w:rsidRPr="00537D26">
        <w:rPr>
          <w:vertAlign w:val="subscript"/>
        </w:rPr>
        <w:t>max</w:t>
      </w:r>
      <w:proofErr w:type="spellEnd"/>
      <w:r w:rsidRPr="00B32268">
        <w:t xml:space="preserve"> for total </w:t>
      </w:r>
      <w:proofErr w:type="spellStart"/>
      <w:r w:rsidRPr="00B32268">
        <w:t>pirfenidone</w:t>
      </w:r>
      <w:proofErr w:type="spellEnd"/>
      <w:r w:rsidRPr="00B32268">
        <w:t xml:space="preserve"> and </w:t>
      </w:r>
      <w:r w:rsidR="00537D26">
        <w:t xml:space="preserve">approximately </w:t>
      </w:r>
      <w:r w:rsidRPr="00B32268">
        <w:t>150</w:t>
      </w:r>
      <w:r w:rsidR="00D171DB">
        <w:t xml:space="preserve"> x</w:t>
      </w:r>
      <w:r w:rsidRPr="00B32268">
        <w:t xml:space="preserve"> the peak plasma concentration of unbound drug. The major metabolite, 5-CA-pirfendione, did not inhibit </w:t>
      </w:r>
      <w:proofErr w:type="spellStart"/>
      <w:r w:rsidRPr="00B32268">
        <w:t>hERG</w:t>
      </w:r>
      <w:proofErr w:type="spellEnd"/>
      <w:r w:rsidRPr="00B32268">
        <w:t xml:space="preserve"> channels at concentrations up to 1 </w:t>
      </w:r>
      <w:proofErr w:type="spellStart"/>
      <w:r w:rsidRPr="00B32268">
        <w:t>mM</w:t>
      </w:r>
      <w:proofErr w:type="spellEnd"/>
      <w:r w:rsidRPr="00B32268">
        <w:t xml:space="preserve"> (20</w:t>
      </w:r>
      <w:r w:rsidR="00537D26">
        <w:t> </w:t>
      </w:r>
      <w:r w:rsidR="00E60988">
        <w:t>x</w:t>
      </w:r>
      <w:r w:rsidRPr="00B32268">
        <w:t xml:space="preserve"> </w:t>
      </w:r>
      <w:proofErr w:type="spellStart"/>
      <w:r w:rsidRPr="00B32268">
        <w:t>C</w:t>
      </w:r>
      <w:r w:rsidRPr="00537D26">
        <w:rPr>
          <w:vertAlign w:val="subscript"/>
        </w:rPr>
        <w:t>max</w:t>
      </w:r>
      <w:proofErr w:type="spellEnd"/>
      <w:r w:rsidRPr="00B32268">
        <w:t xml:space="preserve">). In addition, </w:t>
      </w:r>
      <w:proofErr w:type="spellStart"/>
      <w:r w:rsidRPr="00B32268">
        <w:t>pirfenidone</w:t>
      </w:r>
      <w:proofErr w:type="spellEnd"/>
      <w:r w:rsidRPr="00B32268">
        <w:t xml:space="preserve"> and 5-CA-pirfenidone did not prolong action potential duration in guinea</w:t>
      </w:r>
      <w:r w:rsidR="006967FD">
        <w:t xml:space="preserve"> </w:t>
      </w:r>
      <w:r w:rsidRPr="00B32268">
        <w:t xml:space="preserve">pig papillary muscles at concentrations up to 1 </w:t>
      </w:r>
      <w:proofErr w:type="spellStart"/>
      <w:r w:rsidRPr="00B32268">
        <w:t>mM.</w:t>
      </w:r>
      <w:proofErr w:type="spellEnd"/>
    </w:p>
    <w:p w:rsidR="00B32268" w:rsidRPr="00B32268" w:rsidRDefault="00B32268" w:rsidP="00275A83">
      <w:r w:rsidRPr="00B32268">
        <w:t xml:space="preserve">In rats, </w:t>
      </w:r>
      <w:proofErr w:type="spellStart"/>
      <w:r w:rsidRPr="00B32268">
        <w:t>pirfenidone</w:t>
      </w:r>
      <w:proofErr w:type="spellEnd"/>
      <w:r w:rsidRPr="00B32268">
        <w:t xml:space="preserve"> decreased blood pressure and increased heart rate, arterial blood flow and the incidence and frequency of premature ventricular contrac</w:t>
      </w:r>
      <w:r w:rsidR="00537D26">
        <w:t>tions (≥ 30 mg/kg intra</w:t>
      </w:r>
      <w:r w:rsidR="00537D26">
        <w:noBreakHyphen/>
        <w:t>duodena</w:t>
      </w:r>
      <w:r w:rsidR="006967FD">
        <w:t>l (ID)</w:t>
      </w:r>
      <w:r w:rsidR="00D171DB">
        <w:t xml:space="preserve"> administration</w:t>
      </w:r>
      <w:r w:rsidRPr="00B32268">
        <w:t>). Atrioventricular block was also observed in addition to premature ventricular contractions in conscious rats that received ≥</w:t>
      </w:r>
      <w:r w:rsidR="00D171DB">
        <w:t xml:space="preserve"> </w:t>
      </w:r>
      <w:r w:rsidRPr="00B32268">
        <w:t>100 mg/kg. There were no treatment</w:t>
      </w:r>
      <w:r w:rsidR="006967FD">
        <w:t xml:space="preserve"> </w:t>
      </w:r>
      <w:r w:rsidRPr="00B32268">
        <w:t xml:space="preserve">related ventricular abnormalities in dogs. In anaesthetised dogs, </w:t>
      </w:r>
      <w:proofErr w:type="spellStart"/>
      <w:r w:rsidRPr="00B32268">
        <w:t>pirfenidone</w:t>
      </w:r>
      <w:proofErr w:type="spellEnd"/>
      <w:r w:rsidRPr="00B32268">
        <w:t xml:space="preserve"> increased heart rate and markedly reduced blood pressure at doses of ≥</w:t>
      </w:r>
      <w:r w:rsidR="00537D26">
        <w:t> </w:t>
      </w:r>
      <w:r w:rsidR="00D171DB">
        <w:t>100</w:t>
      </w:r>
      <w:r w:rsidR="006967FD">
        <w:t> </w:t>
      </w:r>
      <w:r w:rsidR="00D171DB">
        <w:t xml:space="preserve">mg/kg </w:t>
      </w:r>
      <w:r w:rsidR="006967FD">
        <w:t>ID</w:t>
      </w:r>
      <w:r w:rsidRPr="00B32268">
        <w:t xml:space="preserve">, which was associated with a </w:t>
      </w:r>
      <w:proofErr w:type="spellStart"/>
      <w:r w:rsidRPr="00B32268">
        <w:t>C</w:t>
      </w:r>
      <w:r w:rsidRPr="00537D26">
        <w:rPr>
          <w:vertAlign w:val="subscript"/>
        </w:rPr>
        <w:t>max</w:t>
      </w:r>
      <w:proofErr w:type="spellEnd"/>
      <w:r w:rsidRPr="00B32268">
        <w:t xml:space="preserve"> </w:t>
      </w:r>
      <w:r w:rsidR="00537D26">
        <w:t xml:space="preserve">around </w:t>
      </w:r>
      <w:r w:rsidRPr="00B32268">
        <w:t>7</w:t>
      </w:r>
      <w:r w:rsidR="00D171DB">
        <w:t> </w:t>
      </w:r>
      <w:proofErr w:type="gramStart"/>
      <w:r w:rsidR="00D171DB">
        <w:t>x</w:t>
      </w:r>
      <w:proofErr w:type="gramEnd"/>
      <w:r w:rsidRPr="00B32268">
        <w:t xml:space="preserve"> that expected clinically. </w:t>
      </w:r>
      <w:proofErr w:type="spellStart"/>
      <w:r w:rsidRPr="00B32268">
        <w:t>Pirfenidone</w:t>
      </w:r>
      <w:proofErr w:type="spellEnd"/>
      <w:r w:rsidRPr="00B32268">
        <w:t xml:space="preserve"> also increased heart rate in conscious dogs within 2 h of dosing with ≥</w:t>
      </w:r>
      <w:r w:rsidR="00537D26">
        <w:t> </w:t>
      </w:r>
      <w:r w:rsidRPr="00B32268">
        <w:t>30 mg/kg PO or IV, with sinus tachycardia also ob</w:t>
      </w:r>
      <w:r w:rsidR="00537D26">
        <w:t xml:space="preserve">served following PO/IV dosing (approximately 100 mg/kg, </w:t>
      </w:r>
      <w:r w:rsidRPr="00B32268">
        <w:t>4</w:t>
      </w:r>
      <w:r w:rsidR="006967FD">
        <w:t xml:space="preserve"> </w:t>
      </w:r>
      <w:r w:rsidR="00E60988">
        <w:t>x</w:t>
      </w:r>
      <w:r w:rsidRPr="00B32268">
        <w:t xml:space="preserve"> clinical </w:t>
      </w:r>
      <w:proofErr w:type="spellStart"/>
      <w:r w:rsidRPr="00B32268">
        <w:t>C</w:t>
      </w:r>
      <w:r w:rsidRPr="00537D26">
        <w:rPr>
          <w:vertAlign w:val="subscript"/>
        </w:rPr>
        <w:t>max</w:t>
      </w:r>
      <w:proofErr w:type="spellEnd"/>
      <w:r w:rsidRPr="00B32268">
        <w:t xml:space="preserve">). In conscious dogs, </w:t>
      </w:r>
      <w:proofErr w:type="spellStart"/>
      <w:r w:rsidRPr="00B32268">
        <w:t>pirfenidone</w:t>
      </w:r>
      <w:proofErr w:type="spellEnd"/>
      <w:r w:rsidRPr="00B32268">
        <w:t xml:space="preserve"> did not significantly decrease blood pressure at doses up to 300 mg/kg PO. QT prolongation was observed in one study at a dose of 100 mg/kg PO in dogs. However, </w:t>
      </w:r>
      <w:proofErr w:type="spellStart"/>
      <w:r w:rsidRPr="00B32268">
        <w:t>pirfenidone</w:t>
      </w:r>
      <w:proofErr w:type="spellEnd"/>
      <w:r w:rsidRPr="00B32268">
        <w:t xml:space="preserve"> did not prolong QT interval in the high</w:t>
      </w:r>
      <w:r w:rsidR="006967FD">
        <w:t xml:space="preserve"> </w:t>
      </w:r>
      <w:r w:rsidRPr="00B32268">
        <w:t>dose group of the same study (300 mg/kg), or in a subsequent study that involved administration at 100 mg/kg PO or 97 mg/kg IV. With the exception of decreased RR and PR intervals associated with increased heart rate, there were no treatment</w:t>
      </w:r>
      <w:r w:rsidR="006967FD">
        <w:t xml:space="preserve"> </w:t>
      </w:r>
      <w:r w:rsidRPr="00B32268">
        <w:t xml:space="preserve">related </w:t>
      </w:r>
      <w:r w:rsidR="00D171DB">
        <w:t>electrocardiogram (</w:t>
      </w:r>
      <w:r w:rsidRPr="00B32268">
        <w:t>ECG</w:t>
      </w:r>
      <w:r w:rsidR="00D171DB">
        <w:t>)</w:t>
      </w:r>
      <w:r w:rsidRPr="00B32268">
        <w:t xml:space="preserve"> effects of </w:t>
      </w:r>
      <w:proofErr w:type="spellStart"/>
      <w:r w:rsidRPr="00B32268">
        <w:t>pirfenidone</w:t>
      </w:r>
      <w:proofErr w:type="spellEnd"/>
      <w:r w:rsidRPr="00B32268">
        <w:t xml:space="preserve"> at doses up to 300 mg/kg (</w:t>
      </w:r>
      <w:r w:rsidR="009763E0">
        <w:t xml:space="preserve">around </w:t>
      </w:r>
      <w:r w:rsidRPr="00B32268">
        <w:t>14</w:t>
      </w:r>
      <w:r w:rsidR="009763E0">
        <w:t> </w:t>
      </w:r>
      <w:r w:rsidR="00E60988">
        <w:t>x</w:t>
      </w:r>
      <w:r w:rsidRPr="00B32268">
        <w:t xml:space="preserve"> clinical </w:t>
      </w:r>
      <w:proofErr w:type="spellStart"/>
      <w:r w:rsidRPr="00B32268">
        <w:t>C</w:t>
      </w:r>
      <w:r w:rsidRPr="009763E0">
        <w:rPr>
          <w:vertAlign w:val="subscript"/>
        </w:rPr>
        <w:t>max</w:t>
      </w:r>
      <w:proofErr w:type="spellEnd"/>
      <w:r w:rsidRPr="00B32268">
        <w:t xml:space="preserve">, based on Study NCR251). In both rats and dogs, the effects of </w:t>
      </w:r>
      <w:proofErr w:type="spellStart"/>
      <w:r w:rsidRPr="00B32268">
        <w:t>pirfenidone</w:t>
      </w:r>
      <w:proofErr w:type="spellEnd"/>
      <w:r w:rsidRPr="00B32268">
        <w:t xml:space="preserve"> on blood pressure appeared greater in anaesthetised compared to conscious animals. In anaesthetised dogs, continuous IV infusion led to severe lowering of blood pressure and respiratory suppression after infusion of approximately 150</w:t>
      </w:r>
      <w:r w:rsidR="009763E0">
        <w:t xml:space="preserve"> to </w:t>
      </w:r>
      <w:r w:rsidRPr="00B32268">
        <w:t xml:space="preserve">200 mg/kg, with death occurring after infusion of </w:t>
      </w:r>
      <w:r w:rsidR="009763E0">
        <w:t xml:space="preserve">around </w:t>
      </w:r>
      <w:r w:rsidRPr="00B32268">
        <w:t>450 mg/kg.</w:t>
      </w:r>
    </w:p>
    <w:p w:rsidR="00B32268" w:rsidRPr="00B32268" w:rsidRDefault="00B32268" w:rsidP="00275A83">
      <w:r w:rsidRPr="00B32268">
        <w:t>Respiratory studies in rats and dogs gave mixed results. Respiratory volume was increased up to 1.5</w:t>
      </w:r>
      <w:r w:rsidR="009763E0">
        <w:t> </w:t>
      </w:r>
      <w:r w:rsidR="00025FB3">
        <w:t>fold</w:t>
      </w:r>
      <w:r w:rsidRPr="00B32268">
        <w:t xml:space="preserve"> in anaesthetised rats that received ≥</w:t>
      </w:r>
      <w:r w:rsidR="009763E0">
        <w:t> </w:t>
      </w:r>
      <w:r w:rsidRPr="00B32268">
        <w:t xml:space="preserve">30 mg/kg </w:t>
      </w:r>
      <w:proofErr w:type="spellStart"/>
      <w:r w:rsidRPr="00B32268">
        <w:t>pirfenidone</w:t>
      </w:r>
      <w:proofErr w:type="spellEnd"/>
      <w:r w:rsidR="006967FD">
        <w:t xml:space="preserve"> ID</w:t>
      </w:r>
      <w:r w:rsidRPr="00B32268">
        <w:t xml:space="preserve">. An increase in respiratory rate was observed in conscious dogs dosed at 300 mg/kg PO, but this appeared to be secondary to emesis and increases in activity and heart rate. A subsequent study in conscious dogs found no adverse effects of </w:t>
      </w:r>
      <w:proofErr w:type="spellStart"/>
      <w:r w:rsidRPr="00B32268">
        <w:t>pirfenidone</w:t>
      </w:r>
      <w:proofErr w:type="spellEnd"/>
      <w:r w:rsidRPr="00B32268">
        <w:t xml:space="preserve"> on respiratory rate, tidal volume or minute volume (≤</w:t>
      </w:r>
      <w:r w:rsidR="009763E0">
        <w:t> </w:t>
      </w:r>
      <w:r w:rsidRPr="00B32268">
        <w:t>100 mg/kg PO or IV; RE, 4</w:t>
      </w:r>
      <w:r w:rsidR="009763E0">
        <w:t> </w:t>
      </w:r>
      <w:r w:rsidR="00D171DB">
        <w:t>x</w:t>
      </w:r>
      <w:r w:rsidRPr="00B32268">
        <w:t xml:space="preserve"> </w:t>
      </w:r>
      <w:proofErr w:type="spellStart"/>
      <w:r w:rsidRPr="00B32268">
        <w:t>C</w:t>
      </w:r>
      <w:r w:rsidRPr="00C0102E">
        <w:rPr>
          <w:vertAlign w:val="subscript"/>
        </w:rPr>
        <w:t>max</w:t>
      </w:r>
      <w:proofErr w:type="spellEnd"/>
      <w:r w:rsidRPr="00B32268">
        <w:t xml:space="preserve">). Mild acidosis </w:t>
      </w:r>
      <w:r w:rsidRPr="00B32268">
        <w:lastRenderedPageBreak/>
        <w:t xml:space="preserve">was observed in conscious dogs following IV dosing with </w:t>
      </w:r>
      <w:proofErr w:type="spellStart"/>
      <w:r w:rsidRPr="00B32268">
        <w:t>pirfenidone</w:t>
      </w:r>
      <w:proofErr w:type="spellEnd"/>
      <w:r w:rsidRPr="00B32268">
        <w:t xml:space="preserve"> (</w:t>
      </w:r>
      <w:r w:rsidR="009763E0">
        <w:t xml:space="preserve">around </w:t>
      </w:r>
      <w:r w:rsidRPr="00B32268">
        <w:t>30 mg/kg and over; RE, 2</w:t>
      </w:r>
      <w:r w:rsidR="009763E0">
        <w:t> </w:t>
      </w:r>
      <w:r w:rsidR="00D171DB">
        <w:t>x</w:t>
      </w:r>
      <w:r w:rsidRPr="00B32268">
        <w:t xml:space="preserve"> </w:t>
      </w:r>
      <w:proofErr w:type="spellStart"/>
      <w:r w:rsidRPr="00B32268">
        <w:t>C</w:t>
      </w:r>
      <w:r w:rsidRPr="00D171DB">
        <w:rPr>
          <w:vertAlign w:val="subscript"/>
        </w:rPr>
        <w:t>max</w:t>
      </w:r>
      <w:proofErr w:type="spellEnd"/>
      <w:r w:rsidRPr="00B32268">
        <w:t>), but was generally reversed by 4 h post</w:t>
      </w:r>
      <w:r w:rsidR="00C0102E">
        <w:noBreakHyphen/>
      </w:r>
      <w:r w:rsidRPr="00B32268">
        <w:t>dose.</w:t>
      </w:r>
    </w:p>
    <w:p w:rsidR="00B32268" w:rsidRPr="00B32268" w:rsidRDefault="00B32268" w:rsidP="00275A83">
      <w:r w:rsidRPr="00B32268">
        <w:t xml:space="preserve">In vitro, </w:t>
      </w:r>
      <w:proofErr w:type="spellStart"/>
      <w:r w:rsidRPr="00B32268">
        <w:t>pirfenidone</w:t>
      </w:r>
      <w:proofErr w:type="spellEnd"/>
      <w:r w:rsidRPr="00B32268">
        <w:t xml:space="preserve"> modestly decreased muscle tone in isolated rabbit ileum (100 </w:t>
      </w:r>
      <w:r w:rsidR="0033494A">
        <w:t>µM</w:t>
      </w:r>
      <w:r w:rsidRPr="00B32268">
        <w:t xml:space="preserve">). In vivo, </w:t>
      </w:r>
      <w:proofErr w:type="spellStart"/>
      <w:r w:rsidRPr="00B32268">
        <w:t>pirfenidone</w:t>
      </w:r>
      <w:proofErr w:type="spellEnd"/>
      <w:r w:rsidRPr="00B32268">
        <w:t xml:space="preserve"> dose</w:t>
      </w:r>
      <w:r w:rsidR="009763E0">
        <w:t xml:space="preserve"> </w:t>
      </w:r>
      <w:r w:rsidRPr="00B32268">
        <w:t>dependently inhibited the rate of gastric emptying (&gt;</w:t>
      </w:r>
      <w:r w:rsidR="009763E0">
        <w:t> </w:t>
      </w:r>
      <w:r w:rsidRPr="00B32268">
        <w:t>40%) and small intestinal transit (&gt;</w:t>
      </w:r>
      <w:r w:rsidR="009763E0">
        <w:t> </w:t>
      </w:r>
      <w:r w:rsidRPr="00B32268">
        <w:t>2</w:t>
      </w:r>
      <w:r w:rsidR="009763E0">
        <w:t xml:space="preserve">0%) in fasted </w:t>
      </w:r>
      <w:r w:rsidRPr="00B32268">
        <w:t>rats at doses of ≥</w:t>
      </w:r>
      <w:r w:rsidR="009763E0">
        <w:t> </w:t>
      </w:r>
      <w:r w:rsidRPr="00B32268">
        <w:t xml:space="preserve">30 mg/kg (estimated exposure ratio of 0.5 based on </w:t>
      </w:r>
      <w:proofErr w:type="spellStart"/>
      <w:r w:rsidRPr="00B32268">
        <w:t>C</w:t>
      </w:r>
      <w:r w:rsidRPr="00853D44">
        <w:rPr>
          <w:vertAlign w:val="subscript"/>
        </w:rPr>
        <w:t>max</w:t>
      </w:r>
      <w:proofErr w:type="spellEnd"/>
      <w:r w:rsidR="009763E0">
        <w:t>).</w:t>
      </w:r>
      <w:r w:rsidRPr="009763E0">
        <w:rPr>
          <w:vertAlign w:val="superscript"/>
        </w:rPr>
        <w:footnoteReference w:id="10"/>
      </w:r>
      <w:r w:rsidRPr="00B32268">
        <w:t xml:space="preserve"> These data indicate inhibition of gastric emptying and reduced rate of intestinal transit are likely to occur clinically.</w:t>
      </w:r>
    </w:p>
    <w:p w:rsidR="004334C7" w:rsidRPr="00B32268" w:rsidRDefault="00B32268" w:rsidP="00275A83">
      <w:proofErr w:type="spellStart"/>
      <w:r w:rsidRPr="00B32268">
        <w:t>Pirfenidone</w:t>
      </w:r>
      <w:proofErr w:type="spellEnd"/>
      <w:r w:rsidRPr="00B32268">
        <w:t xml:space="preserve"> (500 mg/kg/day PO) had no suppressive effects on humoral or ce</w:t>
      </w:r>
      <w:r w:rsidR="002A6201">
        <w:t xml:space="preserve">llular </w:t>
      </w:r>
      <w:r w:rsidR="009763E0">
        <w:t xml:space="preserve">mediated immunity in a 4 </w:t>
      </w:r>
      <w:r w:rsidRPr="00B32268">
        <w:t>day study in mice.</w:t>
      </w:r>
    </w:p>
    <w:p w:rsidR="008E7846" w:rsidRDefault="008E7846" w:rsidP="008E7846">
      <w:pPr>
        <w:pStyle w:val="Heading3"/>
      </w:pPr>
      <w:bookmarkStart w:id="45" w:name="_Toc247691513"/>
      <w:bookmarkStart w:id="46" w:name="_Toc314842497"/>
      <w:bookmarkStart w:id="47" w:name="_Toc453068489"/>
      <w:r>
        <w:t>Pharmacokinetics</w:t>
      </w:r>
      <w:bookmarkEnd w:id="45"/>
      <w:bookmarkEnd w:id="46"/>
      <w:bookmarkEnd w:id="47"/>
    </w:p>
    <w:p w:rsidR="009763E0" w:rsidRPr="009763E0" w:rsidRDefault="009763E0" w:rsidP="00275A83">
      <w:bookmarkStart w:id="48" w:name="_Toc247691514"/>
      <w:bookmarkStart w:id="49" w:name="_Toc314842498"/>
      <w:proofErr w:type="spellStart"/>
      <w:r w:rsidRPr="009763E0">
        <w:t>Pirfenidone</w:t>
      </w:r>
      <w:proofErr w:type="spellEnd"/>
      <w:r w:rsidRPr="009763E0">
        <w:t xml:space="preserve"> was rapidly absorbed in mice, rats and dogs following oral administration, with </w:t>
      </w:r>
      <w:r>
        <w:t xml:space="preserve">the time taken to reach maximum </w:t>
      </w:r>
      <w:r w:rsidR="00D171DB">
        <w:t>plasma</w:t>
      </w:r>
      <w:r>
        <w:t xml:space="preserve"> concentration (</w:t>
      </w:r>
      <w:proofErr w:type="spellStart"/>
      <w:r w:rsidRPr="009763E0">
        <w:t>T</w:t>
      </w:r>
      <w:r w:rsidRPr="009763E0">
        <w:rPr>
          <w:vertAlign w:val="subscript"/>
        </w:rPr>
        <w:t>max</w:t>
      </w:r>
      <w:proofErr w:type="spellEnd"/>
      <w:r>
        <w:t>) value</w:t>
      </w:r>
      <w:r w:rsidRPr="009763E0">
        <w:t xml:space="preserve"> generally &lt;</w:t>
      </w:r>
      <w:r w:rsidR="00B15BB5">
        <w:t xml:space="preserve"> </w:t>
      </w:r>
      <w:r w:rsidRPr="009763E0">
        <w:t>1 h, which was comparable to humans (1.5 h). Bioavailability was moderate to high in rats, dogs and humans. Exposure increased in proportion to dose and was higher in fasted compared to fed animals. In rats, exposure decreased with repeated dosing at high dose levels which is consistent with hepatic enzyme induction. The plasma half-life was moderate in rats (</w:t>
      </w:r>
      <w:r>
        <w:t xml:space="preserve">approximately 2 to </w:t>
      </w:r>
      <w:r w:rsidRPr="009763E0">
        <w:t>3 h) and short in dogs and humans (&lt;</w:t>
      </w:r>
      <w:r>
        <w:t> </w:t>
      </w:r>
      <w:r w:rsidRPr="009763E0">
        <w:t xml:space="preserve">2 </w:t>
      </w:r>
      <w:r w:rsidR="00270A99">
        <w:t xml:space="preserve">h </w:t>
      </w:r>
      <w:r w:rsidRPr="009763E0">
        <w:t xml:space="preserve">and </w:t>
      </w:r>
      <w:r>
        <w:t xml:space="preserve">approximately </w:t>
      </w:r>
      <w:r w:rsidRPr="009763E0">
        <w:t>2 h, respectively).</w:t>
      </w:r>
    </w:p>
    <w:p w:rsidR="009763E0" w:rsidRPr="009763E0" w:rsidRDefault="009763E0" w:rsidP="00275A83">
      <w:r w:rsidRPr="009763E0">
        <w:t>Plasma protein binding was saturable in all species and was low in mouse and rat plasma (</w:t>
      </w:r>
      <w:r>
        <w:t xml:space="preserve">approximately </w:t>
      </w:r>
      <w:r w:rsidRPr="009763E0">
        <w:t>30%) and moderate (</w:t>
      </w:r>
      <w:r>
        <w:t xml:space="preserve">approximately </w:t>
      </w:r>
      <w:r w:rsidRPr="009763E0">
        <w:t xml:space="preserve">55%) in dog and human plasma. The volume of distribution was similar to total body water in dogs and humans indicating modest tissue distribution. In rats, oral administration of </w:t>
      </w:r>
      <w:r w:rsidRPr="00526DBA">
        <w:rPr>
          <w:vertAlign w:val="superscript"/>
        </w:rPr>
        <w:t>14</w:t>
      </w:r>
      <w:r w:rsidRPr="009763E0">
        <w:t>C</w:t>
      </w:r>
      <w:r w:rsidRPr="009763E0">
        <w:noBreakHyphen/>
        <w:t xml:space="preserve">pirfenidone resulted in widespread and fairly rapid distribution of radioactivity; highest levels were observed in the kidney, nasal cavity, liver and preputial gland, with retention of radioactivity in the latter. Peak levels in the lung (target organ) were comparable to the plasma </w:t>
      </w:r>
      <w:proofErr w:type="spellStart"/>
      <w:r w:rsidRPr="009763E0">
        <w:t>C</w:t>
      </w:r>
      <w:r w:rsidRPr="009763E0">
        <w:rPr>
          <w:vertAlign w:val="subscript"/>
        </w:rPr>
        <w:t>max</w:t>
      </w:r>
      <w:proofErr w:type="spellEnd"/>
      <w:r w:rsidRPr="009763E0">
        <w:t xml:space="preserve"> (1.2</w:t>
      </w:r>
      <w:r>
        <w:t> </w:t>
      </w:r>
      <w:proofErr w:type="gramStart"/>
      <w:r w:rsidR="00D171DB">
        <w:t>x</w:t>
      </w:r>
      <w:proofErr w:type="gramEnd"/>
      <w:r w:rsidRPr="009763E0">
        <w:t>). Distribution to the brain and testis was 0.9</w:t>
      </w:r>
      <w:r>
        <w:t> </w:t>
      </w:r>
      <w:r w:rsidR="00D171DB">
        <w:t>x</w:t>
      </w:r>
      <w:r w:rsidRPr="009763E0">
        <w:t xml:space="preserve"> and 0.4</w:t>
      </w:r>
      <w:r>
        <w:t> </w:t>
      </w:r>
      <w:r w:rsidR="00D171DB">
        <w:t>x the peak level in plasma</w:t>
      </w:r>
      <w:r w:rsidRPr="009763E0">
        <w:t xml:space="preserve"> respectively.</w:t>
      </w:r>
    </w:p>
    <w:p w:rsidR="009763E0" w:rsidRPr="009763E0" w:rsidRDefault="009763E0" w:rsidP="00275A83">
      <w:proofErr w:type="spellStart"/>
      <w:r w:rsidRPr="009763E0">
        <w:t>Pirfenidone</w:t>
      </w:r>
      <w:proofErr w:type="spellEnd"/>
      <w:r w:rsidRPr="009763E0">
        <w:t xml:space="preserve"> was metabolised by hydroxylation and subsequent carboxylation leading to the formation of </w:t>
      </w:r>
      <w:r>
        <w:t>5</w:t>
      </w:r>
      <w:r>
        <w:noBreakHyphen/>
        <w:t>CA</w:t>
      </w:r>
      <w:r>
        <w:noBreakHyphen/>
      </w:r>
      <w:r w:rsidRPr="009763E0">
        <w:t>pirfenidone, which was the major metabolite in all species. Low levels of the intermediate metabolite, 5</w:t>
      </w:r>
      <w:r w:rsidR="002A6201">
        <w:noBreakHyphen/>
        <w:t>hydroxy</w:t>
      </w:r>
      <w:r w:rsidR="002A6201">
        <w:noBreakHyphen/>
      </w:r>
      <w:r w:rsidRPr="009763E0">
        <w:t xml:space="preserve">pirfenidone were observed in plasma in rats and humans. There were no other plasma metabolites. Three minor metabolites were observed in the urine, bile or faeces of rats, dogs and/or humans. In humans and dogs, the dominant circulating species was </w:t>
      </w:r>
      <w:proofErr w:type="spellStart"/>
      <w:r w:rsidR="008E4A48" w:rsidRPr="009763E0">
        <w:t>pirfenidone</w:t>
      </w:r>
      <w:proofErr w:type="spellEnd"/>
      <w:r w:rsidR="008E4A48" w:rsidRPr="009763E0">
        <w:t>;</w:t>
      </w:r>
      <w:r w:rsidRPr="009763E0">
        <w:t xml:space="preserve"> with</w:t>
      </w:r>
      <w:r w:rsidR="00D171DB">
        <w:t xml:space="preserve"> 5-CA-pirfenidone present at 70 to </w:t>
      </w:r>
      <w:r w:rsidRPr="009763E0">
        <w:t>80% the level of the parent drug. 5</w:t>
      </w:r>
      <w:r w:rsidRPr="009763E0">
        <w:noBreakHyphen/>
        <w:t>CA</w:t>
      </w:r>
      <w:r w:rsidRPr="009763E0">
        <w:noBreakHyphen/>
        <w:t>pirfenidone was the dominant circulating species in mice and F344 rats, with m</w:t>
      </w:r>
      <w:r w:rsidR="00D171DB">
        <w:t>etabolite to parent ratios of 1 to </w:t>
      </w:r>
      <w:r w:rsidRPr="009763E0">
        <w:t xml:space="preserve">2 in </w:t>
      </w:r>
      <w:r w:rsidR="00D171DB">
        <w:t>Sprague Dawley (</w:t>
      </w:r>
      <w:r w:rsidRPr="009763E0">
        <w:t>SD</w:t>
      </w:r>
      <w:r w:rsidR="00D171DB">
        <w:t>)</w:t>
      </w:r>
      <w:r w:rsidRPr="009763E0">
        <w:t xml:space="preserve"> rats. Multiple </w:t>
      </w:r>
      <w:r w:rsidR="008E09AB">
        <w:t>cytochrome P450 enzymes (</w:t>
      </w:r>
      <w:r w:rsidRPr="009763E0">
        <w:t>CYPs</w:t>
      </w:r>
      <w:r w:rsidR="008E09AB">
        <w:t>)</w:t>
      </w:r>
      <w:r w:rsidRPr="009763E0">
        <w:t xml:space="preserve"> were found to be capable of catalysing the formation of 5</w:t>
      </w:r>
      <w:r w:rsidRPr="009763E0">
        <w:noBreakHyphen/>
        <w:t>CA</w:t>
      </w:r>
      <w:r w:rsidRPr="009763E0">
        <w:noBreakHyphen/>
        <w:t xml:space="preserve">pirfenidone, with CYP1A2 identified as the predominant enzyme responsible. CYPs 2C9, 2C19, 2D6 and 2E1 also contribute to </w:t>
      </w:r>
      <w:proofErr w:type="spellStart"/>
      <w:r w:rsidRPr="009763E0">
        <w:t>pirfenidone</w:t>
      </w:r>
      <w:proofErr w:type="spellEnd"/>
      <w:r w:rsidRPr="009763E0">
        <w:t xml:space="preserve"> metabolism.</w:t>
      </w:r>
    </w:p>
    <w:p w:rsidR="009763E0" w:rsidRPr="009763E0" w:rsidRDefault="009763E0" w:rsidP="00275A83">
      <w:proofErr w:type="spellStart"/>
      <w:r w:rsidRPr="009763E0">
        <w:t>Pirfenidone</w:t>
      </w:r>
      <w:proofErr w:type="spellEnd"/>
      <w:r w:rsidRPr="009763E0">
        <w:t xml:space="preserve"> was predominantly excreted via the urine (80</w:t>
      </w:r>
      <w:r w:rsidR="008E09AB">
        <w:t> to </w:t>
      </w:r>
      <w:r w:rsidRPr="009763E0">
        <w:t>90%), almost exclusively as 5</w:t>
      </w:r>
      <w:r w:rsidR="008E09AB">
        <w:noBreakHyphen/>
        <w:t>CA</w:t>
      </w:r>
      <w:r w:rsidR="008E09AB">
        <w:noBreakHyphen/>
      </w:r>
      <w:r w:rsidRPr="009763E0">
        <w:t>pirfenidone in all species. In animals, faecal excretion accounted for &lt;</w:t>
      </w:r>
      <w:r w:rsidR="008E09AB">
        <w:t> </w:t>
      </w:r>
      <w:r w:rsidRPr="009763E0">
        <w:t>10% of the dose. Enterohepatic recirculation was also demonstrated in animals.</w:t>
      </w:r>
    </w:p>
    <w:p w:rsidR="004334C7" w:rsidRDefault="009763E0" w:rsidP="00275A83">
      <w:r w:rsidRPr="009763E0">
        <w:t xml:space="preserve">Together, these data demonstrate a high degree of similarity in the pharmacokinetic profile of </w:t>
      </w:r>
      <w:proofErr w:type="spellStart"/>
      <w:r w:rsidRPr="009763E0">
        <w:t>pirfenidone</w:t>
      </w:r>
      <w:proofErr w:type="spellEnd"/>
      <w:r w:rsidRPr="009763E0">
        <w:t xml:space="preserve"> in rats, dogs and humans. The ratio of 5-CA-pirfenidone to </w:t>
      </w:r>
      <w:proofErr w:type="spellStart"/>
      <w:r w:rsidRPr="009763E0">
        <w:t>pirfenidone</w:t>
      </w:r>
      <w:proofErr w:type="spellEnd"/>
      <w:r w:rsidRPr="009763E0">
        <w:t xml:space="preserve"> was markedly higher in mice and F344 rats, making SD rats and beagle dogs </w:t>
      </w:r>
      <w:r w:rsidRPr="009763E0">
        <w:lastRenderedPageBreak/>
        <w:t>(as used in the pivotal repeat</w:t>
      </w:r>
      <w:r w:rsidR="00B15BB5">
        <w:t xml:space="preserve"> </w:t>
      </w:r>
      <w:r w:rsidRPr="009763E0">
        <w:t xml:space="preserve">dose toxicity studies) more suitable models for assessing the toxicity profile of </w:t>
      </w:r>
      <w:proofErr w:type="spellStart"/>
      <w:r w:rsidRPr="009763E0">
        <w:t>pirfenidone</w:t>
      </w:r>
      <w:proofErr w:type="spellEnd"/>
      <w:r w:rsidRPr="009763E0">
        <w:t>.</w:t>
      </w:r>
      <w:r w:rsidR="00AD112B">
        <w:rPr>
          <w:rStyle w:val="FootnoteReference"/>
        </w:rPr>
        <w:footnoteReference w:id="11"/>
      </w:r>
      <w:r w:rsidR="00275A83">
        <w:rPr>
          <w:vertAlign w:val="superscript"/>
        </w:rPr>
        <w:t xml:space="preserve">, </w:t>
      </w:r>
      <w:r w:rsidR="00AD112B">
        <w:rPr>
          <w:rStyle w:val="FootnoteReference"/>
        </w:rPr>
        <w:footnoteReference w:id="12"/>
      </w:r>
    </w:p>
    <w:p w:rsidR="008E09AB" w:rsidRPr="008E09AB" w:rsidRDefault="008E09AB" w:rsidP="008E09AB">
      <w:pPr>
        <w:pStyle w:val="Heading4"/>
      </w:pPr>
      <w:bookmarkStart w:id="50" w:name="_Toc294861725"/>
      <w:r w:rsidRPr="008E09AB">
        <w:t>Pharmacokinetic drug interactions</w:t>
      </w:r>
      <w:bookmarkEnd w:id="50"/>
    </w:p>
    <w:p w:rsidR="008E09AB" w:rsidRPr="008E09AB" w:rsidRDefault="008E09AB" w:rsidP="008E09AB">
      <w:r w:rsidRPr="008E09AB">
        <w:t xml:space="preserve">The potential for </w:t>
      </w:r>
      <w:proofErr w:type="spellStart"/>
      <w:r w:rsidRPr="008E09AB">
        <w:t>pirfenidone</w:t>
      </w:r>
      <w:proofErr w:type="spellEnd"/>
      <w:r w:rsidRPr="008E09AB">
        <w:t xml:space="preserve"> to interact with other drugs was not fully assessed, with no studies on the effect of </w:t>
      </w:r>
      <w:proofErr w:type="spellStart"/>
      <w:r w:rsidRPr="008E09AB">
        <w:t>pirfenidone</w:t>
      </w:r>
      <w:proofErr w:type="spellEnd"/>
      <w:r w:rsidRPr="008E09AB">
        <w:t xml:space="preserve"> on transporters other than P</w:t>
      </w:r>
      <w:r w:rsidRPr="008E09AB">
        <w:noBreakHyphen/>
        <w:t>glycoprotein (P-</w:t>
      </w:r>
      <w:proofErr w:type="spellStart"/>
      <w:r w:rsidRPr="008E09AB">
        <w:t>gp</w:t>
      </w:r>
      <w:proofErr w:type="spellEnd"/>
      <w:r w:rsidRPr="008E09AB">
        <w:t>) submitted.</w:t>
      </w:r>
      <w:r w:rsidRPr="008E09AB">
        <w:rPr>
          <w:vertAlign w:val="superscript"/>
        </w:rPr>
        <w:footnoteReference w:id="13"/>
      </w:r>
      <w:r w:rsidRPr="008E09AB">
        <w:t xml:space="preserve"> Given the high predicted intestinal concentration (1.7 </w:t>
      </w:r>
      <w:proofErr w:type="spellStart"/>
      <w:r w:rsidRPr="008E09AB">
        <w:t>mM</w:t>
      </w:r>
      <w:proofErr w:type="spellEnd"/>
      <w:r w:rsidRPr="008E09AB">
        <w:t>) the lack of studies on intestinal transporters is considered a deficiency. Studies with P</w:t>
      </w:r>
      <w:r w:rsidRPr="008E09AB">
        <w:noBreakHyphen/>
      </w:r>
      <w:proofErr w:type="spellStart"/>
      <w:r w:rsidRPr="008E09AB">
        <w:t>gp</w:t>
      </w:r>
      <w:proofErr w:type="spellEnd"/>
      <w:r w:rsidRPr="008E09AB">
        <w:t xml:space="preserve"> indicated that </w:t>
      </w:r>
      <w:proofErr w:type="spellStart"/>
      <w:r w:rsidRPr="008E09AB">
        <w:t>pirfenidone</w:t>
      </w:r>
      <w:proofErr w:type="spellEnd"/>
      <w:r w:rsidRPr="008E09AB">
        <w:t xml:space="preserve"> was not a substrate for P-</w:t>
      </w:r>
      <w:proofErr w:type="spellStart"/>
      <w:r w:rsidRPr="008E09AB">
        <w:t>gp</w:t>
      </w:r>
      <w:proofErr w:type="spellEnd"/>
      <w:r w:rsidRPr="008E09AB">
        <w:t>, but was a weak inhibitor. The estimated IC</w:t>
      </w:r>
      <w:r w:rsidRPr="008E09AB">
        <w:rPr>
          <w:vertAlign w:val="subscript"/>
        </w:rPr>
        <w:t>50</w:t>
      </w:r>
      <w:r w:rsidRPr="008E09AB">
        <w:t xml:space="preserve"> was &gt;</w:t>
      </w:r>
      <w:r>
        <w:t> </w:t>
      </w:r>
      <w:r w:rsidRPr="008E09AB">
        <w:t xml:space="preserve">1 </w:t>
      </w:r>
      <w:proofErr w:type="spellStart"/>
      <w:r w:rsidRPr="008E09AB">
        <w:t>mM</w:t>
      </w:r>
      <w:proofErr w:type="spellEnd"/>
      <w:r w:rsidRPr="008E09AB">
        <w:t xml:space="preserve">, with </w:t>
      </w:r>
      <w:r w:rsidR="00CD58E8">
        <w:t>approximately</w:t>
      </w:r>
      <w:r>
        <w:t xml:space="preserve"> </w:t>
      </w:r>
      <w:r w:rsidRPr="008E09AB">
        <w:t>30% inhibition at this concentration. Therefore, inhibition of P-</w:t>
      </w:r>
      <w:proofErr w:type="spellStart"/>
      <w:r w:rsidRPr="008E09AB">
        <w:t>gp</w:t>
      </w:r>
      <w:proofErr w:type="spellEnd"/>
      <w:r w:rsidRPr="008E09AB">
        <w:t xml:space="preserve"> may occur clinically. Delayed gastric emptying and reduced intestinal motility by </w:t>
      </w:r>
      <w:proofErr w:type="spellStart"/>
      <w:r w:rsidRPr="008E09AB">
        <w:t>pirfenidone</w:t>
      </w:r>
      <w:proofErr w:type="spellEnd"/>
      <w:r w:rsidRPr="008E09AB">
        <w:t xml:space="preserve"> (as observed in safety pharmacology studies) may alter the absorption of other medicines.</w:t>
      </w:r>
    </w:p>
    <w:p w:rsidR="008E09AB" w:rsidRPr="008E09AB" w:rsidRDefault="008E09AB" w:rsidP="008E09AB">
      <w:proofErr w:type="spellStart"/>
      <w:r w:rsidRPr="008E09AB">
        <w:t>Pirfenidone</w:t>
      </w:r>
      <w:proofErr w:type="spellEnd"/>
      <w:r w:rsidRPr="008E09AB">
        <w:t xml:space="preserve"> inhibited a number of CYP isoforms in experiments conducted using human liver </w:t>
      </w:r>
      <w:proofErr w:type="spellStart"/>
      <w:r w:rsidRPr="008E09AB">
        <w:t>microsomes</w:t>
      </w:r>
      <w:proofErr w:type="spellEnd"/>
      <w:r w:rsidRPr="008E09AB">
        <w:t>, but only at very high concentrations (estimated IC</w:t>
      </w:r>
      <w:r w:rsidRPr="008E09AB">
        <w:rPr>
          <w:vertAlign w:val="subscript"/>
        </w:rPr>
        <w:t>50</w:t>
      </w:r>
      <w:r w:rsidRPr="008E09AB">
        <w:t xml:space="preserve"> values &gt;</w:t>
      </w:r>
      <w:r>
        <w:t> </w:t>
      </w:r>
      <w:r w:rsidRPr="008E09AB">
        <w:t xml:space="preserve">1 </w:t>
      </w:r>
      <w:proofErr w:type="spellStart"/>
      <w:r w:rsidRPr="008E09AB">
        <w:t>mM</w:t>
      </w:r>
      <w:proofErr w:type="spellEnd"/>
      <w:r w:rsidRPr="008E09AB">
        <w:t>; &gt;</w:t>
      </w:r>
      <w:r>
        <w:t> </w:t>
      </w:r>
      <w:r w:rsidRPr="008E09AB">
        <w:t>12</w:t>
      </w:r>
      <w:r>
        <w:t> </w:t>
      </w:r>
      <w:r w:rsidR="00D171DB">
        <w:t>x</w:t>
      </w:r>
      <w:r w:rsidRPr="008E09AB">
        <w:t xml:space="preserve"> </w:t>
      </w:r>
      <w:proofErr w:type="spellStart"/>
      <w:r w:rsidRPr="008E09AB">
        <w:t>C</w:t>
      </w:r>
      <w:r w:rsidRPr="008E09AB">
        <w:rPr>
          <w:vertAlign w:val="subscript"/>
        </w:rPr>
        <w:t>max</w:t>
      </w:r>
      <w:proofErr w:type="spellEnd"/>
      <w:r w:rsidRPr="008E09AB">
        <w:t>)</w:t>
      </w:r>
      <w:r>
        <w:t>, t</w:t>
      </w:r>
      <w:r w:rsidRPr="008E09AB">
        <w:t xml:space="preserve">herefore, the CYP inhibitory activity of </w:t>
      </w:r>
      <w:proofErr w:type="spellStart"/>
      <w:r w:rsidRPr="008E09AB">
        <w:t>pirfenidone</w:t>
      </w:r>
      <w:proofErr w:type="spellEnd"/>
      <w:r w:rsidRPr="008E09AB">
        <w:t xml:space="preserve"> is not considered to be clinically relevant.</w:t>
      </w:r>
    </w:p>
    <w:p w:rsidR="008E09AB" w:rsidRDefault="008E09AB" w:rsidP="004334C7">
      <w:r w:rsidRPr="008E09AB">
        <w:t xml:space="preserve">The ability of </w:t>
      </w:r>
      <w:proofErr w:type="spellStart"/>
      <w:r w:rsidRPr="008E09AB">
        <w:t>pirfenidone</w:t>
      </w:r>
      <w:proofErr w:type="spellEnd"/>
      <w:r w:rsidRPr="008E09AB">
        <w:t xml:space="preserve"> to induce CYPs was partially investigated as effects on activity, but not gene expression level. </w:t>
      </w:r>
      <w:proofErr w:type="spellStart"/>
      <w:r w:rsidRPr="008E09AB">
        <w:t>Pirfenidone</w:t>
      </w:r>
      <w:proofErr w:type="spellEnd"/>
      <w:r w:rsidRPr="008E09AB">
        <w:t xml:space="preserve"> modestly induced (</w:t>
      </w:r>
      <w:r w:rsidR="00B15BB5">
        <w:t xml:space="preserve">approximately </w:t>
      </w:r>
      <w:r w:rsidRPr="008E09AB">
        <w:t>2</w:t>
      </w:r>
      <w:r>
        <w:t> to </w:t>
      </w:r>
      <w:r w:rsidRPr="008E09AB">
        <w:t>4</w:t>
      </w:r>
      <w:r w:rsidR="00B15BB5">
        <w:t xml:space="preserve"> </w:t>
      </w:r>
      <w:r w:rsidRPr="008E09AB">
        <w:t xml:space="preserve">fold) CYP1A, 2B, 2D and/or 3A activity in </w:t>
      </w:r>
      <w:r w:rsidR="00215026">
        <w:t xml:space="preserve">B6C3F1 </w:t>
      </w:r>
      <w:r w:rsidRPr="008E09AB">
        <w:t>mice that received ≥</w:t>
      </w:r>
      <w:r>
        <w:t> </w:t>
      </w:r>
      <w:r w:rsidRPr="008E09AB">
        <w:t>800 mg/kg/day as a dietary admixture for 4 weeks (RE, 0.1</w:t>
      </w:r>
      <w:r>
        <w:t> </w:t>
      </w:r>
      <w:r w:rsidR="00E60988">
        <w:t>x</w:t>
      </w:r>
      <w:r w:rsidRPr="008E09AB">
        <w:t xml:space="preserve"> based on AUC</w:t>
      </w:r>
      <w:r>
        <w:t>).</w:t>
      </w:r>
      <w:r w:rsidRPr="008E09AB">
        <w:rPr>
          <w:vertAlign w:val="superscript"/>
        </w:rPr>
        <w:footnoteReference w:id="14"/>
      </w:r>
      <w:r w:rsidRPr="008E09AB">
        <w:t xml:space="preserve"> Stronger induction of CYP2B activity was observed following dietary administration at ≥</w:t>
      </w:r>
      <w:r w:rsidR="00B15BB5">
        <w:t xml:space="preserve"> </w:t>
      </w:r>
      <w:r w:rsidRPr="008E09AB">
        <w:t>375 mg/kg/day for 4 weeks in F344 rats (≥</w:t>
      </w:r>
      <w:r>
        <w:t> </w:t>
      </w:r>
      <w:r w:rsidRPr="008E09AB">
        <w:t>7</w:t>
      </w:r>
      <w:r w:rsidR="00B15BB5">
        <w:t xml:space="preserve"> </w:t>
      </w:r>
      <w:r w:rsidRPr="008E09AB">
        <w:t>fold; RE 0.3</w:t>
      </w:r>
      <w:r>
        <w:t> </w:t>
      </w:r>
      <w:r w:rsidR="00E60988">
        <w:t>x</w:t>
      </w:r>
      <w:r>
        <w:t>)</w:t>
      </w:r>
      <w:r w:rsidR="00B15BB5">
        <w:t>,</w:t>
      </w:r>
      <w:r w:rsidRPr="008E09AB">
        <w:rPr>
          <w:vertAlign w:val="superscript"/>
        </w:rPr>
        <w:footnoteReference w:id="15"/>
      </w:r>
      <w:r>
        <w:t xml:space="preserve"> </w:t>
      </w:r>
      <w:r w:rsidR="00B15BB5">
        <w:t xml:space="preserve">and </w:t>
      </w:r>
      <w:r w:rsidRPr="008E09AB">
        <w:t>≥</w:t>
      </w:r>
      <w:r>
        <w:t> </w:t>
      </w:r>
      <w:r w:rsidRPr="008E09AB">
        <w:t>500 mg/kg/day PO for 6 months in SD rats (≥</w:t>
      </w:r>
      <w:r>
        <w:t> </w:t>
      </w:r>
      <w:r w:rsidRPr="008E09AB">
        <w:t>4</w:t>
      </w:r>
      <w:r>
        <w:t> </w:t>
      </w:r>
      <w:r w:rsidRPr="008E09AB">
        <w:t>fold; RE, 1</w:t>
      </w:r>
      <w:r w:rsidR="00B15BB5">
        <w:t xml:space="preserve"> </w:t>
      </w:r>
      <w:r w:rsidR="00E60988">
        <w:t>x</w:t>
      </w:r>
      <w:r w:rsidRPr="008E09AB">
        <w:t xml:space="preserve"> based on AUC). Modest induction of CYP1A (&lt;3</w:t>
      </w:r>
      <w:r w:rsidR="00CD58E8">
        <w:t> </w:t>
      </w:r>
      <w:r w:rsidRPr="008E09AB">
        <w:t>fold) and 3A4/5 (&lt;</w:t>
      </w:r>
      <w:r w:rsidR="00CD58E8">
        <w:t> </w:t>
      </w:r>
      <w:r w:rsidRPr="008E09AB">
        <w:t>2.5</w:t>
      </w:r>
      <w:r w:rsidR="00B15BB5">
        <w:t xml:space="preserve"> </w:t>
      </w:r>
      <w:r w:rsidRPr="008E09AB">
        <w:t>fold) were also observed in SD rats that received up to 1</w:t>
      </w:r>
      <w:r w:rsidR="00B15BB5">
        <w:t>,</w:t>
      </w:r>
      <w:r w:rsidRPr="008E09AB">
        <w:t>000 mg/kg/day for 6 months. Dose</w:t>
      </w:r>
      <w:r w:rsidR="00CD58E8">
        <w:t xml:space="preserve"> </w:t>
      </w:r>
      <w:r w:rsidRPr="008E09AB">
        <w:t>dependent induction of CYP activity, including CYP2B (≤</w:t>
      </w:r>
      <w:r w:rsidR="00CD58E8">
        <w:t> </w:t>
      </w:r>
      <w:r w:rsidRPr="008E09AB">
        <w:t>3</w:t>
      </w:r>
      <w:r w:rsidR="00CD58E8">
        <w:t> </w:t>
      </w:r>
      <w:r w:rsidRPr="008E09AB">
        <w:t>fold) and 3A (≤</w:t>
      </w:r>
      <w:r w:rsidR="00CD58E8">
        <w:t> </w:t>
      </w:r>
      <w:r w:rsidRPr="008E09AB">
        <w:t>2</w:t>
      </w:r>
      <w:r w:rsidR="00CD58E8">
        <w:t> </w:t>
      </w:r>
      <w:r w:rsidRPr="008E09AB">
        <w:t xml:space="preserve">fold), was also observed in </w:t>
      </w:r>
      <w:r w:rsidR="00B15BB5">
        <w:t>repeat dose</w:t>
      </w:r>
      <w:r w:rsidRPr="008E09AB">
        <w:t xml:space="preserve"> studies in dogs (RE, 1</w:t>
      </w:r>
      <w:r w:rsidR="00CD58E8">
        <w:t> to </w:t>
      </w:r>
      <w:r w:rsidRPr="008E09AB">
        <w:t>3</w:t>
      </w:r>
      <w:r w:rsidR="00CD58E8">
        <w:t> </w:t>
      </w:r>
      <w:r w:rsidR="00E60988">
        <w:t>x</w:t>
      </w:r>
      <w:r w:rsidRPr="008E09AB">
        <w:t xml:space="preserve"> based on AUC). In rodents and dogs, the pattern of CYP induction was similar to that induced by phenobarbital. However, in cultured human hepatocytes, </w:t>
      </w:r>
      <w:proofErr w:type="spellStart"/>
      <w:r w:rsidRPr="008E09AB">
        <w:t>pirfenidone</w:t>
      </w:r>
      <w:proofErr w:type="spellEnd"/>
      <w:r w:rsidRPr="008E09AB">
        <w:t xml:space="preserve"> (250 </w:t>
      </w:r>
      <w:r w:rsidR="0033494A">
        <w:t>µM</w:t>
      </w:r>
      <w:r w:rsidRPr="008E09AB">
        <w:t>) showed only modest induction of CYP2C19 and 3A activity, and in one of three donors, also 1A2 or 2C9. These effects are unlikely to be relevant at the expected clinical exposure (</w:t>
      </w:r>
      <w:proofErr w:type="spellStart"/>
      <w:r w:rsidRPr="008E09AB">
        <w:t>C</w:t>
      </w:r>
      <w:r w:rsidRPr="002D3985">
        <w:rPr>
          <w:vertAlign w:val="subscript"/>
        </w:rPr>
        <w:t>max</w:t>
      </w:r>
      <w:proofErr w:type="spellEnd"/>
      <w:r w:rsidR="002D3985">
        <w:t xml:space="preserve"> approximately </w:t>
      </w:r>
      <w:r w:rsidRPr="008E09AB">
        <w:t xml:space="preserve">80 </w:t>
      </w:r>
      <w:r w:rsidR="0033494A">
        <w:t>µM</w:t>
      </w:r>
      <w:r w:rsidRPr="008E09AB">
        <w:t xml:space="preserve">, with peak distribution to the liver </w:t>
      </w:r>
      <w:r w:rsidR="00B15BB5" w:rsidRPr="00B15BB5">
        <w:t>approximately</w:t>
      </w:r>
      <w:r w:rsidR="002D3985">
        <w:t xml:space="preserve"> </w:t>
      </w:r>
      <w:r w:rsidRPr="008E09AB">
        <w:t>2</w:t>
      </w:r>
      <w:r w:rsidR="002D3985">
        <w:t> </w:t>
      </w:r>
      <w:r w:rsidR="00E60988">
        <w:t>x</w:t>
      </w:r>
      <w:r w:rsidRPr="008E09AB">
        <w:t xml:space="preserve"> plasma </w:t>
      </w:r>
      <w:proofErr w:type="spellStart"/>
      <w:r w:rsidRPr="008E09AB">
        <w:t>C</w:t>
      </w:r>
      <w:r w:rsidRPr="002D3985">
        <w:rPr>
          <w:vertAlign w:val="subscript"/>
        </w:rPr>
        <w:t>max</w:t>
      </w:r>
      <w:proofErr w:type="spellEnd"/>
      <w:r w:rsidRPr="008E09AB">
        <w:t>). The weight of evidence indicates that drug interactions secondary to CYP enzyme induction are unlikely during clinical use.</w:t>
      </w:r>
    </w:p>
    <w:p w:rsidR="001B5C90" w:rsidRDefault="008E7846" w:rsidP="001B5C90">
      <w:pPr>
        <w:pStyle w:val="Heading3"/>
      </w:pPr>
      <w:bookmarkStart w:id="51" w:name="_Toc453068490"/>
      <w:r>
        <w:t>Toxicology</w:t>
      </w:r>
      <w:bookmarkEnd w:id="48"/>
      <w:bookmarkEnd w:id="49"/>
      <w:bookmarkEnd w:id="51"/>
    </w:p>
    <w:p w:rsidR="002D3985" w:rsidRPr="0096468A" w:rsidRDefault="002D3985" w:rsidP="002D3985">
      <w:pPr>
        <w:pStyle w:val="Heading4"/>
      </w:pPr>
      <w:bookmarkStart w:id="52" w:name="_Toc294861727"/>
      <w:r w:rsidRPr="0096468A">
        <w:t>Acute toxicity</w:t>
      </w:r>
      <w:bookmarkEnd w:id="52"/>
    </w:p>
    <w:p w:rsidR="002D3985" w:rsidRPr="002D3985" w:rsidRDefault="002D3985" w:rsidP="002D3985">
      <w:r w:rsidRPr="002D3985">
        <w:t>Single</w:t>
      </w:r>
      <w:r>
        <w:t xml:space="preserve"> </w:t>
      </w:r>
      <w:r w:rsidRPr="002D3985">
        <w:t xml:space="preserve">dose toxicity studies were conducted by the oral route in SW and </w:t>
      </w:r>
      <w:r w:rsidR="00215026">
        <w:t xml:space="preserve">B6C3F1 </w:t>
      </w:r>
      <w:r w:rsidRPr="002D3985">
        <w:t>mice, SD rats and beagle dogs. The maximum non</w:t>
      </w:r>
      <w:r>
        <w:noBreakHyphen/>
      </w:r>
      <w:r w:rsidRPr="002D3985">
        <w:t xml:space="preserve">lethal doses in </w:t>
      </w:r>
      <w:r w:rsidR="00215026">
        <w:t xml:space="preserve">B6C3F1 </w:t>
      </w:r>
      <w:r w:rsidRPr="002D3985">
        <w:t xml:space="preserve">mice and fed SD rats were </w:t>
      </w:r>
      <w:r w:rsidR="00B15BB5">
        <w:t>1,000</w:t>
      </w:r>
      <w:r>
        <w:t xml:space="preserve"> mg/kg (relative exposures of approximately 25 and approximately </w:t>
      </w:r>
      <w:r w:rsidRPr="002D3985">
        <w:t xml:space="preserve">13, respectively based on </w:t>
      </w:r>
      <w:proofErr w:type="spellStart"/>
      <w:r w:rsidRPr="002D3985">
        <w:t>C</w:t>
      </w:r>
      <w:r w:rsidRPr="002D3985">
        <w:rPr>
          <w:vertAlign w:val="subscript"/>
        </w:rPr>
        <w:t>max</w:t>
      </w:r>
      <w:proofErr w:type="spellEnd"/>
      <w:r w:rsidRPr="002D3985">
        <w:t>).</w:t>
      </w:r>
      <w:r w:rsidR="00AD112B">
        <w:rPr>
          <w:rStyle w:val="FootnoteReference"/>
        </w:rPr>
        <w:footnoteReference w:id="16"/>
      </w:r>
      <w:r w:rsidRPr="002D3985">
        <w:t xml:space="preserve"> The </w:t>
      </w:r>
      <w:r>
        <w:t>lethal dose for 50% of test animals (</w:t>
      </w:r>
      <w:r w:rsidRPr="002D3985">
        <w:t>LD</w:t>
      </w:r>
      <w:r w:rsidRPr="002D3985">
        <w:rPr>
          <w:vertAlign w:val="subscript"/>
        </w:rPr>
        <w:t>50</w:t>
      </w:r>
      <w:r>
        <w:t>)</w:t>
      </w:r>
      <w:r w:rsidRPr="002D3985">
        <w:t xml:space="preserve"> was </w:t>
      </w:r>
      <w:r>
        <w:t xml:space="preserve">approximately </w:t>
      </w:r>
      <w:r w:rsidR="00B15BB5">
        <w:t>1,000</w:t>
      </w:r>
      <w:r w:rsidRPr="002D3985">
        <w:t xml:space="preserve"> mg/kg in SW mice, and mor</w:t>
      </w:r>
      <w:r>
        <w:t>t</w:t>
      </w:r>
      <w:r w:rsidRPr="002D3985">
        <w:t xml:space="preserve">ality occurred in fasted SD rats at a dose of </w:t>
      </w:r>
      <w:r w:rsidR="00B15BB5">
        <w:t>1,000</w:t>
      </w:r>
      <w:r w:rsidRPr="002D3985">
        <w:t xml:space="preserve"> mg/kg </w:t>
      </w:r>
      <w:r w:rsidRPr="002D3985">
        <w:lastRenderedPageBreak/>
        <w:t>(RE</w:t>
      </w:r>
      <w:r>
        <w:t> 21 to </w:t>
      </w:r>
      <w:r w:rsidRPr="002D3985">
        <w:t>28</w:t>
      </w:r>
      <w:r>
        <w:t> </w:t>
      </w:r>
      <w:r w:rsidR="00E60988">
        <w:t>x</w:t>
      </w:r>
      <w:r w:rsidRPr="002D3985">
        <w:t xml:space="preserve"> clinical </w:t>
      </w:r>
      <w:proofErr w:type="spellStart"/>
      <w:r w:rsidRPr="002D3985">
        <w:t>C</w:t>
      </w:r>
      <w:r w:rsidRPr="002D3985">
        <w:rPr>
          <w:vertAlign w:val="subscript"/>
        </w:rPr>
        <w:t>max</w:t>
      </w:r>
      <w:proofErr w:type="spellEnd"/>
      <w:r w:rsidRPr="002D3985">
        <w:t xml:space="preserve">). Mortality was preceded by adverse CNS signs including </w:t>
      </w:r>
      <w:proofErr w:type="spellStart"/>
      <w:r w:rsidRPr="002D3985">
        <w:t>hypoactivity</w:t>
      </w:r>
      <w:proofErr w:type="spellEnd"/>
      <w:r w:rsidRPr="002D3985">
        <w:t xml:space="preserve">, ataxia, salivation, ptosis, lacrimation, abnormal gait and abnormal respiration. These observations are consistent with results of safety pharmacology studies. No mortality occurred in dogs at doses up to </w:t>
      </w:r>
      <w:r w:rsidR="00B15BB5">
        <w:t>1,000</w:t>
      </w:r>
      <w:r w:rsidRPr="002D3985">
        <w:t xml:space="preserve"> mg/kg/day, but weakness, emesis and </w:t>
      </w:r>
      <w:proofErr w:type="spellStart"/>
      <w:r w:rsidRPr="002D3985">
        <w:t>hypoactivity</w:t>
      </w:r>
      <w:proofErr w:type="spellEnd"/>
      <w:r w:rsidRPr="002D3985">
        <w:t xml:space="preserve"> were observed (RE</w:t>
      </w:r>
      <w:r>
        <w:t xml:space="preserve"> of </w:t>
      </w:r>
      <w:r w:rsidR="00AA16A1" w:rsidRPr="00AA16A1">
        <w:t>approximately</w:t>
      </w:r>
      <w:r>
        <w:t xml:space="preserve"> </w:t>
      </w:r>
      <w:r w:rsidRPr="002D3985">
        <w:t>10</w:t>
      </w:r>
      <w:r>
        <w:t> </w:t>
      </w:r>
      <w:r w:rsidR="00E60988">
        <w:t>x</w:t>
      </w:r>
      <w:r w:rsidRPr="002D3985">
        <w:t xml:space="preserve"> clinical </w:t>
      </w:r>
      <w:proofErr w:type="spellStart"/>
      <w:r w:rsidRPr="002D3985">
        <w:t>C</w:t>
      </w:r>
      <w:r w:rsidRPr="002D3985">
        <w:rPr>
          <w:vertAlign w:val="subscript"/>
        </w:rPr>
        <w:t>max</w:t>
      </w:r>
      <w:proofErr w:type="spellEnd"/>
      <w:r w:rsidRPr="002D3985">
        <w:t xml:space="preserve">). Overall, </w:t>
      </w:r>
      <w:proofErr w:type="spellStart"/>
      <w:r w:rsidRPr="002D3985">
        <w:t>pirfenidone</w:t>
      </w:r>
      <w:proofErr w:type="spellEnd"/>
      <w:r w:rsidRPr="002D3985">
        <w:t xml:space="preserve"> has a moderate to low order of acute toxicity by the oral route.</w:t>
      </w:r>
    </w:p>
    <w:p w:rsidR="002D3985" w:rsidRPr="002D3985" w:rsidRDefault="00B15BB5" w:rsidP="002D3985">
      <w:pPr>
        <w:pStyle w:val="Heading4"/>
      </w:pPr>
      <w:bookmarkStart w:id="53" w:name="_Toc294861728"/>
      <w:r>
        <w:t>Repeat dose</w:t>
      </w:r>
      <w:r w:rsidR="002D3985" w:rsidRPr="002D3985">
        <w:t xml:space="preserve"> toxicity</w:t>
      </w:r>
      <w:bookmarkEnd w:id="53"/>
    </w:p>
    <w:p w:rsidR="00C9747E" w:rsidRDefault="002D3985" w:rsidP="00C9747E">
      <w:r w:rsidRPr="002D3985">
        <w:t xml:space="preserve">Studies of up to 3 months duration were conducted in </w:t>
      </w:r>
      <w:r w:rsidR="00215026">
        <w:t xml:space="preserve">B6C3F1 </w:t>
      </w:r>
      <w:r w:rsidRPr="002D3985">
        <w:t xml:space="preserve">mice and F344 rats, 6 months in SD rats and 9 months in beagle dogs. Dosing was by the oral route, which is the intended clinical route. In addition, two studies in SD rats involved administration of </w:t>
      </w:r>
      <w:proofErr w:type="spellStart"/>
      <w:r w:rsidRPr="002D3985">
        <w:t>pirfenidone</w:t>
      </w:r>
      <w:proofErr w:type="spellEnd"/>
      <w:r w:rsidRPr="002D3985">
        <w:t xml:space="preserve"> by continuous IV infusion for 4 weeks. Two 9</w:t>
      </w:r>
      <w:r>
        <w:t> </w:t>
      </w:r>
      <w:r w:rsidRPr="002D3985">
        <w:t>month studies were conducted in dogs using the same dose levels, but with different dosing frequency (once or twice daily), which is less frequent than the proposed clinical regimen (</w:t>
      </w:r>
      <w:r w:rsidR="00304514">
        <w:t>TDS</w:t>
      </w:r>
      <w:r w:rsidRPr="002D3985">
        <w:t xml:space="preserve">). In rodent studies, </w:t>
      </w:r>
      <w:proofErr w:type="spellStart"/>
      <w:r w:rsidRPr="002D3985">
        <w:t>pirfenidone</w:t>
      </w:r>
      <w:proofErr w:type="spellEnd"/>
      <w:r w:rsidRPr="002D3985">
        <w:t xml:space="preserve"> was either administered once daily by gavage, or as a dietary admixture. The duration and conduct of the pivotal studies (6 months in SD rats and 9 months in beagle dogs) were consistent with the relevant international guidelines.</w:t>
      </w:r>
      <w:r w:rsidRPr="002D3985">
        <w:rPr>
          <w:vertAlign w:val="superscript"/>
        </w:rPr>
        <w:footnoteReference w:id="17"/>
      </w:r>
      <w:r w:rsidRPr="002D3985">
        <w:t xml:space="preserve"> The high dose levels selected were appropriate, limited by toxicity, but not optimal due to relatively low systemic exposure. The IV studies in rats were intended to address the low relative exposure by using doses up to 2</w:t>
      </w:r>
      <w:r w:rsidR="00AA16A1">
        <w:t>,</w:t>
      </w:r>
      <w:r w:rsidRPr="002D3985">
        <w:t>000 mg/kg/day, but the use of continuous IV infusion introduced other confounding effects.</w:t>
      </w:r>
    </w:p>
    <w:p w:rsidR="00931383" w:rsidRPr="0096468A" w:rsidRDefault="00931383" w:rsidP="00931383">
      <w:pPr>
        <w:pStyle w:val="Heading5"/>
      </w:pPr>
      <w:r w:rsidRPr="0096468A">
        <w:t>Relative exposure</w:t>
      </w:r>
    </w:p>
    <w:p w:rsidR="00931383" w:rsidRPr="0096468A" w:rsidRDefault="00931383" w:rsidP="00931383">
      <w:pPr>
        <w:pStyle w:val="Standard"/>
      </w:pPr>
      <w:r w:rsidRPr="0096468A">
        <w:t>Exposure ratios have been calculated based on animal</w:t>
      </w:r>
      <w:r w:rsidR="00AA16A1">
        <w:t>:</w:t>
      </w:r>
      <w:r w:rsidR="00304514">
        <w:t> </w:t>
      </w:r>
      <w:r w:rsidRPr="0096468A">
        <w:t xml:space="preserve">human plasma </w:t>
      </w:r>
      <w:proofErr w:type="spellStart"/>
      <w:r w:rsidRPr="0096468A">
        <w:rPr>
          <w:rFonts w:eastAsia="Cambria"/>
        </w:rPr>
        <w:t>C</w:t>
      </w:r>
      <w:r w:rsidRPr="0096468A">
        <w:rPr>
          <w:rFonts w:eastAsia="Cambria"/>
          <w:vertAlign w:val="subscript"/>
        </w:rPr>
        <w:t>max</w:t>
      </w:r>
      <w:proofErr w:type="spellEnd"/>
      <w:r w:rsidRPr="0096468A">
        <w:t xml:space="preserve"> and </w:t>
      </w:r>
      <w:r w:rsidR="00AD112B">
        <w:t xml:space="preserve">the AUC from dosing to </w:t>
      </w:r>
      <w:r w:rsidR="00313290">
        <w:t>24 h post-dose</w:t>
      </w:r>
      <w:r w:rsidR="00AD112B">
        <w:t xml:space="preserve"> </w:t>
      </w:r>
      <w:r w:rsidR="00313290">
        <w:t>(</w:t>
      </w:r>
      <w:r w:rsidRPr="0096468A">
        <w:t>AUC</w:t>
      </w:r>
      <w:r w:rsidRPr="0096468A">
        <w:rPr>
          <w:vertAlign w:val="subscript"/>
        </w:rPr>
        <w:t>0–24</w:t>
      </w:r>
      <w:r w:rsidRPr="0096468A">
        <w:rPr>
          <w:w w:val="50"/>
          <w:vertAlign w:val="subscript"/>
        </w:rPr>
        <w:t> </w:t>
      </w:r>
      <w:r w:rsidRPr="0096468A">
        <w:rPr>
          <w:vertAlign w:val="subscript"/>
        </w:rPr>
        <w:t>h</w:t>
      </w:r>
      <w:r w:rsidR="00B01CB1">
        <w:t xml:space="preserve"> area under the curve from 0 to 24 h</w:t>
      </w:r>
      <w:r w:rsidR="00313290">
        <w:t>).</w:t>
      </w:r>
      <w:r w:rsidRPr="0096468A">
        <w:t xml:space="preserve"> Human reference values are from </w:t>
      </w:r>
      <w:r>
        <w:t>c</w:t>
      </w:r>
      <w:r w:rsidRPr="0096468A">
        <w:t>linical Study PIPF</w:t>
      </w:r>
      <w:r>
        <w:noBreakHyphen/>
      </w:r>
      <w:r w:rsidRPr="0096468A">
        <w:t xml:space="preserve">004. The </w:t>
      </w:r>
      <w:proofErr w:type="spellStart"/>
      <w:r w:rsidRPr="0096468A">
        <w:rPr>
          <w:rFonts w:eastAsia="Cambria"/>
        </w:rPr>
        <w:t>C</w:t>
      </w:r>
      <w:r w:rsidRPr="0096468A">
        <w:rPr>
          <w:rFonts w:eastAsia="Cambria"/>
          <w:vertAlign w:val="subscript"/>
        </w:rPr>
        <w:t>max</w:t>
      </w:r>
      <w:proofErr w:type="spellEnd"/>
      <w:r w:rsidRPr="0096468A">
        <w:t xml:space="preserve"> and AUC data used for animals is</w:t>
      </w:r>
      <w:r>
        <w:t xml:space="preserve"> the mean of male and female</w:t>
      </w:r>
      <w:r w:rsidRPr="0096468A">
        <w:t xml:space="preserve"> values on the last sampling occasion. As shown in </w:t>
      </w:r>
      <w:r w:rsidR="00C776D9">
        <w:t>Table 2</w:t>
      </w:r>
      <w:r w:rsidRPr="0096468A">
        <w:t xml:space="preserve"> the relative exposure after repeated dosing was low in all species. Higher exposures were achieved on </w:t>
      </w:r>
      <w:r>
        <w:t>the first day</w:t>
      </w:r>
      <w:r w:rsidRPr="0096468A">
        <w:t xml:space="preserve"> of dosing in rats by both the </w:t>
      </w:r>
      <w:r w:rsidR="00304514">
        <w:t>PO</w:t>
      </w:r>
      <w:r w:rsidRPr="0096468A">
        <w:t xml:space="preserve"> and IV route.</w:t>
      </w:r>
    </w:p>
    <w:p w:rsidR="00931383" w:rsidRDefault="00931383" w:rsidP="00931383">
      <w:pPr>
        <w:pStyle w:val="Standard"/>
      </w:pPr>
      <w:r w:rsidRPr="0096468A">
        <w:t xml:space="preserve">Limited </w:t>
      </w:r>
      <w:proofErr w:type="spellStart"/>
      <w:r w:rsidRPr="0096468A">
        <w:t>toxicokinetic</w:t>
      </w:r>
      <w:proofErr w:type="spellEnd"/>
      <w:r w:rsidRPr="0096468A">
        <w:t xml:space="preserve"> data were available for 5</w:t>
      </w:r>
      <w:r w:rsidRPr="0096468A">
        <w:noBreakHyphen/>
        <w:t>CA</w:t>
      </w:r>
      <w:r w:rsidRPr="0096468A">
        <w:noBreakHyphen/>
        <w:t>pirfenidone</w:t>
      </w:r>
      <w:r>
        <w:t xml:space="preserve"> (the major circulating metabolite)</w:t>
      </w:r>
      <w:r w:rsidRPr="0096468A">
        <w:t xml:space="preserve">. </w:t>
      </w:r>
      <w:r>
        <w:t>Exposure ratios for this compound in 13</w:t>
      </w:r>
      <w:r w:rsidR="00AA16A1">
        <w:t xml:space="preserve"> </w:t>
      </w:r>
      <w:r>
        <w:t>week dietary studies were</w:t>
      </w:r>
      <w:r w:rsidRPr="0096468A">
        <w:t xml:space="preserve"> ≤</w:t>
      </w:r>
      <w:r>
        <w:t> </w:t>
      </w:r>
      <w:r w:rsidRPr="0096468A">
        <w:t xml:space="preserve">1.4 in </w:t>
      </w:r>
      <w:r w:rsidR="00215026">
        <w:t>B6C3F1</w:t>
      </w:r>
      <w:r w:rsidR="003548DC">
        <w:t xml:space="preserve"> </w:t>
      </w:r>
      <w:r w:rsidRPr="0096468A">
        <w:t>mice and ≤</w:t>
      </w:r>
      <w:r>
        <w:t> </w:t>
      </w:r>
      <w:r w:rsidRPr="0096468A">
        <w:t xml:space="preserve">6.2 in F344 rats, despite the relatively high metabolite to parent ratios. </w:t>
      </w:r>
      <w:proofErr w:type="spellStart"/>
      <w:r>
        <w:t>Toxicokinetic</w:t>
      </w:r>
      <w:proofErr w:type="spellEnd"/>
      <w:r>
        <w:t xml:space="preserve"> data for 5</w:t>
      </w:r>
      <w:r>
        <w:noBreakHyphen/>
        <w:t>CA</w:t>
      </w:r>
      <w:r>
        <w:noBreakHyphen/>
        <w:t xml:space="preserve">pirfenidone were not obtained in the pivotal studies. Based on metabolism data, exposure ratios for the 5-carboxy metabolite can be assumed to be higher than for the parent in the pivotal rat study and similar to those for the parent in the pivotal dog study. Exposure ratios for the metabolite in rats treated by continuous IV infusion are lower </w:t>
      </w:r>
      <w:r w:rsidR="00AA16A1">
        <w:t xml:space="preserve">compared </w:t>
      </w:r>
      <w:r>
        <w:t>with those for the parent.</w:t>
      </w:r>
    </w:p>
    <w:p w:rsidR="00931383" w:rsidRPr="00876BB3" w:rsidRDefault="00C776D9" w:rsidP="00313290">
      <w:pPr>
        <w:pStyle w:val="Tabletitle0"/>
      </w:pPr>
      <w:proofErr w:type="gramStart"/>
      <w:r>
        <w:t xml:space="preserve">Table 2: </w:t>
      </w:r>
      <w:r w:rsidR="00931383" w:rsidRPr="00876BB3">
        <w:t xml:space="preserve">Relative exposure in </w:t>
      </w:r>
      <w:r w:rsidR="00B15BB5">
        <w:t>repeat dose</w:t>
      </w:r>
      <w:r w:rsidR="00931383" w:rsidRPr="00876BB3">
        <w:t xml:space="preserve"> toxicity and carcinogenicity studies</w:t>
      </w:r>
      <w:r>
        <w:t>.</w:t>
      </w:r>
      <w:proofErr w:type="gramEnd"/>
    </w:p>
    <w:tbl>
      <w:tblPr>
        <w:tblStyle w:val="TableTGAblue"/>
        <w:tblW w:w="5171" w:type="pct"/>
        <w:tblInd w:w="-318" w:type="dxa"/>
        <w:tblLayout w:type="fixed"/>
        <w:tblLook w:val="01E0" w:firstRow="1" w:lastRow="1" w:firstColumn="1" w:lastColumn="1" w:noHBand="0" w:noVBand="0"/>
        <w:tblCaption w:val="Table 2: Relative exposure in repeat-dose toxicity and carcinogenicity studies."/>
        <w:tblDescription w:val="Relative exposure in repeat-dose toxicity and carcinogenicity studies."/>
      </w:tblPr>
      <w:tblGrid>
        <w:gridCol w:w="1053"/>
        <w:gridCol w:w="1809"/>
        <w:gridCol w:w="1050"/>
        <w:gridCol w:w="1180"/>
        <w:gridCol w:w="786"/>
        <w:gridCol w:w="1044"/>
        <w:gridCol w:w="1048"/>
        <w:gridCol w:w="1048"/>
      </w:tblGrid>
      <w:tr w:rsidR="00226C55" w:rsidRPr="00304514" w:rsidTr="00526DBA">
        <w:trPr>
          <w:cnfStyle w:val="100000000000" w:firstRow="1" w:lastRow="0" w:firstColumn="0" w:lastColumn="0" w:oddVBand="0" w:evenVBand="0" w:oddHBand="0" w:evenHBand="0" w:firstRowFirstColumn="0" w:firstRowLastColumn="0" w:lastRowFirstColumn="0" w:lastRowLastColumn="0"/>
          <w:trHeight w:val="976"/>
        </w:trPr>
        <w:tc>
          <w:tcPr>
            <w:tcW w:w="584" w:type="pct"/>
          </w:tcPr>
          <w:p w:rsidR="00931383" w:rsidRPr="00304514" w:rsidRDefault="00876BB3" w:rsidP="008E4A48">
            <w:pPr>
              <w:spacing w:before="0" w:after="0"/>
              <w:ind w:left="0" w:right="0"/>
              <w:rPr>
                <w:sz w:val="18"/>
              </w:rPr>
            </w:pPr>
            <w:r w:rsidRPr="00304514">
              <w:rPr>
                <w:sz w:val="18"/>
              </w:rPr>
              <w:t>Specie</w:t>
            </w:r>
            <w:r w:rsidR="00931383" w:rsidRPr="00304514">
              <w:rPr>
                <w:sz w:val="18"/>
              </w:rPr>
              <w:t>s</w:t>
            </w:r>
          </w:p>
        </w:tc>
        <w:tc>
          <w:tcPr>
            <w:tcW w:w="1003" w:type="pct"/>
          </w:tcPr>
          <w:p w:rsidR="00931383" w:rsidRPr="00304514" w:rsidRDefault="00931383" w:rsidP="008E4A48">
            <w:pPr>
              <w:spacing w:before="0" w:after="0"/>
              <w:ind w:left="0" w:right="0"/>
              <w:rPr>
                <w:sz w:val="18"/>
              </w:rPr>
            </w:pPr>
            <w:r w:rsidRPr="00304514">
              <w:rPr>
                <w:sz w:val="18"/>
              </w:rPr>
              <w:t>Study details</w:t>
            </w:r>
          </w:p>
        </w:tc>
        <w:tc>
          <w:tcPr>
            <w:tcW w:w="582" w:type="pct"/>
          </w:tcPr>
          <w:p w:rsidR="00931383" w:rsidRPr="00304514" w:rsidRDefault="00931383" w:rsidP="008E4A48">
            <w:pPr>
              <w:spacing w:before="0" w:after="0"/>
              <w:ind w:left="0" w:right="0"/>
              <w:rPr>
                <w:sz w:val="18"/>
              </w:rPr>
            </w:pPr>
            <w:r w:rsidRPr="00304514">
              <w:rPr>
                <w:sz w:val="18"/>
              </w:rPr>
              <w:t>Route; Sampling occasion</w:t>
            </w:r>
          </w:p>
        </w:tc>
        <w:tc>
          <w:tcPr>
            <w:tcW w:w="654" w:type="pct"/>
          </w:tcPr>
          <w:p w:rsidR="00931383" w:rsidRPr="00304514" w:rsidRDefault="00304514" w:rsidP="008E4A48">
            <w:pPr>
              <w:spacing w:before="0" w:after="0"/>
              <w:ind w:left="0" w:right="0"/>
              <w:rPr>
                <w:sz w:val="18"/>
              </w:rPr>
            </w:pPr>
            <w:r>
              <w:rPr>
                <w:sz w:val="18"/>
              </w:rPr>
              <w:t xml:space="preserve">Dose </w:t>
            </w:r>
            <w:r w:rsidRPr="00275A83">
              <w:rPr>
                <w:sz w:val="14"/>
              </w:rPr>
              <w:t>(mg/kg/</w:t>
            </w:r>
            <w:r w:rsidR="00931383" w:rsidRPr="00275A83">
              <w:rPr>
                <w:sz w:val="14"/>
              </w:rPr>
              <w:t>day)</w:t>
            </w:r>
          </w:p>
        </w:tc>
        <w:tc>
          <w:tcPr>
            <w:tcW w:w="436" w:type="pct"/>
          </w:tcPr>
          <w:p w:rsidR="00931383" w:rsidRPr="00304514" w:rsidRDefault="00931383" w:rsidP="008E4A48">
            <w:pPr>
              <w:spacing w:before="0" w:after="0"/>
              <w:ind w:left="0" w:right="0"/>
              <w:rPr>
                <w:sz w:val="18"/>
              </w:rPr>
            </w:pPr>
            <w:proofErr w:type="spellStart"/>
            <w:r w:rsidRPr="00304514">
              <w:rPr>
                <w:sz w:val="18"/>
              </w:rPr>
              <w:t>C</w:t>
            </w:r>
            <w:r w:rsidRPr="00526DBA">
              <w:rPr>
                <w:sz w:val="18"/>
                <w:vertAlign w:val="subscript"/>
              </w:rPr>
              <w:t>max</w:t>
            </w:r>
            <w:proofErr w:type="spellEnd"/>
            <w:r w:rsidRPr="00304514">
              <w:rPr>
                <w:sz w:val="18"/>
              </w:rPr>
              <w:t xml:space="preserve"> </w:t>
            </w:r>
            <w:r w:rsidRPr="00275A83">
              <w:rPr>
                <w:sz w:val="14"/>
              </w:rPr>
              <w:t>(</w:t>
            </w:r>
            <w:r w:rsidR="00AA16A1" w:rsidRPr="00275A83">
              <w:rPr>
                <w:sz w:val="14"/>
              </w:rPr>
              <w:t>µ</w:t>
            </w:r>
            <w:r w:rsidRPr="00275A83">
              <w:rPr>
                <w:sz w:val="14"/>
              </w:rPr>
              <w:t>g/mL)</w:t>
            </w:r>
          </w:p>
        </w:tc>
        <w:tc>
          <w:tcPr>
            <w:tcW w:w="579" w:type="pct"/>
          </w:tcPr>
          <w:p w:rsidR="00931383" w:rsidRPr="00304514" w:rsidRDefault="00931383" w:rsidP="008E4A48">
            <w:pPr>
              <w:spacing w:before="0" w:after="0"/>
              <w:ind w:left="0" w:right="0"/>
              <w:rPr>
                <w:sz w:val="18"/>
              </w:rPr>
            </w:pPr>
            <w:r w:rsidRPr="00304514">
              <w:rPr>
                <w:sz w:val="18"/>
              </w:rPr>
              <w:t xml:space="preserve">Exposure ratio based on </w:t>
            </w:r>
            <w:proofErr w:type="spellStart"/>
            <w:r w:rsidRPr="00304514">
              <w:rPr>
                <w:sz w:val="18"/>
              </w:rPr>
              <w:t>C</w:t>
            </w:r>
            <w:r w:rsidRPr="00526DBA">
              <w:rPr>
                <w:sz w:val="18"/>
                <w:vertAlign w:val="subscript"/>
              </w:rPr>
              <w:t>max</w:t>
            </w:r>
            <w:proofErr w:type="spellEnd"/>
          </w:p>
        </w:tc>
        <w:tc>
          <w:tcPr>
            <w:tcW w:w="581" w:type="pct"/>
          </w:tcPr>
          <w:p w:rsidR="00931383" w:rsidRPr="00304514" w:rsidRDefault="00931383" w:rsidP="008E4A48">
            <w:pPr>
              <w:spacing w:before="0" w:after="0"/>
              <w:ind w:left="0" w:right="0"/>
              <w:rPr>
                <w:sz w:val="18"/>
              </w:rPr>
            </w:pPr>
            <w:r w:rsidRPr="00304514">
              <w:rPr>
                <w:sz w:val="18"/>
              </w:rPr>
              <w:t>AUC</w:t>
            </w:r>
            <w:r w:rsidRPr="00B01CB1">
              <w:rPr>
                <w:sz w:val="18"/>
                <w:vertAlign w:val="subscript"/>
              </w:rPr>
              <w:t>0–24 h</w:t>
            </w:r>
            <w:r w:rsidR="00226C55" w:rsidRPr="00B01CB1">
              <w:rPr>
                <w:sz w:val="18"/>
                <w:vertAlign w:val="subscript"/>
              </w:rPr>
              <w:t xml:space="preserve"> </w:t>
            </w:r>
            <w:r w:rsidRPr="00275A83">
              <w:rPr>
                <w:sz w:val="16"/>
              </w:rPr>
              <w:t>(</w:t>
            </w:r>
            <w:r w:rsidR="00AA16A1" w:rsidRPr="00275A83">
              <w:rPr>
                <w:sz w:val="16"/>
              </w:rPr>
              <w:t>µ</w:t>
            </w:r>
            <w:proofErr w:type="spellStart"/>
            <w:r w:rsidRPr="00275A83">
              <w:rPr>
                <w:sz w:val="16"/>
              </w:rPr>
              <w:t>g∙h</w:t>
            </w:r>
            <w:proofErr w:type="spellEnd"/>
            <w:r w:rsidRPr="00275A83">
              <w:rPr>
                <w:sz w:val="16"/>
              </w:rPr>
              <w:t>/mL)</w:t>
            </w:r>
          </w:p>
        </w:tc>
        <w:tc>
          <w:tcPr>
            <w:tcW w:w="581" w:type="pct"/>
          </w:tcPr>
          <w:p w:rsidR="00931383" w:rsidRPr="00304514" w:rsidRDefault="00931383" w:rsidP="008E4A48">
            <w:pPr>
              <w:spacing w:before="0" w:after="0"/>
              <w:ind w:left="0" w:right="0"/>
              <w:rPr>
                <w:sz w:val="18"/>
              </w:rPr>
            </w:pPr>
            <w:r w:rsidRPr="00304514">
              <w:rPr>
                <w:sz w:val="18"/>
              </w:rPr>
              <w:t>Exposure ratio based on AUC</w:t>
            </w:r>
          </w:p>
        </w:tc>
      </w:tr>
      <w:tr w:rsidR="00226C55" w:rsidRPr="00304514" w:rsidTr="00526DBA">
        <w:trPr>
          <w:trHeight w:val="232"/>
        </w:trPr>
        <w:tc>
          <w:tcPr>
            <w:tcW w:w="584" w:type="pct"/>
            <w:vMerge w:val="restart"/>
          </w:tcPr>
          <w:p w:rsidR="00931383" w:rsidRPr="00304514" w:rsidRDefault="00931383" w:rsidP="008E4A48">
            <w:pPr>
              <w:spacing w:before="0" w:after="0"/>
              <w:ind w:left="0" w:right="0"/>
              <w:rPr>
                <w:sz w:val="18"/>
              </w:rPr>
            </w:pPr>
            <w:r w:rsidRPr="00304514">
              <w:rPr>
                <w:sz w:val="18"/>
              </w:rPr>
              <w:t>Mouse</w:t>
            </w:r>
            <w:r w:rsidR="00304514">
              <w:rPr>
                <w:sz w:val="18"/>
              </w:rPr>
              <w:t xml:space="preserve"> </w:t>
            </w:r>
            <w:r w:rsidRPr="00304514">
              <w:rPr>
                <w:sz w:val="18"/>
              </w:rPr>
              <w:t>(</w:t>
            </w:r>
            <w:r w:rsidR="00215026">
              <w:rPr>
                <w:sz w:val="18"/>
              </w:rPr>
              <w:t>B6C3F1</w:t>
            </w:r>
            <w:r w:rsidRPr="00304514">
              <w:rPr>
                <w:sz w:val="18"/>
              </w:rPr>
              <w:t>)</w:t>
            </w:r>
          </w:p>
        </w:tc>
        <w:tc>
          <w:tcPr>
            <w:tcW w:w="1003" w:type="pct"/>
            <w:vMerge w:val="restart"/>
          </w:tcPr>
          <w:p w:rsidR="00931383" w:rsidRPr="00304514" w:rsidRDefault="00304514" w:rsidP="008E4A48">
            <w:pPr>
              <w:spacing w:before="0" w:after="0"/>
              <w:ind w:left="0" w:right="0"/>
              <w:rPr>
                <w:sz w:val="18"/>
              </w:rPr>
            </w:pPr>
            <w:r>
              <w:rPr>
                <w:sz w:val="18"/>
              </w:rPr>
              <w:t xml:space="preserve">3 months (NCR013) </w:t>
            </w:r>
            <w:r w:rsidR="00931383" w:rsidRPr="00304514">
              <w:rPr>
                <w:sz w:val="18"/>
              </w:rPr>
              <w:t>(dose range-finding for carcinogenicity)</w:t>
            </w:r>
          </w:p>
        </w:tc>
        <w:tc>
          <w:tcPr>
            <w:tcW w:w="582" w:type="pct"/>
            <w:vMerge w:val="restart"/>
          </w:tcPr>
          <w:p w:rsidR="00931383" w:rsidRPr="00304514" w:rsidRDefault="00931383" w:rsidP="008E4A48">
            <w:pPr>
              <w:spacing w:before="0" w:after="0"/>
              <w:ind w:left="0" w:right="0"/>
              <w:rPr>
                <w:sz w:val="18"/>
              </w:rPr>
            </w:pPr>
            <w:r w:rsidRPr="00304514">
              <w:rPr>
                <w:sz w:val="18"/>
              </w:rPr>
              <w:t xml:space="preserve">PO </w:t>
            </w:r>
            <w:r w:rsidR="00304514">
              <w:rPr>
                <w:sz w:val="18"/>
              </w:rPr>
              <w:t>(</w:t>
            </w:r>
            <w:r w:rsidRPr="00304514">
              <w:rPr>
                <w:sz w:val="18"/>
              </w:rPr>
              <w:t>diet</w:t>
            </w:r>
            <w:r w:rsidR="00304514">
              <w:rPr>
                <w:sz w:val="18"/>
              </w:rPr>
              <w:t>)</w:t>
            </w:r>
          </w:p>
          <w:p w:rsidR="00931383" w:rsidRPr="00304514" w:rsidRDefault="00931383" w:rsidP="008E4A48">
            <w:pPr>
              <w:spacing w:before="0" w:after="0"/>
              <w:ind w:left="0" w:right="0"/>
              <w:rPr>
                <w:sz w:val="18"/>
              </w:rPr>
            </w:pPr>
            <w:r w:rsidRPr="00304514">
              <w:rPr>
                <w:sz w:val="18"/>
              </w:rPr>
              <w:t>Week 13</w:t>
            </w:r>
          </w:p>
        </w:tc>
        <w:tc>
          <w:tcPr>
            <w:tcW w:w="654" w:type="pct"/>
          </w:tcPr>
          <w:p w:rsidR="00931383" w:rsidRPr="00304514" w:rsidRDefault="00931383" w:rsidP="008E4A48">
            <w:pPr>
              <w:spacing w:before="0" w:after="0"/>
              <w:ind w:left="0" w:right="0"/>
              <w:rPr>
                <w:sz w:val="18"/>
              </w:rPr>
            </w:pPr>
            <w:r w:rsidRPr="00304514">
              <w:rPr>
                <w:sz w:val="18"/>
              </w:rPr>
              <w:t>200</w:t>
            </w:r>
          </w:p>
        </w:tc>
        <w:tc>
          <w:tcPr>
            <w:tcW w:w="436" w:type="pct"/>
          </w:tcPr>
          <w:p w:rsidR="00931383" w:rsidRPr="00304514" w:rsidRDefault="00931383" w:rsidP="008E4A48">
            <w:pPr>
              <w:spacing w:before="0" w:after="0"/>
              <w:ind w:left="0" w:right="0"/>
              <w:rPr>
                <w:sz w:val="18"/>
              </w:rPr>
            </w:pPr>
            <w:r w:rsidRPr="00304514">
              <w:rPr>
                <w:sz w:val="18"/>
              </w:rPr>
              <w:t>0.9</w:t>
            </w:r>
          </w:p>
        </w:tc>
        <w:tc>
          <w:tcPr>
            <w:tcW w:w="579" w:type="pct"/>
          </w:tcPr>
          <w:p w:rsidR="00931383" w:rsidRPr="00304514" w:rsidRDefault="00931383" w:rsidP="008E4A48">
            <w:pPr>
              <w:spacing w:before="0" w:after="0"/>
              <w:ind w:left="0" w:right="0"/>
              <w:rPr>
                <w:sz w:val="18"/>
              </w:rPr>
            </w:pPr>
            <w:r w:rsidRPr="00304514">
              <w:rPr>
                <w:sz w:val="18"/>
              </w:rPr>
              <w:t>&lt;</w:t>
            </w:r>
            <w:r w:rsidR="008E4A48">
              <w:rPr>
                <w:sz w:val="18"/>
              </w:rPr>
              <w:t xml:space="preserve"> </w:t>
            </w:r>
            <w:r w:rsidRPr="00304514">
              <w:rPr>
                <w:sz w:val="18"/>
              </w:rPr>
              <w:t>0.1</w:t>
            </w:r>
          </w:p>
        </w:tc>
        <w:tc>
          <w:tcPr>
            <w:tcW w:w="581" w:type="pct"/>
          </w:tcPr>
          <w:p w:rsidR="00931383" w:rsidRPr="00304514" w:rsidRDefault="00931383" w:rsidP="008E4A48">
            <w:pPr>
              <w:spacing w:before="0" w:after="0"/>
              <w:ind w:left="0" w:right="0"/>
              <w:rPr>
                <w:sz w:val="18"/>
              </w:rPr>
            </w:pPr>
            <w:r w:rsidRPr="00304514">
              <w:rPr>
                <w:sz w:val="18"/>
              </w:rPr>
              <w:t>16</w:t>
            </w:r>
          </w:p>
        </w:tc>
        <w:tc>
          <w:tcPr>
            <w:tcW w:w="581" w:type="pct"/>
          </w:tcPr>
          <w:p w:rsidR="00931383" w:rsidRPr="00304514" w:rsidRDefault="00931383" w:rsidP="008E4A48">
            <w:pPr>
              <w:spacing w:before="0" w:after="0"/>
              <w:ind w:left="0" w:right="0"/>
              <w:rPr>
                <w:sz w:val="18"/>
              </w:rPr>
            </w:pPr>
            <w:r w:rsidRPr="00304514">
              <w:rPr>
                <w:sz w:val="18"/>
              </w:rPr>
              <w:t>&lt;0.1</w:t>
            </w:r>
          </w:p>
        </w:tc>
      </w:tr>
      <w:tr w:rsidR="00226C55" w:rsidRPr="00304514" w:rsidTr="00526DBA">
        <w:trPr>
          <w:trHeight w:val="232"/>
        </w:trPr>
        <w:tc>
          <w:tcPr>
            <w:tcW w:w="584" w:type="pct"/>
            <w:vMerge/>
          </w:tcPr>
          <w:p w:rsidR="00931383" w:rsidRPr="00304514" w:rsidRDefault="00931383" w:rsidP="008E4A48">
            <w:pPr>
              <w:spacing w:before="0" w:after="0"/>
              <w:ind w:left="0" w:right="0"/>
              <w:rPr>
                <w:sz w:val="18"/>
              </w:rPr>
            </w:pPr>
          </w:p>
        </w:tc>
        <w:tc>
          <w:tcPr>
            <w:tcW w:w="1003" w:type="pct"/>
            <w:vMerge/>
          </w:tcPr>
          <w:p w:rsidR="00931383" w:rsidRPr="00304514" w:rsidRDefault="00931383" w:rsidP="008E4A48">
            <w:pPr>
              <w:spacing w:before="0" w:after="0"/>
              <w:ind w:left="0" w:right="0"/>
              <w:rPr>
                <w:sz w:val="18"/>
              </w:rPr>
            </w:pPr>
          </w:p>
        </w:tc>
        <w:tc>
          <w:tcPr>
            <w:tcW w:w="582" w:type="pct"/>
            <w:vMerge/>
          </w:tcPr>
          <w:p w:rsidR="00931383" w:rsidRPr="00304514" w:rsidRDefault="00931383" w:rsidP="008E4A48">
            <w:pPr>
              <w:spacing w:before="0" w:after="0"/>
              <w:ind w:left="0" w:right="0"/>
              <w:rPr>
                <w:sz w:val="18"/>
              </w:rPr>
            </w:pPr>
          </w:p>
        </w:tc>
        <w:tc>
          <w:tcPr>
            <w:tcW w:w="654" w:type="pct"/>
          </w:tcPr>
          <w:p w:rsidR="00931383" w:rsidRPr="00304514" w:rsidRDefault="00931383" w:rsidP="008E4A48">
            <w:pPr>
              <w:spacing w:before="0" w:after="0"/>
              <w:ind w:left="0" w:right="0"/>
              <w:rPr>
                <w:sz w:val="18"/>
              </w:rPr>
            </w:pPr>
            <w:r w:rsidRPr="00304514">
              <w:rPr>
                <w:sz w:val="18"/>
              </w:rPr>
              <w:t>600</w:t>
            </w:r>
          </w:p>
        </w:tc>
        <w:tc>
          <w:tcPr>
            <w:tcW w:w="436" w:type="pct"/>
          </w:tcPr>
          <w:p w:rsidR="00931383" w:rsidRPr="00304514" w:rsidRDefault="00931383" w:rsidP="008E4A48">
            <w:pPr>
              <w:spacing w:before="0" w:after="0"/>
              <w:ind w:left="0" w:right="0"/>
              <w:rPr>
                <w:sz w:val="18"/>
              </w:rPr>
            </w:pPr>
            <w:r w:rsidRPr="00304514">
              <w:rPr>
                <w:sz w:val="18"/>
              </w:rPr>
              <w:t>1.5</w:t>
            </w:r>
          </w:p>
        </w:tc>
        <w:tc>
          <w:tcPr>
            <w:tcW w:w="579" w:type="pct"/>
          </w:tcPr>
          <w:p w:rsidR="00931383" w:rsidRPr="00304514" w:rsidRDefault="00931383" w:rsidP="008E4A48">
            <w:pPr>
              <w:spacing w:before="0" w:after="0"/>
              <w:ind w:left="0" w:right="0"/>
              <w:rPr>
                <w:sz w:val="18"/>
              </w:rPr>
            </w:pPr>
            <w:r w:rsidRPr="00304514">
              <w:rPr>
                <w:sz w:val="18"/>
              </w:rPr>
              <w:t>0.1</w:t>
            </w:r>
          </w:p>
        </w:tc>
        <w:tc>
          <w:tcPr>
            <w:tcW w:w="581" w:type="pct"/>
          </w:tcPr>
          <w:p w:rsidR="00931383" w:rsidRPr="00304514" w:rsidRDefault="00931383" w:rsidP="008E4A48">
            <w:pPr>
              <w:spacing w:before="0" w:after="0"/>
              <w:ind w:left="0" w:right="0"/>
              <w:rPr>
                <w:sz w:val="18"/>
              </w:rPr>
            </w:pPr>
            <w:r w:rsidRPr="00304514">
              <w:rPr>
                <w:sz w:val="18"/>
              </w:rPr>
              <w:t>26</w:t>
            </w:r>
          </w:p>
        </w:tc>
        <w:tc>
          <w:tcPr>
            <w:tcW w:w="581" w:type="pct"/>
          </w:tcPr>
          <w:p w:rsidR="00931383" w:rsidRPr="00304514" w:rsidRDefault="00931383" w:rsidP="008E4A48">
            <w:pPr>
              <w:spacing w:before="0" w:after="0"/>
              <w:ind w:left="0" w:right="0"/>
              <w:rPr>
                <w:sz w:val="18"/>
              </w:rPr>
            </w:pPr>
            <w:r w:rsidRPr="00304514">
              <w:rPr>
                <w:sz w:val="18"/>
              </w:rPr>
              <w:t>0.1</w:t>
            </w:r>
          </w:p>
        </w:tc>
      </w:tr>
      <w:tr w:rsidR="00226C55" w:rsidRPr="00304514" w:rsidTr="00526DBA">
        <w:trPr>
          <w:trHeight w:val="194"/>
        </w:trPr>
        <w:tc>
          <w:tcPr>
            <w:tcW w:w="584" w:type="pct"/>
            <w:vMerge/>
          </w:tcPr>
          <w:p w:rsidR="00931383" w:rsidRPr="00304514" w:rsidRDefault="00931383" w:rsidP="008E4A48">
            <w:pPr>
              <w:spacing w:before="0" w:after="0"/>
              <w:ind w:left="0" w:right="0"/>
              <w:rPr>
                <w:sz w:val="18"/>
              </w:rPr>
            </w:pPr>
          </w:p>
        </w:tc>
        <w:tc>
          <w:tcPr>
            <w:tcW w:w="1003" w:type="pct"/>
            <w:vMerge/>
          </w:tcPr>
          <w:p w:rsidR="00931383" w:rsidRPr="00304514" w:rsidRDefault="00931383" w:rsidP="008E4A48">
            <w:pPr>
              <w:spacing w:before="0" w:after="0"/>
              <w:ind w:left="0" w:right="0"/>
              <w:rPr>
                <w:sz w:val="18"/>
              </w:rPr>
            </w:pPr>
          </w:p>
        </w:tc>
        <w:tc>
          <w:tcPr>
            <w:tcW w:w="582" w:type="pct"/>
            <w:vMerge/>
          </w:tcPr>
          <w:p w:rsidR="00931383" w:rsidRPr="00304514" w:rsidRDefault="00931383" w:rsidP="008E4A48">
            <w:pPr>
              <w:spacing w:before="0" w:after="0"/>
              <w:ind w:left="0" w:right="0"/>
              <w:rPr>
                <w:sz w:val="18"/>
              </w:rPr>
            </w:pPr>
          </w:p>
        </w:tc>
        <w:tc>
          <w:tcPr>
            <w:tcW w:w="654" w:type="pct"/>
          </w:tcPr>
          <w:p w:rsidR="00931383" w:rsidRPr="00304514" w:rsidRDefault="00931383" w:rsidP="008E4A48">
            <w:pPr>
              <w:spacing w:before="0" w:after="0"/>
              <w:ind w:left="0" w:right="0"/>
              <w:rPr>
                <w:sz w:val="18"/>
              </w:rPr>
            </w:pPr>
            <w:r w:rsidRPr="00304514">
              <w:rPr>
                <w:sz w:val="18"/>
              </w:rPr>
              <w:t>2</w:t>
            </w:r>
            <w:r w:rsidR="00A66186">
              <w:rPr>
                <w:sz w:val="18"/>
              </w:rPr>
              <w:t>,</w:t>
            </w:r>
            <w:r w:rsidRPr="00304514">
              <w:rPr>
                <w:sz w:val="18"/>
              </w:rPr>
              <w:t>000</w:t>
            </w:r>
          </w:p>
        </w:tc>
        <w:tc>
          <w:tcPr>
            <w:tcW w:w="436" w:type="pct"/>
          </w:tcPr>
          <w:p w:rsidR="00931383" w:rsidRPr="00304514" w:rsidRDefault="00931383" w:rsidP="008E4A48">
            <w:pPr>
              <w:spacing w:before="0" w:after="0"/>
              <w:ind w:left="0" w:right="0"/>
              <w:rPr>
                <w:sz w:val="18"/>
              </w:rPr>
            </w:pPr>
            <w:r w:rsidRPr="00304514">
              <w:rPr>
                <w:sz w:val="18"/>
              </w:rPr>
              <w:t>3.4</w:t>
            </w:r>
          </w:p>
        </w:tc>
        <w:tc>
          <w:tcPr>
            <w:tcW w:w="579" w:type="pct"/>
          </w:tcPr>
          <w:p w:rsidR="00931383" w:rsidRPr="00304514" w:rsidRDefault="00931383" w:rsidP="008E4A48">
            <w:pPr>
              <w:spacing w:before="0" w:after="0"/>
              <w:ind w:left="0" w:right="0"/>
              <w:rPr>
                <w:sz w:val="18"/>
              </w:rPr>
            </w:pPr>
            <w:r w:rsidRPr="00304514">
              <w:rPr>
                <w:sz w:val="18"/>
              </w:rPr>
              <w:t>0.2</w:t>
            </w:r>
          </w:p>
        </w:tc>
        <w:tc>
          <w:tcPr>
            <w:tcW w:w="581" w:type="pct"/>
          </w:tcPr>
          <w:p w:rsidR="00931383" w:rsidRPr="00304514" w:rsidRDefault="00931383" w:rsidP="008E4A48">
            <w:pPr>
              <w:spacing w:before="0" w:after="0"/>
              <w:ind w:left="0" w:right="0"/>
              <w:rPr>
                <w:sz w:val="18"/>
              </w:rPr>
            </w:pPr>
            <w:r w:rsidRPr="00304514">
              <w:rPr>
                <w:sz w:val="18"/>
              </w:rPr>
              <w:t>47</w:t>
            </w:r>
          </w:p>
        </w:tc>
        <w:tc>
          <w:tcPr>
            <w:tcW w:w="581" w:type="pct"/>
          </w:tcPr>
          <w:p w:rsidR="00931383" w:rsidRPr="00304514" w:rsidRDefault="00931383" w:rsidP="008E4A48">
            <w:pPr>
              <w:spacing w:before="0" w:after="0"/>
              <w:ind w:left="0" w:right="0"/>
              <w:rPr>
                <w:sz w:val="18"/>
              </w:rPr>
            </w:pPr>
            <w:r w:rsidRPr="00304514">
              <w:rPr>
                <w:sz w:val="18"/>
              </w:rPr>
              <w:t>0.3</w:t>
            </w:r>
          </w:p>
        </w:tc>
      </w:tr>
      <w:tr w:rsidR="00226C55" w:rsidRPr="00304514" w:rsidTr="00526DBA">
        <w:trPr>
          <w:trHeight w:val="122"/>
        </w:trPr>
        <w:tc>
          <w:tcPr>
            <w:tcW w:w="584" w:type="pct"/>
            <w:vMerge/>
          </w:tcPr>
          <w:p w:rsidR="00931383" w:rsidRPr="00304514" w:rsidRDefault="00931383" w:rsidP="008E4A48">
            <w:pPr>
              <w:spacing w:before="0" w:after="0"/>
              <w:ind w:left="0" w:right="0"/>
              <w:rPr>
                <w:sz w:val="18"/>
              </w:rPr>
            </w:pPr>
          </w:p>
        </w:tc>
        <w:tc>
          <w:tcPr>
            <w:tcW w:w="1003" w:type="pct"/>
            <w:vMerge w:val="restart"/>
          </w:tcPr>
          <w:p w:rsidR="00931383" w:rsidRPr="00304514" w:rsidRDefault="00304514" w:rsidP="008E4A48">
            <w:pPr>
              <w:spacing w:before="0" w:after="0"/>
              <w:ind w:left="0" w:right="0"/>
              <w:rPr>
                <w:sz w:val="18"/>
              </w:rPr>
            </w:pPr>
            <w:r>
              <w:rPr>
                <w:sz w:val="18"/>
              </w:rPr>
              <w:t xml:space="preserve">2 years </w:t>
            </w:r>
            <w:r w:rsidR="00E60988">
              <w:rPr>
                <w:sz w:val="18"/>
              </w:rPr>
              <w:t>(</w:t>
            </w:r>
            <w:r w:rsidR="00931383" w:rsidRPr="00304514">
              <w:rPr>
                <w:sz w:val="18"/>
              </w:rPr>
              <w:t>NCR018</w:t>
            </w:r>
            <w:r w:rsidR="00E60988">
              <w:rPr>
                <w:sz w:val="18"/>
              </w:rPr>
              <w:t>)</w:t>
            </w:r>
            <w:r w:rsidR="00931383" w:rsidRPr="00304514">
              <w:rPr>
                <w:sz w:val="18"/>
              </w:rPr>
              <w:t xml:space="preserve"> (carcinogenicity) </w:t>
            </w:r>
          </w:p>
        </w:tc>
        <w:tc>
          <w:tcPr>
            <w:tcW w:w="582" w:type="pct"/>
            <w:vMerge w:val="restart"/>
          </w:tcPr>
          <w:p w:rsidR="00931383" w:rsidRPr="00304514" w:rsidRDefault="00304514" w:rsidP="008E4A48">
            <w:pPr>
              <w:spacing w:before="0" w:after="0"/>
              <w:ind w:left="0" w:right="0"/>
              <w:rPr>
                <w:sz w:val="18"/>
              </w:rPr>
            </w:pPr>
            <w:r>
              <w:rPr>
                <w:sz w:val="18"/>
              </w:rPr>
              <w:t xml:space="preserve">PO (diet) </w:t>
            </w:r>
            <w:r w:rsidR="00931383" w:rsidRPr="00304514">
              <w:rPr>
                <w:sz w:val="18"/>
              </w:rPr>
              <w:t>Week 4</w:t>
            </w:r>
          </w:p>
        </w:tc>
        <w:tc>
          <w:tcPr>
            <w:tcW w:w="654" w:type="pct"/>
          </w:tcPr>
          <w:p w:rsidR="00931383" w:rsidRPr="00304514" w:rsidRDefault="00931383" w:rsidP="008E4A48">
            <w:pPr>
              <w:spacing w:before="0" w:after="0"/>
              <w:ind w:left="0" w:right="0"/>
              <w:rPr>
                <w:sz w:val="18"/>
              </w:rPr>
            </w:pPr>
            <w:r w:rsidRPr="00304514">
              <w:rPr>
                <w:sz w:val="18"/>
              </w:rPr>
              <w:t>800</w:t>
            </w:r>
          </w:p>
        </w:tc>
        <w:tc>
          <w:tcPr>
            <w:tcW w:w="436" w:type="pct"/>
          </w:tcPr>
          <w:p w:rsidR="00931383" w:rsidRPr="00304514" w:rsidRDefault="00931383" w:rsidP="008E4A48">
            <w:pPr>
              <w:spacing w:before="0" w:after="0"/>
              <w:ind w:left="0" w:right="0"/>
              <w:rPr>
                <w:sz w:val="18"/>
              </w:rPr>
            </w:pPr>
            <w:r w:rsidRPr="00304514">
              <w:rPr>
                <w:sz w:val="18"/>
              </w:rPr>
              <w:t>1.3</w:t>
            </w:r>
          </w:p>
        </w:tc>
        <w:tc>
          <w:tcPr>
            <w:tcW w:w="579" w:type="pct"/>
          </w:tcPr>
          <w:p w:rsidR="00931383" w:rsidRPr="00304514" w:rsidRDefault="00931383" w:rsidP="008E4A48">
            <w:pPr>
              <w:spacing w:before="0" w:after="0"/>
              <w:ind w:left="0" w:right="0"/>
              <w:rPr>
                <w:sz w:val="18"/>
              </w:rPr>
            </w:pPr>
            <w:r w:rsidRPr="00304514">
              <w:rPr>
                <w:sz w:val="18"/>
              </w:rPr>
              <w:t>&lt;</w:t>
            </w:r>
            <w:r w:rsidR="008E4A48">
              <w:rPr>
                <w:sz w:val="18"/>
              </w:rPr>
              <w:t xml:space="preserve"> </w:t>
            </w:r>
            <w:r w:rsidRPr="00304514">
              <w:rPr>
                <w:sz w:val="18"/>
              </w:rPr>
              <w:t>0.1</w:t>
            </w:r>
          </w:p>
        </w:tc>
        <w:tc>
          <w:tcPr>
            <w:tcW w:w="581" w:type="pct"/>
          </w:tcPr>
          <w:p w:rsidR="00931383" w:rsidRPr="00304514" w:rsidRDefault="00931383" w:rsidP="008E4A48">
            <w:pPr>
              <w:spacing w:before="0" w:after="0"/>
              <w:ind w:left="0" w:right="0"/>
              <w:rPr>
                <w:sz w:val="18"/>
              </w:rPr>
            </w:pPr>
            <w:r w:rsidRPr="00304514">
              <w:rPr>
                <w:sz w:val="18"/>
              </w:rPr>
              <w:t>24</w:t>
            </w:r>
          </w:p>
        </w:tc>
        <w:tc>
          <w:tcPr>
            <w:tcW w:w="581" w:type="pct"/>
          </w:tcPr>
          <w:p w:rsidR="00931383" w:rsidRPr="00304514" w:rsidRDefault="00931383" w:rsidP="008E4A48">
            <w:pPr>
              <w:spacing w:before="0" w:after="0"/>
              <w:ind w:left="0" w:right="0"/>
              <w:rPr>
                <w:sz w:val="18"/>
              </w:rPr>
            </w:pPr>
            <w:r w:rsidRPr="00304514">
              <w:rPr>
                <w:sz w:val="18"/>
              </w:rPr>
              <w:t>0.1</w:t>
            </w:r>
          </w:p>
        </w:tc>
      </w:tr>
      <w:tr w:rsidR="00226C55" w:rsidRPr="00304514" w:rsidTr="00526DBA">
        <w:trPr>
          <w:trHeight w:val="143"/>
        </w:trPr>
        <w:tc>
          <w:tcPr>
            <w:tcW w:w="584" w:type="pct"/>
            <w:vMerge/>
          </w:tcPr>
          <w:p w:rsidR="00931383" w:rsidRPr="00304514" w:rsidRDefault="00931383" w:rsidP="008E4A48">
            <w:pPr>
              <w:spacing w:before="0" w:after="0"/>
              <w:ind w:left="0" w:right="0"/>
              <w:rPr>
                <w:sz w:val="18"/>
              </w:rPr>
            </w:pPr>
          </w:p>
        </w:tc>
        <w:tc>
          <w:tcPr>
            <w:tcW w:w="1003" w:type="pct"/>
            <w:vMerge/>
          </w:tcPr>
          <w:p w:rsidR="00931383" w:rsidRPr="00304514" w:rsidRDefault="00931383" w:rsidP="008E4A48">
            <w:pPr>
              <w:spacing w:before="0" w:after="0"/>
              <w:ind w:left="0" w:right="0"/>
              <w:rPr>
                <w:sz w:val="18"/>
              </w:rPr>
            </w:pPr>
          </w:p>
        </w:tc>
        <w:tc>
          <w:tcPr>
            <w:tcW w:w="582" w:type="pct"/>
            <w:vMerge/>
          </w:tcPr>
          <w:p w:rsidR="00931383" w:rsidRPr="00304514" w:rsidRDefault="00931383" w:rsidP="008E4A48">
            <w:pPr>
              <w:spacing w:before="0" w:after="0"/>
              <w:ind w:left="0" w:right="0"/>
              <w:rPr>
                <w:sz w:val="18"/>
              </w:rPr>
            </w:pPr>
          </w:p>
        </w:tc>
        <w:tc>
          <w:tcPr>
            <w:tcW w:w="654" w:type="pct"/>
          </w:tcPr>
          <w:p w:rsidR="00931383" w:rsidRPr="00304514" w:rsidRDefault="00A66186" w:rsidP="008E4A48">
            <w:pPr>
              <w:spacing w:before="0" w:after="0"/>
              <w:ind w:left="0" w:right="0"/>
              <w:rPr>
                <w:sz w:val="18"/>
              </w:rPr>
            </w:pPr>
            <w:r>
              <w:rPr>
                <w:sz w:val="18"/>
              </w:rPr>
              <w:t>2,000</w:t>
            </w:r>
          </w:p>
        </w:tc>
        <w:tc>
          <w:tcPr>
            <w:tcW w:w="436" w:type="pct"/>
          </w:tcPr>
          <w:p w:rsidR="00931383" w:rsidRPr="00304514" w:rsidRDefault="00931383" w:rsidP="008E4A48">
            <w:pPr>
              <w:spacing w:before="0" w:after="0"/>
              <w:ind w:left="0" w:right="0"/>
              <w:rPr>
                <w:sz w:val="18"/>
              </w:rPr>
            </w:pPr>
            <w:r w:rsidRPr="00304514">
              <w:rPr>
                <w:sz w:val="18"/>
              </w:rPr>
              <w:t>2.5</w:t>
            </w:r>
          </w:p>
        </w:tc>
        <w:tc>
          <w:tcPr>
            <w:tcW w:w="579" w:type="pct"/>
          </w:tcPr>
          <w:p w:rsidR="00931383" w:rsidRPr="00304514" w:rsidRDefault="00931383" w:rsidP="008E4A48">
            <w:pPr>
              <w:spacing w:before="0" w:after="0"/>
              <w:ind w:left="0" w:right="0"/>
              <w:rPr>
                <w:sz w:val="18"/>
              </w:rPr>
            </w:pPr>
            <w:r w:rsidRPr="00304514">
              <w:rPr>
                <w:sz w:val="18"/>
              </w:rPr>
              <w:t>0.2</w:t>
            </w:r>
          </w:p>
        </w:tc>
        <w:tc>
          <w:tcPr>
            <w:tcW w:w="581" w:type="pct"/>
          </w:tcPr>
          <w:p w:rsidR="00931383" w:rsidRPr="00304514" w:rsidRDefault="00931383" w:rsidP="008E4A48">
            <w:pPr>
              <w:spacing w:before="0" w:after="0"/>
              <w:ind w:left="0" w:right="0"/>
              <w:rPr>
                <w:sz w:val="18"/>
              </w:rPr>
            </w:pPr>
            <w:r w:rsidRPr="00304514">
              <w:rPr>
                <w:sz w:val="18"/>
              </w:rPr>
              <w:t>41</w:t>
            </w:r>
          </w:p>
        </w:tc>
        <w:tc>
          <w:tcPr>
            <w:tcW w:w="581" w:type="pct"/>
          </w:tcPr>
          <w:p w:rsidR="00931383" w:rsidRPr="00304514" w:rsidRDefault="00931383" w:rsidP="008E4A48">
            <w:pPr>
              <w:spacing w:before="0" w:after="0"/>
              <w:ind w:left="0" w:right="0"/>
              <w:rPr>
                <w:sz w:val="18"/>
              </w:rPr>
            </w:pPr>
            <w:r w:rsidRPr="00304514">
              <w:rPr>
                <w:sz w:val="18"/>
              </w:rPr>
              <w:t>0.2</w:t>
            </w:r>
          </w:p>
        </w:tc>
      </w:tr>
      <w:tr w:rsidR="00226C55" w:rsidRPr="00304514" w:rsidTr="00526DBA">
        <w:trPr>
          <w:trHeight w:val="112"/>
        </w:trPr>
        <w:tc>
          <w:tcPr>
            <w:tcW w:w="584" w:type="pct"/>
            <w:vMerge/>
          </w:tcPr>
          <w:p w:rsidR="00931383" w:rsidRPr="00304514" w:rsidRDefault="00931383" w:rsidP="008E4A48">
            <w:pPr>
              <w:spacing w:before="0" w:after="0"/>
              <w:ind w:left="0" w:right="0"/>
              <w:rPr>
                <w:sz w:val="18"/>
              </w:rPr>
            </w:pPr>
          </w:p>
        </w:tc>
        <w:tc>
          <w:tcPr>
            <w:tcW w:w="1003" w:type="pct"/>
            <w:vMerge/>
          </w:tcPr>
          <w:p w:rsidR="00931383" w:rsidRPr="00304514" w:rsidRDefault="00931383" w:rsidP="008E4A48">
            <w:pPr>
              <w:spacing w:before="0" w:after="0"/>
              <w:ind w:left="0" w:right="0"/>
              <w:rPr>
                <w:sz w:val="18"/>
              </w:rPr>
            </w:pPr>
          </w:p>
        </w:tc>
        <w:tc>
          <w:tcPr>
            <w:tcW w:w="582" w:type="pct"/>
            <w:vMerge/>
          </w:tcPr>
          <w:p w:rsidR="00931383" w:rsidRPr="00304514" w:rsidRDefault="00931383" w:rsidP="008E4A48">
            <w:pPr>
              <w:spacing w:before="0" w:after="0"/>
              <w:ind w:left="0" w:right="0"/>
              <w:rPr>
                <w:sz w:val="18"/>
              </w:rPr>
            </w:pPr>
          </w:p>
        </w:tc>
        <w:tc>
          <w:tcPr>
            <w:tcW w:w="654" w:type="pct"/>
          </w:tcPr>
          <w:p w:rsidR="00931383" w:rsidRPr="00304514" w:rsidRDefault="00A66186" w:rsidP="008E4A48">
            <w:pPr>
              <w:spacing w:before="0" w:after="0"/>
              <w:ind w:left="0" w:right="0"/>
              <w:rPr>
                <w:sz w:val="18"/>
              </w:rPr>
            </w:pPr>
            <w:r>
              <w:rPr>
                <w:sz w:val="18"/>
              </w:rPr>
              <w:t>5,000</w:t>
            </w:r>
          </w:p>
        </w:tc>
        <w:tc>
          <w:tcPr>
            <w:tcW w:w="436" w:type="pct"/>
          </w:tcPr>
          <w:p w:rsidR="00931383" w:rsidRPr="00304514" w:rsidRDefault="00931383" w:rsidP="008E4A48">
            <w:pPr>
              <w:spacing w:before="0" w:after="0"/>
              <w:ind w:left="0" w:right="0"/>
              <w:rPr>
                <w:sz w:val="18"/>
              </w:rPr>
            </w:pPr>
            <w:r w:rsidRPr="00304514">
              <w:rPr>
                <w:sz w:val="18"/>
              </w:rPr>
              <w:t>3.7</w:t>
            </w:r>
          </w:p>
        </w:tc>
        <w:tc>
          <w:tcPr>
            <w:tcW w:w="579" w:type="pct"/>
          </w:tcPr>
          <w:p w:rsidR="00931383" w:rsidRPr="00304514" w:rsidRDefault="00931383" w:rsidP="008E4A48">
            <w:pPr>
              <w:spacing w:before="0" w:after="0"/>
              <w:ind w:left="0" w:right="0"/>
              <w:rPr>
                <w:sz w:val="18"/>
              </w:rPr>
            </w:pPr>
            <w:r w:rsidRPr="00304514">
              <w:rPr>
                <w:sz w:val="18"/>
              </w:rPr>
              <w:t>0.3</w:t>
            </w:r>
          </w:p>
        </w:tc>
        <w:tc>
          <w:tcPr>
            <w:tcW w:w="581" w:type="pct"/>
          </w:tcPr>
          <w:p w:rsidR="00931383" w:rsidRPr="00304514" w:rsidRDefault="00931383" w:rsidP="008E4A48">
            <w:pPr>
              <w:spacing w:before="0" w:after="0"/>
              <w:ind w:left="0" w:right="0"/>
              <w:rPr>
                <w:sz w:val="18"/>
              </w:rPr>
            </w:pPr>
            <w:r w:rsidRPr="00304514">
              <w:rPr>
                <w:sz w:val="18"/>
              </w:rPr>
              <w:t>56</w:t>
            </w:r>
          </w:p>
        </w:tc>
        <w:tc>
          <w:tcPr>
            <w:tcW w:w="581" w:type="pct"/>
          </w:tcPr>
          <w:p w:rsidR="00931383" w:rsidRPr="00304514" w:rsidRDefault="00931383" w:rsidP="008E4A48">
            <w:pPr>
              <w:spacing w:before="0" w:after="0"/>
              <w:ind w:left="0" w:right="0"/>
              <w:rPr>
                <w:sz w:val="18"/>
              </w:rPr>
            </w:pPr>
            <w:r w:rsidRPr="00304514">
              <w:rPr>
                <w:sz w:val="18"/>
              </w:rPr>
              <w:t>0.3</w:t>
            </w:r>
          </w:p>
        </w:tc>
      </w:tr>
      <w:tr w:rsidR="00226C55" w:rsidRPr="00304514" w:rsidTr="00526DBA">
        <w:trPr>
          <w:trHeight w:val="191"/>
        </w:trPr>
        <w:tc>
          <w:tcPr>
            <w:tcW w:w="584" w:type="pct"/>
            <w:vMerge w:val="restart"/>
          </w:tcPr>
          <w:p w:rsidR="00931383" w:rsidRPr="00304514" w:rsidRDefault="00931383" w:rsidP="008E4A48">
            <w:pPr>
              <w:spacing w:before="0" w:after="0"/>
              <w:ind w:left="0" w:right="0"/>
              <w:rPr>
                <w:sz w:val="18"/>
              </w:rPr>
            </w:pPr>
            <w:r w:rsidRPr="00304514">
              <w:rPr>
                <w:sz w:val="18"/>
              </w:rPr>
              <w:t>Rat</w:t>
            </w:r>
            <w:r w:rsidR="00304514">
              <w:rPr>
                <w:sz w:val="18"/>
              </w:rPr>
              <w:t xml:space="preserve"> </w:t>
            </w:r>
            <w:r w:rsidRPr="00304514">
              <w:rPr>
                <w:sz w:val="18"/>
              </w:rPr>
              <w:t>(SD)</w:t>
            </w:r>
          </w:p>
        </w:tc>
        <w:tc>
          <w:tcPr>
            <w:tcW w:w="1003" w:type="pct"/>
            <w:vMerge w:val="restart"/>
          </w:tcPr>
          <w:p w:rsidR="00A66186" w:rsidRDefault="00304514" w:rsidP="008E4A48">
            <w:pPr>
              <w:spacing w:before="0" w:after="0"/>
              <w:ind w:left="0" w:right="0"/>
              <w:rPr>
                <w:sz w:val="18"/>
              </w:rPr>
            </w:pPr>
            <w:r>
              <w:rPr>
                <w:sz w:val="18"/>
              </w:rPr>
              <w:t xml:space="preserve">4 weeks </w:t>
            </w:r>
          </w:p>
          <w:p w:rsidR="00931383" w:rsidRPr="00304514" w:rsidRDefault="00304514" w:rsidP="008E4A48">
            <w:pPr>
              <w:spacing w:before="0" w:after="0"/>
              <w:ind w:left="0" w:right="0"/>
              <w:rPr>
                <w:sz w:val="18"/>
              </w:rPr>
            </w:pPr>
            <w:r>
              <w:rPr>
                <w:sz w:val="18"/>
              </w:rPr>
              <w:t>(PCLN-PIRF-118)</w:t>
            </w:r>
          </w:p>
        </w:tc>
        <w:tc>
          <w:tcPr>
            <w:tcW w:w="582" w:type="pct"/>
            <w:vMerge w:val="restart"/>
          </w:tcPr>
          <w:p w:rsidR="00931383" w:rsidRPr="00304514" w:rsidRDefault="00304514" w:rsidP="008E4A48">
            <w:pPr>
              <w:spacing w:before="0" w:after="0"/>
              <w:ind w:left="0" w:right="0"/>
              <w:rPr>
                <w:sz w:val="18"/>
              </w:rPr>
            </w:pPr>
            <w:r>
              <w:rPr>
                <w:sz w:val="18"/>
              </w:rPr>
              <w:t xml:space="preserve">IV </w:t>
            </w:r>
            <w:r w:rsidR="00931383" w:rsidRPr="00304514">
              <w:rPr>
                <w:sz w:val="18"/>
              </w:rPr>
              <w:t>Day 1</w:t>
            </w:r>
          </w:p>
        </w:tc>
        <w:tc>
          <w:tcPr>
            <w:tcW w:w="654" w:type="pct"/>
          </w:tcPr>
          <w:p w:rsidR="00931383" w:rsidRPr="00304514" w:rsidRDefault="00931383" w:rsidP="008E4A48">
            <w:pPr>
              <w:spacing w:before="0" w:after="0"/>
              <w:ind w:left="0" w:right="0"/>
              <w:rPr>
                <w:sz w:val="18"/>
              </w:rPr>
            </w:pPr>
            <w:r w:rsidRPr="00304514">
              <w:rPr>
                <w:sz w:val="18"/>
              </w:rPr>
              <w:t>500</w:t>
            </w:r>
          </w:p>
        </w:tc>
        <w:tc>
          <w:tcPr>
            <w:tcW w:w="436" w:type="pct"/>
          </w:tcPr>
          <w:p w:rsidR="00931383" w:rsidRPr="00304514" w:rsidRDefault="00931383" w:rsidP="008E4A48">
            <w:pPr>
              <w:spacing w:before="0" w:after="0"/>
              <w:ind w:left="0" w:right="0"/>
              <w:rPr>
                <w:sz w:val="18"/>
              </w:rPr>
            </w:pPr>
            <w:r w:rsidRPr="00304514">
              <w:rPr>
                <w:sz w:val="18"/>
              </w:rPr>
              <w:t>13</w:t>
            </w:r>
          </w:p>
        </w:tc>
        <w:tc>
          <w:tcPr>
            <w:tcW w:w="579" w:type="pct"/>
          </w:tcPr>
          <w:p w:rsidR="00931383" w:rsidRPr="00304514" w:rsidRDefault="00931383" w:rsidP="008E4A48">
            <w:pPr>
              <w:spacing w:before="0" w:after="0"/>
              <w:ind w:left="0" w:right="0"/>
              <w:rPr>
                <w:sz w:val="18"/>
              </w:rPr>
            </w:pPr>
            <w:r w:rsidRPr="00304514">
              <w:rPr>
                <w:sz w:val="18"/>
              </w:rPr>
              <w:t>0.9</w:t>
            </w:r>
          </w:p>
        </w:tc>
        <w:tc>
          <w:tcPr>
            <w:tcW w:w="581" w:type="pct"/>
          </w:tcPr>
          <w:p w:rsidR="00931383" w:rsidRPr="00304514" w:rsidRDefault="00931383" w:rsidP="008E4A48">
            <w:pPr>
              <w:spacing w:before="0" w:after="0"/>
              <w:ind w:left="0" w:right="0"/>
              <w:rPr>
                <w:sz w:val="18"/>
              </w:rPr>
            </w:pPr>
            <w:r w:rsidRPr="00304514">
              <w:rPr>
                <w:sz w:val="18"/>
              </w:rPr>
              <w:t>259</w:t>
            </w:r>
          </w:p>
        </w:tc>
        <w:tc>
          <w:tcPr>
            <w:tcW w:w="581" w:type="pct"/>
          </w:tcPr>
          <w:p w:rsidR="00931383" w:rsidRPr="00304514" w:rsidRDefault="00931383" w:rsidP="008E4A48">
            <w:pPr>
              <w:spacing w:before="0" w:after="0"/>
              <w:ind w:left="0" w:right="0"/>
              <w:rPr>
                <w:sz w:val="18"/>
              </w:rPr>
            </w:pPr>
            <w:r w:rsidRPr="00304514">
              <w:rPr>
                <w:sz w:val="18"/>
              </w:rPr>
              <w:t>1.4</w:t>
            </w:r>
          </w:p>
        </w:tc>
      </w:tr>
      <w:tr w:rsidR="00226C55" w:rsidRPr="00304514" w:rsidTr="00526DBA">
        <w:trPr>
          <w:trHeight w:val="179"/>
        </w:trPr>
        <w:tc>
          <w:tcPr>
            <w:tcW w:w="584" w:type="pct"/>
            <w:vMerge/>
          </w:tcPr>
          <w:p w:rsidR="00931383" w:rsidRPr="00304514" w:rsidRDefault="00931383" w:rsidP="008E4A48">
            <w:pPr>
              <w:spacing w:before="0" w:after="0"/>
              <w:ind w:left="0" w:right="0"/>
              <w:rPr>
                <w:sz w:val="18"/>
              </w:rPr>
            </w:pPr>
          </w:p>
        </w:tc>
        <w:tc>
          <w:tcPr>
            <w:tcW w:w="1003" w:type="pct"/>
            <w:vMerge/>
          </w:tcPr>
          <w:p w:rsidR="00931383" w:rsidRPr="00304514" w:rsidRDefault="00931383" w:rsidP="008E4A48">
            <w:pPr>
              <w:spacing w:before="0" w:after="0"/>
              <w:ind w:left="0" w:right="0"/>
              <w:rPr>
                <w:sz w:val="18"/>
              </w:rPr>
            </w:pPr>
          </w:p>
        </w:tc>
        <w:tc>
          <w:tcPr>
            <w:tcW w:w="582" w:type="pct"/>
            <w:vMerge/>
          </w:tcPr>
          <w:p w:rsidR="00931383" w:rsidRPr="00304514" w:rsidRDefault="00931383" w:rsidP="008E4A48">
            <w:pPr>
              <w:spacing w:before="0" w:after="0"/>
              <w:ind w:left="0" w:right="0"/>
              <w:rPr>
                <w:sz w:val="18"/>
              </w:rPr>
            </w:pPr>
          </w:p>
        </w:tc>
        <w:tc>
          <w:tcPr>
            <w:tcW w:w="654" w:type="pct"/>
          </w:tcPr>
          <w:p w:rsidR="00931383" w:rsidRPr="00304514" w:rsidRDefault="00B15BB5" w:rsidP="008E4A48">
            <w:pPr>
              <w:spacing w:before="0" w:after="0"/>
              <w:ind w:left="0" w:right="0"/>
              <w:rPr>
                <w:sz w:val="18"/>
              </w:rPr>
            </w:pPr>
            <w:r>
              <w:rPr>
                <w:sz w:val="18"/>
              </w:rPr>
              <w:t>1,000</w:t>
            </w:r>
          </w:p>
        </w:tc>
        <w:tc>
          <w:tcPr>
            <w:tcW w:w="436" w:type="pct"/>
          </w:tcPr>
          <w:p w:rsidR="00931383" w:rsidRPr="00304514" w:rsidRDefault="00931383" w:rsidP="008E4A48">
            <w:pPr>
              <w:spacing w:before="0" w:after="0"/>
              <w:ind w:left="0" w:right="0"/>
              <w:rPr>
                <w:sz w:val="18"/>
              </w:rPr>
            </w:pPr>
            <w:r w:rsidRPr="00304514">
              <w:rPr>
                <w:sz w:val="18"/>
              </w:rPr>
              <w:t>56</w:t>
            </w:r>
          </w:p>
        </w:tc>
        <w:tc>
          <w:tcPr>
            <w:tcW w:w="579" w:type="pct"/>
          </w:tcPr>
          <w:p w:rsidR="00931383" w:rsidRPr="00304514" w:rsidRDefault="00931383" w:rsidP="008E4A48">
            <w:pPr>
              <w:spacing w:before="0" w:after="0"/>
              <w:ind w:left="0" w:right="0"/>
              <w:rPr>
                <w:sz w:val="18"/>
              </w:rPr>
            </w:pPr>
            <w:r w:rsidRPr="00304514">
              <w:rPr>
                <w:sz w:val="18"/>
              </w:rPr>
              <w:t>3.8</w:t>
            </w:r>
          </w:p>
        </w:tc>
        <w:tc>
          <w:tcPr>
            <w:tcW w:w="581" w:type="pct"/>
          </w:tcPr>
          <w:p w:rsidR="00931383" w:rsidRPr="00304514" w:rsidRDefault="00931383" w:rsidP="008E4A48">
            <w:pPr>
              <w:spacing w:before="0" w:after="0"/>
              <w:ind w:left="0" w:right="0"/>
              <w:rPr>
                <w:sz w:val="18"/>
              </w:rPr>
            </w:pPr>
            <w:r w:rsidRPr="00304514">
              <w:rPr>
                <w:sz w:val="18"/>
              </w:rPr>
              <w:t>820</w:t>
            </w:r>
          </w:p>
        </w:tc>
        <w:tc>
          <w:tcPr>
            <w:tcW w:w="581" w:type="pct"/>
          </w:tcPr>
          <w:p w:rsidR="00931383" w:rsidRPr="00304514" w:rsidRDefault="00931383" w:rsidP="008E4A48">
            <w:pPr>
              <w:spacing w:before="0" w:after="0"/>
              <w:ind w:left="0" w:right="0"/>
              <w:rPr>
                <w:sz w:val="18"/>
              </w:rPr>
            </w:pPr>
            <w:r w:rsidRPr="00304514">
              <w:rPr>
                <w:sz w:val="18"/>
              </w:rPr>
              <w:t>4.6</w:t>
            </w:r>
          </w:p>
        </w:tc>
      </w:tr>
      <w:tr w:rsidR="00226C55" w:rsidRPr="00304514" w:rsidTr="00526DBA">
        <w:trPr>
          <w:trHeight w:val="141"/>
        </w:trPr>
        <w:tc>
          <w:tcPr>
            <w:tcW w:w="584" w:type="pct"/>
            <w:vMerge/>
          </w:tcPr>
          <w:p w:rsidR="00931383" w:rsidRPr="00304514" w:rsidRDefault="00931383" w:rsidP="008E4A48">
            <w:pPr>
              <w:spacing w:before="0" w:after="0"/>
              <w:ind w:left="0" w:right="0"/>
              <w:rPr>
                <w:sz w:val="18"/>
              </w:rPr>
            </w:pPr>
          </w:p>
        </w:tc>
        <w:tc>
          <w:tcPr>
            <w:tcW w:w="1003" w:type="pct"/>
            <w:vMerge/>
          </w:tcPr>
          <w:p w:rsidR="00931383" w:rsidRPr="00304514" w:rsidRDefault="00931383" w:rsidP="008E4A48">
            <w:pPr>
              <w:spacing w:before="0" w:after="0"/>
              <w:ind w:left="0" w:right="0"/>
              <w:rPr>
                <w:sz w:val="18"/>
              </w:rPr>
            </w:pPr>
          </w:p>
        </w:tc>
        <w:tc>
          <w:tcPr>
            <w:tcW w:w="582" w:type="pct"/>
            <w:vMerge/>
          </w:tcPr>
          <w:p w:rsidR="00931383" w:rsidRPr="00304514" w:rsidRDefault="00931383" w:rsidP="008E4A48">
            <w:pPr>
              <w:spacing w:before="0" w:after="0"/>
              <w:ind w:left="0" w:right="0"/>
              <w:rPr>
                <w:sz w:val="18"/>
              </w:rPr>
            </w:pPr>
          </w:p>
        </w:tc>
        <w:tc>
          <w:tcPr>
            <w:tcW w:w="654" w:type="pct"/>
          </w:tcPr>
          <w:p w:rsidR="00931383" w:rsidRPr="00304514" w:rsidRDefault="00931383" w:rsidP="008E4A48">
            <w:pPr>
              <w:spacing w:before="0" w:after="0"/>
              <w:ind w:left="0" w:right="0"/>
              <w:rPr>
                <w:sz w:val="18"/>
              </w:rPr>
            </w:pPr>
            <w:r w:rsidRPr="00304514">
              <w:rPr>
                <w:sz w:val="18"/>
              </w:rPr>
              <w:t>1</w:t>
            </w:r>
            <w:r w:rsidR="00A66186">
              <w:rPr>
                <w:sz w:val="18"/>
              </w:rPr>
              <w:t>,</w:t>
            </w:r>
            <w:r w:rsidRPr="00304514">
              <w:rPr>
                <w:sz w:val="18"/>
              </w:rPr>
              <w:t>625</w:t>
            </w:r>
          </w:p>
        </w:tc>
        <w:tc>
          <w:tcPr>
            <w:tcW w:w="436" w:type="pct"/>
          </w:tcPr>
          <w:p w:rsidR="00931383" w:rsidRPr="00304514" w:rsidRDefault="00931383" w:rsidP="008E4A48">
            <w:pPr>
              <w:spacing w:before="0" w:after="0"/>
              <w:ind w:left="0" w:right="0"/>
              <w:rPr>
                <w:sz w:val="18"/>
              </w:rPr>
            </w:pPr>
            <w:r w:rsidRPr="00304514">
              <w:rPr>
                <w:sz w:val="18"/>
              </w:rPr>
              <w:t>96</w:t>
            </w:r>
          </w:p>
        </w:tc>
        <w:tc>
          <w:tcPr>
            <w:tcW w:w="579" w:type="pct"/>
          </w:tcPr>
          <w:p w:rsidR="00931383" w:rsidRPr="00304514" w:rsidRDefault="00931383" w:rsidP="008E4A48">
            <w:pPr>
              <w:spacing w:before="0" w:after="0"/>
              <w:ind w:left="0" w:right="0"/>
              <w:rPr>
                <w:sz w:val="18"/>
              </w:rPr>
            </w:pPr>
            <w:r w:rsidRPr="00304514">
              <w:rPr>
                <w:sz w:val="18"/>
              </w:rPr>
              <w:t>6.5</w:t>
            </w:r>
          </w:p>
        </w:tc>
        <w:tc>
          <w:tcPr>
            <w:tcW w:w="581" w:type="pct"/>
          </w:tcPr>
          <w:p w:rsidR="00931383" w:rsidRPr="00304514" w:rsidRDefault="00931383" w:rsidP="008E4A48">
            <w:pPr>
              <w:spacing w:before="0" w:after="0"/>
              <w:ind w:left="0" w:right="0"/>
              <w:rPr>
                <w:sz w:val="18"/>
              </w:rPr>
            </w:pPr>
            <w:r w:rsidRPr="00304514">
              <w:rPr>
                <w:sz w:val="18"/>
              </w:rPr>
              <w:t>1456</w:t>
            </w:r>
          </w:p>
        </w:tc>
        <w:tc>
          <w:tcPr>
            <w:tcW w:w="581" w:type="pct"/>
          </w:tcPr>
          <w:p w:rsidR="00931383" w:rsidRPr="00304514" w:rsidRDefault="00931383" w:rsidP="008E4A48">
            <w:pPr>
              <w:spacing w:before="0" w:after="0"/>
              <w:ind w:left="0" w:right="0"/>
              <w:rPr>
                <w:sz w:val="18"/>
              </w:rPr>
            </w:pPr>
            <w:r w:rsidRPr="00304514">
              <w:rPr>
                <w:sz w:val="18"/>
              </w:rPr>
              <w:t>8.1</w:t>
            </w:r>
          </w:p>
        </w:tc>
      </w:tr>
      <w:tr w:rsidR="00226C55" w:rsidRPr="00304514" w:rsidTr="00526DBA">
        <w:trPr>
          <w:trHeight w:val="141"/>
        </w:trPr>
        <w:tc>
          <w:tcPr>
            <w:tcW w:w="584" w:type="pct"/>
            <w:vMerge/>
          </w:tcPr>
          <w:p w:rsidR="00931383" w:rsidRPr="00304514" w:rsidRDefault="00931383" w:rsidP="008E4A48">
            <w:pPr>
              <w:spacing w:before="0" w:after="0"/>
              <w:ind w:left="0" w:right="0"/>
              <w:rPr>
                <w:sz w:val="18"/>
              </w:rPr>
            </w:pPr>
          </w:p>
        </w:tc>
        <w:tc>
          <w:tcPr>
            <w:tcW w:w="1003" w:type="pct"/>
            <w:vMerge w:val="restart"/>
          </w:tcPr>
          <w:p w:rsidR="00A66186" w:rsidRDefault="00304514" w:rsidP="008E4A48">
            <w:pPr>
              <w:spacing w:before="0" w:after="0"/>
              <w:ind w:left="0" w:right="0"/>
              <w:rPr>
                <w:sz w:val="18"/>
              </w:rPr>
            </w:pPr>
            <w:r>
              <w:rPr>
                <w:sz w:val="18"/>
              </w:rPr>
              <w:t xml:space="preserve">6 months </w:t>
            </w:r>
          </w:p>
          <w:p w:rsidR="00931383" w:rsidRPr="00304514" w:rsidRDefault="00304514" w:rsidP="008E4A48">
            <w:pPr>
              <w:spacing w:before="0" w:after="0"/>
              <w:ind w:left="0" w:right="0"/>
              <w:rPr>
                <w:sz w:val="18"/>
              </w:rPr>
            </w:pPr>
            <w:r>
              <w:rPr>
                <w:sz w:val="18"/>
              </w:rPr>
              <w:t xml:space="preserve">(PCLN-PIRF-073) </w:t>
            </w:r>
            <w:r w:rsidR="00931383" w:rsidRPr="00304514">
              <w:rPr>
                <w:sz w:val="18"/>
              </w:rPr>
              <w:t>(pivotal)</w:t>
            </w:r>
          </w:p>
        </w:tc>
        <w:tc>
          <w:tcPr>
            <w:tcW w:w="582" w:type="pct"/>
            <w:vMerge w:val="restart"/>
          </w:tcPr>
          <w:p w:rsidR="00931383" w:rsidRPr="00304514" w:rsidRDefault="00304514" w:rsidP="008E4A48">
            <w:pPr>
              <w:spacing w:before="0" w:after="0"/>
              <w:ind w:left="0" w:right="0"/>
              <w:rPr>
                <w:sz w:val="18"/>
              </w:rPr>
            </w:pPr>
            <w:r>
              <w:rPr>
                <w:sz w:val="18"/>
              </w:rPr>
              <w:t xml:space="preserve">PO (gavage) </w:t>
            </w:r>
            <w:r w:rsidR="00931383" w:rsidRPr="00304514">
              <w:rPr>
                <w:sz w:val="18"/>
              </w:rPr>
              <w:t>Week 26</w:t>
            </w:r>
          </w:p>
        </w:tc>
        <w:tc>
          <w:tcPr>
            <w:tcW w:w="654" w:type="pct"/>
          </w:tcPr>
          <w:p w:rsidR="00931383" w:rsidRPr="00304514" w:rsidRDefault="00931383" w:rsidP="008E4A48">
            <w:pPr>
              <w:spacing w:before="0" w:after="0"/>
              <w:ind w:left="0" w:right="0"/>
              <w:rPr>
                <w:sz w:val="18"/>
              </w:rPr>
            </w:pPr>
            <w:r w:rsidRPr="00304514">
              <w:rPr>
                <w:sz w:val="18"/>
              </w:rPr>
              <w:t>20</w:t>
            </w:r>
          </w:p>
        </w:tc>
        <w:tc>
          <w:tcPr>
            <w:tcW w:w="436" w:type="pct"/>
          </w:tcPr>
          <w:p w:rsidR="00931383" w:rsidRPr="00304514" w:rsidRDefault="00931383" w:rsidP="008E4A48">
            <w:pPr>
              <w:spacing w:before="0" w:after="0"/>
              <w:ind w:left="0" w:right="0"/>
              <w:rPr>
                <w:sz w:val="18"/>
              </w:rPr>
            </w:pPr>
            <w:r w:rsidRPr="00304514">
              <w:rPr>
                <w:sz w:val="18"/>
              </w:rPr>
              <w:t>6.1</w:t>
            </w:r>
          </w:p>
        </w:tc>
        <w:tc>
          <w:tcPr>
            <w:tcW w:w="579" w:type="pct"/>
          </w:tcPr>
          <w:p w:rsidR="00931383" w:rsidRPr="00304514" w:rsidRDefault="00931383" w:rsidP="008E4A48">
            <w:pPr>
              <w:spacing w:before="0" w:after="0"/>
              <w:ind w:left="0" w:right="0"/>
              <w:rPr>
                <w:sz w:val="18"/>
              </w:rPr>
            </w:pPr>
            <w:r w:rsidRPr="00304514">
              <w:rPr>
                <w:sz w:val="18"/>
              </w:rPr>
              <w:t>0.4</w:t>
            </w:r>
          </w:p>
        </w:tc>
        <w:tc>
          <w:tcPr>
            <w:tcW w:w="581" w:type="pct"/>
          </w:tcPr>
          <w:p w:rsidR="00931383" w:rsidRPr="00304514" w:rsidRDefault="00931383" w:rsidP="008E4A48">
            <w:pPr>
              <w:spacing w:before="0" w:after="0"/>
              <w:ind w:left="0" w:right="0"/>
              <w:rPr>
                <w:sz w:val="18"/>
              </w:rPr>
            </w:pPr>
            <w:r w:rsidRPr="00304514">
              <w:rPr>
                <w:sz w:val="18"/>
              </w:rPr>
              <w:t>19</w:t>
            </w:r>
          </w:p>
        </w:tc>
        <w:tc>
          <w:tcPr>
            <w:tcW w:w="581" w:type="pct"/>
          </w:tcPr>
          <w:p w:rsidR="00931383" w:rsidRPr="00304514" w:rsidRDefault="00931383" w:rsidP="008E4A48">
            <w:pPr>
              <w:spacing w:before="0" w:after="0"/>
              <w:ind w:left="0" w:right="0"/>
              <w:rPr>
                <w:sz w:val="18"/>
              </w:rPr>
            </w:pPr>
            <w:r w:rsidRPr="00304514">
              <w:rPr>
                <w:sz w:val="18"/>
              </w:rPr>
              <w:t>0.1</w:t>
            </w:r>
          </w:p>
        </w:tc>
      </w:tr>
      <w:tr w:rsidR="00226C55" w:rsidRPr="00304514" w:rsidTr="00526DBA">
        <w:trPr>
          <w:trHeight w:val="142"/>
        </w:trPr>
        <w:tc>
          <w:tcPr>
            <w:tcW w:w="584" w:type="pct"/>
            <w:vMerge/>
          </w:tcPr>
          <w:p w:rsidR="00931383" w:rsidRPr="00304514" w:rsidRDefault="00931383" w:rsidP="008E4A48">
            <w:pPr>
              <w:spacing w:before="0" w:after="0"/>
              <w:ind w:left="0" w:right="0"/>
              <w:rPr>
                <w:sz w:val="18"/>
              </w:rPr>
            </w:pPr>
          </w:p>
        </w:tc>
        <w:tc>
          <w:tcPr>
            <w:tcW w:w="1003" w:type="pct"/>
            <w:vMerge/>
          </w:tcPr>
          <w:p w:rsidR="00931383" w:rsidRPr="00304514" w:rsidRDefault="00931383" w:rsidP="008E4A48">
            <w:pPr>
              <w:spacing w:before="0" w:after="0"/>
              <w:ind w:left="0" w:right="0"/>
              <w:rPr>
                <w:sz w:val="18"/>
              </w:rPr>
            </w:pPr>
          </w:p>
        </w:tc>
        <w:tc>
          <w:tcPr>
            <w:tcW w:w="582" w:type="pct"/>
            <w:vMerge/>
          </w:tcPr>
          <w:p w:rsidR="00931383" w:rsidRPr="00304514" w:rsidRDefault="00931383" w:rsidP="008E4A48">
            <w:pPr>
              <w:spacing w:before="0" w:after="0"/>
              <w:ind w:left="0" w:right="0"/>
              <w:rPr>
                <w:sz w:val="18"/>
              </w:rPr>
            </w:pPr>
          </w:p>
        </w:tc>
        <w:tc>
          <w:tcPr>
            <w:tcW w:w="654" w:type="pct"/>
          </w:tcPr>
          <w:p w:rsidR="00931383" w:rsidRPr="00304514" w:rsidRDefault="00931383" w:rsidP="008E4A48">
            <w:pPr>
              <w:spacing w:before="0" w:after="0"/>
              <w:ind w:left="0" w:right="0"/>
              <w:rPr>
                <w:sz w:val="18"/>
              </w:rPr>
            </w:pPr>
            <w:r w:rsidRPr="00304514">
              <w:rPr>
                <w:sz w:val="18"/>
              </w:rPr>
              <w:t>100</w:t>
            </w:r>
          </w:p>
        </w:tc>
        <w:tc>
          <w:tcPr>
            <w:tcW w:w="436" w:type="pct"/>
          </w:tcPr>
          <w:p w:rsidR="00931383" w:rsidRPr="00304514" w:rsidRDefault="00931383" w:rsidP="008E4A48">
            <w:pPr>
              <w:spacing w:before="0" w:after="0"/>
              <w:ind w:left="0" w:right="0"/>
              <w:rPr>
                <w:sz w:val="18"/>
              </w:rPr>
            </w:pPr>
            <w:r w:rsidRPr="00304514">
              <w:rPr>
                <w:sz w:val="18"/>
              </w:rPr>
              <w:t>15</w:t>
            </w:r>
          </w:p>
        </w:tc>
        <w:tc>
          <w:tcPr>
            <w:tcW w:w="579" w:type="pct"/>
          </w:tcPr>
          <w:p w:rsidR="00931383" w:rsidRPr="00304514" w:rsidRDefault="00931383" w:rsidP="008E4A48">
            <w:pPr>
              <w:spacing w:before="0" w:after="0"/>
              <w:ind w:left="0" w:right="0"/>
              <w:rPr>
                <w:sz w:val="18"/>
              </w:rPr>
            </w:pPr>
            <w:r w:rsidRPr="00304514">
              <w:rPr>
                <w:sz w:val="18"/>
              </w:rPr>
              <w:t>1.0</w:t>
            </w:r>
          </w:p>
        </w:tc>
        <w:tc>
          <w:tcPr>
            <w:tcW w:w="581" w:type="pct"/>
          </w:tcPr>
          <w:p w:rsidR="00931383" w:rsidRPr="00304514" w:rsidRDefault="00931383" w:rsidP="008E4A48">
            <w:pPr>
              <w:spacing w:before="0" w:after="0"/>
              <w:ind w:left="0" w:right="0"/>
              <w:rPr>
                <w:sz w:val="18"/>
              </w:rPr>
            </w:pPr>
            <w:r w:rsidRPr="00304514">
              <w:rPr>
                <w:sz w:val="18"/>
              </w:rPr>
              <w:t>105</w:t>
            </w:r>
          </w:p>
        </w:tc>
        <w:tc>
          <w:tcPr>
            <w:tcW w:w="581" w:type="pct"/>
          </w:tcPr>
          <w:p w:rsidR="00931383" w:rsidRPr="00304514" w:rsidRDefault="00931383" w:rsidP="008E4A48">
            <w:pPr>
              <w:spacing w:before="0" w:after="0"/>
              <w:ind w:left="0" w:right="0"/>
              <w:rPr>
                <w:sz w:val="18"/>
              </w:rPr>
            </w:pPr>
            <w:r w:rsidRPr="00304514">
              <w:rPr>
                <w:sz w:val="18"/>
              </w:rPr>
              <w:t>0.6</w:t>
            </w:r>
          </w:p>
        </w:tc>
      </w:tr>
      <w:tr w:rsidR="00226C55" w:rsidRPr="00304514" w:rsidTr="00526DBA">
        <w:trPr>
          <w:trHeight w:val="132"/>
        </w:trPr>
        <w:tc>
          <w:tcPr>
            <w:tcW w:w="584" w:type="pct"/>
            <w:vMerge/>
          </w:tcPr>
          <w:p w:rsidR="00931383" w:rsidRPr="00304514" w:rsidRDefault="00931383" w:rsidP="008E4A48">
            <w:pPr>
              <w:spacing w:before="0" w:after="0"/>
              <w:ind w:left="0" w:right="0"/>
              <w:rPr>
                <w:sz w:val="18"/>
              </w:rPr>
            </w:pPr>
          </w:p>
        </w:tc>
        <w:tc>
          <w:tcPr>
            <w:tcW w:w="1003" w:type="pct"/>
            <w:vMerge/>
          </w:tcPr>
          <w:p w:rsidR="00931383" w:rsidRPr="00304514" w:rsidRDefault="00931383" w:rsidP="008E4A48">
            <w:pPr>
              <w:spacing w:before="0" w:after="0"/>
              <w:ind w:left="0" w:right="0"/>
              <w:rPr>
                <w:sz w:val="18"/>
              </w:rPr>
            </w:pPr>
          </w:p>
        </w:tc>
        <w:tc>
          <w:tcPr>
            <w:tcW w:w="582" w:type="pct"/>
            <w:vMerge/>
          </w:tcPr>
          <w:p w:rsidR="00931383" w:rsidRPr="00304514" w:rsidRDefault="00931383" w:rsidP="008E4A48">
            <w:pPr>
              <w:spacing w:before="0" w:after="0"/>
              <w:ind w:left="0" w:right="0"/>
              <w:rPr>
                <w:sz w:val="18"/>
              </w:rPr>
            </w:pPr>
          </w:p>
        </w:tc>
        <w:tc>
          <w:tcPr>
            <w:tcW w:w="654" w:type="pct"/>
          </w:tcPr>
          <w:p w:rsidR="00931383" w:rsidRPr="00304514" w:rsidRDefault="00931383" w:rsidP="008E4A48">
            <w:pPr>
              <w:spacing w:before="0" w:after="0"/>
              <w:ind w:left="0" w:right="0"/>
              <w:rPr>
                <w:sz w:val="18"/>
              </w:rPr>
            </w:pPr>
            <w:r w:rsidRPr="00304514">
              <w:rPr>
                <w:sz w:val="18"/>
              </w:rPr>
              <w:t>500</w:t>
            </w:r>
          </w:p>
        </w:tc>
        <w:tc>
          <w:tcPr>
            <w:tcW w:w="436" w:type="pct"/>
          </w:tcPr>
          <w:p w:rsidR="00931383" w:rsidRPr="00304514" w:rsidRDefault="00931383" w:rsidP="008E4A48">
            <w:pPr>
              <w:spacing w:before="0" w:after="0"/>
              <w:ind w:left="0" w:right="0"/>
              <w:rPr>
                <w:sz w:val="18"/>
              </w:rPr>
            </w:pPr>
            <w:r w:rsidRPr="00304514">
              <w:rPr>
                <w:sz w:val="18"/>
              </w:rPr>
              <w:t>48</w:t>
            </w:r>
          </w:p>
        </w:tc>
        <w:tc>
          <w:tcPr>
            <w:tcW w:w="579" w:type="pct"/>
          </w:tcPr>
          <w:p w:rsidR="00931383" w:rsidRPr="00304514" w:rsidRDefault="00931383" w:rsidP="008E4A48">
            <w:pPr>
              <w:spacing w:before="0" w:after="0"/>
              <w:ind w:left="0" w:right="0"/>
              <w:rPr>
                <w:sz w:val="18"/>
              </w:rPr>
            </w:pPr>
            <w:r w:rsidRPr="00304514">
              <w:rPr>
                <w:sz w:val="18"/>
              </w:rPr>
              <w:t>3.3</w:t>
            </w:r>
          </w:p>
        </w:tc>
        <w:tc>
          <w:tcPr>
            <w:tcW w:w="581" w:type="pct"/>
          </w:tcPr>
          <w:p w:rsidR="00931383" w:rsidRPr="00304514" w:rsidRDefault="00931383" w:rsidP="008E4A48">
            <w:pPr>
              <w:spacing w:before="0" w:after="0"/>
              <w:ind w:left="0" w:right="0"/>
              <w:rPr>
                <w:sz w:val="18"/>
              </w:rPr>
            </w:pPr>
            <w:r w:rsidRPr="00304514">
              <w:rPr>
                <w:sz w:val="18"/>
              </w:rPr>
              <w:t>183</w:t>
            </w:r>
          </w:p>
        </w:tc>
        <w:tc>
          <w:tcPr>
            <w:tcW w:w="581" w:type="pct"/>
          </w:tcPr>
          <w:p w:rsidR="00931383" w:rsidRPr="00304514" w:rsidRDefault="00931383" w:rsidP="008E4A48">
            <w:pPr>
              <w:spacing w:before="0" w:after="0"/>
              <w:ind w:left="0" w:right="0"/>
              <w:rPr>
                <w:sz w:val="18"/>
              </w:rPr>
            </w:pPr>
            <w:r w:rsidRPr="00304514">
              <w:rPr>
                <w:sz w:val="18"/>
              </w:rPr>
              <w:t>1.0</w:t>
            </w:r>
          </w:p>
        </w:tc>
      </w:tr>
      <w:tr w:rsidR="00226C55" w:rsidRPr="00304514" w:rsidTr="00526DBA">
        <w:trPr>
          <w:trHeight w:val="232"/>
        </w:trPr>
        <w:tc>
          <w:tcPr>
            <w:tcW w:w="584" w:type="pct"/>
            <w:vMerge/>
          </w:tcPr>
          <w:p w:rsidR="00931383" w:rsidRPr="00304514" w:rsidRDefault="00931383" w:rsidP="008E4A48">
            <w:pPr>
              <w:spacing w:before="0" w:after="0"/>
              <w:ind w:left="0" w:right="0"/>
              <w:rPr>
                <w:sz w:val="18"/>
              </w:rPr>
            </w:pPr>
          </w:p>
        </w:tc>
        <w:tc>
          <w:tcPr>
            <w:tcW w:w="1003" w:type="pct"/>
            <w:vMerge/>
          </w:tcPr>
          <w:p w:rsidR="00931383" w:rsidRPr="00304514" w:rsidRDefault="00931383" w:rsidP="008E4A48">
            <w:pPr>
              <w:spacing w:before="0" w:after="0"/>
              <w:ind w:left="0" w:right="0"/>
              <w:rPr>
                <w:sz w:val="18"/>
              </w:rPr>
            </w:pPr>
          </w:p>
        </w:tc>
        <w:tc>
          <w:tcPr>
            <w:tcW w:w="582" w:type="pct"/>
            <w:vMerge/>
          </w:tcPr>
          <w:p w:rsidR="00931383" w:rsidRPr="00304514" w:rsidRDefault="00931383" w:rsidP="008E4A48">
            <w:pPr>
              <w:spacing w:before="0" w:after="0"/>
              <w:ind w:left="0" w:right="0"/>
              <w:rPr>
                <w:sz w:val="18"/>
              </w:rPr>
            </w:pPr>
          </w:p>
        </w:tc>
        <w:tc>
          <w:tcPr>
            <w:tcW w:w="654" w:type="pct"/>
          </w:tcPr>
          <w:p w:rsidR="00931383" w:rsidRPr="00304514" w:rsidRDefault="00B15BB5" w:rsidP="008E4A48">
            <w:pPr>
              <w:spacing w:before="0" w:after="0"/>
              <w:ind w:left="0" w:right="0"/>
              <w:rPr>
                <w:sz w:val="18"/>
              </w:rPr>
            </w:pPr>
            <w:r>
              <w:rPr>
                <w:sz w:val="18"/>
              </w:rPr>
              <w:t>1,000</w:t>
            </w:r>
          </w:p>
        </w:tc>
        <w:tc>
          <w:tcPr>
            <w:tcW w:w="436" w:type="pct"/>
          </w:tcPr>
          <w:p w:rsidR="00931383" w:rsidRPr="00304514" w:rsidRDefault="00931383" w:rsidP="008E4A48">
            <w:pPr>
              <w:spacing w:before="0" w:after="0"/>
              <w:ind w:left="0" w:right="0"/>
              <w:rPr>
                <w:sz w:val="18"/>
              </w:rPr>
            </w:pPr>
            <w:r w:rsidRPr="00304514">
              <w:rPr>
                <w:sz w:val="18"/>
              </w:rPr>
              <w:t>73</w:t>
            </w:r>
          </w:p>
        </w:tc>
        <w:tc>
          <w:tcPr>
            <w:tcW w:w="579" w:type="pct"/>
          </w:tcPr>
          <w:p w:rsidR="00931383" w:rsidRPr="00304514" w:rsidRDefault="00931383" w:rsidP="008E4A48">
            <w:pPr>
              <w:spacing w:before="0" w:after="0"/>
              <w:ind w:left="0" w:right="0"/>
              <w:rPr>
                <w:sz w:val="18"/>
              </w:rPr>
            </w:pPr>
            <w:r w:rsidRPr="00304514">
              <w:rPr>
                <w:sz w:val="18"/>
              </w:rPr>
              <w:t>4.9</w:t>
            </w:r>
          </w:p>
        </w:tc>
        <w:tc>
          <w:tcPr>
            <w:tcW w:w="581" w:type="pct"/>
          </w:tcPr>
          <w:p w:rsidR="00931383" w:rsidRPr="00304514" w:rsidRDefault="00931383" w:rsidP="008E4A48">
            <w:pPr>
              <w:spacing w:before="0" w:after="0"/>
              <w:ind w:left="0" w:right="0"/>
              <w:rPr>
                <w:sz w:val="18"/>
              </w:rPr>
            </w:pPr>
            <w:r w:rsidRPr="00304514">
              <w:rPr>
                <w:sz w:val="18"/>
              </w:rPr>
              <w:t>337</w:t>
            </w:r>
          </w:p>
        </w:tc>
        <w:tc>
          <w:tcPr>
            <w:tcW w:w="581" w:type="pct"/>
          </w:tcPr>
          <w:p w:rsidR="00931383" w:rsidRPr="00304514" w:rsidRDefault="00931383" w:rsidP="008E4A48">
            <w:pPr>
              <w:spacing w:before="0" w:after="0"/>
              <w:ind w:left="0" w:right="0"/>
              <w:rPr>
                <w:sz w:val="18"/>
              </w:rPr>
            </w:pPr>
            <w:r w:rsidRPr="00304514">
              <w:rPr>
                <w:sz w:val="18"/>
              </w:rPr>
              <w:t>1.9</w:t>
            </w:r>
          </w:p>
        </w:tc>
      </w:tr>
      <w:tr w:rsidR="00226C55" w:rsidRPr="00304514" w:rsidTr="00526DBA">
        <w:trPr>
          <w:trHeight w:val="232"/>
        </w:trPr>
        <w:tc>
          <w:tcPr>
            <w:tcW w:w="584" w:type="pct"/>
            <w:vMerge w:val="restart"/>
          </w:tcPr>
          <w:p w:rsidR="00931383" w:rsidRPr="00304514" w:rsidRDefault="00931383" w:rsidP="008E4A48">
            <w:pPr>
              <w:spacing w:before="0" w:after="0"/>
              <w:ind w:left="0" w:right="0"/>
              <w:rPr>
                <w:sz w:val="18"/>
              </w:rPr>
            </w:pPr>
            <w:r w:rsidRPr="00304514">
              <w:rPr>
                <w:sz w:val="18"/>
              </w:rPr>
              <w:t>Rat</w:t>
            </w:r>
            <w:r w:rsidR="00304514">
              <w:rPr>
                <w:sz w:val="18"/>
              </w:rPr>
              <w:t xml:space="preserve"> </w:t>
            </w:r>
            <w:r w:rsidRPr="00304514">
              <w:rPr>
                <w:sz w:val="18"/>
              </w:rPr>
              <w:t>(F344)</w:t>
            </w:r>
          </w:p>
        </w:tc>
        <w:tc>
          <w:tcPr>
            <w:tcW w:w="1003" w:type="pct"/>
            <w:vMerge w:val="restart"/>
          </w:tcPr>
          <w:p w:rsidR="00931383" w:rsidRPr="00304514" w:rsidRDefault="00226C55" w:rsidP="008E4A48">
            <w:pPr>
              <w:spacing w:before="0" w:after="0"/>
              <w:ind w:left="0" w:right="0"/>
              <w:rPr>
                <w:sz w:val="18"/>
              </w:rPr>
            </w:pPr>
            <w:r>
              <w:rPr>
                <w:sz w:val="18"/>
              </w:rPr>
              <w:t xml:space="preserve">3 months </w:t>
            </w:r>
            <w:r w:rsidR="00304514">
              <w:rPr>
                <w:sz w:val="18"/>
              </w:rPr>
              <w:t xml:space="preserve">(NCR014) </w:t>
            </w:r>
            <w:r w:rsidR="00931383" w:rsidRPr="00304514">
              <w:rPr>
                <w:sz w:val="18"/>
              </w:rPr>
              <w:t>(dose range-finding for carcinogenicity)</w:t>
            </w:r>
          </w:p>
        </w:tc>
        <w:tc>
          <w:tcPr>
            <w:tcW w:w="582" w:type="pct"/>
            <w:vMerge w:val="restart"/>
          </w:tcPr>
          <w:p w:rsidR="00931383" w:rsidRPr="00304514" w:rsidRDefault="00304514" w:rsidP="008E4A48">
            <w:pPr>
              <w:spacing w:before="0" w:after="0"/>
              <w:ind w:left="0" w:right="0"/>
              <w:rPr>
                <w:sz w:val="18"/>
              </w:rPr>
            </w:pPr>
            <w:r>
              <w:rPr>
                <w:sz w:val="18"/>
              </w:rPr>
              <w:t xml:space="preserve">PO (diet) </w:t>
            </w:r>
            <w:r w:rsidR="00931383" w:rsidRPr="00304514">
              <w:rPr>
                <w:sz w:val="18"/>
              </w:rPr>
              <w:t>Week 13</w:t>
            </w:r>
          </w:p>
        </w:tc>
        <w:tc>
          <w:tcPr>
            <w:tcW w:w="654" w:type="pct"/>
          </w:tcPr>
          <w:p w:rsidR="00931383" w:rsidRPr="00304514" w:rsidRDefault="00931383" w:rsidP="008E4A48">
            <w:pPr>
              <w:spacing w:before="0" w:after="0"/>
              <w:ind w:left="0" w:right="0"/>
              <w:rPr>
                <w:sz w:val="18"/>
              </w:rPr>
            </w:pPr>
            <w:r w:rsidRPr="00304514">
              <w:rPr>
                <w:sz w:val="18"/>
              </w:rPr>
              <w:t>500</w:t>
            </w:r>
          </w:p>
        </w:tc>
        <w:tc>
          <w:tcPr>
            <w:tcW w:w="436" w:type="pct"/>
          </w:tcPr>
          <w:p w:rsidR="00931383" w:rsidRPr="00304514" w:rsidRDefault="00931383" w:rsidP="008E4A48">
            <w:pPr>
              <w:spacing w:before="0" w:after="0"/>
              <w:ind w:left="0" w:right="0"/>
              <w:rPr>
                <w:sz w:val="18"/>
              </w:rPr>
            </w:pPr>
            <w:r w:rsidRPr="00304514">
              <w:rPr>
                <w:sz w:val="18"/>
              </w:rPr>
              <w:t>4.8</w:t>
            </w:r>
          </w:p>
        </w:tc>
        <w:tc>
          <w:tcPr>
            <w:tcW w:w="579" w:type="pct"/>
          </w:tcPr>
          <w:p w:rsidR="00931383" w:rsidRPr="00304514" w:rsidRDefault="00931383" w:rsidP="008E4A48">
            <w:pPr>
              <w:spacing w:before="0" w:after="0"/>
              <w:ind w:left="0" w:right="0"/>
              <w:rPr>
                <w:sz w:val="18"/>
              </w:rPr>
            </w:pPr>
            <w:r w:rsidRPr="00304514">
              <w:rPr>
                <w:sz w:val="18"/>
              </w:rPr>
              <w:t>0.3</w:t>
            </w:r>
          </w:p>
        </w:tc>
        <w:tc>
          <w:tcPr>
            <w:tcW w:w="581" w:type="pct"/>
          </w:tcPr>
          <w:p w:rsidR="00931383" w:rsidRPr="00304514" w:rsidRDefault="00931383" w:rsidP="008E4A48">
            <w:pPr>
              <w:spacing w:before="0" w:after="0"/>
              <w:ind w:left="0" w:right="0"/>
              <w:rPr>
                <w:sz w:val="18"/>
              </w:rPr>
            </w:pPr>
            <w:r w:rsidRPr="00304514">
              <w:rPr>
                <w:sz w:val="18"/>
              </w:rPr>
              <w:t>70</w:t>
            </w:r>
          </w:p>
        </w:tc>
        <w:tc>
          <w:tcPr>
            <w:tcW w:w="581" w:type="pct"/>
          </w:tcPr>
          <w:p w:rsidR="00931383" w:rsidRPr="00304514" w:rsidRDefault="00931383" w:rsidP="008E4A48">
            <w:pPr>
              <w:spacing w:before="0" w:after="0"/>
              <w:ind w:left="0" w:right="0"/>
              <w:rPr>
                <w:sz w:val="18"/>
              </w:rPr>
            </w:pPr>
            <w:r w:rsidRPr="00304514">
              <w:rPr>
                <w:sz w:val="18"/>
              </w:rPr>
              <w:t>0.4</w:t>
            </w:r>
          </w:p>
        </w:tc>
      </w:tr>
      <w:tr w:rsidR="00226C55" w:rsidRPr="00304514" w:rsidTr="00526DBA">
        <w:trPr>
          <w:trHeight w:val="232"/>
        </w:trPr>
        <w:tc>
          <w:tcPr>
            <w:tcW w:w="584" w:type="pct"/>
            <w:vMerge/>
          </w:tcPr>
          <w:p w:rsidR="00931383" w:rsidRPr="00304514" w:rsidRDefault="00931383" w:rsidP="008E4A48">
            <w:pPr>
              <w:spacing w:before="0" w:after="0"/>
              <w:ind w:left="0" w:right="0"/>
              <w:rPr>
                <w:sz w:val="18"/>
              </w:rPr>
            </w:pPr>
          </w:p>
        </w:tc>
        <w:tc>
          <w:tcPr>
            <w:tcW w:w="1003" w:type="pct"/>
            <w:vMerge/>
          </w:tcPr>
          <w:p w:rsidR="00931383" w:rsidRPr="00304514" w:rsidRDefault="00931383" w:rsidP="008E4A48">
            <w:pPr>
              <w:spacing w:before="0" w:after="0"/>
              <w:ind w:left="0" w:right="0"/>
              <w:rPr>
                <w:sz w:val="18"/>
              </w:rPr>
            </w:pPr>
          </w:p>
        </w:tc>
        <w:tc>
          <w:tcPr>
            <w:tcW w:w="582" w:type="pct"/>
            <w:vMerge/>
          </w:tcPr>
          <w:p w:rsidR="00931383" w:rsidRPr="00304514" w:rsidRDefault="00931383" w:rsidP="008E4A48">
            <w:pPr>
              <w:spacing w:before="0" w:after="0"/>
              <w:ind w:left="0" w:right="0"/>
              <w:rPr>
                <w:sz w:val="18"/>
              </w:rPr>
            </w:pPr>
          </w:p>
        </w:tc>
        <w:tc>
          <w:tcPr>
            <w:tcW w:w="654" w:type="pct"/>
          </w:tcPr>
          <w:p w:rsidR="00931383" w:rsidRPr="00304514" w:rsidRDefault="00B15BB5" w:rsidP="008E4A48">
            <w:pPr>
              <w:spacing w:before="0" w:after="0"/>
              <w:ind w:left="0" w:right="0"/>
              <w:rPr>
                <w:sz w:val="18"/>
              </w:rPr>
            </w:pPr>
            <w:r>
              <w:rPr>
                <w:sz w:val="18"/>
              </w:rPr>
              <w:t>1,000</w:t>
            </w:r>
          </w:p>
        </w:tc>
        <w:tc>
          <w:tcPr>
            <w:tcW w:w="436" w:type="pct"/>
          </w:tcPr>
          <w:p w:rsidR="00931383" w:rsidRPr="00304514" w:rsidRDefault="00931383" w:rsidP="008E4A48">
            <w:pPr>
              <w:spacing w:before="0" w:after="0"/>
              <w:ind w:left="0" w:right="0"/>
              <w:rPr>
                <w:sz w:val="18"/>
              </w:rPr>
            </w:pPr>
            <w:r w:rsidRPr="00304514">
              <w:rPr>
                <w:sz w:val="18"/>
              </w:rPr>
              <w:t>9.3</w:t>
            </w:r>
          </w:p>
        </w:tc>
        <w:tc>
          <w:tcPr>
            <w:tcW w:w="579" w:type="pct"/>
          </w:tcPr>
          <w:p w:rsidR="00931383" w:rsidRPr="00304514" w:rsidRDefault="00931383" w:rsidP="008E4A48">
            <w:pPr>
              <w:spacing w:before="0" w:after="0"/>
              <w:ind w:left="0" w:right="0"/>
              <w:rPr>
                <w:sz w:val="18"/>
              </w:rPr>
            </w:pPr>
            <w:r w:rsidRPr="00304514">
              <w:rPr>
                <w:sz w:val="18"/>
              </w:rPr>
              <w:t>0.6</w:t>
            </w:r>
          </w:p>
        </w:tc>
        <w:tc>
          <w:tcPr>
            <w:tcW w:w="581" w:type="pct"/>
          </w:tcPr>
          <w:p w:rsidR="00931383" w:rsidRPr="00304514" w:rsidRDefault="00931383" w:rsidP="008E4A48">
            <w:pPr>
              <w:spacing w:before="0" w:after="0"/>
              <w:ind w:left="0" w:right="0"/>
              <w:rPr>
                <w:sz w:val="18"/>
              </w:rPr>
            </w:pPr>
            <w:r w:rsidRPr="00304514">
              <w:rPr>
                <w:sz w:val="18"/>
              </w:rPr>
              <w:t>153</w:t>
            </w:r>
          </w:p>
        </w:tc>
        <w:tc>
          <w:tcPr>
            <w:tcW w:w="581" w:type="pct"/>
          </w:tcPr>
          <w:p w:rsidR="00931383" w:rsidRPr="00304514" w:rsidRDefault="00931383" w:rsidP="008E4A48">
            <w:pPr>
              <w:spacing w:before="0" w:after="0"/>
              <w:ind w:left="0" w:right="0"/>
              <w:rPr>
                <w:sz w:val="18"/>
              </w:rPr>
            </w:pPr>
            <w:r w:rsidRPr="00304514">
              <w:rPr>
                <w:sz w:val="18"/>
              </w:rPr>
              <w:t>0.9</w:t>
            </w:r>
          </w:p>
        </w:tc>
      </w:tr>
      <w:tr w:rsidR="00226C55" w:rsidRPr="00304514" w:rsidTr="00526DBA">
        <w:trPr>
          <w:trHeight w:val="232"/>
        </w:trPr>
        <w:tc>
          <w:tcPr>
            <w:tcW w:w="584" w:type="pct"/>
            <w:vMerge/>
          </w:tcPr>
          <w:p w:rsidR="00931383" w:rsidRPr="00304514" w:rsidRDefault="00931383" w:rsidP="008E4A48">
            <w:pPr>
              <w:spacing w:before="0" w:after="0"/>
              <w:ind w:left="0" w:right="0"/>
              <w:rPr>
                <w:sz w:val="18"/>
              </w:rPr>
            </w:pPr>
          </w:p>
        </w:tc>
        <w:tc>
          <w:tcPr>
            <w:tcW w:w="1003" w:type="pct"/>
            <w:vMerge/>
          </w:tcPr>
          <w:p w:rsidR="00931383" w:rsidRPr="00304514" w:rsidRDefault="00931383" w:rsidP="008E4A48">
            <w:pPr>
              <w:spacing w:before="0" w:after="0"/>
              <w:ind w:left="0" w:right="0"/>
              <w:rPr>
                <w:sz w:val="18"/>
              </w:rPr>
            </w:pPr>
          </w:p>
        </w:tc>
        <w:tc>
          <w:tcPr>
            <w:tcW w:w="582" w:type="pct"/>
            <w:vMerge/>
          </w:tcPr>
          <w:p w:rsidR="00931383" w:rsidRPr="00304514" w:rsidRDefault="00931383" w:rsidP="008E4A48">
            <w:pPr>
              <w:spacing w:before="0" w:after="0"/>
              <w:ind w:left="0" w:right="0"/>
              <w:rPr>
                <w:sz w:val="18"/>
              </w:rPr>
            </w:pPr>
          </w:p>
        </w:tc>
        <w:tc>
          <w:tcPr>
            <w:tcW w:w="654" w:type="pct"/>
          </w:tcPr>
          <w:p w:rsidR="00931383" w:rsidRPr="00304514" w:rsidRDefault="00931383" w:rsidP="008E4A48">
            <w:pPr>
              <w:spacing w:before="0" w:after="0"/>
              <w:ind w:left="0" w:right="0"/>
              <w:rPr>
                <w:sz w:val="18"/>
              </w:rPr>
            </w:pPr>
            <w:r w:rsidRPr="00304514">
              <w:rPr>
                <w:sz w:val="18"/>
              </w:rPr>
              <w:t>1</w:t>
            </w:r>
            <w:r w:rsidR="00A66186">
              <w:rPr>
                <w:sz w:val="18"/>
              </w:rPr>
              <w:t>,</w:t>
            </w:r>
            <w:r w:rsidRPr="00304514">
              <w:rPr>
                <w:sz w:val="18"/>
              </w:rPr>
              <w:t>500</w:t>
            </w:r>
          </w:p>
        </w:tc>
        <w:tc>
          <w:tcPr>
            <w:tcW w:w="436" w:type="pct"/>
          </w:tcPr>
          <w:p w:rsidR="00931383" w:rsidRPr="00304514" w:rsidRDefault="00931383" w:rsidP="008E4A48">
            <w:pPr>
              <w:spacing w:before="0" w:after="0"/>
              <w:ind w:left="0" w:right="0"/>
              <w:rPr>
                <w:sz w:val="18"/>
              </w:rPr>
            </w:pPr>
            <w:r w:rsidRPr="00304514">
              <w:rPr>
                <w:sz w:val="18"/>
              </w:rPr>
              <w:t>10.9</w:t>
            </w:r>
          </w:p>
        </w:tc>
        <w:tc>
          <w:tcPr>
            <w:tcW w:w="579" w:type="pct"/>
          </w:tcPr>
          <w:p w:rsidR="00931383" w:rsidRPr="00304514" w:rsidRDefault="00931383" w:rsidP="008E4A48">
            <w:pPr>
              <w:spacing w:before="0" w:after="0"/>
              <w:ind w:left="0" w:right="0"/>
              <w:rPr>
                <w:sz w:val="18"/>
              </w:rPr>
            </w:pPr>
            <w:r w:rsidRPr="00304514">
              <w:rPr>
                <w:sz w:val="18"/>
              </w:rPr>
              <w:t>0.7</w:t>
            </w:r>
          </w:p>
        </w:tc>
        <w:tc>
          <w:tcPr>
            <w:tcW w:w="581" w:type="pct"/>
          </w:tcPr>
          <w:p w:rsidR="00931383" w:rsidRPr="00304514" w:rsidRDefault="00931383" w:rsidP="008E4A48">
            <w:pPr>
              <w:spacing w:before="0" w:after="0"/>
              <w:ind w:left="0" w:right="0"/>
              <w:rPr>
                <w:sz w:val="18"/>
              </w:rPr>
            </w:pPr>
            <w:r w:rsidRPr="00304514">
              <w:rPr>
                <w:sz w:val="18"/>
              </w:rPr>
              <w:t>188</w:t>
            </w:r>
          </w:p>
        </w:tc>
        <w:tc>
          <w:tcPr>
            <w:tcW w:w="581" w:type="pct"/>
          </w:tcPr>
          <w:p w:rsidR="00931383" w:rsidRPr="00304514" w:rsidRDefault="00931383" w:rsidP="008E4A48">
            <w:pPr>
              <w:spacing w:before="0" w:after="0"/>
              <w:ind w:left="0" w:right="0"/>
              <w:rPr>
                <w:sz w:val="18"/>
              </w:rPr>
            </w:pPr>
            <w:r w:rsidRPr="00304514">
              <w:rPr>
                <w:sz w:val="18"/>
              </w:rPr>
              <w:t>1.0</w:t>
            </w:r>
          </w:p>
        </w:tc>
      </w:tr>
      <w:tr w:rsidR="00226C55" w:rsidRPr="00304514" w:rsidTr="00526DBA">
        <w:trPr>
          <w:trHeight w:val="232"/>
        </w:trPr>
        <w:tc>
          <w:tcPr>
            <w:tcW w:w="584" w:type="pct"/>
            <w:vMerge/>
          </w:tcPr>
          <w:p w:rsidR="00931383" w:rsidRPr="00304514" w:rsidRDefault="00931383" w:rsidP="008E4A48">
            <w:pPr>
              <w:spacing w:before="0" w:after="0"/>
              <w:ind w:left="0" w:right="0"/>
              <w:rPr>
                <w:sz w:val="18"/>
              </w:rPr>
            </w:pPr>
          </w:p>
        </w:tc>
        <w:tc>
          <w:tcPr>
            <w:tcW w:w="1003" w:type="pct"/>
            <w:vMerge w:val="restart"/>
          </w:tcPr>
          <w:p w:rsidR="00931383" w:rsidRPr="00304514" w:rsidRDefault="00304514" w:rsidP="008E4A48">
            <w:pPr>
              <w:spacing w:before="0" w:after="0"/>
              <w:ind w:left="0" w:right="0"/>
              <w:rPr>
                <w:sz w:val="18"/>
              </w:rPr>
            </w:pPr>
            <w:r>
              <w:rPr>
                <w:sz w:val="18"/>
              </w:rPr>
              <w:t>2 years (NCR017)</w:t>
            </w:r>
            <w:r w:rsidR="00931383" w:rsidRPr="00304514">
              <w:rPr>
                <w:sz w:val="18"/>
              </w:rPr>
              <w:t xml:space="preserve"> (carcinogenicity) </w:t>
            </w:r>
          </w:p>
        </w:tc>
        <w:tc>
          <w:tcPr>
            <w:tcW w:w="582" w:type="pct"/>
            <w:vMerge w:val="restart"/>
          </w:tcPr>
          <w:p w:rsidR="00931383" w:rsidRPr="00304514" w:rsidRDefault="00304514" w:rsidP="008E4A48">
            <w:pPr>
              <w:spacing w:before="0" w:after="0"/>
              <w:ind w:left="0" w:right="0"/>
              <w:rPr>
                <w:sz w:val="18"/>
              </w:rPr>
            </w:pPr>
            <w:r>
              <w:rPr>
                <w:sz w:val="18"/>
              </w:rPr>
              <w:t>PO (diet)*</w:t>
            </w:r>
          </w:p>
        </w:tc>
        <w:tc>
          <w:tcPr>
            <w:tcW w:w="654" w:type="pct"/>
          </w:tcPr>
          <w:p w:rsidR="00931383" w:rsidRPr="00304514" w:rsidRDefault="00931383" w:rsidP="008E4A48">
            <w:pPr>
              <w:spacing w:before="0" w:after="0"/>
              <w:ind w:left="0" w:right="0"/>
              <w:rPr>
                <w:sz w:val="18"/>
              </w:rPr>
            </w:pPr>
            <w:r w:rsidRPr="00304514">
              <w:rPr>
                <w:sz w:val="18"/>
              </w:rPr>
              <w:t>375</w:t>
            </w:r>
          </w:p>
        </w:tc>
        <w:tc>
          <w:tcPr>
            <w:tcW w:w="436" w:type="pct"/>
          </w:tcPr>
          <w:p w:rsidR="00931383" w:rsidRPr="00304514" w:rsidRDefault="00931383" w:rsidP="008E4A48">
            <w:pPr>
              <w:spacing w:before="0" w:after="0"/>
              <w:ind w:left="0" w:right="0"/>
              <w:rPr>
                <w:sz w:val="18"/>
              </w:rPr>
            </w:pPr>
            <w:r w:rsidRPr="00304514">
              <w:rPr>
                <w:sz w:val="18"/>
              </w:rPr>
              <w:t>3.6</w:t>
            </w:r>
          </w:p>
        </w:tc>
        <w:tc>
          <w:tcPr>
            <w:tcW w:w="579" w:type="pct"/>
          </w:tcPr>
          <w:p w:rsidR="00931383" w:rsidRPr="00304514" w:rsidRDefault="00931383" w:rsidP="008E4A48">
            <w:pPr>
              <w:spacing w:before="0" w:after="0"/>
              <w:ind w:left="0" w:right="0"/>
              <w:rPr>
                <w:sz w:val="18"/>
              </w:rPr>
            </w:pPr>
            <w:r w:rsidRPr="00304514">
              <w:rPr>
                <w:sz w:val="18"/>
              </w:rPr>
              <w:t>0.2</w:t>
            </w:r>
          </w:p>
        </w:tc>
        <w:tc>
          <w:tcPr>
            <w:tcW w:w="581" w:type="pct"/>
          </w:tcPr>
          <w:p w:rsidR="00931383" w:rsidRPr="00304514" w:rsidRDefault="00931383" w:rsidP="008E4A48">
            <w:pPr>
              <w:spacing w:before="0" w:after="0"/>
              <w:ind w:left="0" w:right="0"/>
              <w:rPr>
                <w:sz w:val="18"/>
              </w:rPr>
            </w:pPr>
            <w:r w:rsidRPr="00304514">
              <w:rPr>
                <w:sz w:val="18"/>
              </w:rPr>
              <w:t>53</w:t>
            </w:r>
          </w:p>
        </w:tc>
        <w:tc>
          <w:tcPr>
            <w:tcW w:w="581" w:type="pct"/>
          </w:tcPr>
          <w:p w:rsidR="00931383" w:rsidRPr="00304514" w:rsidRDefault="00931383" w:rsidP="008E4A48">
            <w:pPr>
              <w:spacing w:before="0" w:after="0"/>
              <w:ind w:left="0" w:right="0"/>
              <w:rPr>
                <w:sz w:val="18"/>
              </w:rPr>
            </w:pPr>
            <w:r w:rsidRPr="00304514">
              <w:rPr>
                <w:sz w:val="18"/>
              </w:rPr>
              <w:t>0.3</w:t>
            </w:r>
          </w:p>
        </w:tc>
      </w:tr>
      <w:tr w:rsidR="00226C55" w:rsidRPr="00304514" w:rsidTr="00526DBA">
        <w:trPr>
          <w:trHeight w:val="232"/>
        </w:trPr>
        <w:tc>
          <w:tcPr>
            <w:tcW w:w="584" w:type="pct"/>
            <w:vMerge/>
          </w:tcPr>
          <w:p w:rsidR="00931383" w:rsidRPr="00304514" w:rsidRDefault="00931383" w:rsidP="008E4A48">
            <w:pPr>
              <w:spacing w:before="0" w:after="0"/>
              <w:ind w:left="0" w:right="0"/>
              <w:rPr>
                <w:sz w:val="18"/>
              </w:rPr>
            </w:pPr>
          </w:p>
        </w:tc>
        <w:tc>
          <w:tcPr>
            <w:tcW w:w="1003" w:type="pct"/>
            <w:vMerge/>
          </w:tcPr>
          <w:p w:rsidR="00931383" w:rsidRPr="00304514" w:rsidRDefault="00931383" w:rsidP="008E4A48">
            <w:pPr>
              <w:spacing w:before="0" w:after="0"/>
              <w:ind w:left="0" w:right="0"/>
              <w:rPr>
                <w:sz w:val="18"/>
              </w:rPr>
            </w:pPr>
          </w:p>
        </w:tc>
        <w:tc>
          <w:tcPr>
            <w:tcW w:w="582" w:type="pct"/>
            <w:vMerge/>
          </w:tcPr>
          <w:p w:rsidR="00931383" w:rsidRPr="00304514" w:rsidRDefault="00931383" w:rsidP="008E4A48">
            <w:pPr>
              <w:spacing w:before="0" w:after="0"/>
              <w:ind w:left="0" w:right="0"/>
              <w:rPr>
                <w:sz w:val="18"/>
              </w:rPr>
            </w:pPr>
          </w:p>
        </w:tc>
        <w:tc>
          <w:tcPr>
            <w:tcW w:w="654" w:type="pct"/>
          </w:tcPr>
          <w:p w:rsidR="00931383" w:rsidRPr="00304514" w:rsidRDefault="00931383" w:rsidP="008E4A48">
            <w:pPr>
              <w:spacing w:before="0" w:after="0"/>
              <w:ind w:left="0" w:right="0"/>
              <w:rPr>
                <w:sz w:val="18"/>
              </w:rPr>
            </w:pPr>
            <w:r w:rsidRPr="00304514">
              <w:rPr>
                <w:sz w:val="18"/>
              </w:rPr>
              <w:t>750</w:t>
            </w:r>
          </w:p>
        </w:tc>
        <w:tc>
          <w:tcPr>
            <w:tcW w:w="436" w:type="pct"/>
          </w:tcPr>
          <w:p w:rsidR="00931383" w:rsidRPr="00304514" w:rsidRDefault="00931383" w:rsidP="008E4A48">
            <w:pPr>
              <w:spacing w:before="0" w:after="0"/>
              <w:ind w:left="0" w:right="0"/>
              <w:rPr>
                <w:sz w:val="18"/>
              </w:rPr>
            </w:pPr>
            <w:r w:rsidRPr="00304514">
              <w:rPr>
                <w:sz w:val="18"/>
              </w:rPr>
              <w:t>7.1</w:t>
            </w:r>
          </w:p>
        </w:tc>
        <w:tc>
          <w:tcPr>
            <w:tcW w:w="579" w:type="pct"/>
          </w:tcPr>
          <w:p w:rsidR="00931383" w:rsidRPr="00304514" w:rsidRDefault="00931383" w:rsidP="008E4A48">
            <w:pPr>
              <w:spacing w:before="0" w:after="0"/>
              <w:ind w:left="0" w:right="0"/>
              <w:rPr>
                <w:sz w:val="18"/>
              </w:rPr>
            </w:pPr>
            <w:r w:rsidRPr="00304514">
              <w:rPr>
                <w:sz w:val="18"/>
              </w:rPr>
              <w:t>0.5</w:t>
            </w:r>
          </w:p>
        </w:tc>
        <w:tc>
          <w:tcPr>
            <w:tcW w:w="581" w:type="pct"/>
          </w:tcPr>
          <w:p w:rsidR="00931383" w:rsidRPr="00304514" w:rsidRDefault="00931383" w:rsidP="008E4A48">
            <w:pPr>
              <w:spacing w:before="0" w:after="0"/>
              <w:ind w:left="0" w:right="0"/>
              <w:rPr>
                <w:sz w:val="18"/>
              </w:rPr>
            </w:pPr>
            <w:r w:rsidRPr="00304514">
              <w:rPr>
                <w:sz w:val="18"/>
              </w:rPr>
              <w:t>112</w:t>
            </w:r>
          </w:p>
        </w:tc>
        <w:tc>
          <w:tcPr>
            <w:tcW w:w="581" w:type="pct"/>
          </w:tcPr>
          <w:p w:rsidR="00931383" w:rsidRPr="00304514" w:rsidRDefault="00931383" w:rsidP="008E4A48">
            <w:pPr>
              <w:spacing w:before="0" w:after="0"/>
              <w:ind w:left="0" w:right="0"/>
              <w:rPr>
                <w:sz w:val="18"/>
              </w:rPr>
            </w:pPr>
            <w:r w:rsidRPr="00304514">
              <w:rPr>
                <w:sz w:val="18"/>
              </w:rPr>
              <w:t>0.7</w:t>
            </w:r>
          </w:p>
        </w:tc>
      </w:tr>
      <w:tr w:rsidR="00226C55" w:rsidRPr="00304514" w:rsidTr="00526DBA">
        <w:trPr>
          <w:trHeight w:val="232"/>
        </w:trPr>
        <w:tc>
          <w:tcPr>
            <w:tcW w:w="584" w:type="pct"/>
            <w:vMerge/>
          </w:tcPr>
          <w:p w:rsidR="00931383" w:rsidRPr="00304514" w:rsidRDefault="00931383" w:rsidP="008E4A48">
            <w:pPr>
              <w:spacing w:before="0" w:after="0"/>
              <w:ind w:left="0" w:right="0"/>
              <w:rPr>
                <w:sz w:val="18"/>
              </w:rPr>
            </w:pPr>
          </w:p>
        </w:tc>
        <w:tc>
          <w:tcPr>
            <w:tcW w:w="1003" w:type="pct"/>
            <w:vMerge/>
          </w:tcPr>
          <w:p w:rsidR="00931383" w:rsidRPr="00304514" w:rsidRDefault="00931383" w:rsidP="008E4A48">
            <w:pPr>
              <w:spacing w:before="0" w:after="0"/>
              <w:ind w:left="0" w:right="0"/>
              <w:rPr>
                <w:sz w:val="18"/>
              </w:rPr>
            </w:pPr>
          </w:p>
        </w:tc>
        <w:tc>
          <w:tcPr>
            <w:tcW w:w="582" w:type="pct"/>
            <w:vMerge/>
          </w:tcPr>
          <w:p w:rsidR="00931383" w:rsidRPr="00304514" w:rsidRDefault="00931383" w:rsidP="008E4A48">
            <w:pPr>
              <w:spacing w:before="0" w:after="0"/>
              <w:ind w:left="0" w:right="0"/>
              <w:rPr>
                <w:sz w:val="18"/>
              </w:rPr>
            </w:pPr>
          </w:p>
        </w:tc>
        <w:tc>
          <w:tcPr>
            <w:tcW w:w="654" w:type="pct"/>
          </w:tcPr>
          <w:p w:rsidR="00931383" w:rsidRPr="00304514" w:rsidRDefault="00931383" w:rsidP="008E4A48">
            <w:pPr>
              <w:spacing w:before="0" w:after="0"/>
              <w:ind w:left="0" w:right="0"/>
              <w:rPr>
                <w:sz w:val="18"/>
              </w:rPr>
            </w:pPr>
            <w:r w:rsidRPr="00304514">
              <w:rPr>
                <w:sz w:val="18"/>
              </w:rPr>
              <w:t>1</w:t>
            </w:r>
            <w:r w:rsidR="00A66186">
              <w:rPr>
                <w:sz w:val="18"/>
              </w:rPr>
              <w:t>,</w:t>
            </w:r>
            <w:r w:rsidRPr="00304514">
              <w:rPr>
                <w:sz w:val="18"/>
              </w:rPr>
              <w:t>500</w:t>
            </w:r>
          </w:p>
        </w:tc>
        <w:tc>
          <w:tcPr>
            <w:tcW w:w="436" w:type="pct"/>
          </w:tcPr>
          <w:p w:rsidR="00931383" w:rsidRPr="00304514" w:rsidRDefault="00931383" w:rsidP="008E4A48">
            <w:pPr>
              <w:spacing w:before="0" w:after="0"/>
              <w:ind w:left="0" w:right="0"/>
              <w:rPr>
                <w:sz w:val="18"/>
              </w:rPr>
            </w:pPr>
            <w:r w:rsidRPr="00304514">
              <w:rPr>
                <w:sz w:val="18"/>
              </w:rPr>
              <w:t>10.9</w:t>
            </w:r>
          </w:p>
        </w:tc>
        <w:tc>
          <w:tcPr>
            <w:tcW w:w="579" w:type="pct"/>
          </w:tcPr>
          <w:p w:rsidR="00931383" w:rsidRPr="00304514" w:rsidRDefault="00931383" w:rsidP="008E4A48">
            <w:pPr>
              <w:spacing w:before="0" w:after="0"/>
              <w:ind w:left="0" w:right="0"/>
              <w:rPr>
                <w:sz w:val="18"/>
              </w:rPr>
            </w:pPr>
            <w:r w:rsidRPr="00304514">
              <w:rPr>
                <w:sz w:val="18"/>
              </w:rPr>
              <w:t>0.7</w:t>
            </w:r>
          </w:p>
        </w:tc>
        <w:tc>
          <w:tcPr>
            <w:tcW w:w="581" w:type="pct"/>
          </w:tcPr>
          <w:p w:rsidR="00931383" w:rsidRPr="00304514" w:rsidRDefault="00931383" w:rsidP="008E4A48">
            <w:pPr>
              <w:spacing w:before="0" w:after="0"/>
              <w:ind w:left="0" w:right="0"/>
              <w:rPr>
                <w:sz w:val="18"/>
              </w:rPr>
            </w:pPr>
            <w:r w:rsidRPr="00304514">
              <w:rPr>
                <w:sz w:val="18"/>
              </w:rPr>
              <w:t>188</w:t>
            </w:r>
          </w:p>
        </w:tc>
        <w:tc>
          <w:tcPr>
            <w:tcW w:w="581" w:type="pct"/>
          </w:tcPr>
          <w:p w:rsidR="00931383" w:rsidRPr="00304514" w:rsidRDefault="00931383" w:rsidP="008E4A48">
            <w:pPr>
              <w:spacing w:before="0" w:after="0"/>
              <w:ind w:left="0" w:right="0"/>
              <w:rPr>
                <w:sz w:val="18"/>
              </w:rPr>
            </w:pPr>
            <w:r w:rsidRPr="00304514">
              <w:rPr>
                <w:sz w:val="18"/>
              </w:rPr>
              <w:t>1.0</w:t>
            </w:r>
          </w:p>
        </w:tc>
      </w:tr>
      <w:tr w:rsidR="00226C55" w:rsidRPr="00304514" w:rsidTr="00526DBA">
        <w:trPr>
          <w:trHeight w:val="232"/>
        </w:trPr>
        <w:tc>
          <w:tcPr>
            <w:tcW w:w="584" w:type="pct"/>
            <w:vMerge w:val="restart"/>
          </w:tcPr>
          <w:p w:rsidR="00931383" w:rsidRPr="00304514" w:rsidRDefault="00931383" w:rsidP="008E4A48">
            <w:pPr>
              <w:spacing w:before="0" w:after="0"/>
              <w:ind w:left="0" w:right="0"/>
              <w:rPr>
                <w:sz w:val="18"/>
              </w:rPr>
            </w:pPr>
            <w:r w:rsidRPr="00304514">
              <w:rPr>
                <w:sz w:val="18"/>
              </w:rPr>
              <w:t>Dog</w:t>
            </w:r>
            <w:r w:rsidR="00304514">
              <w:rPr>
                <w:sz w:val="18"/>
              </w:rPr>
              <w:t xml:space="preserve"> </w:t>
            </w:r>
            <w:r w:rsidRPr="00304514">
              <w:rPr>
                <w:sz w:val="18"/>
              </w:rPr>
              <w:t>(Beagle)</w:t>
            </w:r>
          </w:p>
        </w:tc>
        <w:tc>
          <w:tcPr>
            <w:tcW w:w="1003" w:type="pct"/>
            <w:vMerge w:val="restart"/>
          </w:tcPr>
          <w:p w:rsidR="00A66186" w:rsidRDefault="00304514" w:rsidP="008E4A48">
            <w:pPr>
              <w:spacing w:before="0" w:after="0"/>
              <w:ind w:left="0" w:right="0"/>
              <w:rPr>
                <w:sz w:val="18"/>
              </w:rPr>
            </w:pPr>
            <w:r>
              <w:rPr>
                <w:sz w:val="18"/>
              </w:rPr>
              <w:t xml:space="preserve">9 months </w:t>
            </w:r>
          </w:p>
          <w:p w:rsidR="00931383" w:rsidRPr="00304514" w:rsidRDefault="00304514" w:rsidP="008E4A48">
            <w:pPr>
              <w:spacing w:before="0" w:after="0"/>
              <w:ind w:left="0" w:right="0"/>
              <w:rPr>
                <w:sz w:val="18"/>
              </w:rPr>
            </w:pPr>
            <w:r>
              <w:rPr>
                <w:sz w:val="18"/>
              </w:rPr>
              <w:t xml:space="preserve">(PCLN-PIRF-072) </w:t>
            </w:r>
            <w:r w:rsidR="00931383" w:rsidRPr="00304514">
              <w:rPr>
                <w:sz w:val="18"/>
              </w:rPr>
              <w:t>(pivotal)</w:t>
            </w:r>
          </w:p>
        </w:tc>
        <w:tc>
          <w:tcPr>
            <w:tcW w:w="582" w:type="pct"/>
            <w:vMerge w:val="restart"/>
          </w:tcPr>
          <w:p w:rsidR="00931383" w:rsidRPr="00304514" w:rsidRDefault="00304514" w:rsidP="008E4A48">
            <w:pPr>
              <w:spacing w:before="0" w:after="0"/>
              <w:ind w:left="0" w:right="0"/>
              <w:rPr>
                <w:sz w:val="18"/>
              </w:rPr>
            </w:pPr>
            <w:r>
              <w:rPr>
                <w:sz w:val="18"/>
              </w:rPr>
              <w:t xml:space="preserve">PO (capsule) </w:t>
            </w:r>
            <w:r w:rsidR="00931383" w:rsidRPr="00304514">
              <w:rPr>
                <w:sz w:val="18"/>
              </w:rPr>
              <w:t>Week 39</w:t>
            </w:r>
          </w:p>
        </w:tc>
        <w:tc>
          <w:tcPr>
            <w:tcW w:w="654" w:type="pct"/>
          </w:tcPr>
          <w:p w:rsidR="00931383" w:rsidRPr="00304514" w:rsidRDefault="00931383" w:rsidP="008E4A48">
            <w:pPr>
              <w:spacing w:before="0" w:after="0"/>
              <w:ind w:left="0" w:right="0"/>
              <w:rPr>
                <w:sz w:val="18"/>
              </w:rPr>
            </w:pPr>
            <w:r w:rsidRPr="00304514">
              <w:rPr>
                <w:sz w:val="18"/>
              </w:rPr>
              <w:t>20</w:t>
            </w:r>
          </w:p>
        </w:tc>
        <w:tc>
          <w:tcPr>
            <w:tcW w:w="436" w:type="pct"/>
          </w:tcPr>
          <w:p w:rsidR="00931383" w:rsidRPr="00304514" w:rsidRDefault="00931383" w:rsidP="008E4A48">
            <w:pPr>
              <w:spacing w:before="0" w:after="0"/>
              <w:ind w:left="0" w:right="0"/>
              <w:rPr>
                <w:sz w:val="18"/>
              </w:rPr>
            </w:pPr>
            <w:r w:rsidRPr="00304514">
              <w:rPr>
                <w:sz w:val="18"/>
              </w:rPr>
              <w:t>22</w:t>
            </w:r>
          </w:p>
        </w:tc>
        <w:tc>
          <w:tcPr>
            <w:tcW w:w="579" w:type="pct"/>
          </w:tcPr>
          <w:p w:rsidR="00931383" w:rsidRPr="00304514" w:rsidRDefault="00931383" w:rsidP="008E4A48">
            <w:pPr>
              <w:spacing w:before="0" w:after="0"/>
              <w:ind w:left="0" w:right="0"/>
              <w:rPr>
                <w:sz w:val="18"/>
              </w:rPr>
            </w:pPr>
            <w:r w:rsidRPr="00304514">
              <w:rPr>
                <w:sz w:val="18"/>
              </w:rPr>
              <w:t>1.5</w:t>
            </w:r>
          </w:p>
        </w:tc>
        <w:tc>
          <w:tcPr>
            <w:tcW w:w="581" w:type="pct"/>
          </w:tcPr>
          <w:p w:rsidR="00931383" w:rsidRPr="00304514" w:rsidRDefault="00931383" w:rsidP="008E4A48">
            <w:pPr>
              <w:spacing w:before="0" w:after="0"/>
              <w:ind w:left="0" w:right="0"/>
              <w:rPr>
                <w:sz w:val="18"/>
              </w:rPr>
            </w:pPr>
            <w:r w:rsidRPr="00304514">
              <w:rPr>
                <w:sz w:val="18"/>
              </w:rPr>
              <w:t>47</w:t>
            </w:r>
          </w:p>
        </w:tc>
        <w:tc>
          <w:tcPr>
            <w:tcW w:w="581" w:type="pct"/>
          </w:tcPr>
          <w:p w:rsidR="00931383" w:rsidRPr="00304514" w:rsidRDefault="00931383" w:rsidP="008E4A48">
            <w:pPr>
              <w:spacing w:before="0" w:after="0"/>
              <w:ind w:left="0" w:right="0"/>
              <w:rPr>
                <w:sz w:val="18"/>
              </w:rPr>
            </w:pPr>
            <w:r w:rsidRPr="00304514">
              <w:rPr>
                <w:sz w:val="18"/>
              </w:rPr>
              <w:t>0.3</w:t>
            </w:r>
          </w:p>
        </w:tc>
      </w:tr>
      <w:tr w:rsidR="00226C55" w:rsidRPr="00304514" w:rsidTr="00526DBA">
        <w:trPr>
          <w:trHeight w:val="232"/>
        </w:trPr>
        <w:tc>
          <w:tcPr>
            <w:tcW w:w="584" w:type="pct"/>
            <w:vMerge/>
          </w:tcPr>
          <w:p w:rsidR="00931383" w:rsidRPr="00304514" w:rsidRDefault="00931383" w:rsidP="008E4A48">
            <w:pPr>
              <w:spacing w:before="0" w:after="0"/>
              <w:ind w:left="0" w:right="0"/>
              <w:rPr>
                <w:sz w:val="18"/>
              </w:rPr>
            </w:pPr>
          </w:p>
        </w:tc>
        <w:tc>
          <w:tcPr>
            <w:tcW w:w="1003" w:type="pct"/>
            <w:vMerge/>
          </w:tcPr>
          <w:p w:rsidR="00931383" w:rsidRPr="00304514" w:rsidRDefault="00931383" w:rsidP="008E4A48">
            <w:pPr>
              <w:spacing w:before="0" w:after="0"/>
              <w:ind w:left="0" w:right="0"/>
              <w:rPr>
                <w:sz w:val="18"/>
              </w:rPr>
            </w:pPr>
          </w:p>
        </w:tc>
        <w:tc>
          <w:tcPr>
            <w:tcW w:w="582" w:type="pct"/>
            <w:vMerge/>
          </w:tcPr>
          <w:p w:rsidR="00931383" w:rsidRPr="00304514" w:rsidRDefault="00931383" w:rsidP="008E4A48">
            <w:pPr>
              <w:spacing w:before="0" w:after="0"/>
              <w:ind w:left="0" w:right="0"/>
              <w:rPr>
                <w:sz w:val="18"/>
              </w:rPr>
            </w:pPr>
          </w:p>
        </w:tc>
        <w:tc>
          <w:tcPr>
            <w:tcW w:w="654" w:type="pct"/>
          </w:tcPr>
          <w:p w:rsidR="00931383" w:rsidRPr="00304514" w:rsidRDefault="00931383" w:rsidP="008E4A48">
            <w:pPr>
              <w:spacing w:before="0" w:after="0"/>
              <w:ind w:left="0" w:right="0"/>
              <w:rPr>
                <w:sz w:val="18"/>
              </w:rPr>
            </w:pPr>
            <w:r w:rsidRPr="00304514">
              <w:rPr>
                <w:sz w:val="18"/>
              </w:rPr>
              <w:t>70</w:t>
            </w:r>
          </w:p>
        </w:tc>
        <w:tc>
          <w:tcPr>
            <w:tcW w:w="436" w:type="pct"/>
          </w:tcPr>
          <w:p w:rsidR="00931383" w:rsidRPr="00304514" w:rsidRDefault="00931383" w:rsidP="008E4A48">
            <w:pPr>
              <w:spacing w:before="0" w:after="0"/>
              <w:ind w:left="0" w:right="0"/>
              <w:rPr>
                <w:sz w:val="18"/>
              </w:rPr>
            </w:pPr>
            <w:r w:rsidRPr="00304514">
              <w:rPr>
                <w:sz w:val="18"/>
              </w:rPr>
              <w:t>76</w:t>
            </w:r>
          </w:p>
        </w:tc>
        <w:tc>
          <w:tcPr>
            <w:tcW w:w="579" w:type="pct"/>
          </w:tcPr>
          <w:p w:rsidR="00931383" w:rsidRPr="00304514" w:rsidRDefault="00931383" w:rsidP="008E4A48">
            <w:pPr>
              <w:spacing w:before="0" w:after="0"/>
              <w:ind w:left="0" w:right="0"/>
              <w:rPr>
                <w:sz w:val="18"/>
              </w:rPr>
            </w:pPr>
            <w:r w:rsidRPr="00304514">
              <w:rPr>
                <w:sz w:val="18"/>
              </w:rPr>
              <w:t>5.1</w:t>
            </w:r>
          </w:p>
        </w:tc>
        <w:tc>
          <w:tcPr>
            <w:tcW w:w="581" w:type="pct"/>
          </w:tcPr>
          <w:p w:rsidR="00931383" w:rsidRPr="00304514" w:rsidRDefault="00931383" w:rsidP="008E4A48">
            <w:pPr>
              <w:spacing w:before="0" w:after="0"/>
              <w:ind w:left="0" w:right="0"/>
              <w:rPr>
                <w:sz w:val="18"/>
              </w:rPr>
            </w:pPr>
            <w:r w:rsidRPr="00304514">
              <w:rPr>
                <w:sz w:val="18"/>
              </w:rPr>
              <w:t>181</w:t>
            </w:r>
          </w:p>
        </w:tc>
        <w:tc>
          <w:tcPr>
            <w:tcW w:w="581" w:type="pct"/>
          </w:tcPr>
          <w:p w:rsidR="00931383" w:rsidRPr="00304514" w:rsidRDefault="00931383" w:rsidP="008E4A48">
            <w:pPr>
              <w:spacing w:before="0" w:after="0"/>
              <w:ind w:left="0" w:right="0"/>
              <w:rPr>
                <w:sz w:val="18"/>
              </w:rPr>
            </w:pPr>
            <w:r w:rsidRPr="00304514">
              <w:rPr>
                <w:sz w:val="18"/>
              </w:rPr>
              <w:t>1.0</w:t>
            </w:r>
          </w:p>
        </w:tc>
      </w:tr>
      <w:tr w:rsidR="00226C55" w:rsidRPr="00304514" w:rsidTr="00526DBA">
        <w:trPr>
          <w:trHeight w:val="232"/>
        </w:trPr>
        <w:tc>
          <w:tcPr>
            <w:tcW w:w="584" w:type="pct"/>
            <w:vMerge/>
          </w:tcPr>
          <w:p w:rsidR="00931383" w:rsidRPr="00304514" w:rsidRDefault="00931383" w:rsidP="008E4A48">
            <w:pPr>
              <w:spacing w:before="0" w:after="0"/>
              <w:ind w:left="0" w:right="0"/>
              <w:rPr>
                <w:sz w:val="18"/>
              </w:rPr>
            </w:pPr>
          </w:p>
        </w:tc>
        <w:tc>
          <w:tcPr>
            <w:tcW w:w="1003" w:type="pct"/>
            <w:vMerge/>
          </w:tcPr>
          <w:p w:rsidR="00931383" w:rsidRPr="00304514" w:rsidRDefault="00931383" w:rsidP="008E4A48">
            <w:pPr>
              <w:spacing w:before="0" w:after="0"/>
              <w:ind w:left="0" w:right="0"/>
              <w:rPr>
                <w:sz w:val="18"/>
              </w:rPr>
            </w:pPr>
          </w:p>
        </w:tc>
        <w:tc>
          <w:tcPr>
            <w:tcW w:w="582" w:type="pct"/>
            <w:vMerge/>
          </w:tcPr>
          <w:p w:rsidR="00931383" w:rsidRPr="00304514" w:rsidRDefault="00931383" w:rsidP="008E4A48">
            <w:pPr>
              <w:spacing w:before="0" w:after="0"/>
              <w:ind w:left="0" w:right="0"/>
              <w:rPr>
                <w:sz w:val="18"/>
              </w:rPr>
            </w:pPr>
          </w:p>
        </w:tc>
        <w:tc>
          <w:tcPr>
            <w:tcW w:w="654" w:type="pct"/>
          </w:tcPr>
          <w:p w:rsidR="00931383" w:rsidRPr="00304514" w:rsidRDefault="00931383" w:rsidP="008E4A48">
            <w:pPr>
              <w:spacing w:before="0" w:after="0"/>
              <w:ind w:left="0" w:right="0"/>
              <w:rPr>
                <w:sz w:val="18"/>
              </w:rPr>
            </w:pPr>
            <w:r w:rsidRPr="00304514">
              <w:rPr>
                <w:sz w:val="18"/>
              </w:rPr>
              <w:t>200</w:t>
            </w:r>
          </w:p>
        </w:tc>
        <w:tc>
          <w:tcPr>
            <w:tcW w:w="436" w:type="pct"/>
          </w:tcPr>
          <w:p w:rsidR="00931383" w:rsidRPr="00304514" w:rsidRDefault="00931383" w:rsidP="008E4A48">
            <w:pPr>
              <w:spacing w:before="0" w:after="0"/>
              <w:ind w:left="0" w:right="0"/>
              <w:rPr>
                <w:sz w:val="18"/>
              </w:rPr>
            </w:pPr>
            <w:r w:rsidRPr="00304514">
              <w:rPr>
                <w:sz w:val="18"/>
              </w:rPr>
              <w:t>166</w:t>
            </w:r>
          </w:p>
        </w:tc>
        <w:tc>
          <w:tcPr>
            <w:tcW w:w="579" w:type="pct"/>
          </w:tcPr>
          <w:p w:rsidR="00931383" w:rsidRPr="00304514" w:rsidRDefault="00931383" w:rsidP="008E4A48">
            <w:pPr>
              <w:spacing w:before="0" w:after="0"/>
              <w:ind w:left="0" w:right="0"/>
              <w:rPr>
                <w:sz w:val="18"/>
              </w:rPr>
            </w:pPr>
            <w:r w:rsidRPr="00304514">
              <w:rPr>
                <w:sz w:val="18"/>
              </w:rPr>
              <w:t>11</w:t>
            </w:r>
          </w:p>
        </w:tc>
        <w:tc>
          <w:tcPr>
            <w:tcW w:w="581" w:type="pct"/>
          </w:tcPr>
          <w:p w:rsidR="00931383" w:rsidRPr="00304514" w:rsidRDefault="00931383" w:rsidP="008E4A48">
            <w:pPr>
              <w:spacing w:before="0" w:after="0"/>
              <w:ind w:left="0" w:right="0"/>
              <w:rPr>
                <w:sz w:val="18"/>
              </w:rPr>
            </w:pPr>
            <w:r w:rsidRPr="00304514">
              <w:rPr>
                <w:sz w:val="18"/>
              </w:rPr>
              <w:t>570</w:t>
            </w:r>
          </w:p>
        </w:tc>
        <w:tc>
          <w:tcPr>
            <w:tcW w:w="581" w:type="pct"/>
          </w:tcPr>
          <w:p w:rsidR="00931383" w:rsidRPr="00304514" w:rsidRDefault="00931383" w:rsidP="008E4A48">
            <w:pPr>
              <w:spacing w:before="0" w:after="0"/>
              <w:ind w:left="0" w:right="0"/>
              <w:rPr>
                <w:sz w:val="18"/>
              </w:rPr>
            </w:pPr>
            <w:r w:rsidRPr="00304514">
              <w:rPr>
                <w:sz w:val="18"/>
              </w:rPr>
              <w:t>3.2</w:t>
            </w:r>
          </w:p>
        </w:tc>
      </w:tr>
      <w:tr w:rsidR="00226C55" w:rsidRPr="00304514" w:rsidTr="00526DBA">
        <w:trPr>
          <w:trHeight w:val="232"/>
        </w:trPr>
        <w:tc>
          <w:tcPr>
            <w:tcW w:w="584" w:type="pct"/>
          </w:tcPr>
          <w:p w:rsidR="00931383" w:rsidRPr="00304514" w:rsidRDefault="00931383" w:rsidP="008E4A48">
            <w:pPr>
              <w:spacing w:before="0" w:after="0"/>
              <w:ind w:left="0" w:right="0"/>
              <w:rPr>
                <w:sz w:val="18"/>
              </w:rPr>
            </w:pPr>
            <w:r w:rsidRPr="00304514">
              <w:rPr>
                <w:sz w:val="18"/>
              </w:rPr>
              <w:t>Human</w:t>
            </w:r>
            <w:r w:rsidR="00304514">
              <w:rPr>
                <w:sz w:val="18"/>
              </w:rPr>
              <w:t xml:space="preserve"> </w:t>
            </w:r>
            <w:r w:rsidRPr="00304514">
              <w:rPr>
                <w:sz w:val="18"/>
              </w:rPr>
              <w:t>(patients)</w:t>
            </w:r>
          </w:p>
        </w:tc>
        <w:tc>
          <w:tcPr>
            <w:tcW w:w="1003" w:type="pct"/>
          </w:tcPr>
          <w:p w:rsidR="00931383" w:rsidRPr="00304514" w:rsidRDefault="00304514" w:rsidP="008E4A48">
            <w:pPr>
              <w:spacing w:before="0" w:after="0"/>
              <w:ind w:left="0" w:right="0"/>
              <w:rPr>
                <w:sz w:val="18"/>
              </w:rPr>
            </w:pPr>
            <w:r>
              <w:rPr>
                <w:sz w:val="18"/>
              </w:rPr>
              <w:t>steady state (Study PIPF-004)</w:t>
            </w:r>
          </w:p>
        </w:tc>
        <w:tc>
          <w:tcPr>
            <w:tcW w:w="582" w:type="pct"/>
          </w:tcPr>
          <w:p w:rsidR="00931383" w:rsidRPr="00304514" w:rsidRDefault="00931383" w:rsidP="008E4A48">
            <w:pPr>
              <w:spacing w:before="0" w:after="0"/>
              <w:ind w:left="0" w:right="0"/>
              <w:rPr>
                <w:sz w:val="18"/>
              </w:rPr>
            </w:pPr>
            <w:r w:rsidRPr="00304514">
              <w:rPr>
                <w:sz w:val="18"/>
              </w:rPr>
              <w:t>PO; steady state</w:t>
            </w:r>
          </w:p>
        </w:tc>
        <w:tc>
          <w:tcPr>
            <w:tcW w:w="654" w:type="pct"/>
          </w:tcPr>
          <w:p w:rsidR="00931383" w:rsidRPr="00304514" w:rsidRDefault="00304514" w:rsidP="008E4A48">
            <w:pPr>
              <w:spacing w:before="0" w:after="0"/>
              <w:ind w:left="0" w:right="0"/>
              <w:rPr>
                <w:sz w:val="18"/>
              </w:rPr>
            </w:pPr>
            <w:r>
              <w:rPr>
                <w:sz w:val="18"/>
              </w:rPr>
              <w:t>(2</w:t>
            </w:r>
            <w:r w:rsidR="00A66186">
              <w:rPr>
                <w:sz w:val="18"/>
              </w:rPr>
              <w:t>,</w:t>
            </w:r>
            <w:r>
              <w:rPr>
                <w:sz w:val="18"/>
              </w:rPr>
              <w:t>403 mg)</w:t>
            </w:r>
          </w:p>
        </w:tc>
        <w:tc>
          <w:tcPr>
            <w:tcW w:w="436" w:type="pct"/>
          </w:tcPr>
          <w:p w:rsidR="00931383" w:rsidRPr="00304514" w:rsidRDefault="00931383" w:rsidP="008E4A48">
            <w:pPr>
              <w:spacing w:before="0" w:after="0"/>
              <w:ind w:left="0" w:right="0"/>
              <w:rPr>
                <w:sz w:val="18"/>
              </w:rPr>
            </w:pPr>
            <w:r w:rsidRPr="00304514">
              <w:rPr>
                <w:sz w:val="18"/>
              </w:rPr>
              <w:t>14.7</w:t>
            </w:r>
          </w:p>
        </w:tc>
        <w:tc>
          <w:tcPr>
            <w:tcW w:w="579" w:type="pct"/>
          </w:tcPr>
          <w:p w:rsidR="00931383" w:rsidRPr="00304514" w:rsidRDefault="00931383" w:rsidP="008E4A48">
            <w:pPr>
              <w:spacing w:before="0" w:after="0"/>
              <w:ind w:left="0" w:right="0"/>
              <w:rPr>
                <w:sz w:val="18"/>
              </w:rPr>
            </w:pPr>
            <w:r w:rsidRPr="00304514">
              <w:rPr>
                <w:sz w:val="18"/>
              </w:rPr>
              <w:t>–</w:t>
            </w:r>
          </w:p>
        </w:tc>
        <w:tc>
          <w:tcPr>
            <w:tcW w:w="581" w:type="pct"/>
          </w:tcPr>
          <w:p w:rsidR="00931383" w:rsidRPr="00304514" w:rsidRDefault="00931383" w:rsidP="008E4A48">
            <w:pPr>
              <w:spacing w:before="0" w:after="0"/>
              <w:ind w:left="0" w:right="0"/>
              <w:rPr>
                <w:sz w:val="18"/>
              </w:rPr>
            </w:pPr>
            <w:r w:rsidRPr="00304514">
              <w:rPr>
                <w:sz w:val="18"/>
              </w:rPr>
              <w:t>180</w:t>
            </w:r>
          </w:p>
        </w:tc>
        <w:tc>
          <w:tcPr>
            <w:tcW w:w="581" w:type="pct"/>
          </w:tcPr>
          <w:p w:rsidR="00931383" w:rsidRPr="00304514" w:rsidRDefault="00931383" w:rsidP="008E4A48">
            <w:pPr>
              <w:spacing w:before="0" w:after="0"/>
              <w:ind w:left="0" w:right="0"/>
              <w:rPr>
                <w:sz w:val="18"/>
              </w:rPr>
            </w:pPr>
            <w:r w:rsidRPr="00304514">
              <w:rPr>
                <w:sz w:val="18"/>
              </w:rPr>
              <w:t>–</w:t>
            </w:r>
          </w:p>
        </w:tc>
      </w:tr>
    </w:tbl>
    <w:p w:rsidR="00876BB3" w:rsidRPr="0096468A" w:rsidRDefault="00876BB3" w:rsidP="00876BB3">
      <w:pPr>
        <w:pStyle w:val="TableDescription"/>
      </w:pPr>
      <w:r w:rsidRPr="0096468A">
        <w:rPr>
          <w:position w:val="-2"/>
          <w:vertAlign w:val="superscript"/>
        </w:rPr>
        <w:t>#</w:t>
      </w:r>
      <w:r w:rsidRPr="0096468A">
        <w:t xml:space="preserve"> = animal:</w:t>
      </w:r>
      <w:r w:rsidR="00A66186">
        <w:t xml:space="preserve"> </w:t>
      </w:r>
      <w:r w:rsidRPr="0096468A">
        <w:t>human plasma AUC</w:t>
      </w:r>
      <w:r w:rsidRPr="0096468A">
        <w:rPr>
          <w:vertAlign w:val="subscript"/>
        </w:rPr>
        <w:t>0–24</w:t>
      </w:r>
      <w:r w:rsidRPr="0096468A">
        <w:rPr>
          <w:w w:val="50"/>
          <w:vertAlign w:val="subscript"/>
        </w:rPr>
        <w:t> </w:t>
      </w:r>
      <w:r w:rsidRPr="0096468A">
        <w:rPr>
          <w:vertAlign w:val="subscript"/>
        </w:rPr>
        <w:t>h</w:t>
      </w:r>
      <w:r>
        <w:t>; * = based on 13-week data obtained in Study NCR014</w:t>
      </w:r>
      <w:r w:rsidR="00A66186">
        <w:t>.</w:t>
      </w:r>
    </w:p>
    <w:p w:rsidR="00876BB3" w:rsidRPr="0096468A" w:rsidRDefault="00876BB3" w:rsidP="00876BB3">
      <w:pPr>
        <w:pStyle w:val="Heading5"/>
      </w:pPr>
      <w:r w:rsidRPr="0096468A">
        <w:t>Major toxicities</w:t>
      </w:r>
    </w:p>
    <w:p w:rsidR="00876BB3" w:rsidRPr="0096468A" w:rsidRDefault="00876BB3" w:rsidP="00876BB3">
      <w:pPr>
        <w:pStyle w:val="Standard"/>
        <w:rPr>
          <w:kern w:val="2"/>
          <w:szCs w:val="20"/>
        </w:rPr>
      </w:pPr>
      <w:r w:rsidRPr="0096468A">
        <w:rPr>
          <w:kern w:val="2"/>
          <w:szCs w:val="20"/>
        </w:rPr>
        <w:t xml:space="preserve">The major target organs for </w:t>
      </w:r>
      <w:proofErr w:type="spellStart"/>
      <w:r w:rsidRPr="0096468A">
        <w:rPr>
          <w:kern w:val="2"/>
          <w:szCs w:val="20"/>
        </w:rPr>
        <w:t>pirfenidone</w:t>
      </w:r>
      <w:proofErr w:type="spellEnd"/>
      <w:r w:rsidRPr="0096468A">
        <w:rPr>
          <w:kern w:val="2"/>
          <w:szCs w:val="20"/>
        </w:rPr>
        <w:t xml:space="preserve"> were the liver, kidney, urinary bladder, submaxillary gland and the haematopoietic and CNS systems. Some effects were also observed in thyroid, adrenal glands, prostate, uterus and lymphoid tissues. Adverse gastrointestinal symptoms including emesis occurred in high</w:t>
      </w:r>
      <w:r w:rsidR="00A66186">
        <w:rPr>
          <w:kern w:val="2"/>
          <w:szCs w:val="20"/>
        </w:rPr>
        <w:t xml:space="preserve"> </w:t>
      </w:r>
      <w:r w:rsidRPr="0096468A">
        <w:rPr>
          <w:kern w:val="2"/>
          <w:szCs w:val="20"/>
        </w:rPr>
        <w:t>dose groups, but generally only at the initiation of dosing.</w:t>
      </w:r>
    </w:p>
    <w:p w:rsidR="00876BB3" w:rsidRPr="0096468A" w:rsidRDefault="00876BB3" w:rsidP="00876BB3">
      <w:pPr>
        <w:pStyle w:val="Standard"/>
        <w:rPr>
          <w:kern w:val="2"/>
          <w:szCs w:val="20"/>
        </w:rPr>
      </w:pPr>
      <w:r w:rsidRPr="0096468A">
        <w:rPr>
          <w:kern w:val="2"/>
          <w:szCs w:val="20"/>
        </w:rPr>
        <w:t xml:space="preserve">In liver, hepatocellular hypertrophy, generally in the </w:t>
      </w:r>
      <w:proofErr w:type="spellStart"/>
      <w:r w:rsidRPr="0096468A">
        <w:rPr>
          <w:kern w:val="2"/>
          <w:szCs w:val="20"/>
        </w:rPr>
        <w:t>centrilobular</w:t>
      </w:r>
      <w:proofErr w:type="spellEnd"/>
      <w:r w:rsidRPr="0096468A">
        <w:rPr>
          <w:kern w:val="2"/>
          <w:szCs w:val="20"/>
        </w:rPr>
        <w:t xml:space="preserve"> zone, was consistently observed in all species at low (≤</w:t>
      </w:r>
      <w:r>
        <w:rPr>
          <w:kern w:val="2"/>
          <w:szCs w:val="20"/>
        </w:rPr>
        <w:t> </w:t>
      </w:r>
      <w:r w:rsidRPr="0096468A">
        <w:rPr>
          <w:kern w:val="2"/>
          <w:szCs w:val="20"/>
        </w:rPr>
        <w:t>3</w:t>
      </w:r>
      <w:r w:rsidR="00226C55">
        <w:rPr>
          <w:kern w:val="2"/>
          <w:szCs w:val="20"/>
        </w:rPr>
        <w:t> x</w:t>
      </w:r>
      <w:r w:rsidRPr="0096468A">
        <w:rPr>
          <w:kern w:val="2"/>
          <w:szCs w:val="20"/>
        </w:rPr>
        <w:t>) or subclinical relative exposures (based on AUC). Increased liver weight and induction of hepatic enzyme activity, in particular CYP1A, 2B, 2D and/or 3A were also observed from lower exposures. Consistent with enzyme induction</w:t>
      </w:r>
      <w:r>
        <w:rPr>
          <w:rStyle w:val="FootnoteReference"/>
          <w:kern w:val="2"/>
          <w:szCs w:val="20"/>
        </w:rPr>
        <w:footnoteReference w:id="18"/>
      </w:r>
      <w:r w:rsidRPr="0096468A">
        <w:rPr>
          <w:kern w:val="2"/>
          <w:szCs w:val="20"/>
        </w:rPr>
        <w:t xml:space="preserve">, a </w:t>
      </w:r>
      <w:r w:rsidR="00226C55">
        <w:rPr>
          <w:kern w:val="2"/>
          <w:szCs w:val="20"/>
        </w:rPr>
        <w:t>‘</w:t>
      </w:r>
      <w:r w:rsidRPr="0096468A">
        <w:rPr>
          <w:kern w:val="2"/>
          <w:szCs w:val="20"/>
        </w:rPr>
        <w:t>ground glass</w:t>
      </w:r>
      <w:r w:rsidR="00226C55">
        <w:rPr>
          <w:kern w:val="2"/>
          <w:szCs w:val="20"/>
        </w:rPr>
        <w:t>’</w:t>
      </w:r>
      <w:r w:rsidRPr="0096468A">
        <w:rPr>
          <w:kern w:val="2"/>
          <w:szCs w:val="20"/>
        </w:rPr>
        <w:t xml:space="preserve"> appearance of hepatocytes was </w:t>
      </w:r>
      <w:r>
        <w:rPr>
          <w:kern w:val="2"/>
          <w:szCs w:val="20"/>
        </w:rPr>
        <w:t>evident</w:t>
      </w:r>
      <w:r w:rsidRPr="0096468A">
        <w:rPr>
          <w:kern w:val="2"/>
          <w:szCs w:val="20"/>
        </w:rPr>
        <w:t xml:space="preserve"> in F344 rats and </w:t>
      </w:r>
      <w:r>
        <w:rPr>
          <w:kern w:val="2"/>
          <w:szCs w:val="20"/>
        </w:rPr>
        <w:t>b</w:t>
      </w:r>
      <w:r w:rsidRPr="0096468A">
        <w:rPr>
          <w:kern w:val="2"/>
          <w:szCs w:val="20"/>
        </w:rPr>
        <w:t>eagle dogs that received 1</w:t>
      </w:r>
      <w:r w:rsidR="00A66186">
        <w:rPr>
          <w:kern w:val="2"/>
          <w:szCs w:val="20"/>
        </w:rPr>
        <w:t>,</w:t>
      </w:r>
      <w:r w:rsidRPr="0096468A">
        <w:rPr>
          <w:kern w:val="2"/>
          <w:szCs w:val="20"/>
        </w:rPr>
        <w:t>500 or 200 mg/kg/day PO for 3 or 9</w:t>
      </w:r>
      <w:r>
        <w:rPr>
          <w:kern w:val="2"/>
          <w:szCs w:val="20"/>
        </w:rPr>
        <w:t> </w:t>
      </w:r>
      <w:r w:rsidRPr="0096468A">
        <w:rPr>
          <w:kern w:val="2"/>
          <w:szCs w:val="20"/>
        </w:rPr>
        <w:t>months, respectively (RE</w:t>
      </w:r>
      <w:r>
        <w:rPr>
          <w:kern w:val="2"/>
          <w:szCs w:val="20"/>
        </w:rPr>
        <w:t>,</w:t>
      </w:r>
      <w:r w:rsidRPr="0096468A">
        <w:rPr>
          <w:kern w:val="2"/>
          <w:szCs w:val="20"/>
        </w:rPr>
        <w:t xml:space="preserve"> 1</w:t>
      </w:r>
      <w:r>
        <w:rPr>
          <w:kern w:val="2"/>
          <w:szCs w:val="20"/>
        </w:rPr>
        <w:t> </w:t>
      </w:r>
      <w:r w:rsidR="00226C55">
        <w:rPr>
          <w:kern w:val="2"/>
          <w:szCs w:val="20"/>
        </w:rPr>
        <w:t>x</w:t>
      </w:r>
      <w:r w:rsidRPr="0096468A">
        <w:rPr>
          <w:kern w:val="2"/>
          <w:szCs w:val="20"/>
        </w:rPr>
        <w:t xml:space="preserve"> and 3</w:t>
      </w:r>
      <w:r>
        <w:rPr>
          <w:kern w:val="2"/>
          <w:szCs w:val="20"/>
        </w:rPr>
        <w:t> </w:t>
      </w:r>
      <w:r w:rsidR="00226C55">
        <w:rPr>
          <w:kern w:val="2"/>
          <w:szCs w:val="20"/>
        </w:rPr>
        <w:t>x</w:t>
      </w:r>
      <w:r w:rsidRPr="0096468A">
        <w:rPr>
          <w:kern w:val="2"/>
          <w:szCs w:val="20"/>
        </w:rPr>
        <w:t xml:space="preserve">). Clinical chemistry changes consistent with liver </w:t>
      </w:r>
      <w:r>
        <w:rPr>
          <w:kern w:val="2"/>
          <w:szCs w:val="20"/>
        </w:rPr>
        <w:t>changes</w:t>
      </w:r>
      <w:r w:rsidRPr="0096468A">
        <w:rPr>
          <w:kern w:val="2"/>
          <w:szCs w:val="20"/>
        </w:rPr>
        <w:t xml:space="preserve"> were also </w:t>
      </w:r>
      <w:r>
        <w:rPr>
          <w:kern w:val="2"/>
          <w:szCs w:val="20"/>
        </w:rPr>
        <w:t>seen</w:t>
      </w:r>
      <w:r w:rsidRPr="0096468A">
        <w:rPr>
          <w:kern w:val="2"/>
          <w:szCs w:val="20"/>
        </w:rPr>
        <w:t xml:space="preserve"> in rats and dogs (increased </w:t>
      </w:r>
      <w:r w:rsidR="00313290">
        <w:rPr>
          <w:kern w:val="2"/>
          <w:szCs w:val="20"/>
        </w:rPr>
        <w:t>alkaline phosphatase (</w:t>
      </w:r>
      <w:r w:rsidRPr="0096468A">
        <w:rPr>
          <w:kern w:val="2"/>
          <w:szCs w:val="20"/>
        </w:rPr>
        <w:t>ALP</w:t>
      </w:r>
      <w:r w:rsidR="00313290">
        <w:rPr>
          <w:kern w:val="2"/>
          <w:szCs w:val="20"/>
        </w:rPr>
        <w:t>)</w:t>
      </w:r>
      <w:r w:rsidRPr="0096468A">
        <w:rPr>
          <w:kern w:val="2"/>
          <w:szCs w:val="20"/>
        </w:rPr>
        <w:t xml:space="preserve"> and/or cholesterol). Other liver findings included hepatocyte necrosis </w:t>
      </w:r>
      <w:r>
        <w:rPr>
          <w:kern w:val="2"/>
          <w:szCs w:val="20"/>
        </w:rPr>
        <w:t>in SD rats (</w:t>
      </w:r>
      <w:r w:rsidR="00B15BB5">
        <w:rPr>
          <w:kern w:val="2"/>
          <w:szCs w:val="20"/>
        </w:rPr>
        <w:t>1,000</w:t>
      </w:r>
      <w:r>
        <w:rPr>
          <w:kern w:val="2"/>
          <w:szCs w:val="20"/>
        </w:rPr>
        <w:t> mg/kg/day; RE, approximately</w:t>
      </w:r>
      <w:r w:rsidR="00353A17">
        <w:rPr>
          <w:kern w:val="2"/>
          <w:szCs w:val="20"/>
        </w:rPr>
        <w:t xml:space="preserve"> </w:t>
      </w:r>
      <w:r>
        <w:rPr>
          <w:kern w:val="2"/>
          <w:szCs w:val="20"/>
        </w:rPr>
        <w:t>2),</w:t>
      </w:r>
      <w:r w:rsidRPr="0096468A">
        <w:rPr>
          <w:kern w:val="2"/>
          <w:szCs w:val="20"/>
        </w:rPr>
        <w:t xml:space="preserve"> fatty change in F344 rats (</w:t>
      </w:r>
      <w:r>
        <w:rPr>
          <w:kern w:val="2"/>
          <w:szCs w:val="20"/>
        </w:rPr>
        <w:t>≥ </w:t>
      </w:r>
      <w:r w:rsidR="00B15BB5">
        <w:rPr>
          <w:kern w:val="2"/>
          <w:szCs w:val="20"/>
        </w:rPr>
        <w:t>1,000</w:t>
      </w:r>
      <w:r>
        <w:rPr>
          <w:kern w:val="2"/>
          <w:szCs w:val="20"/>
        </w:rPr>
        <w:t> </w:t>
      </w:r>
      <w:r w:rsidRPr="0096468A">
        <w:rPr>
          <w:kern w:val="2"/>
          <w:szCs w:val="20"/>
        </w:rPr>
        <w:t>mg/kg/day</w:t>
      </w:r>
      <w:r>
        <w:rPr>
          <w:kern w:val="2"/>
          <w:szCs w:val="20"/>
        </w:rPr>
        <w:t>; RE, approximately 1</w:t>
      </w:r>
      <w:r w:rsidRPr="0096468A">
        <w:rPr>
          <w:kern w:val="2"/>
          <w:szCs w:val="20"/>
        </w:rPr>
        <w:t>) and perivascular inflammation in dogs (</w:t>
      </w:r>
      <w:r>
        <w:rPr>
          <w:kern w:val="2"/>
          <w:szCs w:val="20"/>
        </w:rPr>
        <w:t>with treatment for</w:t>
      </w:r>
      <w:r w:rsidRPr="0096468A">
        <w:rPr>
          <w:kern w:val="2"/>
          <w:szCs w:val="20"/>
        </w:rPr>
        <w:t xml:space="preserve"> 3 months at 200</w:t>
      </w:r>
      <w:r>
        <w:rPr>
          <w:kern w:val="2"/>
          <w:szCs w:val="20"/>
        </w:rPr>
        <w:t> </w:t>
      </w:r>
      <w:r w:rsidRPr="0096468A">
        <w:rPr>
          <w:kern w:val="2"/>
          <w:szCs w:val="20"/>
        </w:rPr>
        <w:t xml:space="preserve">mg/kg/day and </w:t>
      </w:r>
      <w:r>
        <w:rPr>
          <w:kern w:val="2"/>
          <w:szCs w:val="20"/>
        </w:rPr>
        <w:t>after 9 months at ≥ 70 mg/kg/day</w:t>
      </w:r>
      <w:r w:rsidRPr="0096468A">
        <w:rPr>
          <w:kern w:val="2"/>
          <w:szCs w:val="20"/>
        </w:rPr>
        <w:t>; RE</w:t>
      </w:r>
      <w:r>
        <w:rPr>
          <w:kern w:val="2"/>
          <w:szCs w:val="20"/>
        </w:rPr>
        <w:t>, </w:t>
      </w:r>
      <w:r w:rsidRPr="0096468A">
        <w:rPr>
          <w:kern w:val="2"/>
          <w:szCs w:val="20"/>
        </w:rPr>
        <w:t>≥</w:t>
      </w:r>
      <w:r>
        <w:rPr>
          <w:kern w:val="2"/>
          <w:szCs w:val="20"/>
        </w:rPr>
        <w:t> </w:t>
      </w:r>
      <w:r w:rsidRPr="0096468A">
        <w:rPr>
          <w:kern w:val="2"/>
          <w:szCs w:val="20"/>
        </w:rPr>
        <w:t>1</w:t>
      </w:r>
      <w:r w:rsidR="00353A17">
        <w:rPr>
          <w:kern w:val="2"/>
          <w:szCs w:val="20"/>
        </w:rPr>
        <w:t> </w:t>
      </w:r>
      <w:r w:rsidR="00226C55">
        <w:rPr>
          <w:kern w:val="2"/>
          <w:szCs w:val="20"/>
        </w:rPr>
        <w:t>x</w:t>
      </w:r>
      <w:r w:rsidRPr="0096468A">
        <w:rPr>
          <w:kern w:val="2"/>
          <w:szCs w:val="20"/>
        </w:rPr>
        <w:t xml:space="preserve">). All of the observed changes in liver were reversible. In addition, </w:t>
      </w:r>
      <w:r>
        <w:rPr>
          <w:kern w:val="2"/>
          <w:szCs w:val="20"/>
        </w:rPr>
        <w:t xml:space="preserve">thyroid </w:t>
      </w:r>
      <w:r w:rsidRPr="0096468A">
        <w:rPr>
          <w:kern w:val="2"/>
          <w:szCs w:val="20"/>
        </w:rPr>
        <w:t>follicular hyperplasia</w:t>
      </w:r>
      <w:r>
        <w:rPr>
          <w:kern w:val="2"/>
          <w:szCs w:val="20"/>
        </w:rPr>
        <w:t xml:space="preserve"> </w:t>
      </w:r>
      <w:r w:rsidRPr="0096468A">
        <w:rPr>
          <w:kern w:val="2"/>
          <w:szCs w:val="20"/>
        </w:rPr>
        <w:t xml:space="preserve">was observed in </w:t>
      </w:r>
      <w:r>
        <w:rPr>
          <w:kern w:val="2"/>
          <w:szCs w:val="20"/>
        </w:rPr>
        <w:t xml:space="preserve">a </w:t>
      </w:r>
      <w:r w:rsidRPr="0096468A">
        <w:rPr>
          <w:kern w:val="2"/>
          <w:szCs w:val="20"/>
        </w:rPr>
        <w:t xml:space="preserve">male SD rat that received </w:t>
      </w:r>
      <w:r w:rsidR="00B15BB5">
        <w:rPr>
          <w:kern w:val="2"/>
          <w:szCs w:val="20"/>
        </w:rPr>
        <w:t>1,000</w:t>
      </w:r>
      <w:r w:rsidRPr="0096468A">
        <w:rPr>
          <w:kern w:val="2"/>
          <w:szCs w:val="20"/>
        </w:rPr>
        <w:t xml:space="preserve"> mg/kg/day </w:t>
      </w:r>
      <w:proofErr w:type="spellStart"/>
      <w:r w:rsidRPr="0096468A">
        <w:rPr>
          <w:kern w:val="2"/>
          <w:szCs w:val="20"/>
        </w:rPr>
        <w:t>pirfenidone</w:t>
      </w:r>
      <w:proofErr w:type="spellEnd"/>
      <w:r w:rsidRPr="0096468A">
        <w:rPr>
          <w:kern w:val="2"/>
          <w:szCs w:val="20"/>
        </w:rPr>
        <w:t xml:space="preserve"> PO. This is consistent with increased thyroid hormone production secondary to increased metabolism associat</w:t>
      </w:r>
      <w:r>
        <w:rPr>
          <w:kern w:val="2"/>
          <w:szCs w:val="20"/>
        </w:rPr>
        <w:t>ed with liver enzyme induction.</w:t>
      </w:r>
    </w:p>
    <w:p w:rsidR="00876BB3" w:rsidRPr="0096468A" w:rsidRDefault="00876BB3" w:rsidP="00876BB3">
      <w:pPr>
        <w:pStyle w:val="Standard"/>
        <w:rPr>
          <w:kern w:val="2"/>
          <w:szCs w:val="20"/>
        </w:rPr>
      </w:pPr>
      <w:r w:rsidRPr="0096468A">
        <w:rPr>
          <w:kern w:val="2"/>
          <w:szCs w:val="20"/>
        </w:rPr>
        <w:t xml:space="preserve">In F344 rats, kidney weights were </w:t>
      </w:r>
      <w:r w:rsidR="006967FD">
        <w:rPr>
          <w:kern w:val="2"/>
          <w:szCs w:val="20"/>
        </w:rPr>
        <w:t>dose dependent</w:t>
      </w:r>
      <w:r w:rsidRPr="0096468A">
        <w:rPr>
          <w:kern w:val="2"/>
          <w:szCs w:val="20"/>
        </w:rPr>
        <w:t xml:space="preserve">ly increased with tubular epithelial degeneration and regeneration observed at </w:t>
      </w:r>
      <w:r>
        <w:rPr>
          <w:kern w:val="2"/>
          <w:szCs w:val="20"/>
        </w:rPr>
        <w:t>≥</w:t>
      </w:r>
      <w:r w:rsidR="00353A17">
        <w:rPr>
          <w:kern w:val="2"/>
          <w:szCs w:val="20"/>
        </w:rPr>
        <w:t> </w:t>
      </w:r>
      <w:r w:rsidR="00B15BB5">
        <w:rPr>
          <w:kern w:val="2"/>
          <w:szCs w:val="20"/>
        </w:rPr>
        <w:t>1,000</w:t>
      </w:r>
      <w:r>
        <w:rPr>
          <w:kern w:val="2"/>
          <w:szCs w:val="20"/>
        </w:rPr>
        <w:t xml:space="preserve"> mg/kg/day</w:t>
      </w:r>
      <w:r w:rsidRPr="0096468A">
        <w:rPr>
          <w:kern w:val="2"/>
          <w:szCs w:val="20"/>
        </w:rPr>
        <w:t xml:space="preserve"> (RE</w:t>
      </w:r>
      <w:r>
        <w:rPr>
          <w:kern w:val="2"/>
          <w:szCs w:val="20"/>
        </w:rPr>
        <w:t>,</w:t>
      </w:r>
      <w:r w:rsidRPr="0096468A">
        <w:rPr>
          <w:kern w:val="2"/>
          <w:szCs w:val="20"/>
        </w:rPr>
        <w:t xml:space="preserve"> </w:t>
      </w:r>
      <w:r>
        <w:rPr>
          <w:kern w:val="2"/>
          <w:szCs w:val="20"/>
        </w:rPr>
        <w:t>approximately</w:t>
      </w:r>
      <w:r w:rsidRPr="0096468A">
        <w:rPr>
          <w:kern w:val="2"/>
          <w:szCs w:val="20"/>
        </w:rPr>
        <w:t>1</w:t>
      </w:r>
      <w:r w:rsidR="00353A17">
        <w:rPr>
          <w:kern w:val="2"/>
          <w:szCs w:val="20"/>
        </w:rPr>
        <w:t> </w:t>
      </w:r>
      <w:r w:rsidR="00226C55">
        <w:rPr>
          <w:kern w:val="2"/>
          <w:szCs w:val="20"/>
        </w:rPr>
        <w:t>x</w:t>
      </w:r>
      <w:r w:rsidRPr="0096468A">
        <w:rPr>
          <w:kern w:val="2"/>
          <w:szCs w:val="20"/>
        </w:rPr>
        <w:t xml:space="preserve">). Urinalysis was not performed in F344 rats. In SD rats, increased specific gravity and </w:t>
      </w:r>
      <w:r w:rsidRPr="0096468A">
        <w:rPr>
          <w:kern w:val="2"/>
          <w:szCs w:val="20"/>
        </w:rPr>
        <w:lastRenderedPageBreak/>
        <w:t>decreased urine pH were observed (≥</w:t>
      </w:r>
      <w:r w:rsidR="00353A17">
        <w:rPr>
          <w:kern w:val="2"/>
          <w:szCs w:val="20"/>
        </w:rPr>
        <w:t> </w:t>
      </w:r>
      <w:r w:rsidRPr="0096468A">
        <w:rPr>
          <w:kern w:val="2"/>
          <w:szCs w:val="20"/>
        </w:rPr>
        <w:t>100 mg/kg/day</w:t>
      </w:r>
      <w:r>
        <w:rPr>
          <w:kern w:val="2"/>
          <w:szCs w:val="20"/>
        </w:rPr>
        <w:t xml:space="preserve">; </w:t>
      </w:r>
      <w:r w:rsidRPr="0096468A">
        <w:rPr>
          <w:kern w:val="2"/>
          <w:szCs w:val="20"/>
        </w:rPr>
        <w:t>RE</w:t>
      </w:r>
      <w:r>
        <w:rPr>
          <w:kern w:val="2"/>
          <w:szCs w:val="20"/>
        </w:rPr>
        <w:t>,</w:t>
      </w:r>
      <w:r w:rsidRPr="0096468A">
        <w:rPr>
          <w:kern w:val="2"/>
          <w:szCs w:val="20"/>
        </w:rPr>
        <w:t xml:space="preserve"> 0.6</w:t>
      </w:r>
      <w:r w:rsidR="00353A17">
        <w:rPr>
          <w:kern w:val="2"/>
          <w:szCs w:val="20"/>
        </w:rPr>
        <w:t> to </w:t>
      </w:r>
      <w:r w:rsidRPr="0096468A">
        <w:rPr>
          <w:kern w:val="2"/>
          <w:szCs w:val="20"/>
        </w:rPr>
        <w:t>1.9</w:t>
      </w:r>
      <w:r w:rsidR="00353A17">
        <w:rPr>
          <w:kern w:val="2"/>
          <w:szCs w:val="20"/>
        </w:rPr>
        <w:t> </w:t>
      </w:r>
      <w:r w:rsidR="00226C55">
        <w:rPr>
          <w:kern w:val="2"/>
          <w:szCs w:val="20"/>
        </w:rPr>
        <w:t>x</w:t>
      </w:r>
      <w:r w:rsidRPr="0096468A">
        <w:rPr>
          <w:kern w:val="2"/>
          <w:szCs w:val="20"/>
        </w:rPr>
        <w:t>)</w:t>
      </w:r>
      <w:r>
        <w:rPr>
          <w:kern w:val="2"/>
          <w:szCs w:val="20"/>
        </w:rPr>
        <w:t>; t</w:t>
      </w:r>
      <w:r w:rsidRPr="0096468A">
        <w:rPr>
          <w:kern w:val="2"/>
          <w:szCs w:val="20"/>
        </w:rPr>
        <w:t xml:space="preserve">here was also a high incidence of </w:t>
      </w:r>
      <w:proofErr w:type="spellStart"/>
      <w:r w:rsidRPr="0096468A">
        <w:rPr>
          <w:kern w:val="2"/>
          <w:szCs w:val="20"/>
        </w:rPr>
        <w:t>crystalluria</w:t>
      </w:r>
      <w:proofErr w:type="spellEnd"/>
      <w:r w:rsidRPr="0096468A">
        <w:rPr>
          <w:kern w:val="2"/>
          <w:szCs w:val="20"/>
        </w:rPr>
        <w:t xml:space="preserve"> in females (≥</w:t>
      </w:r>
      <w:r w:rsidR="00353A17">
        <w:rPr>
          <w:kern w:val="2"/>
          <w:szCs w:val="20"/>
        </w:rPr>
        <w:t> </w:t>
      </w:r>
      <w:r w:rsidRPr="0096468A">
        <w:rPr>
          <w:kern w:val="2"/>
          <w:szCs w:val="20"/>
        </w:rPr>
        <w:t>500</w:t>
      </w:r>
      <w:r>
        <w:rPr>
          <w:kern w:val="2"/>
          <w:szCs w:val="20"/>
        </w:rPr>
        <w:t> </w:t>
      </w:r>
      <w:r w:rsidRPr="0096468A">
        <w:rPr>
          <w:kern w:val="2"/>
          <w:szCs w:val="20"/>
        </w:rPr>
        <w:t>mg/kg/day) and males (</w:t>
      </w:r>
      <w:r w:rsidR="00B15BB5">
        <w:rPr>
          <w:kern w:val="2"/>
          <w:szCs w:val="20"/>
        </w:rPr>
        <w:t>1,000</w:t>
      </w:r>
      <w:r>
        <w:rPr>
          <w:kern w:val="2"/>
          <w:szCs w:val="20"/>
        </w:rPr>
        <w:t> </w:t>
      </w:r>
      <w:r w:rsidRPr="0096468A">
        <w:rPr>
          <w:kern w:val="2"/>
          <w:szCs w:val="20"/>
        </w:rPr>
        <w:t xml:space="preserve">mg/kg/day). </w:t>
      </w:r>
      <w:r>
        <w:rPr>
          <w:kern w:val="2"/>
          <w:szCs w:val="20"/>
        </w:rPr>
        <w:t>H</w:t>
      </w:r>
      <w:r w:rsidRPr="0096468A">
        <w:rPr>
          <w:kern w:val="2"/>
          <w:szCs w:val="20"/>
        </w:rPr>
        <w:t xml:space="preserve">istopathological changes in kidneys (pelvic cavity dilatation and slight inflammation) and urinary bladder (inflammation of lamina </w:t>
      </w:r>
      <w:proofErr w:type="spellStart"/>
      <w:r w:rsidRPr="0096468A">
        <w:rPr>
          <w:kern w:val="2"/>
          <w:szCs w:val="20"/>
        </w:rPr>
        <w:t>propria</w:t>
      </w:r>
      <w:proofErr w:type="spellEnd"/>
      <w:r w:rsidRPr="0096468A">
        <w:rPr>
          <w:kern w:val="2"/>
          <w:szCs w:val="20"/>
        </w:rPr>
        <w:t xml:space="preserve"> and transitional cell hyperplasia) </w:t>
      </w:r>
      <w:r>
        <w:rPr>
          <w:kern w:val="2"/>
          <w:szCs w:val="20"/>
        </w:rPr>
        <w:t>occurred at the high</w:t>
      </w:r>
      <w:r w:rsidR="00A66186">
        <w:rPr>
          <w:kern w:val="2"/>
          <w:szCs w:val="20"/>
        </w:rPr>
        <w:t xml:space="preserve"> </w:t>
      </w:r>
      <w:r>
        <w:rPr>
          <w:kern w:val="2"/>
          <w:szCs w:val="20"/>
        </w:rPr>
        <w:t>dose level (</w:t>
      </w:r>
      <w:r w:rsidR="00B15BB5">
        <w:rPr>
          <w:kern w:val="2"/>
          <w:szCs w:val="20"/>
        </w:rPr>
        <w:t>1,000</w:t>
      </w:r>
      <w:r>
        <w:rPr>
          <w:kern w:val="2"/>
          <w:szCs w:val="20"/>
        </w:rPr>
        <w:t> mg/kg/day; RE, approximately</w:t>
      </w:r>
      <w:r w:rsidR="00353A17">
        <w:rPr>
          <w:kern w:val="2"/>
          <w:szCs w:val="20"/>
        </w:rPr>
        <w:t> </w:t>
      </w:r>
      <w:r>
        <w:rPr>
          <w:kern w:val="2"/>
          <w:szCs w:val="20"/>
        </w:rPr>
        <w:t>2</w:t>
      </w:r>
      <w:r w:rsidR="00226C55">
        <w:rPr>
          <w:kern w:val="2"/>
          <w:szCs w:val="20"/>
        </w:rPr>
        <w:t> x</w:t>
      </w:r>
      <w:r>
        <w:rPr>
          <w:kern w:val="2"/>
          <w:szCs w:val="20"/>
        </w:rPr>
        <w:t xml:space="preserve">) at low incidence and </w:t>
      </w:r>
      <w:r w:rsidRPr="0096468A">
        <w:rPr>
          <w:kern w:val="2"/>
          <w:szCs w:val="20"/>
        </w:rPr>
        <w:t xml:space="preserve">may have been secondary to </w:t>
      </w:r>
      <w:proofErr w:type="spellStart"/>
      <w:r w:rsidRPr="0096468A">
        <w:rPr>
          <w:kern w:val="2"/>
          <w:szCs w:val="20"/>
        </w:rPr>
        <w:t>crystalluria</w:t>
      </w:r>
      <w:proofErr w:type="spellEnd"/>
      <w:r w:rsidRPr="0096468A">
        <w:rPr>
          <w:kern w:val="2"/>
          <w:szCs w:val="20"/>
        </w:rPr>
        <w:t>. The urinary changes may have been related to the high levels of urinary excretion of the 5-CA-pirfenidone metabolite. The observed changes were reversible in SD rats. There was no evidence of adverse kidney or urinary bladder effects in dogs</w:t>
      </w:r>
      <w:r>
        <w:rPr>
          <w:kern w:val="2"/>
          <w:szCs w:val="20"/>
        </w:rPr>
        <w:t xml:space="preserve"> (RE, ≤</w:t>
      </w:r>
      <w:r w:rsidR="00353A17">
        <w:rPr>
          <w:kern w:val="2"/>
          <w:szCs w:val="20"/>
        </w:rPr>
        <w:t> </w:t>
      </w:r>
      <w:r>
        <w:rPr>
          <w:kern w:val="2"/>
          <w:szCs w:val="20"/>
        </w:rPr>
        <w:t>3.2</w:t>
      </w:r>
      <w:r w:rsidR="00226C55">
        <w:rPr>
          <w:kern w:val="2"/>
          <w:szCs w:val="20"/>
        </w:rPr>
        <w:t> </w:t>
      </w:r>
      <w:proofErr w:type="gramStart"/>
      <w:r w:rsidR="00226C55">
        <w:rPr>
          <w:kern w:val="2"/>
          <w:szCs w:val="20"/>
        </w:rPr>
        <w:t>x</w:t>
      </w:r>
      <w:proofErr w:type="gramEnd"/>
      <w:r>
        <w:rPr>
          <w:kern w:val="2"/>
          <w:szCs w:val="20"/>
        </w:rPr>
        <w:t xml:space="preserve"> in the pivotal study)</w:t>
      </w:r>
      <w:r w:rsidRPr="0096468A">
        <w:rPr>
          <w:kern w:val="2"/>
          <w:szCs w:val="20"/>
        </w:rPr>
        <w:t>.</w:t>
      </w:r>
    </w:p>
    <w:p w:rsidR="00876BB3" w:rsidRPr="0053653C" w:rsidRDefault="00876BB3" w:rsidP="00876BB3">
      <w:pPr>
        <w:pStyle w:val="Standard"/>
        <w:rPr>
          <w:kern w:val="2"/>
          <w:szCs w:val="20"/>
        </w:rPr>
      </w:pPr>
      <w:r w:rsidRPr="0096468A">
        <w:rPr>
          <w:kern w:val="2"/>
          <w:szCs w:val="20"/>
        </w:rPr>
        <w:t>Haematological changes included mild anaemia in SD and F344 rats that received ≥</w:t>
      </w:r>
      <w:r w:rsidR="00353A17">
        <w:rPr>
          <w:kern w:val="2"/>
          <w:szCs w:val="20"/>
        </w:rPr>
        <w:t> </w:t>
      </w:r>
      <w:r w:rsidR="00B15BB5">
        <w:rPr>
          <w:kern w:val="2"/>
          <w:szCs w:val="20"/>
        </w:rPr>
        <w:t>1,000</w:t>
      </w:r>
      <w:r w:rsidRPr="0096468A">
        <w:rPr>
          <w:kern w:val="2"/>
          <w:szCs w:val="20"/>
        </w:rPr>
        <w:t xml:space="preserve"> mg/kg/day </w:t>
      </w:r>
      <w:proofErr w:type="spellStart"/>
      <w:r w:rsidRPr="0096468A">
        <w:rPr>
          <w:kern w:val="2"/>
          <w:szCs w:val="20"/>
        </w:rPr>
        <w:t>pirfenidone</w:t>
      </w:r>
      <w:proofErr w:type="spellEnd"/>
      <w:r w:rsidRPr="0096468A">
        <w:rPr>
          <w:kern w:val="2"/>
          <w:szCs w:val="20"/>
        </w:rPr>
        <w:t xml:space="preserve"> for 3</w:t>
      </w:r>
      <w:r w:rsidR="00353A17">
        <w:rPr>
          <w:kern w:val="2"/>
          <w:szCs w:val="20"/>
        </w:rPr>
        <w:t> to </w:t>
      </w:r>
      <w:r w:rsidRPr="0096468A">
        <w:rPr>
          <w:kern w:val="2"/>
          <w:szCs w:val="20"/>
        </w:rPr>
        <w:t>6 months (RE</w:t>
      </w:r>
      <w:r>
        <w:rPr>
          <w:kern w:val="2"/>
          <w:szCs w:val="20"/>
        </w:rPr>
        <w:t>,</w:t>
      </w:r>
      <w:r w:rsidRPr="0096468A">
        <w:rPr>
          <w:kern w:val="2"/>
          <w:szCs w:val="20"/>
        </w:rPr>
        <w:t xml:space="preserve"> </w:t>
      </w:r>
      <w:r>
        <w:rPr>
          <w:kern w:val="2"/>
          <w:szCs w:val="20"/>
        </w:rPr>
        <w:t>approximately</w:t>
      </w:r>
      <w:r w:rsidRPr="0096468A">
        <w:rPr>
          <w:kern w:val="2"/>
          <w:szCs w:val="20"/>
        </w:rPr>
        <w:t>1</w:t>
      </w:r>
      <w:r w:rsidR="00353A17">
        <w:rPr>
          <w:kern w:val="2"/>
          <w:szCs w:val="20"/>
        </w:rPr>
        <w:t> to </w:t>
      </w:r>
      <w:r w:rsidRPr="0096468A">
        <w:rPr>
          <w:kern w:val="2"/>
          <w:szCs w:val="20"/>
        </w:rPr>
        <w:t>2</w:t>
      </w:r>
      <w:r w:rsidR="00353A17">
        <w:rPr>
          <w:kern w:val="2"/>
          <w:szCs w:val="20"/>
        </w:rPr>
        <w:t> </w:t>
      </w:r>
      <w:proofErr w:type="gramStart"/>
      <w:r w:rsidR="00226C55">
        <w:rPr>
          <w:kern w:val="2"/>
          <w:szCs w:val="20"/>
        </w:rPr>
        <w:t>x</w:t>
      </w:r>
      <w:proofErr w:type="gramEnd"/>
      <w:r w:rsidRPr="0096468A">
        <w:rPr>
          <w:kern w:val="2"/>
          <w:szCs w:val="20"/>
        </w:rPr>
        <w:t>). There was also a slight reduction in erythrocytes in dogs that received ≥</w:t>
      </w:r>
      <w:r w:rsidR="00353A17">
        <w:rPr>
          <w:kern w:val="2"/>
          <w:szCs w:val="20"/>
        </w:rPr>
        <w:t> </w:t>
      </w:r>
      <w:r w:rsidRPr="0096468A">
        <w:rPr>
          <w:kern w:val="2"/>
          <w:szCs w:val="20"/>
        </w:rPr>
        <w:t xml:space="preserve">70 mg/kg/day </w:t>
      </w:r>
      <w:proofErr w:type="spellStart"/>
      <w:r w:rsidRPr="0096468A">
        <w:rPr>
          <w:kern w:val="2"/>
          <w:szCs w:val="20"/>
        </w:rPr>
        <w:t>pirfenidone</w:t>
      </w:r>
      <w:proofErr w:type="spellEnd"/>
      <w:r w:rsidRPr="0096468A">
        <w:rPr>
          <w:kern w:val="2"/>
          <w:szCs w:val="20"/>
        </w:rPr>
        <w:t xml:space="preserve"> for 9</w:t>
      </w:r>
      <w:r w:rsidR="00A66186">
        <w:rPr>
          <w:kern w:val="2"/>
          <w:szCs w:val="20"/>
        </w:rPr>
        <w:t> </w:t>
      </w:r>
      <w:r w:rsidRPr="0096468A">
        <w:rPr>
          <w:kern w:val="2"/>
          <w:szCs w:val="20"/>
        </w:rPr>
        <w:t>months (RE</w:t>
      </w:r>
      <w:r>
        <w:rPr>
          <w:kern w:val="2"/>
          <w:szCs w:val="20"/>
        </w:rPr>
        <w:t>,</w:t>
      </w:r>
      <w:r w:rsidRPr="0096468A">
        <w:rPr>
          <w:kern w:val="2"/>
          <w:szCs w:val="20"/>
        </w:rPr>
        <w:t xml:space="preserve"> ≥</w:t>
      </w:r>
      <w:r w:rsidR="00353A17">
        <w:rPr>
          <w:kern w:val="2"/>
          <w:szCs w:val="20"/>
        </w:rPr>
        <w:t> </w:t>
      </w:r>
      <w:r w:rsidRPr="00F50375">
        <w:rPr>
          <w:kern w:val="2"/>
          <w:szCs w:val="20"/>
        </w:rPr>
        <w:t>1</w:t>
      </w:r>
      <w:r w:rsidR="00226C55">
        <w:rPr>
          <w:kern w:val="2"/>
          <w:szCs w:val="20"/>
        </w:rPr>
        <w:t> x</w:t>
      </w:r>
      <w:r w:rsidRPr="00F50375">
        <w:rPr>
          <w:kern w:val="2"/>
          <w:szCs w:val="20"/>
        </w:rPr>
        <w:t xml:space="preserve">). The magnitude of the changes was small and findings were reversed following cessation of dosing. Platelets were increased after 3 or more months treatment with </w:t>
      </w:r>
      <w:proofErr w:type="spellStart"/>
      <w:r w:rsidRPr="00F50375">
        <w:rPr>
          <w:kern w:val="2"/>
          <w:szCs w:val="20"/>
        </w:rPr>
        <w:t>pirfenidone</w:t>
      </w:r>
      <w:proofErr w:type="spellEnd"/>
      <w:r w:rsidRPr="00F50375">
        <w:rPr>
          <w:kern w:val="2"/>
          <w:szCs w:val="20"/>
        </w:rPr>
        <w:t xml:space="preserve"> </w:t>
      </w:r>
      <w:r w:rsidRPr="00215026">
        <w:rPr>
          <w:kern w:val="2"/>
          <w:szCs w:val="20"/>
        </w:rPr>
        <w:t xml:space="preserve">in </w:t>
      </w:r>
      <w:r w:rsidR="00215026" w:rsidRPr="00744158">
        <w:rPr>
          <w:kern w:val="2"/>
          <w:szCs w:val="20"/>
        </w:rPr>
        <w:t xml:space="preserve">B6C3F1 </w:t>
      </w:r>
      <w:r w:rsidRPr="00F50375">
        <w:rPr>
          <w:kern w:val="2"/>
          <w:szCs w:val="20"/>
        </w:rPr>
        <w:t>mice (</w:t>
      </w:r>
      <w:r w:rsidR="00A66186">
        <w:rPr>
          <w:kern w:val="2"/>
          <w:szCs w:val="20"/>
        </w:rPr>
        <w:t>2,000</w:t>
      </w:r>
      <w:r w:rsidRPr="00F50375">
        <w:rPr>
          <w:kern w:val="2"/>
          <w:szCs w:val="20"/>
        </w:rPr>
        <w:t xml:space="preserve"> mg/kg/day; RE 0.3</w:t>
      </w:r>
      <w:r w:rsidR="00353A17">
        <w:rPr>
          <w:kern w:val="2"/>
          <w:szCs w:val="20"/>
        </w:rPr>
        <w:t> </w:t>
      </w:r>
      <w:r w:rsidR="00226C55">
        <w:rPr>
          <w:kern w:val="2"/>
          <w:szCs w:val="20"/>
        </w:rPr>
        <w:t>x</w:t>
      </w:r>
      <w:r w:rsidRPr="00F50375">
        <w:rPr>
          <w:kern w:val="2"/>
          <w:szCs w:val="20"/>
        </w:rPr>
        <w:t xml:space="preserve">), F344 rats </w:t>
      </w:r>
      <w:r w:rsidRPr="0053653C">
        <w:rPr>
          <w:kern w:val="2"/>
          <w:szCs w:val="20"/>
        </w:rPr>
        <w:t>(</w:t>
      </w:r>
      <w:r w:rsidR="00B15BB5">
        <w:rPr>
          <w:kern w:val="2"/>
          <w:szCs w:val="20"/>
        </w:rPr>
        <w:t>1,000</w:t>
      </w:r>
      <w:r w:rsidRPr="0053653C">
        <w:rPr>
          <w:kern w:val="2"/>
          <w:szCs w:val="20"/>
        </w:rPr>
        <w:t xml:space="preserve"> mg/kg/day; RE 0.9</w:t>
      </w:r>
      <w:r w:rsidR="00353A17">
        <w:rPr>
          <w:kern w:val="2"/>
          <w:szCs w:val="20"/>
        </w:rPr>
        <w:t> </w:t>
      </w:r>
      <w:r w:rsidR="00226C55">
        <w:rPr>
          <w:kern w:val="2"/>
          <w:szCs w:val="20"/>
        </w:rPr>
        <w:t>x</w:t>
      </w:r>
      <w:r w:rsidRPr="0053653C">
        <w:rPr>
          <w:kern w:val="2"/>
          <w:szCs w:val="20"/>
        </w:rPr>
        <w:t>) and beagle dogs (≥</w:t>
      </w:r>
      <w:r w:rsidR="00AA3D40">
        <w:rPr>
          <w:kern w:val="2"/>
          <w:szCs w:val="20"/>
        </w:rPr>
        <w:t> </w:t>
      </w:r>
      <w:r w:rsidRPr="0053653C">
        <w:rPr>
          <w:kern w:val="2"/>
          <w:szCs w:val="20"/>
        </w:rPr>
        <w:t>70 mg/kg/day; RE ≥</w:t>
      </w:r>
      <w:r w:rsidR="00353A17">
        <w:rPr>
          <w:kern w:val="2"/>
          <w:szCs w:val="20"/>
        </w:rPr>
        <w:t> </w:t>
      </w:r>
      <w:r w:rsidRPr="0053653C">
        <w:rPr>
          <w:kern w:val="2"/>
          <w:szCs w:val="20"/>
        </w:rPr>
        <w:t>1</w:t>
      </w:r>
      <w:r w:rsidR="00313290">
        <w:rPr>
          <w:kern w:val="2"/>
          <w:szCs w:val="20"/>
        </w:rPr>
        <w:t> </w:t>
      </w:r>
      <w:r w:rsidR="00226C55">
        <w:rPr>
          <w:kern w:val="2"/>
          <w:szCs w:val="20"/>
        </w:rPr>
        <w:t>x</w:t>
      </w:r>
      <w:r w:rsidRPr="0053653C">
        <w:rPr>
          <w:kern w:val="2"/>
          <w:szCs w:val="20"/>
        </w:rPr>
        <w:t xml:space="preserve">). The increase was shown to be reversible in dogs. There was a slight prolongation of </w:t>
      </w:r>
      <w:r w:rsidR="00353A17">
        <w:rPr>
          <w:kern w:val="2"/>
          <w:szCs w:val="20"/>
        </w:rPr>
        <w:t>the activated partial thromboplastin time (</w:t>
      </w:r>
      <w:r w:rsidRPr="0053653C">
        <w:rPr>
          <w:kern w:val="2"/>
          <w:szCs w:val="20"/>
        </w:rPr>
        <w:t>APTT</w:t>
      </w:r>
      <w:r w:rsidR="00353A17">
        <w:rPr>
          <w:kern w:val="2"/>
          <w:szCs w:val="20"/>
        </w:rPr>
        <w:t>)</w:t>
      </w:r>
      <w:r w:rsidRPr="0053653C">
        <w:rPr>
          <w:kern w:val="2"/>
          <w:szCs w:val="20"/>
        </w:rPr>
        <w:t xml:space="preserve"> in rats that received ≥</w:t>
      </w:r>
      <w:r w:rsidR="00353A17">
        <w:rPr>
          <w:kern w:val="2"/>
          <w:szCs w:val="20"/>
        </w:rPr>
        <w:t> </w:t>
      </w:r>
      <w:r w:rsidRPr="0053653C">
        <w:rPr>
          <w:kern w:val="2"/>
          <w:szCs w:val="20"/>
        </w:rPr>
        <w:t xml:space="preserve">500 mg/kg/day PO or 300 mg/kg/day IV </w:t>
      </w:r>
      <w:proofErr w:type="spellStart"/>
      <w:r w:rsidRPr="0053653C">
        <w:rPr>
          <w:kern w:val="2"/>
          <w:szCs w:val="20"/>
        </w:rPr>
        <w:t>pirfenidone</w:t>
      </w:r>
      <w:proofErr w:type="spellEnd"/>
      <w:r w:rsidRPr="0053653C">
        <w:rPr>
          <w:kern w:val="2"/>
          <w:szCs w:val="20"/>
        </w:rPr>
        <w:t>, which was reversible in the oral study (RE, 1</w:t>
      </w:r>
      <w:r w:rsidR="00353A17">
        <w:rPr>
          <w:kern w:val="2"/>
          <w:szCs w:val="20"/>
        </w:rPr>
        <w:t> </w:t>
      </w:r>
      <w:r w:rsidR="00226C55">
        <w:rPr>
          <w:kern w:val="2"/>
          <w:szCs w:val="20"/>
        </w:rPr>
        <w:t>x</w:t>
      </w:r>
      <w:r w:rsidRPr="0053653C">
        <w:rPr>
          <w:kern w:val="2"/>
          <w:szCs w:val="20"/>
        </w:rPr>
        <w:t>).</w:t>
      </w:r>
    </w:p>
    <w:p w:rsidR="00876BB3" w:rsidRPr="0053653C" w:rsidRDefault="00876BB3" w:rsidP="00876BB3">
      <w:pPr>
        <w:pStyle w:val="Standard"/>
        <w:rPr>
          <w:kern w:val="2"/>
          <w:szCs w:val="20"/>
        </w:rPr>
      </w:pPr>
      <w:r w:rsidRPr="0053653C">
        <w:rPr>
          <w:kern w:val="2"/>
          <w:szCs w:val="20"/>
        </w:rPr>
        <w:t xml:space="preserve">Adverse neurological effects of </w:t>
      </w:r>
      <w:proofErr w:type="spellStart"/>
      <w:r w:rsidRPr="0053653C">
        <w:rPr>
          <w:kern w:val="2"/>
          <w:szCs w:val="20"/>
        </w:rPr>
        <w:t>pirfenidone</w:t>
      </w:r>
      <w:proofErr w:type="spellEnd"/>
      <w:r w:rsidRPr="0053653C">
        <w:rPr>
          <w:kern w:val="2"/>
          <w:szCs w:val="20"/>
        </w:rPr>
        <w:t xml:space="preserve"> were identified</w:t>
      </w:r>
      <w:r w:rsidR="00353A17">
        <w:rPr>
          <w:kern w:val="2"/>
          <w:szCs w:val="20"/>
        </w:rPr>
        <w:t xml:space="preserve"> </w:t>
      </w:r>
      <w:r w:rsidR="00E509AB">
        <w:rPr>
          <w:kern w:val="2"/>
          <w:szCs w:val="20"/>
        </w:rPr>
        <w:t xml:space="preserve">in safety pharmacology </w:t>
      </w:r>
      <w:r w:rsidR="00353A17">
        <w:rPr>
          <w:kern w:val="2"/>
          <w:szCs w:val="20"/>
        </w:rPr>
        <w:t xml:space="preserve">studies. </w:t>
      </w:r>
      <w:r w:rsidRPr="0053653C">
        <w:rPr>
          <w:kern w:val="2"/>
          <w:szCs w:val="20"/>
        </w:rPr>
        <w:t xml:space="preserve">Similar effects were observed in the rat and dog studies, which included </w:t>
      </w:r>
      <w:proofErr w:type="spellStart"/>
      <w:r w:rsidRPr="0053653C">
        <w:rPr>
          <w:kern w:val="2"/>
          <w:szCs w:val="20"/>
        </w:rPr>
        <w:t>hypoactivity</w:t>
      </w:r>
      <w:proofErr w:type="spellEnd"/>
      <w:r w:rsidRPr="0053653C">
        <w:rPr>
          <w:kern w:val="2"/>
          <w:szCs w:val="20"/>
        </w:rPr>
        <w:t xml:space="preserve">, salivation, abnormal gait, hypopnea and convulsions. The clinical signs were primarily observed in the highest dose groups and most frequently occurred after the first dose of </w:t>
      </w:r>
      <w:proofErr w:type="spellStart"/>
      <w:r w:rsidRPr="0053653C">
        <w:rPr>
          <w:kern w:val="2"/>
          <w:szCs w:val="20"/>
        </w:rPr>
        <w:t>pirfenidone</w:t>
      </w:r>
      <w:proofErr w:type="spellEnd"/>
      <w:r w:rsidRPr="0053653C">
        <w:rPr>
          <w:kern w:val="2"/>
          <w:szCs w:val="20"/>
        </w:rPr>
        <w:t xml:space="preserve"> was administered. Splitting the high dos</w:t>
      </w:r>
      <w:r w:rsidR="00353A17">
        <w:rPr>
          <w:kern w:val="2"/>
          <w:szCs w:val="20"/>
        </w:rPr>
        <w:t>e of 200 mg/kg/day into two 100 </w:t>
      </w:r>
      <w:r w:rsidRPr="0053653C">
        <w:rPr>
          <w:kern w:val="2"/>
          <w:szCs w:val="20"/>
        </w:rPr>
        <w:t>mg/kg doses reduced the seve</w:t>
      </w:r>
      <w:r>
        <w:rPr>
          <w:kern w:val="2"/>
          <w:szCs w:val="20"/>
        </w:rPr>
        <w:t>rity of clinical signs in dogs.</w:t>
      </w:r>
    </w:p>
    <w:p w:rsidR="00876BB3" w:rsidRPr="005E40B1" w:rsidRDefault="00876BB3" w:rsidP="00876BB3">
      <w:pPr>
        <w:pStyle w:val="Standard"/>
        <w:rPr>
          <w:kern w:val="2"/>
          <w:szCs w:val="20"/>
        </w:rPr>
      </w:pPr>
      <w:r w:rsidRPr="004E1259">
        <w:rPr>
          <w:kern w:val="2"/>
          <w:szCs w:val="20"/>
        </w:rPr>
        <w:t xml:space="preserve">Increased relative adrenal gland weight was associated with slight zona </w:t>
      </w:r>
      <w:proofErr w:type="spellStart"/>
      <w:r w:rsidRPr="004E1259">
        <w:rPr>
          <w:kern w:val="2"/>
          <w:szCs w:val="20"/>
        </w:rPr>
        <w:t>fasciculat</w:t>
      </w:r>
      <w:r w:rsidR="00353A17">
        <w:rPr>
          <w:kern w:val="2"/>
          <w:szCs w:val="20"/>
        </w:rPr>
        <w:t>a</w:t>
      </w:r>
      <w:proofErr w:type="spellEnd"/>
      <w:r w:rsidRPr="004E1259">
        <w:rPr>
          <w:kern w:val="2"/>
          <w:szCs w:val="20"/>
        </w:rPr>
        <w:t xml:space="preserve"> hypertrophy in male F344 rats that received 1</w:t>
      </w:r>
      <w:r w:rsidR="00E509AB">
        <w:rPr>
          <w:kern w:val="2"/>
          <w:szCs w:val="20"/>
        </w:rPr>
        <w:t>,</w:t>
      </w:r>
      <w:r w:rsidRPr="004E1259">
        <w:rPr>
          <w:kern w:val="2"/>
          <w:szCs w:val="20"/>
        </w:rPr>
        <w:t xml:space="preserve">500 mg/kg/day </w:t>
      </w:r>
      <w:proofErr w:type="spellStart"/>
      <w:r w:rsidRPr="004E1259">
        <w:rPr>
          <w:kern w:val="2"/>
          <w:szCs w:val="20"/>
        </w:rPr>
        <w:t>pirfenidone</w:t>
      </w:r>
      <w:proofErr w:type="spellEnd"/>
      <w:r w:rsidRPr="004E1259">
        <w:rPr>
          <w:kern w:val="2"/>
          <w:szCs w:val="20"/>
        </w:rPr>
        <w:t xml:space="preserve"> in the diet for 3</w:t>
      </w:r>
      <w:r w:rsidR="00E509AB">
        <w:rPr>
          <w:kern w:val="2"/>
          <w:szCs w:val="20"/>
        </w:rPr>
        <w:t> </w:t>
      </w:r>
      <w:r w:rsidRPr="004E1259">
        <w:rPr>
          <w:kern w:val="2"/>
          <w:szCs w:val="20"/>
        </w:rPr>
        <w:t>months (RE, 1</w:t>
      </w:r>
      <w:r w:rsidR="00353A17">
        <w:rPr>
          <w:kern w:val="2"/>
          <w:szCs w:val="20"/>
        </w:rPr>
        <w:t> </w:t>
      </w:r>
      <w:r w:rsidR="00226C55">
        <w:rPr>
          <w:kern w:val="2"/>
          <w:szCs w:val="20"/>
        </w:rPr>
        <w:t>x</w:t>
      </w:r>
      <w:r w:rsidRPr="004E1259">
        <w:rPr>
          <w:kern w:val="2"/>
          <w:szCs w:val="20"/>
        </w:rPr>
        <w:t xml:space="preserve">). There was also a slight increase in the incidence of vacuolisation of </w:t>
      </w:r>
      <w:proofErr w:type="spellStart"/>
      <w:r w:rsidRPr="004E1259">
        <w:rPr>
          <w:kern w:val="2"/>
          <w:szCs w:val="20"/>
        </w:rPr>
        <w:t>fasciculata</w:t>
      </w:r>
      <w:proofErr w:type="spellEnd"/>
      <w:r w:rsidRPr="004E1259">
        <w:rPr>
          <w:kern w:val="2"/>
          <w:szCs w:val="20"/>
        </w:rPr>
        <w:t xml:space="preserve"> cells in male SD rats that </w:t>
      </w:r>
      <w:r w:rsidRPr="004826D7">
        <w:rPr>
          <w:kern w:val="2"/>
          <w:szCs w:val="20"/>
        </w:rPr>
        <w:t xml:space="preserve">received </w:t>
      </w:r>
      <w:r w:rsidR="00B15BB5">
        <w:rPr>
          <w:kern w:val="2"/>
          <w:szCs w:val="20"/>
        </w:rPr>
        <w:t>1,000</w:t>
      </w:r>
      <w:r w:rsidRPr="004826D7">
        <w:rPr>
          <w:kern w:val="2"/>
          <w:szCs w:val="20"/>
        </w:rPr>
        <w:t xml:space="preserve"> mg/kg/day PO (RE, 1.9</w:t>
      </w:r>
      <w:r w:rsidR="00353A17">
        <w:rPr>
          <w:kern w:val="2"/>
          <w:szCs w:val="20"/>
        </w:rPr>
        <w:t> </w:t>
      </w:r>
      <w:proofErr w:type="gramStart"/>
      <w:r w:rsidR="00226C55">
        <w:rPr>
          <w:kern w:val="2"/>
          <w:szCs w:val="20"/>
        </w:rPr>
        <w:t>x</w:t>
      </w:r>
      <w:proofErr w:type="gramEnd"/>
      <w:r w:rsidRPr="004826D7">
        <w:rPr>
          <w:kern w:val="2"/>
          <w:szCs w:val="20"/>
        </w:rPr>
        <w:t>). Diffuse cortical hypertrophy/hyperplasia was also observed in premature decedent female SD rats that received 1</w:t>
      </w:r>
      <w:r w:rsidR="00E509AB">
        <w:rPr>
          <w:kern w:val="2"/>
          <w:szCs w:val="20"/>
        </w:rPr>
        <w:t>,</w:t>
      </w:r>
      <w:r w:rsidRPr="004826D7">
        <w:rPr>
          <w:kern w:val="2"/>
          <w:szCs w:val="20"/>
        </w:rPr>
        <w:t xml:space="preserve">625 mg/kg/day </w:t>
      </w:r>
      <w:proofErr w:type="spellStart"/>
      <w:r w:rsidRPr="004826D7">
        <w:rPr>
          <w:kern w:val="2"/>
          <w:szCs w:val="20"/>
        </w:rPr>
        <w:t>pirfenidone</w:t>
      </w:r>
      <w:proofErr w:type="spellEnd"/>
      <w:r w:rsidRPr="004826D7">
        <w:rPr>
          <w:kern w:val="2"/>
          <w:szCs w:val="20"/>
        </w:rPr>
        <w:t xml:space="preserve"> IV (RE, </w:t>
      </w:r>
      <w:r>
        <w:rPr>
          <w:kern w:val="2"/>
          <w:szCs w:val="20"/>
        </w:rPr>
        <w:t>approximately</w:t>
      </w:r>
      <w:r w:rsidR="00443C9A">
        <w:rPr>
          <w:kern w:val="2"/>
          <w:szCs w:val="20"/>
        </w:rPr>
        <w:t> </w:t>
      </w:r>
      <w:r w:rsidRPr="004826D7">
        <w:rPr>
          <w:kern w:val="2"/>
          <w:szCs w:val="20"/>
        </w:rPr>
        <w:t>8</w:t>
      </w:r>
      <w:r w:rsidR="00353A17">
        <w:rPr>
          <w:kern w:val="2"/>
          <w:szCs w:val="20"/>
        </w:rPr>
        <w:t> </w:t>
      </w:r>
      <w:proofErr w:type="gramStart"/>
      <w:r w:rsidR="00226C55">
        <w:rPr>
          <w:kern w:val="2"/>
          <w:szCs w:val="20"/>
        </w:rPr>
        <w:t>x</w:t>
      </w:r>
      <w:proofErr w:type="gramEnd"/>
      <w:r w:rsidRPr="004826D7">
        <w:rPr>
          <w:kern w:val="2"/>
          <w:szCs w:val="20"/>
        </w:rPr>
        <w:t xml:space="preserve">). The </w:t>
      </w:r>
      <w:r w:rsidRPr="005E40B1">
        <w:rPr>
          <w:kern w:val="2"/>
          <w:szCs w:val="20"/>
        </w:rPr>
        <w:t>adrenal gland was not a target organ for toxicity in dogs.</w:t>
      </w:r>
    </w:p>
    <w:p w:rsidR="00876BB3" w:rsidRPr="005E40B1" w:rsidRDefault="00876BB3" w:rsidP="00876BB3">
      <w:pPr>
        <w:pStyle w:val="Standard"/>
        <w:rPr>
          <w:kern w:val="2"/>
          <w:szCs w:val="20"/>
        </w:rPr>
      </w:pPr>
      <w:r w:rsidRPr="005E40B1">
        <w:rPr>
          <w:kern w:val="2"/>
          <w:szCs w:val="20"/>
        </w:rPr>
        <w:t xml:space="preserve">Submaxillary gland changes were observed in dogs. Acinar hypertrophy of the mucous gland was seen in animals that received </w:t>
      </w:r>
      <w:proofErr w:type="spellStart"/>
      <w:r w:rsidRPr="005E40B1">
        <w:rPr>
          <w:kern w:val="2"/>
          <w:szCs w:val="20"/>
        </w:rPr>
        <w:t>pirfenidone</w:t>
      </w:r>
      <w:proofErr w:type="spellEnd"/>
      <w:r w:rsidRPr="005E40B1">
        <w:rPr>
          <w:kern w:val="2"/>
          <w:szCs w:val="20"/>
        </w:rPr>
        <w:t xml:space="preserve"> at 200 mg/kg/day for 3 months and at ≥</w:t>
      </w:r>
      <w:r w:rsidR="00353A17">
        <w:rPr>
          <w:kern w:val="2"/>
          <w:szCs w:val="20"/>
        </w:rPr>
        <w:t> </w:t>
      </w:r>
      <w:r w:rsidRPr="005E40B1">
        <w:rPr>
          <w:kern w:val="2"/>
          <w:szCs w:val="20"/>
        </w:rPr>
        <w:t>70 mg/kg/day for 9 months (RE, ≥</w:t>
      </w:r>
      <w:r w:rsidR="00353A17">
        <w:rPr>
          <w:kern w:val="2"/>
          <w:szCs w:val="20"/>
        </w:rPr>
        <w:t> </w:t>
      </w:r>
      <w:r w:rsidRPr="005E40B1">
        <w:rPr>
          <w:kern w:val="2"/>
          <w:szCs w:val="20"/>
        </w:rPr>
        <w:t>1</w:t>
      </w:r>
      <w:r w:rsidR="00226C55">
        <w:rPr>
          <w:kern w:val="2"/>
          <w:szCs w:val="20"/>
        </w:rPr>
        <w:t> x</w:t>
      </w:r>
      <w:r w:rsidRPr="005E40B1">
        <w:rPr>
          <w:kern w:val="2"/>
          <w:szCs w:val="20"/>
        </w:rPr>
        <w:t>), accompanied by increased weight of the submaxillary gland at the 200 mg/kg/day dose level (≥</w:t>
      </w:r>
      <w:r w:rsidR="00353A17">
        <w:rPr>
          <w:kern w:val="2"/>
          <w:szCs w:val="20"/>
        </w:rPr>
        <w:t> </w:t>
      </w:r>
      <w:r w:rsidRPr="005E40B1">
        <w:rPr>
          <w:kern w:val="2"/>
          <w:szCs w:val="20"/>
        </w:rPr>
        <w:t>3 months treatment). These changes were considered to be related to the increased salivation in these dogs. There was evidence from both the 3</w:t>
      </w:r>
      <w:r w:rsidR="00353A17">
        <w:rPr>
          <w:kern w:val="2"/>
          <w:szCs w:val="20"/>
        </w:rPr>
        <w:t xml:space="preserve"> </w:t>
      </w:r>
      <w:r w:rsidRPr="005E40B1">
        <w:rPr>
          <w:kern w:val="2"/>
          <w:szCs w:val="20"/>
        </w:rPr>
        <w:t>and 9</w:t>
      </w:r>
      <w:r w:rsidR="00353A17">
        <w:rPr>
          <w:kern w:val="2"/>
          <w:szCs w:val="20"/>
        </w:rPr>
        <w:t xml:space="preserve"> </w:t>
      </w:r>
      <w:r w:rsidRPr="005E40B1">
        <w:rPr>
          <w:kern w:val="2"/>
          <w:szCs w:val="20"/>
        </w:rPr>
        <w:t>month studies to indicate these changes were reversible.</w:t>
      </w:r>
    </w:p>
    <w:p w:rsidR="00876BB3" w:rsidRPr="002C3796" w:rsidRDefault="00876BB3" w:rsidP="002C3796">
      <w:pPr>
        <w:pStyle w:val="Standard"/>
        <w:rPr>
          <w:kern w:val="2"/>
          <w:szCs w:val="20"/>
        </w:rPr>
      </w:pPr>
      <w:r w:rsidRPr="005E40B1">
        <w:rPr>
          <w:kern w:val="2"/>
          <w:szCs w:val="20"/>
        </w:rPr>
        <w:t xml:space="preserve">Atrophy was reported in the prostate or uterus of dogs that received 200 mg/kg/day </w:t>
      </w:r>
      <w:proofErr w:type="spellStart"/>
      <w:r w:rsidRPr="005E40B1">
        <w:rPr>
          <w:kern w:val="2"/>
          <w:szCs w:val="20"/>
        </w:rPr>
        <w:t>pirfenidone</w:t>
      </w:r>
      <w:proofErr w:type="spellEnd"/>
      <w:r w:rsidRPr="005E40B1">
        <w:rPr>
          <w:kern w:val="2"/>
          <w:szCs w:val="20"/>
        </w:rPr>
        <w:t xml:space="preserve"> PO for 3 months. These findings were not replicated in the 9</w:t>
      </w:r>
      <w:r w:rsidR="00353A17">
        <w:rPr>
          <w:kern w:val="2"/>
          <w:szCs w:val="20"/>
        </w:rPr>
        <w:t xml:space="preserve"> </w:t>
      </w:r>
      <w:r w:rsidRPr="005E40B1">
        <w:rPr>
          <w:kern w:val="2"/>
          <w:szCs w:val="20"/>
        </w:rPr>
        <w:t>month dog studies, and their toxicological significance is unclear.</w:t>
      </w:r>
    </w:p>
    <w:p w:rsidR="00876BB3" w:rsidRPr="0096468A" w:rsidRDefault="00876BB3" w:rsidP="00353A17">
      <w:pPr>
        <w:pStyle w:val="Heading4"/>
      </w:pPr>
      <w:bookmarkStart w:id="54" w:name="_Toc294861729"/>
      <w:r w:rsidRPr="0096468A">
        <w:lastRenderedPageBreak/>
        <w:t>Genotoxicity</w:t>
      </w:r>
      <w:bookmarkEnd w:id="54"/>
    </w:p>
    <w:p w:rsidR="00876BB3" w:rsidRPr="002C3796" w:rsidRDefault="00876BB3" w:rsidP="000F53E7">
      <w:r w:rsidRPr="002C3796">
        <w:t xml:space="preserve">The genotoxic potential of </w:t>
      </w:r>
      <w:proofErr w:type="spellStart"/>
      <w:r w:rsidRPr="002C3796">
        <w:t>pirfenidone</w:t>
      </w:r>
      <w:proofErr w:type="spellEnd"/>
      <w:r w:rsidRPr="002C3796">
        <w:t xml:space="preserve"> was assessed in a standard battery of validated studies conducted in compliance with </w:t>
      </w:r>
      <w:r w:rsidRPr="00C776D9">
        <w:t>ICH guideline</w:t>
      </w:r>
      <w:r w:rsidR="00E509AB">
        <w:rPr>
          <w:rStyle w:val="FootnoteReference"/>
        </w:rPr>
        <w:footnoteReference w:id="19"/>
      </w:r>
      <w:r w:rsidR="00C776D9">
        <w:t>.</w:t>
      </w:r>
      <w:r w:rsidR="00E509AB">
        <w:t xml:space="preserve"> </w:t>
      </w:r>
      <w:r w:rsidRPr="00C776D9">
        <w:t xml:space="preserve">Concentrations/doses used were appropriate. </w:t>
      </w:r>
      <w:proofErr w:type="spellStart"/>
      <w:r w:rsidRPr="00C776D9">
        <w:t>Pirfenidone</w:t>
      </w:r>
      <w:proofErr w:type="spellEnd"/>
      <w:r w:rsidRPr="00C776D9">
        <w:t xml:space="preserve"> was not mutagenic in assays in bacteria (Ames test),</w:t>
      </w:r>
      <w:r w:rsidRPr="002C3796">
        <w:t xml:space="preserve"> and was not </w:t>
      </w:r>
      <w:proofErr w:type="spellStart"/>
      <w:r w:rsidRPr="002C3796">
        <w:t>clastogenic</w:t>
      </w:r>
      <w:proofErr w:type="spellEnd"/>
      <w:r w:rsidRPr="002C3796">
        <w:t xml:space="preserve"> in in vitro assays using Chinese hamster lung and ovary cells. In vivo, </w:t>
      </w:r>
      <w:proofErr w:type="spellStart"/>
      <w:r w:rsidRPr="002C3796">
        <w:t>pirfenidone</w:t>
      </w:r>
      <w:proofErr w:type="spellEnd"/>
      <w:r w:rsidRPr="002C3796">
        <w:t xml:space="preserve"> was tested in a micronucleus assay in ICR mice and unscheduled DNA synthesis assay in F344 rats (PO administration), with negative results returned. Together, these studies indicate that </w:t>
      </w:r>
      <w:proofErr w:type="spellStart"/>
      <w:r w:rsidRPr="002C3796">
        <w:t>pirfenidone</w:t>
      </w:r>
      <w:proofErr w:type="spellEnd"/>
      <w:r w:rsidRPr="002C3796">
        <w:t xml:space="preserve"> does not pose a genotoxic hazard.</w:t>
      </w:r>
    </w:p>
    <w:p w:rsidR="00876BB3" w:rsidRPr="0096468A" w:rsidRDefault="00876BB3" w:rsidP="002C3796">
      <w:pPr>
        <w:pStyle w:val="Heading4"/>
      </w:pPr>
      <w:bookmarkStart w:id="55" w:name="_Toc294861730"/>
      <w:r w:rsidRPr="0096468A">
        <w:t>Carcinogenicity</w:t>
      </w:r>
      <w:bookmarkEnd w:id="55"/>
    </w:p>
    <w:p w:rsidR="00876BB3" w:rsidRPr="002C3796" w:rsidRDefault="00226C55" w:rsidP="000F53E7">
      <w:r>
        <w:t xml:space="preserve">Two </w:t>
      </w:r>
      <w:r w:rsidR="00876BB3" w:rsidRPr="002C3796">
        <w:t xml:space="preserve">year carcinogenicity studies were conducted in which </w:t>
      </w:r>
      <w:proofErr w:type="spellStart"/>
      <w:r w:rsidR="00876BB3" w:rsidRPr="002C3796">
        <w:t>pirfenidone</w:t>
      </w:r>
      <w:proofErr w:type="spellEnd"/>
      <w:r w:rsidR="00876BB3" w:rsidRPr="002C3796">
        <w:t xml:space="preserve"> was administered as a </w:t>
      </w:r>
      <w:r w:rsidR="00876BB3" w:rsidRPr="005F7E14">
        <w:t xml:space="preserve">dietary admixture to </w:t>
      </w:r>
      <w:r w:rsidR="00215026" w:rsidRPr="005F7E14">
        <w:t xml:space="preserve">B6C3F1 </w:t>
      </w:r>
      <w:r w:rsidR="00876BB3" w:rsidRPr="005F7E14">
        <w:t>mice (800</w:t>
      </w:r>
      <w:r w:rsidR="002C3796" w:rsidRPr="005F7E14">
        <w:t> to </w:t>
      </w:r>
      <w:r w:rsidR="00A66186" w:rsidRPr="005F7E14">
        <w:t>5,000</w:t>
      </w:r>
      <w:r w:rsidR="00876BB3" w:rsidRPr="005F7E14">
        <w:t xml:space="preserve"> mg/kg/day) and F344 rats (</w:t>
      </w:r>
      <w:r w:rsidR="002C3796" w:rsidRPr="005F7E14">
        <w:t>375 to </w:t>
      </w:r>
      <w:r w:rsidR="00876BB3" w:rsidRPr="005F7E14">
        <w:t>1</w:t>
      </w:r>
      <w:r w:rsidR="00114CAF" w:rsidRPr="005F7E14">
        <w:t>,</w:t>
      </w:r>
      <w:r w:rsidR="00876BB3" w:rsidRPr="005F7E14">
        <w:t>500 mg/kg/day). In general, the design and conduct of studies was consistent with ICH guidelines S1B and S1C</w:t>
      </w:r>
      <w:r w:rsidR="00953420" w:rsidRPr="005F7E14">
        <w:rPr>
          <w:rStyle w:val="FootnoteReference"/>
        </w:rPr>
        <w:footnoteReference w:id="20"/>
      </w:r>
      <w:r w:rsidR="005F7E14">
        <w:rPr>
          <w:rStyle w:val="FootnoteReference"/>
        </w:rPr>
        <w:footnoteReference w:id="21"/>
      </w:r>
      <w:r w:rsidR="00876BB3" w:rsidRPr="005F7E14">
        <w:t>. Dose selection was appropriate, with use of maximum tolerated doses demonstrated as reduced</w:t>
      </w:r>
      <w:r w:rsidR="00876BB3" w:rsidRPr="002C3796">
        <w:t xml:space="preserve"> body weight gain and total body weight (by &gt;</w:t>
      </w:r>
      <w:r w:rsidR="002C3796">
        <w:t> </w:t>
      </w:r>
      <w:r w:rsidR="00876BB3" w:rsidRPr="002C3796">
        <w:t xml:space="preserve">10%) in the </w:t>
      </w:r>
      <w:r w:rsidR="002C3796">
        <w:t xml:space="preserve">mid and high </w:t>
      </w:r>
      <w:r w:rsidR="00876BB3" w:rsidRPr="002C3796">
        <w:t>dose groups. However, despite the high dose levels employed, the relative exposure margins were ≤</w:t>
      </w:r>
      <w:r w:rsidR="002C3796">
        <w:t> </w:t>
      </w:r>
      <w:r w:rsidR="00876BB3" w:rsidRPr="002C3796">
        <w:t>1 in both species at all doses. Margins are higher with respect to exposure to the metabolite, 5-CA-pirfenidone, noting that in mice, the metabolite to parent ratio ranged from 1.6</w:t>
      </w:r>
      <w:r w:rsidR="002C3796">
        <w:t> to </w:t>
      </w:r>
      <w:r w:rsidR="00876BB3" w:rsidRPr="002C3796">
        <w:t>14</w:t>
      </w:r>
      <w:r w:rsidR="002C3796">
        <w:t> </w:t>
      </w:r>
      <w:proofErr w:type="gramStart"/>
      <w:r>
        <w:t>x</w:t>
      </w:r>
      <w:proofErr w:type="gramEnd"/>
      <w:r w:rsidR="00876BB3" w:rsidRPr="002C3796">
        <w:t>, and in rats the range was 2.4</w:t>
      </w:r>
      <w:r w:rsidR="002C3796">
        <w:t> to </w:t>
      </w:r>
      <w:r w:rsidR="00876BB3" w:rsidRPr="002C3796">
        <w:t>4.5</w:t>
      </w:r>
      <w:r w:rsidR="002C3796">
        <w:t> </w:t>
      </w:r>
      <w:r>
        <w:t>x</w:t>
      </w:r>
      <w:r w:rsidR="00313290">
        <w:t xml:space="preserve">, while in humans, the ratio was approximately 0.6 to 0.8 </w:t>
      </w:r>
      <w:r w:rsidR="00E60988">
        <w:t>x</w:t>
      </w:r>
      <w:r w:rsidR="00313290">
        <w:t xml:space="preserve"> in respect of 5-CA-pirfenidone to </w:t>
      </w:r>
      <w:proofErr w:type="spellStart"/>
      <w:r w:rsidR="00313290">
        <w:t>pirfenidone</w:t>
      </w:r>
      <w:proofErr w:type="spellEnd"/>
      <w:r w:rsidR="00313290">
        <w:t>.</w:t>
      </w:r>
    </w:p>
    <w:p w:rsidR="00876BB3" w:rsidRPr="002C3796" w:rsidRDefault="006967FD" w:rsidP="000F53E7">
      <w:r>
        <w:t>Dose dependent</w:t>
      </w:r>
      <w:r w:rsidR="00876BB3" w:rsidRPr="002C3796">
        <w:t xml:space="preserve"> hepatocellular adenomas and carcinomas were observed in mice that received ≥</w:t>
      </w:r>
      <w:r w:rsidR="002C3796">
        <w:t> </w:t>
      </w:r>
      <w:r w:rsidR="00876BB3" w:rsidRPr="002C3796">
        <w:t xml:space="preserve">800 mg/kg/day </w:t>
      </w:r>
      <w:proofErr w:type="spellStart"/>
      <w:r w:rsidR="00876BB3" w:rsidRPr="002C3796">
        <w:t>pirfenidone</w:t>
      </w:r>
      <w:proofErr w:type="spellEnd"/>
      <w:r w:rsidR="00876BB3" w:rsidRPr="002C3796">
        <w:t xml:space="preserve"> (RE, 0.1</w:t>
      </w:r>
      <w:r w:rsidR="00226C55">
        <w:t> x</w:t>
      </w:r>
      <w:r w:rsidR="00876BB3" w:rsidRPr="002C3796">
        <w:t>), in male rats that received ≥</w:t>
      </w:r>
      <w:r w:rsidR="002C3796">
        <w:t> 750 </w:t>
      </w:r>
      <w:r w:rsidR="00876BB3" w:rsidRPr="002C3796">
        <w:t xml:space="preserve">mg/kg/day </w:t>
      </w:r>
      <w:proofErr w:type="spellStart"/>
      <w:r w:rsidR="00876BB3" w:rsidRPr="002C3796">
        <w:t>pirfenidone</w:t>
      </w:r>
      <w:proofErr w:type="spellEnd"/>
      <w:r w:rsidR="00876BB3" w:rsidRPr="002C3796">
        <w:t xml:space="preserve"> (estimated RE, 0.7</w:t>
      </w:r>
      <w:r w:rsidR="00226C55">
        <w:t> x</w:t>
      </w:r>
      <w:r w:rsidR="00876BB3" w:rsidRPr="002C3796">
        <w:t>) and in</w:t>
      </w:r>
      <w:r w:rsidR="002C3796">
        <w:t xml:space="preserve"> female rats that received 1</w:t>
      </w:r>
      <w:r w:rsidR="00953420">
        <w:t>,</w:t>
      </w:r>
      <w:r w:rsidR="002C3796">
        <w:t>500 </w:t>
      </w:r>
      <w:r w:rsidR="00876BB3" w:rsidRPr="002C3796">
        <w:t>mg/kg/day (RE, 1</w:t>
      </w:r>
      <w:r w:rsidR="00226C55">
        <w:t> x</w:t>
      </w:r>
      <w:r w:rsidR="00876BB3" w:rsidRPr="002C3796">
        <w:t>). Treatment</w:t>
      </w:r>
      <w:r w:rsidR="00953420">
        <w:t xml:space="preserve"> </w:t>
      </w:r>
      <w:r w:rsidR="00876BB3" w:rsidRPr="002C3796">
        <w:t xml:space="preserve">related </w:t>
      </w:r>
      <w:proofErr w:type="spellStart"/>
      <w:r w:rsidR="00876BB3" w:rsidRPr="002C3796">
        <w:t>hepatoblastomas</w:t>
      </w:r>
      <w:proofErr w:type="spellEnd"/>
      <w:r w:rsidR="00876BB3" w:rsidRPr="002C3796">
        <w:t xml:space="preserve"> were also observed in male mice that received ≥</w:t>
      </w:r>
      <w:r w:rsidR="002C3796">
        <w:t> </w:t>
      </w:r>
      <w:r w:rsidR="00876BB3" w:rsidRPr="002C3796">
        <w:t xml:space="preserve">800 mg/kg/day </w:t>
      </w:r>
      <w:proofErr w:type="spellStart"/>
      <w:r w:rsidR="00876BB3" w:rsidRPr="002C3796">
        <w:t>pirfenidone</w:t>
      </w:r>
      <w:proofErr w:type="spellEnd"/>
      <w:r w:rsidR="00876BB3" w:rsidRPr="002C3796">
        <w:t xml:space="preserve">. Associated non-neoplastic liver findings included hepatocellular hypertrophy, single cell necrosis, eosinophilic foci of cellular alteration, pigmented </w:t>
      </w:r>
      <w:proofErr w:type="spellStart"/>
      <w:r w:rsidR="00876BB3" w:rsidRPr="002C3796">
        <w:t>Kupffer</w:t>
      </w:r>
      <w:proofErr w:type="spellEnd"/>
      <w:r w:rsidR="00876BB3" w:rsidRPr="002C3796">
        <w:t xml:space="preserve"> cells and hepatocytes, hepatocellular steatosis and </w:t>
      </w:r>
      <w:proofErr w:type="spellStart"/>
      <w:r w:rsidR="00876BB3" w:rsidRPr="002C3796">
        <w:t>angiectasis</w:t>
      </w:r>
      <w:proofErr w:type="spellEnd"/>
      <w:r w:rsidR="00876BB3" w:rsidRPr="002C3796">
        <w:t>. The neoplastic changes in rodent liver are likely related to the observed phenobarbital</w:t>
      </w:r>
      <w:r w:rsidR="00953420">
        <w:t xml:space="preserve"> </w:t>
      </w:r>
      <w:r w:rsidR="00876BB3" w:rsidRPr="002C3796">
        <w:t xml:space="preserve">like induction of CYP enzymes following repeated dosing with </w:t>
      </w:r>
      <w:proofErr w:type="spellStart"/>
      <w:r w:rsidR="00876BB3" w:rsidRPr="002C3796">
        <w:t>pirfenidone</w:t>
      </w:r>
      <w:proofErr w:type="spellEnd"/>
      <w:r w:rsidR="00876BB3" w:rsidRPr="002C3796">
        <w:t xml:space="preserve">. Induction of CYP activity was demonstrated in </w:t>
      </w:r>
      <w:r w:rsidR="00215026" w:rsidRPr="005F7E14">
        <w:t xml:space="preserve">B6C3F1 </w:t>
      </w:r>
      <w:r w:rsidR="00876BB3" w:rsidRPr="002C3796">
        <w:t xml:space="preserve">mice and F344 rats that received the same doses as in the carcinogenicity study for 4 weeks. Given that induction of CYPs was not observed with </w:t>
      </w:r>
      <w:proofErr w:type="spellStart"/>
      <w:r w:rsidR="00876BB3" w:rsidRPr="002C3796">
        <w:t>pirfenidone</w:t>
      </w:r>
      <w:proofErr w:type="spellEnd"/>
      <w:r w:rsidR="00876BB3" w:rsidRPr="002C3796">
        <w:t xml:space="preserve"> in vitro in experiments with cultured human hepatocytes, and considering that there is some evidence that human hepatocytes are less sensitive to the hyperplastic and anti-apoptotic effects of CYP inducers </w:t>
      </w:r>
      <w:r w:rsidR="00953420">
        <w:t>compared with</w:t>
      </w:r>
      <w:r w:rsidR="00876BB3" w:rsidRPr="002C3796">
        <w:t xml:space="preserve"> rodent cells</w:t>
      </w:r>
      <w:r w:rsidR="00953420">
        <w:t>,</w:t>
      </w:r>
      <w:r w:rsidR="00876BB3" w:rsidRPr="00226C55">
        <w:rPr>
          <w:vertAlign w:val="superscript"/>
        </w:rPr>
        <w:footnoteReference w:id="22"/>
      </w:r>
      <w:proofErr w:type="gramStart"/>
      <w:r w:rsidR="00876BB3" w:rsidRPr="00226C55">
        <w:rPr>
          <w:vertAlign w:val="superscript"/>
        </w:rPr>
        <w:t>,</w:t>
      </w:r>
      <w:proofErr w:type="gramEnd"/>
      <w:r w:rsidR="00876BB3" w:rsidRPr="002C3796">
        <w:t xml:space="preserve"> the finding of </w:t>
      </w:r>
      <w:proofErr w:type="spellStart"/>
      <w:r w:rsidR="00876BB3" w:rsidRPr="002C3796">
        <w:t>hepatocarcinogenicity</w:t>
      </w:r>
      <w:proofErr w:type="spellEnd"/>
      <w:r w:rsidR="00876BB3" w:rsidRPr="002C3796">
        <w:t xml:space="preserve"> in rodents may not be applicable to patients. However, the clinical relevance of the finding cannot be excluded, particularly given the occurrence of the liver tumours at subclinical exposure levels (as low as 0.1</w:t>
      </w:r>
      <w:r w:rsidR="002C3796">
        <w:t> </w:t>
      </w:r>
      <w:proofErr w:type="gramStart"/>
      <w:r w:rsidR="00226C55">
        <w:t>x</w:t>
      </w:r>
      <w:proofErr w:type="gramEnd"/>
      <w:r w:rsidR="00876BB3" w:rsidRPr="002C3796">
        <w:t>).</w:t>
      </w:r>
    </w:p>
    <w:p w:rsidR="00876BB3" w:rsidRPr="0096468A" w:rsidRDefault="00876BB3" w:rsidP="000F53E7">
      <w:r w:rsidRPr="0096468A">
        <w:t>There was an apparent increase in thyroid follicular cell carcinomas in rats that received 1</w:t>
      </w:r>
      <w:r w:rsidR="00953420">
        <w:t>,</w:t>
      </w:r>
      <w:r w:rsidRPr="0096468A">
        <w:t>500</w:t>
      </w:r>
      <w:r>
        <w:t> </w:t>
      </w:r>
      <w:r w:rsidRPr="0096468A">
        <w:t xml:space="preserve">mg/kg/day PO </w:t>
      </w:r>
      <w:proofErr w:type="spellStart"/>
      <w:r w:rsidRPr="0096468A">
        <w:t>pirfenidone</w:t>
      </w:r>
      <w:proofErr w:type="spellEnd"/>
      <w:r w:rsidRPr="0096468A">
        <w:t>. The mechanism of action for these tumours is related to induction of liver enzymes and is considered rodent</w:t>
      </w:r>
      <w:r>
        <w:t>-</w:t>
      </w:r>
      <w:r w:rsidRPr="0096468A">
        <w:t>specific due to species differences in thyroid hormone regulation.</w:t>
      </w:r>
      <w:r w:rsidRPr="0096468A">
        <w:rPr>
          <w:rStyle w:val="FootnoteReference"/>
        </w:rPr>
        <w:footnoteReference w:id="23"/>
      </w:r>
    </w:p>
    <w:p w:rsidR="00876BB3" w:rsidRPr="0096468A" w:rsidRDefault="00876BB3" w:rsidP="000F53E7">
      <w:pPr>
        <w:rPr>
          <w:kern w:val="2"/>
          <w:szCs w:val="20"/>
        </w:rPr>
      </w:pPr>
      <w:r w:rsidRPr="0096468A">
        <w:rPr>
          <w:kern w:val="2"/>
          <w:szCs w:val="20"/>
        </w:rPr>
        <w:lastRenderedPageBreak/>
        <w:t xml:space="preserve">The incidence of uterine adenocarcinomas was </w:t>
      </w:r>
      <w:r w:rsidR="006967FD">
        <w:rPr>
          <w:kern w:val="2"/>
          <w:szCs w:val="20"/>
        </w:rPr>
        <w:t>dose dependent</w:t>
      </w:r>
      <w:r w:rsidRPr="0096468A">
        <w:rPr>
          <w:kern w:val="2"/>
          <w:szCs w:val="20"/>
        </w:rPr>
        <w:t>ly increased in female rats that received ≥</w:t>
      </w:r>
      <w:r w:rsidR="002C3796">
        <w:rPr>
          <w:kern w:val="2"/>
          <w:szCs w:val="20"/>
        </w:rPr>
        <w:t> </w:t>
      </w:r>
      <w:r w:rsidRPr="0096468A">
        <w:rPr>
          <w:kern w:val="2"/>
          <w:szCs w:val="20"/>
        </w:rPr>
        <w:t xml:space="preserve">375 mg/kg/day PO </w:t>
      </w:r>
      <w:proofErr w:type="spellStart"/>
      <w:r w:rsidRPr="0096468A">
        <w:rPr>
          <w:kern w:val="2"/>
          <w:szCs w:val="20"/>
        </w:rPr>
        <w:t>pirfenidone</w:t>
      </w:r>
      <w:proofErr w:type="spellEnd"/>
      <w:r w:rsidRPr="0096468A">
        <w:rPr>
          <w:kern w:val="2"/>
          <w:szCs w:val="20"/>
        </w:rPr>
        <w:t xml:space="preserve"> (4%, 12%, 16% and 26% in control, 375, 750 and 1</w:t>
      </w:r>
      <w:r w:rsidR="00953420">
        <w:rPr>
          <w:kern w:val="2"/>
          <w:szCs w:val="20"/>
        </w:rPr>
        <w:t>,</w:t>
      </w:r>
      <w:r w:rsidRPr="0096468A">
        <w:rPr>
          <w:kern w:val="2"/>
          <w:szCs w:val="20"/>
        </w:rPr>
        <w:t>500</w:t>
      </w:r>
      <w:r>
        <w:rPr>
          <w:kern w:val="2"/>
          <w:szCs w:val="20"/>
        </w:rPr>
        <w:t> </w:t>
      </w:r>
      <w:r w:rsidRPr="0096468A">
        <w:rPr>
          <w:kern w:val="2"/>
          <w:szCs w:val="20"/>
        </w:rPr>
        <w:t xml:space="preserve">mg/kg/day groups, respectively; </w:t>
      </w:r>
      <w:r>
        <w:rPr>
          <w:kern w:val="2"/>
          <w:szCs w:val="20"/>
        </w:rPr>
        <w:t xml:space="preserve">statistically </w:t>
      </w:r>
      <w:r w:rsidRPr="0096468A">
        <w:rPr>
          <w:kern w:val="2"/>
          <w:szCs w:val="20"/>
        </w:rPr>
        <w:t>significant at high dose). Cystic and/or glandular endometrial hyperplasia was also more prevalent in female rats that received ≥</w:t>
      </w:r>
      <w:r w:rsidR="002C3796">
        <w:rPr>
          <w:kern w:val="2"/>
          <w:szCs w:val="20"/>
        </w:rPr>
        <w:t> </w:t>
      </w:r>
      <w:r w:rsidRPr="0096468A">
        <w:rPr>
          <w:kern w:val="2"/>
          <w:szCs w:val="20"/>
        </w:rPr>
        <w:t xml:space="preserve">750 mg/kg/day </w:t>
      </w:r>
      <w:proofErr w:type="spellStart"/>
      <w:r w:rsidRPr="0096468A">
        <w:rPr>
          <w:kern w:val="2"/>
          <w:szCs w:val="20"/>
        </w:rPr>
        <w:t>pirfenidone</w:t>
      </w:r>
      <w:proofErr w:type="spellEnd"/>
      <w:r w:rsidRPr="0096468A">
        <w:rPr>
          <w:kern w:val="2"/>
          <w:szCs w:val="20"/>
        </w:rPr>
        <w:t xml:space="preserve">. The sponsor proposed that the mechanism of action for the development of uterine tumours was related to effects of </w:t>
      </w:r>
      <w:proofErr w:type="spellStart"/>
      <w:r w:rsidRPr="0096468A">
        <w:rPr>
          <w:kern w:val="2"/>
          <w:szCs w:val="20"/>
        </w:rPr>
        <w:t>pirfenidone</w:t>
      </w:r>
      <w:proofErr w:type="spellEnd"/>
      <w:r w:rsidRPr="0096468A">
        <w:rPr>
          <w:kern w:val="2"/>
          <w:szCs w:val="20"/>
        </w:rPr>
        <w:t xml:space="preserve"> on hypothalamic dopamine release and subsequent suppression of prolactin levels. Mechanistic studies were conducted that showed a single oral dose of </w:t>
      </w:r>
      <w:proofErr w:type="spellStart"/>
      <w:r w:rsidRPr="0096468A">
        <w:rPr>
          <w:kern w:val="2"/>
          <w:szCs w:val="20"/>
        </w:rPr>
        <w:t>pirfenidone</w:t>
      </w:r>
      <w:proofErr w:type="spellEnd"/>
      <w:r w:rsidRPr="0096468A">
        <w:rPr>
          <w:kern w:val="2"/>
          <w:szCs w:val="20"/>
        </w:rPr>
        <w:t xml:space="preserve"> (≥</w:t>
      </w:r>
      <w:r w:rsidR="002C3796">
        <w:rPr>
          <w:kern w:val="2"/>
          <w:szCs w:val="20"/>
        </w:rPr>
        <w:t> </w:t>
      </w:r>
      <w:r w:rsidRPr="0096468A">
        <w:rPr>
          <w:kern w:val="2"/>
          <w:szCs w:val="20"/>
        </w:rPr>
        <w:t xml:space="preserve">100 mg/kg) increased extracellular dopamine levels in the arcuate nucleus of the hypothalamus, but not in striatum, of rat brain. However, data on plasma hormone levels were inconclusive in a study that administered </w:t>
      </w:r>
      <w:r w:rsidR="00953420">
        <w:rPr>
          <w:kern w:val="2"/>
          <w:szCs w:val="20"/>
        </w:rPr>
        <w:t>1,500</w:t>
      </w:r>
      <w:r w:rsidR="00C22B6B">
        <w:rPr>
          <w:kern w:val="2"/>
          <w:szCs w:val="20"/>
        </w:rPr>
        <w:t> </w:t>
      </w:r>
      <w:r w:rsidRPr="0096468A">
        <w:rPr>
          <w:kern w:val="2"/>
          <w:szCs w:val="20"/>
        </w:rPr>
        <w:t xml:space="preserve">mg/kg/day </w:t>
      </w:r>
      <w:proofErr w:type="spellStart"/>
      <w:r w:rsidRPr="0096468A">
        <w:rPr>
          <w:kern w:val="2"/>
          <w:szCs w:val="20"/>
        </w:rPr>
        <w:t>pirfenidone</w:t>
      </w:r>
      <w:proofErr w:type="spellEnd"/>
      <w:r w:rsidRPr="0096468A">
        <w:rPr>
          <w:kern w:val="2"/>
          <w:szCs w:val="20"/>
        </w:rPr>
        <w:t xml:space="preserve"> as a dietary admixture for 4</w:t>
      </w:r>
      <w:r>
        <w:rPr>
          <w:kern w:val="2"/>
          <w:szCs w:val="20"/>
        </w:rPr>
        <w:t> </w:t>
      </w:r>
      <w:r w:rsidRPr="0096468A">
        <w:rPr>
          <w:kern w:val="2"/>
          <w:szCs w:val="20"/>
        </w:rPr>
        <w:t xml:space="preserve">weeks to female F344 rats. After one week, </w:t>
      </w:r>
      <w:proofErr w:type="spellStart"/>
      <w:r w:rsidRPr="0096468A">
        <w:rPr>
          <w:kern w:val="2"/>
          <w:szCs w:val="20"/>
        </w:rPr>
        <w:t>pirfenidone</w:t>
      </w:r>
      <w:proofErr w:type="spellEnd"/>
      <w:r w:rsidR="00953420">
        <w:rPr>
          <w:kern w:val="2"/>
          <w:szCs w:val="20"/>
        </w:rPr>
        <w:t xml:space="preserve"> </w:t>
      </w:r>
      <w:r w:rsidRPr="0096468A">
        <w:rPr>
          <w:kern w:val="2"/>
          <w:szCs w:val="20"/>
        </w:rPr>
        <w:t xml:space="preserve">treated rats had modest increases in plasma oestrogen and marked suppression of progesterone and prolactin. However, the effects on oestrogen and progesterone were attenuated with time, with the oestrogen to progesterone ratio decreasing from 7.3 in </w:t>
      </w:r>
      <w:r w:rsidR="00C22B6B">
        <w:rPr>
          <w:kern w:val="2"/>
          <w:szCs w:val="20"/>
        </w:rPr>
        <w:t>W</w:t>
      </w:r>
      <w:r w:rsidRPr="0096468A">
        <w:rPr>
          <w:kern w:val="2"/>
          <w:szCs w:val="20"/>
        </w:rPr>
        <w:t xml:space="preserve">eek 1 to 1.7 in </w:t>
      </w:r>
      <w:r w:rsidR="00C22B6B">
        <w:rPr>
          <w:kern w:val="2"/>
          <w:szCs w:val="20"/>
        </w:rPr>
        <w:t>W</w:t>
      </w:r>
      <w:r w:rsidRPr="0096468A">
        <w:rPr>
          <w:kern w:val="2"/>
          <w:szCs w:val="20"/>
        </w:rPr>
        <w:t xml:space="preserve">eek 4. Furthermore, plasma prolactin levels at </w:t>
      </w:r>
      <w:r w:rsidR="00C22B6B">
        <w:rPr>
          <w:kern w:val="2"/>
          <w:szCs w:val="20"/>
        </w:rPr>
        <w:t>W</w:t>
      </w:r>
      <w:r w:rsidRPr="0096468A">
        <w:rPr>
          <w:kern w:val="2"/>
          <w:szCs w:val="20"/>
        </w:rPr>
        <w:t xml:space="preserve">eek 4 were abnormally high in both the control and </w:t>
      </w:r>
      <w:proofErr w:type="spellStart"/>
      <w:r w:rsidRPr="0096468A">
        <w:rPr>
          <w:kern w:val="2"/>
          <w:szCs w:val="20"/>
        </w:rPr>
        <w:t>pirfenidone</w:t>
      </w:r>
      <w:proofErr w:type="spellEnd"/>
      <w:r w:rsidR="00953420">
        <w:rPr>
          <w:kern w:val="2"/>
          <w:szCs w:val="20"/>
        </w:rPr>
        <w:t xml:space="preserve"> </w:t>
      </w:r>
      <w:r w:rsidRPr="0096468A">
        <w:rPr>
          <w:kern w:val="2"/>
          <w:szCs w:val="20"/>
        </w:rPr>
        <w:t>treated groups, preventing a conclusion on treatment</w:t>
      </w:r>
      <w:r w:rsidR="00953420">
        <w:rPr>
          <w:kern w:val="2"/>
          <w:szCs w:val="20"/>
        </w:rPr>
        <w:t xml:space="preserve"> </w:t>
      </w:r>
      <w:r w:rsidRPr="0096468A">
        <w:rPr>
          <w:kern w:val="2"/>
          <w:szCs w:val="20"/>
        </w:rPr>
        <w:t>related effects. The mechanistic studies provided were insufficient to demonstrate a dopamine/prolactin</w:t>
      </w:r>
      <w:r w:rsidR="00953420">
        <w:rPr>
          <w:kern w:val="2"/>
          <w:szCs w:val="20"/>
        </w:rPr>
        <w:t xml:space="preserve"> </w:t>
      </w:r>
      <w:r w:rsidRPr="0096468A">
        <w:rPr>
          <w:kern w:val="2"/>
          <w:szCs w:val="20"/>
        </w:rPr>
        <w:t>driven oestrogen dominance mechanism of action for the observed uterine adenocarcinomas. In addition, if oestrogen dominance were to be established</w:t>
      </w:r>
      <w:r>
        <w:rPr>
          <w:kern w:val="2"/>
          <w:szCs w:val="20"/>
        </w:rPr>
        <w:t>,</w:t>
      </w:r>
      <w:r w:rsidRPr="0096468A">
        <w:rPr>
          <w:kern w:val="2"/>
          <w:szCs w:val="20"/>
        </w:rPr>
        <w:t xml:space="preserve"> the consequence of liver enzyme induction and subsequent modulation of oestrogen metabolism should also be considered.</w:t>
      </w:r>
      <w:r w:rsidRPr="0096468A">
        <w:rPr>
          <w:rStyle w:val="FootnoteReference"/>
          <w:kern w:val="2"/>
          <w:szCs w:val="20"/>
        </w:rPr>
        <w:footnoteReference w:id="24"/>
      </w:r>
      <w:r w:rsidRPr="0096468A">
        <w:rPr>
          <w:kern w:val="2"/>
          <w:szCs w:val="20"/>
        </w:rPr>
        <w:t xml:space="preserve"> The human relevance of the observed uterine tumours is not clear as a mechanism of action has not been established. Given that tumours were observed at relative exposure</w:t>
      </w:r>
      <w:r>
        <w:rPr>
          <w:kern w:val="2"/>
          <w:szCs w:val="20"/>
        </w:rPr>
        <w:t xml:space="preserve"> levels</w:t>
      </w:r>
      <w:r w:rsidRPr="0096468A">
        <w:rPr>
          <w:kern w:val="2"/>
          <w:szCs w:val="20"/>
        </w:rPr>
        <w:t xml:space="preserve"> of ≤</w:t>
      </w:r>
      <w:r w:rsidR="00C22B6B">
        <w:rPr>
          <w:kern w:val="2"/>
          <w:szCs w:val="20"/>
        </w:rPr>
        <w:t> </w:t>
      </w:r>
      <w:r w:rsidRPr="0096468A">
        <w:rPr>
          <w:kern w:val="2"/>
          <w:szCs w:val="20"/>
        </w:rPr>
        <w:t>1</w:t>
      </w:r>
      <w:r w:rsidR="00C22B6B">
        <w:rPr>
          <w:kern w:val="2"/>
          <w:szCs w:val="20"/>
        </w:rPr>
        <w:t> </w:t>
      </w:r>
      <w:r w:rsidR="007C24FF">
        <w:rPr>
          <w:kern w:val="2"/>
          <w:szCs w:val="20"/>
        </w:rPr>
        <w:t>x</w:t>
      </w:r>
      <w:r w:rsidRPr="0096468A">
        <w:rPr>
          <w:kern w:val="2"/>
          <w:szCs w:val="20"/>
        </w:rPr>
        <w:t xml:space="preserve"> it is possible that these tumours may be clinically relevant.</w:t>
      </w:r>
    </w:p>
    <w:p w:rsidR="00876BB3" w:rsidRPr="00C22B6B" w:rsidRDefault="00876BB3" w:rsidP="000F53E7">
      <w:pPr>
        <w:rPr>
          <w:kern w:val="2"/>
          <w:szCs w:val="20"/>
        </w:rPr>
      </w:pPr>
      <w:r w:rsidRPr="0096468A">
        <w:rPr>
          <w:kern w:val="2"/>
          <w:szCs w:val="20"/>
        </w:rPr>
        <w:t xml:space="preserve">In summary, liver, thyroid and uterine tumours were observed </w:t>
      </w:r>
      <w:r>
        <w:rPr>
          <w:kern w:val="2"/>
          <w:szCs w:val="20"/>
        </w:rPr>
        <w:t xml:space="preserve">in rodent carcinogenicity studies </w:t>
      </w:r>
      <w:r w:rsidRPr="0096468A">
        <w:rPr>
          <w:kern w:val="2"/>
          <w:szCs w:val="20"/>
        </w:rPr>
        <w:t xml:space="preserve">at </w:t>
      </w:r>
      <w:r>
        <w:rPr>
          <w:kern w:val="2"/>
          <w:szCs w:val="20"/>
        </w:rPr>
        <w:t>subclinical exposure levels</w:t>
      </w:r>
      <w:r w:rsidRPr="0096468A">
        <w:rPr>
          <w:kern w:val="2"/>
          <w:szCs w:val="20"/>
        </w:rPr>
        <w:t>. The</w:t>
      </w:r>
      <w:r>
        <w:rPr>
          <w:kern w:val="2"/>
          <w:szCs w:val="20"/>
        </w:rPr>
        <w:t> </w:t>
      </w:r>
      <w:r w:rsidRPr="0096468A">
        <w:rPr>
          <w:kern w:val="2"/>
          <w:szCs w:val="20"/>
        </w:rPr>
        <w:t>thyroid tumours are unlikely to be relevant to humans based on species difference in thyroid hormone regulation. The mechanism of liver tumour development is likely to be more relevant to rodents than humans, based on species sensitivity to liver enzyme induction. The data provided to support a prolactin</w:t>
      </w:r>
      <w:r w:rsidR="009D043D">
        <w:rPr>
          <w:kern w:val="2"/>
          <w:szCs w:val="20"/>
        </w:rPr>
        <w:t xml:space="preserve"> </w:t>
      </w:r>
      <w:r w:rsidRPr="0096468A">
        <w:rPr>
          <w:kern w:val="2"/>
          <w:szCs w:val="20"/>
        </w:rPr>
        <w:t>mediated mechanism of uterine tumour development were insufficient to demonstrate a rodent</w:t>
      </w:r>
      <w:r w:rsidR="009D043D">
        <w:rPr>
          <w:kern w:val="2"/>
          <w:szCs w:val="20"/>
        </w:rPr>
        <w:t xml:space="preserve"> </w:t>
      </w:r>
      <w:r w:rsidRPr="0096468A">
        <w:rPr>
          <w:kern w:val="2"/>
          <w:szCs w:val="20"/>
        </w:rPr>
        <w:t>specific mechanism. The predominance of 5</w:t>
      </w:r>
      <w:r>
        <w:rPr>
          <w:kern w:val="2"/>
          <w:szCs w:val="20"/>
        </w:rPr>
        <w:noBreakHyphen/>
      </w:r>
      <w:r w:rsidRPr="0096468A">
        <w:rPr>
          <w:kern w:val="2"/>
          <w:szCs w:val="20"/>
        </w:rPr>
        <w:t>CA</w:t>
      </w:r>
      <w:r>
        <w:rPr>
          <w:kern w:val="2"/>
          <w:szCs w:val="20"/>
        </w:rPr>
        <w:noBreakHyphen/>
      </w:r>
      <w:r w:rsidRPr="0096468A">
        <w:rPr>
          <w:kern w:val="2"/>
          <w:szCs w:val="20"/>
        </w:rPr>
        <w:t xml:space="preserve">pirfenidone exposure in rodents creates further uncertainty about the human relevance of the observed tumours. </w:t>
      </w:r>
      <w:r>
        <w:rPr>
          <w:kern w:val="2"/>
          <w:szCs w:val="20"/>
        </w:rPr>
        <w:t>Carcinogenic activity for</w:t>
      </w:r>
      <w:r w:rsidRPr="0096468A">
        <w:rPr>
          <w:kern w:val="2"/>
          <w:szCs w:val="20"/>
        </w:rPr>
        <w:t xml:space="preserve"> </w:t>
      </w:r>
      <w:proofErr w:type="spellStart"/>
      <w:r w:rsidRPr="0096468A">
        <w:rPr>
          <w:kern w:val="2"/>
          <w:szCs w:val="20"/>
        </w:rPr>
        <w:t>pirfenidone</w:t>
      </w:r>
      <w:proofErr w:type="spellEnd"/>
      <w:r>
        <w:rPr>
          <w:kern w:val="2"/>
          <w:szCs w:val="20"/>
        </w:rPr>
        <w:t xml:space="preserve"> has been clearly demonstrated in the studies,</w:t>
      </w:r>
      <w:r w:rsidRPr="0096468A">
        <w:rPr>
          <w:kern w:val="2"/>
          <w:szCs w:val="20"/>
        </w:rPr>
        <w:t xml:space="preserve"> but the relevance of this to humans remains unclear.</w:t>
      </w:r>
    </w:p>
    <w:p w:rsidR="00876BB3" w:rsidRPr="0096468A" w:rsidRDefault="00876BB3" w:rsidP="00C22B6B">
      <w:pPr>
        <w:pStyle w:val="Heading4"/>
      </w:pPr>
      <w:r w:rsidRPr="0096468A">
        <w:t>Reproductive toxicity</w:t>
      </w:r>
    </w:p>
    <w:p w:rsidR="00876BB3" w:rsidRPr="00B07B60" w:rsidRDefault="00876BB3" w:rsidP="000F53E7">
      <w:r w:rsidRPr="0096468A">
        <w:t xml:space="preserve">Studies assessing the effects of </w:t>
      </w:r>
      <w:proofErr w:type="spellStart"/>
      <w:r w:rsidRPr="0096468A">
        <w:t>pirfenidone</w:t>
      </w:r>
      <w:proofErr w:type="spellEnd"/>
      <w:r w:rsidRPr="0096468A">
        <w:t xml:space="preserve"> on fertility, </w:t>
      </w:r>
      <w:proofErr w:type="spellStart"/>
      <w:r w:rsidRPr="0096468A">
        <w:t>embryofetal</w:t>
      </w:r>
      <w:proofErr w:type="spellEnd"/>
      <w:r w:rsidRPr="0096468A">
        <w:t xml:space="preserve"> development and pre/post</w:t>
      </w:r>
      <w:r w:rsidR="00C776D9">
        <w:noBreakHyphen/>
      </w:r>
      <w:r w:rsidRPr="0096468A">
        <w:t>natal development were conducted in SD rats</w:t>
      </w:r>
      <w:r>
        <w:t xml:space="preserve">. A pilot and main </w:t>
      </w:r>
      <w:proofErr w:type="spellStart"/>
      <w:r w:rsidRPr="0096468A">
        <w:t>embryofetal</w:t>
      </w:r>
      <w:proofErr w:type="spellEnd"/>
      <w:r w:rsidRPr="0096468A">
        <w:t xml:space="preserve"> development study was also conducted in Japanese </w:t>
      </w:r>
      <w:r w:rsidR="007C24FF">
        <w:t>w</w:t>
      </w:r>
      <w:r w:rsidRPr="0096468A">
        <w:t xml:space="preserve">hite rabbits. In rats, two studies were conducted with a combined fertility and </w:t>
      </w:r>
      <w:proofErr w:type="spellStart"/>
      <w:r w:rsidRPr="0096468A">
        <w:t>embryofetal</w:t>
      </w:r>
      <w:proofErr w:type="spellEnd"/>
      <w:r w:rsidRPr="0096468A">
        <w:t xml:space="preserve"> development design. This approach is consistent with recommendations in ICH S5</w:t>
      </w:r>
      <w:r>
        <w:rPr>
          <w:w w:val="50"/>
        </w:rPr>
        <w:t> </w:t>
      </w:r>
      <w:r w:rsidRPr="0096468A">
        <w:t>(R2)</w:t>
      </w:r>
      <w:r w:rsidR="005F7E14">
        <w:rPr>
          <w:rStyle w:val="FootnoteReference"/>
        </w:rPr>
        <w:footnoteReference w:id="25"/>
      </w:r>
      <w:r w:rsidRPr="0096468A">
        <w:t xml:space="preserve"> for drugs in which repeated administration results in altered pharmacokinetic properties and is justified as exposure to </w:t>
      </w:r>
      <w:proofErr w:type="spellStart"/>
      <w:r w:rsidRPr="0096468A">
        <w:t>pirfenidone</w:t>
      </w:r>
      <w:proofErr w:type="spellEnd"/>
      <w:r w:rsidRPr="0096468A">
        <w:t xml:space="preserve"> in non-pregnant SD rats was reduced over time. The timing and duration of dosing and groups sizes were consistent with guideline IC</w:t>
      </w:r>
      <w:r>
        <w:t>H S5</w:t>
      </w:r>
      <w:r>
        <w:rPr>
          <w:w w:val="50"/>
        </w:rPr>
        <w:t> </w:t>
      </w:r>
      <w:r w:rsidRPr="0096468A">
        <w:t xml:space="preserve">(R2). In rats, the first fertility and </w:t>
      </w:r>
      <w:proofErr w:type="spellStart"/>
      <w:r w:rsidRPr="0096468A">
        <w:t>embryofetal</w:t>
      </w:r>
      <w:proofErr w:type="spellEnd"/>
      <w:r w:rsidRPr="0096468A">
        <w:t xml:space="preserve"> development study used only two dose</w:t>
      </w:r>
      <w:r>
        <w:t xml:space="preserve"> level</w:t>
      </w:r>
      <w:r w:rsidRPr="0096468A">
        <w:t xml:space="preserve">s administered as a </w:t>
      </w:r>
      <w:r w:rsidRPr="0096468A">
        <w:lastRenderedPageBreak/>
        <w:t>dietary admixture, but the deficiencies of this study were compensated for by the second study which used gavage dosing at four dose levels</w:t>
      </w:r>
      <w:r w:rsidR="00B07B60">
        <w:t>.</w:t>
      </w:r>
    </w:p>
    <w:p w:rsidR="00876BB3" w:rsidRDefault="00876BB3" w:rsidP="00B07B60">
      <w:pPr>
        <w:pStyle w:val="Heading5"/>
      </w:pPr>
      <w:r w:rsidRPr="0096468A">
        <w:t>Relative exposure</w:t>
      </w:r>
    </w:p>
    <w:p w:rsidR="00876BB3" w:rsidRDefault="00876BB3" w:rsidP="000F53E7">
      <w:r w:rsidRPr="0096468A">
        <w:t xml:space="preserve">No </w:t>
      </w:r>
      <w:proofErr w:type="spellStart"/>
      <w:r w:rsidRPr="0096468A">
        <w:t>toxicokinetic</w:t>
      </w:r>
      <w:proofErr w:type="spellEnd"/>
      <w:r w:rsidRPr="0096468A">
        <w:t xml:space="preserve"> data were collected in pregnant rats. In </w:t>
      </w:r>
      <w:r>
        <w:t xml:space="preserve">the main study of </w:t>
      </w:r>
      <w:r w:rsidRPr="0096468A">
        <w:t>pregnant rabbits</w:t>
      </w:r>
      <w:r>
        <w:t>,</w:t>
      </w:r>
      <w:r w:rsidRPr="0096468A">
        <w:t xml:space="preserve"> </w:t>
      </w:r>
      <w:proofErr w:type="spellStart"/>
      <w:r w:rsidRPr="0096468A">
        <w:t>toxicokinetic</w:t>
      </w:r>
      <w:proofErr w:type="spellEnd"/>
      <w:r w:rsidRPr="0096468A">
        <w:t xml:space="preserve"> data were restricted to measurement of plasma </w:t>
      </w:r>
      <w:proofErr w:type="spellStart"/>
      <w:r w:rsidRPr="0096468A">
        <w:t>pirfenidone</w:t>
      </w:r>
      <w:proofErr w:type="spellEnd"/>
      <w:r w:rsidRPr="0096468A">
        <w:t xml:space="preserve"> at 0.5 and 24</w:t>
      </w:r>
      <w:r w:rsidRPr="00D624B0">
        <w:rPr>
          <w:w w:val="50"/>
        </w:rPr>
        <w:t xml:space="preserve"> </w:t>
      </w:r>
      <w:r w:rsidRPr="0096468A">
        <w:t>h post</w:t>
      </w:r>
      <w:r w:rsidR="00695DFC">
        <w:noBreakHyphen/>
      </w:r>
      <w:r w:rsidRPr="0096468A">
        <w:t xml:space="preserve">dose on </w:t>
      </w:r>
      <w:r w:rsidR="003B3F98">
        <w:t>gestation day (</w:t>
      </w:r>
      <w:r w:rsidRPr="0096468A">
        <w:t>GD</w:t>
      </w:r>
      <w:r w:rsidR="003B3F98">
        <w:t xml:space="preserve">) </w:t>
      </w:r>
      <w:r w:rsidRPr="0096468A">
        <w:t xml:space="preserve">6 and GD18. </w:t>
      </w:r>
      <w:r>
        <w:t xml:space="preserve">In the pilot rabbit study, </w:t>
      </w:r>
      <w:proofErr w:type="spellStart"/>
      <w:r>
        <w:t>toxicokinetic</w:t>
      </w:r>
      <w:proofErr w:type="spellEnd"/>
      <w:r>
        <w:t xml:space="preserve"> data were collected and relative exposures based on </w:t>
      </w:r>
      <w:r w:rsidRPr="00D60651">
        <w:t>AUC</w:t>
      </w:r>
      <w:r>
        <w:rPr>
          <w:vertAlign w:val="subscript"/>
        </w:rPr>
        <w:t>0‒6</w:t>
      </w:r>
      <w:r w:rsidRPr="00EE72CB">
        <w:rPr>
          <w:w w:val="50"/>
          <w:vertAlign w:val="subscript"/>
        </w:rPr>
        <w:t xml:space="preserve"> </w:t>
      </w:r>
      <w:r w:rsidRPr="00D60651">
        <w:rPr>
          <w:vertAlign w:val="subscript"/>
        </w:rPr>
        <w:t>h</w:t>
      </w:r>
      <w:r>
        <w:t xml:space="preserve"> on GD18 were calculated. For the main studies</w:t>
      </w:r>
      <w:r w:rsidRPr="0096468A">
        <w:t>, relative exposures were estimated based on body surface area</w:t>
      </w:r>
      <w:r w:rsidR="009D043D">
        <w:t xml:space="preserve"> </w:t>
      </w:r>
      <w:r>
        <w:t>adjusted doses</w:t>
      </w:r>
      <w:r w:rsidRPr="0096468A">
        <w:t>.</w:t>
      </w:r>
    </w:p>
    <w:p w:rsidR="00876BB3" w:rsidRDefault="00876BB3" w:rsidP="000F53E7">
      <w:r w:rsidRPr="00981B1C">
        <w:t xml:space="preserve">Available </w:t>
      </w:r>
      <w:proofErr w:type="spellStart"/>
      <w:r w:rsidRPr="00981B1C">
        <w:t>toxicokinetic</w:t>
      </w:r>
      <w:proofErr w:type="spellEnd"/>
      <w:r w:rsidRPr="00981B1C">
        <w:t xml:space="preserve"> data in non-pregnant rats support the use of body surface area</w:t>
      </w:r>
      <w:r w:rsidR="009D043D">
        <w:t xml:space="preserve"> </w:t>
      </w:r>
      <w:r w:rsidRPr="00981B1C">
        <w:t xml:space="preserve">adjusted doses to reasonably estimate relative exposure. In SD rats, the relative exposure to </w:t>
      </w:r>
      <w:proofErr w:type="spellStart"/>
      <w:r w:rsidRPr="00981B1C">
        <w:t>pirfenidone</w:t>
      </w:r>
      <w:proofErr w:type="spellEnd"/>
      <w:r w:rsidRPr="00981B1C">
        <w:t xml:space="preserve"> after a single PO dose of </w:t>
      </w:r>
      <w:r w:rsidR="00B15BB5">
        <w:t>1,000</w:t>
      </w:r>
      <w:r w:rsidRPr="00981B1C">
        <w:t> mg/kg/day was 15, which decreased to 2.4 following 6 months repeated dosing;</w:t>
      </w:r>
      <w:r w:rsidRPr="00981B1C">
        <w:rPr>
          <w:rStyle w:val="FootnoteReference"/>
        </w:rPr>
        <w:footnoteReference w:id="26"/>
      </w:r>
      <w:r w:rsidRPr="00981B1C">
        <w:t xml:space="preserve"> and in rats dosed at 100 mg/kg/day, the exposure ratio based on plasma AUC (0.4</w:t>
      </w:r>
      <w:r w:rsidR="00695DFC">
        <w:t> to </w:t>
      </w:r>
      <w:r w:rsidRPr="00981B1C">
        <w:t>0.7</w:t>
      </w:r>
      <w:r w:rsidR="00695DFC">
        <w:t> </w:t>
      </w:r>
      <w:r w:rsidR="00733427">
        <w:t>x</w:t>
      </w:r>
      <w:r w:rsidRPr="00981B1C">
        <w:t>) was similar to that estimated from body surface area (0.4</w:t>
      </w:r>
      <w:r w:rsidR="00695DFC">
        <w:t> </w:t>
      </w:r>
      <w:r w:rsidR="00E60988">
        <w:t>x</w:t>
      </w:r>
      <w:r w:rsidRPr="00981B1C">
        <w:t xml:space="preserve">). </w:t>
      </w:r>
      <w:r>
        <w:t>The</w:t>
      </w:r>
      <w:r w:rsidRPr="0096468A">
        <w:t xml:space="preserve"> estimated relative exposures</w:t>
      </w:r>
      <w:r>
        <w:t xml:space="preserve"> achieved</w:t>
      </w:r>
      <w:r w:rsidRPr="0096468A">
        <w:t xml:space="preserve"> in the </w:t>
      </w:r>
      <w:r>
        <w:t xml:space="preserve">rabbit </w:t>
      </w:r>
      <w:r w:rsidRPr="0096468A">
        <w:t>reproductive toxicity studies were low</w:t>
      </w:r>
      <w:r>
        <w:t>, with exposure ratios based on AUC in the pilot study being 3</w:t>
      </w:r>
      <w:r w:rsidR="00695DFC">
        <w:t> to </w:t>
      </w:r>
      <w:r>
        <w:t>10</w:t>
      </w:r>
      <w:r w:rsidR="00695DFC">
        <w:t> </w:t>
      </w:r>
      <w:proofErr w:type="gramStart"/>
      <w:r w:rsidR="003B3F98">
        <w:t>x</w:t>
      </w:r>
      <w:proofErr w:type="gramEnd"/>
      <w:r>
        <w:t xml:space="preserve"> lower than that estimated for body surface area.</w:t>
      </w:r>
      <w:r w:rsidRPr="00F009E6">
        <w:t xml:space="preserve"> </w:t>
      </w:r>
      <w:r w:rsidRPr="0096468A">
        <w:t>Despite the</w:t>
      </w:r>
      <w:r>
        <w:t xml:space="preserve"> subclinical or </w:t>
      </w:r>
      <w:r w:rsidRPr="0096468A">
        <w:t>low relative exposure, the high dose</w:t>
      </w:r>
      <w:r>
        <w:t xml:space="preserve"> level</w:t>
      </w:r>
      <w:r w:rsidRPr="0096468A">
        <w:t>s were associated with maternal toxicity and were</w:t>
      </w:r>
      <w:r>
        <w:t xml:space="preserve"> therefore considered adequate.</w:t>
      </w:r>
    </w:p>
    <w:p w:rsidR="00E128FA" w:rsidRPr="00E128FA" w:rsidRDefault="00E128FA" w:rsidP="00313290">
      <w:pPr>
        <w:pStyle w:val="Tabletitle0"/>
      </w:pPr>
      <w:r w:rsidRPr="00C776D9">
        <w:t xml:space="preserve">Table </w:t>
      </w:r>
      <w:r w:rsidR="00C776D9">
        <w:t>3:</w:t>
      </w:r>
      <w:r w:rsidRPr="00C776D9">
        <w:t xml:space="preserve"> Relative exposure estimates in reproductive toxicity studies</w:t>
      </w:r>
    </w:p>
    <w:tbl>
      <w:tblPr>
        <w:tblStyle w:val="TableTGAblue"/>
        <w:tblW w:w="8796" w:type="dxa"/>
        <w:tblInd w:w="-413" w:type="dxa"/>
        <w:tblLayout w:type="fixed"/>
        <w:tblCellMar>
          <w:left w:w="0" w:type="dxa"/>
          <w:right w:w="0" w:type="dxa"/>
        </w:tblCellMar>
        <w:tblLook w:val="01E0" w:firstRow="1" w:lastRow="1" w:firstColumn="1" w:lastColumn="1" w:noHBand="0" w:noVBand="0"/>
        <w:tblCaption w:val="Table 3: Relative exposure estimates in reproductive toxicity studies."/>
        <w:tblDescription w:val="Relative exposure estimates in reproductive toxicity studies."/>
      </w:tblPr>
      <w:tblGrid>
        <w:gridCol w:w="1095"/>
        <w:gridCol w:w="2350"/>
        <w:gridCol w:w="1258"/>
        <w:gridCol w:w="1288"/>
        <w:gridCol w:w="1160"/>
        <w:gridCol w:w="867"/>
        <w:gridCol w:w="778"/>
      </w:tblGrid>
      <w:tr w:rsidR="00E128FA" w:rsidRPr="009D043D" w:rsidTr="00526DBA">
        <w:trPr>
          <w:cnfStyle w:val="100000000000" w:firstRow="1" w:lastRow="0" w:firstColumn="0" w:lastColumn="0" w:oddVBand="0" w:evenVBand="0" w:oddHBand="0" w:evenHBand="0" w:firstRowFirstColumn="0" w:firstRowLastColumn="0" w:lastRowFirstColumn="0" w:lastRowLastColumn="0"/>
          <w:trHeight w:val="263"/>
        </w:trPr>
        <w:tc>
          <w:tcPr>
            <w:tcW w:w="1095" w:type="dxa"/>
            <w:vMerge w:val="restart"/>
          </w:tcPr>
          <w:p w:rsidR="00E128FA" w:rsidRPr="00526DBA" w:rsidRDefault="00E128FA" w:rsidP="008E4A48">
            <w:pPr>
              <w:pStyle w:val="TableHeader"/>
              <w:keepLines w:val="0"/>
              <w:spacing w:line="240" w:lineRule="auto"/>
              <w:ind w:left="0" w:right="0"/>
              <w:rPr>
                <w:rFonts w:asciiTheme="minorHAnsi" w:hAnsiTheme="minorHAnsi"/>
                <w:b/>
                <w:sz w:val="18"/>
                <w:szCs w:val="18"/>
              </w:rPr>
            </w:pPr>
            <w:r w:rsidRPr="00526DBA">
              <w:rPr>
                <w:rFonts w:asciiTheme="minorHAnsi" w:hAnsiTheme="minorHAnsi"/>
                <w:sz w:val="18"/>
                <w:szCs w:val="18"/>
              </w:rPr>
              <w:t>Species</w:t>
            </w:r>
          </w:p>
        </w:tc>
        <w:tc>
          <w:tcPr>
            <w:tcW w:w="2350" w:type="dxa"/>
            <w:vMerge w:val="restart"/>
          </w:tcPr>
          <w:p w:rsidR="00E128FA" w:rsidRPr="00526DBA" w:rsidRDefault="00E128FA" w:rsidP="008E4A48">
            <w:pPr>
              <w:pStyle w:val="TableHeader"/>
              <w:keepLines w:val="0"/>
              <w:spacing w:line="240" w:lineRule="auto"/>
              <w:ind w:left="0" w:right="0"/>
              <w:rPr>
                <w:rFonts w:asciiTheme="minorHAnsi" w:hAnsiTheme="minorHAnsi"/>
                <w:b/>
                <w:sz w:val="18"/>
                <w:szCs w:val="18"/>
              </w:rPr>
            </w:pPr>
            <w:r w:rsidRPr="00526DBA">
              <w:rPr>
                <w:rFonts w:asciiTheme="minorHAnsi" w:hAnsiTheme="minorHAnsi"/>
                <w:sz w:val="18"/>
                <w:szCs w:val="18"/>
              </w:rPr>
              <w:t>Study</w:t>
            </w:r>
          </w:p>
        </w:tc>
        <w:tc>
          <w:tcPr>
            <w:tcW w:w="2546" w:type="dxa"/>
            <w:gridSpan w:val="2"/>
          </w:tcPr>
          <w:p w:rsidR="00E128FA" w:rsidRPr="00526DBA" w:rsidRDefault="00E128FA" w:rsidP="008E4A48">
            <w:pPr>
              <w:pStyle w:val="TableHeader"/>
              <w:keepLines w:val="0"/>
              <w:spacing w:before="40" w:after="40" w:line="240" w:lineRule="auto"/>
              <w:ind w:left="0" w:right="0"/>
              <w:rPr>
                <w:rFonts w:asciiTheme="minorHAnsi" w:hAnsiTheme="minorHAnsi"/>
                <w:b/>
                <w:sz w:val="18"/>
                <w:szCs w:val="18"/>
              </w:rPr>
            </w:pPr>
            <w:r w:rsidRPr="00526DBA">
              <w:rPr>
                <w:rFonts w:asciiTheme="minorHAnsi" w:hAnsiTheme="minorHAnsi"/>
                <w:sz w:val="18"/>
                <w:szCs w:val="18"/>
              </w:rPr>
              <w:t>Dose</w:t>
            </w:r>
          </w:p>
        </w:tc>
        <w:tc>
          <w:tcPr>
            <w:tcW w:w="1160" w:type="dxa"/>
            <w:vMerge w:val="restart"/>
          </w:tcPr>
          <w:p w:rsidR="00E128FA" w:rsidRPr="00526DBA" w:rsidRDefault="00E128FA" w:rsidP="008E4A48">
            <w:pPr>
              <w:pStyle w:val="TableHeader"/>
              <w:keepLines w:val="0"/>
              <w:spacing w:line="240" w:lineRule="auto"/>
              <w:ind w:left="0" w:right="0"/>
              <w:rPr>
                <w:rFonts w:asciiTheme="minorHAnsi" w:hAnsiTheme="minorHAnsi"/>
                <w:b/>
                <w:sz w:val="18"/>
                <w:szCs w:val="18"/>
              </w:rPr>
            </w:pPr>
            <w:r w:rsidRPr="00526DBA">
              <w:rPr>
                <w:rFonts w:asciiTheme="minorHAnsi" w:eastAsia="Cambria" w:hAnsiTheme="minorHAnsi"/>
                <w:sz w:val="18"/>
                <w:szCs w:val="18"/>
              </w:rPr>
              <w:t>AUC</w:t>
            </w:r>
            <w:r w:rsidRPr="00526DBA">
              <w:rPr>
                <w:rFonts w:asciiTheme="minorHAnsi" w:eastAsia="Cambria" w:hAnsiTheme="minorHAnsi"/>
                <w:sz w:val="18"/>
                <w:szCs w:val="18"/>
                <w:vertAlign w:val="subscript"/>
              </w:rPr>
              <w:t>0‒6h</w:t>
            </w:r>
            <w:r w:rsidRPr="00526DBA">
              <w:rPr>
                <w:rFonts w:asciiTheme="minorHAnsi" w:hAnsiTheme="minorHAnsi"/>
                <w:sz w:val="18"/>
                <w:szCs w:val="18"/>
              </w:rPr>
              <w:t xml:space="preserve"> (</w:t>
            </w:r>
            <w:r w:rsidR="007514CF">
              <w:rPr>
                <w:rFonts w:asciiTheme="minorHAnsi" w:hAnsiTheme="minorHAnsi"/>
                <w:b/>
                <w:sz w:val="18"/>
                <w:szCs w:val="18"/>
              </w:rPr>
              <w:t>µ</w:t>
            </w:r>
            <w:proofErr w:type="spellStart"/>
            <w:r w:rsidRPr="00526DBA">
              <w:rPr>
                <w:rFonts w:asciiTheme="minorHAnsi" w:hAnsiTheme="minorHAnsi"/>
                <w:sz w:val="18"/>
                <w:szCs w:val="18"/>
              </w:rPr>
              <w:t>g∙h</w:t>
            </w:r>
            <w:proofErr w:type="spellEnd"/>
            <w:r w:rsidRPr="00526DBA">
              <w:rPr>
                <w:rFonts w:asciiTheme="minorHAnsi" w:hAnsiTheme="minorHAnsi"/>
                <w:sz w:val="18"/>
                <w:szCs w:val="18"/>
              </w:rPr>
              <w:t>/mL)</w:t>
            </w:r>
          </w:p>
        </w:tc>
        <w:tc>
          <w:tcPr>
            <w:tcW w:w="1645" w:type="dxa"/>
            <w:gridSpan w:val="2"/>
          </w:tcPr>
          <w:p w:rsidR="00E128FA" w:rsidRPr="00526DBA" w:rsidRDefault="00E128FA" w:rsidP="008E4A48">
            <w:pPr>
              <w:pStyle w:val="TableHeader"/>
              <w:keepLines w:val="0"/>
              <w:spacing w:line="240" w:lineRule="auto"/>
              <w:ind w:left="0" w:right="0"/>
              <w:rPr>
                <w:rFonts w:asciiTheme="minorHAnsi" w:hAnsiTheme="minorHAnsi"/>
                <w:b/>
                <w:sz w:val="18"/>
                <w:szCs w:val="18"/>
              </w:rPr>
            </w:pPr>
            <w:r w:rsidRPr="00526DBA">
              <w:rPr>
                <w:rFonts w:asciiTheme="minorHAnsi" w:hAnsiTheme="minorHAnsi"/>
                <w:sz w:val="18"/>
                <w:szCs w:val="18"/>
              </w:rPr>
              <w:t>Exposure ratio</w:t>
            </w:r>
          </w:p>
        </w:tc>
      </w:tr>
      <w:tr w:rsidR="00E128FA" w:rsidRPr="009D043D" w:rsidTr="00526DBA">
        <w:trPr>
          <w:trHeight w:val="246"/>
        </w:trPr>
        <w:tc>
          <w:tcPr>
            <w:tcW w:w="1095" w:type="dxa"/>
            <w:vMerge/>
          </w:tcPr>
          <w:p w:rsidR="00E128FA" w:rsidRPr="00526DBA" w:rsidRDefault="00E128FA" w:rsidP="008E4A48">
            <w:pPr>
              <w:pStyle w:val="TableHeader"/>
              <w:keepLines w:val="0"/>
              <w:spacing w:line="240" w:lineRule="auto"/>
              <w:ind w:left="0" w:right="0"/>
              <w:rPr>
                <w:rFonts w:asciiTheme="minorHAnsi" w:hAnsiTheme="minorHAnsi"/>
                <w:sz w:val="18"/>
                <w:szCs w:val="18"/>
              </w:rPr>
            </w:pPr>
          </w:p>
        </w:tc>
        <w:tc>
          <w:tcPr>
            <w:tcW w:w="2350" w:type="dxa"/>
            <w:vMerge/>
          </w:tcPr>
          <w:p w:rsidR="00E128FA" w:rsidRPr="00526DBA" w:rsidRDefault="00E128FA" w:rsidP="008E4A48">
            <w:pPr>
              <w:pStyle w:val="TableHeader"/>
              <w:keepLines w:val="0"/>
              <w:spacing w:line="240" w:lineRule="auto"/>
              <w:ind w:left="0" w:right="0"/>
              <w:rPr>
                <w:rFonts w:asciiTheme="minorHAnsi" w:hAnsiTheme="minorHAnsi"/>
                <w:sz w:val="18"/>
                <w:szCs w:val="18"/>
              </w:rPr>
            </w:pPr>
          </w:p>
        </w:tc>
        <w:tc>
          <w:tcPr>
            <w:tcW w:w="1258" w:type="dxa"/>
            <w:shd w:val="clear" w:color="auto" w:fill="006DA7"/>
          </w:tcPr>
          <w:p w:rsidR="00E128FA" w:rsidRPr="00526DBA" w:rsidRDefault="00E128FA" w:rsidP="008E4A48">
            <w:pPr>
              <w:pStyle w:val="TableHeader"/>
              <w:keepLines w:val="0"/>
              <w:spacing w:before="40" w:after="40" w:line="240" w:lineRule="auto"/>
              <w:ind w:left="0" w:right="0"/>
              <w:rPr>
                <w:rFonts w:asciiTheme="minorHAnsi" w:hAnsiTheme="minorHAnsi"/>
                <w:color w:val="FFFFFF" w:themeColor="background1"/>
                <w:sz w:val="18"/>
                <w:szCs w:val="18"/>
              </w:rPr>
            </w:pPr>
            <w:r w:rsidRPr="00526DBA">
              <w:rPr>
                <w:rFonts w:asciiTheme="minorHAnsi" w:hAnsiTheme="minorHAnsi"/>
                <w:color w:val="FFFFFF" w:themeColor="background1"/>
                <w:sz w:val="18"/>
                <w:szCs w:val="18"/>
              </w:rPr>
              <w:t>mg/kg/day</w:t>
            </w:r>
          </w:p>
        </w:tc>
        <w:tc>
          <w:tcPr>
            <w:tcW w:w="1288" w:type="dxa"/>
            <w:shd w:val="clear" w:color="auto" w:fill="006DA7"/>
          </w:tcPr>
          <w:p w:rsidR="00E128FA" w:rsidRPr="00526DBA" w:rsidRDefault="00E128FA" w:rsidP="008E4A48">
            <w:pPr>
              <w:pStyle w:val="TableHeader"/>
              <w:keepLines w:val="0"/>
              <w:spacing w:before="40" w:after="40" w:line="240" w:lineRule="auto"/>
              <w:ind w:left="0" w:right="0"/>
              <w:rPr>
                <w:rFonts w:asciiTheme="minorHAnsi" w:eastAsia="Cambria" w:hAnsiTheme="minorHAnsi"/>
                <w:color w:val="FFFFFF" w:themeColor="background1"/>
                <w:sz w:val="18"/>
                <w:szCs w:val="18"/>
              </w:rPr>
            </w:pPr>
            <w:r w:rsidRPr="00526DBA">
              <w:rPr>
                <w:rFonts w:asciiTheme="minorHAnsi" w:eastAsia="Cambria" w:hAnsiTheme="minorHAnsi"/>
                <w:color w:val="FFFFFF" w:themeColor="background1"/>
                <w:sz w:val="18"/>
                <w:szCs w:val="18"/>
              </w:rPr>
              <w:t>mg/m</w:t>
            </w:r>
            <w:r w:rsidRPr="00526DBA">
              <w:rPr>
                <w:rFonts w:asciiTheme="minorHAnsi" w:eastAsia="Cambria" w:hAnsiTheme="minorHAnsi"/>
                <w:color w:val="FFFFFF" w:themeColor="background1"/>
                <w:sz w:val="18"/>
                <w:szCs w:val="18"/>
                <w:vertAlign w:val="superscript"/>
              </w:rPr>
              <w:t>2</w:t>
            </w:r>
            <w:r w:rsidRPr="00526DBA">
              <w:rPr>
                <w:rFonts w:asciiTheme="minorHAnsi" w:eastAsia="Cambria" w:hAnsiTheme="minorHAnsi"/>
                <w:color w:val="FFFFFF" w:themeColor="background1"/>
                <w:sz w:val="18"/>
                <w:szCs w:val="18"/>
              </w:rPr>
              <w:t>/day</w:t>
            </w:r>
          </w:p>
        </w:tc>
        <w:tc>
          <w:tcPr>
            <w:tcW w:w="1160" w:type="dxa"/>
            <w:vMerge/>
          </w:tcPr>
          <w:p w:rsidR="00E128FA" w:rsidRPr="00526DBA" w:rsidRDefault="00E128FA" w:rsidP="008E4A48">
            <w:pPr>
              <w:pStyle w:val="TableHeader"/>
              <w:keepLines w:val="0"/>
              <w:spacing w:line="240" w:lineRule="auto"/>
              <w:ind w:left="0" w:right="0"/>
              <w:rPr>
                <w:rFonts w:asciiTheme="minorHAnsi" w:hAnsiTheme="minorHAnsi"/>
                <w:sz w:val="18"/>
                <w:szCs w:val="18"/>
              </w:rPr>
            </w:pPr>
          </w:p>
        </w:tc>
        <w:tc>
          <w:tcPr>
            <w:tcW w:w="867" w:type="dxa"/>
            <w:shd w:val="clear" w:color="auto" w:fill="006DA7"/>
          </w:tcPr>
          <w:p w:rsidR="00E128FA" w:rsidRPr="00526DBA" w:rsidRDefault="00E128FA" w:rsidP="008E4A48">
            <w:pPr>
              <w:pStyle w:val="TableHeader"/>
              <w:keepLines w:val="0"/>
              <w:spacing w:line="240" w:lineRule="auto"/>
              <w:ind w:left="0" w:right="0"/>
              <w:rPr>
                <w:rFonts w:asciiTheme="minorHAnsi" w:hAnsiTheme="minorHAnsi"/>
                <w:color w:val="FFFFFF" w:themeColor="background1"/>
                <w:sz w:val="18"/>
                <w:szCs w:val="18"/>
              </w:rPr>
            </w:pPr>
            <w:r w:rsidRPr="00526DBA">
              <w:rPr>
                <w:rFonts w:asciiTheme="minorHAnsi" w:hAnsiTheme="minorHAnsi"/>
                <w:color w:val="FFFFFF" w:themeColor="background1"/>
                <w:sz w:val="18"/>
                <w:szCs w:val="18"/>
              </w:rPr>
              <w:t>BSA</w:t>
            </w:r>
            <w:r w:rsidRPr="00526DBA">
              <w:rPr>
                <w:rFonts w:asciiTheme="minorHAnsi" w:hAnsiTheme="minorHAnsi"/>
                <w:color w:val="FFFFFF" w:themeColor="background1"/>
                <w:sz w:val="18"/>
                <w:szCs w:val="18"/>
                <w:vertAlign w:val="superscript"/>
              </w:rPr>
              <w:t>#</w:t>
            </w:r>
          </w:p>
        </w:tc>
        <w:tc>
          <w:tcPr>
            <w:tcW w:w="778" w:type="dxa"/>
            <w:shd w:val="clear" w:color="auto" w:fill="006DA7"/>
          </w:tcPr>
          <w:p w:rsidR="00E128FA" w:rsidRPr="00526DBA" w:rsidRDefault="00E128FA" w:rsidP="008E4A48">
            <w:pPr>
              <w:pStyle w:val="TableHeader"/>
              <w:keepLines w:val="0"/>
              <w:spacing w:line="240" w:lineRule="auto"/>
              <w:ind w:left="0" w:right="0"/>
              <w:rPr>
                <w:rFonts w:asciiTheme="minorHAnsi" w:hAnsiTheme="minorHAnsi"/>
                <w:color w:val="FFFFFF" w:themeColor="background1"/>
                <w:sz w:val="18"/>
                <w:szCs w:val="18"/>
              </w:rPr>
            </w:pPr>
            <w:r w:rsidRPr="00526DBA">
              <w:rPr>
                <w:rFonts w:asciiTheme="minorHAnsi" w:hAnsiTheme="minorHAnsi"/>
                <w:color w:val="FFFFFF" w:themeColor="background1"/>
                <w:sz w:val="18"/>
                <w:szCs w:val="18"/>
              </w:rPr>
              <w:t>AUC</w:t>
            </w:r>
          </w:p>
        </w:tc>
      </w:tr>
      <w:tr w:rsidR="00E128FA" w:rsidRPr="009D043D" w:rsidTr="00526DBA">
        <w:trPr>
          <w:trHeight w:val="218"/>
        </w:trPr>
        <w:tc>
          <w:tcPr>
            <w:tcW w:w="1095" w:type="dxa"/>
            <w:vMerge w:val="restart"/>
          </w:tcPr>
          <w:p w:rsidR="00E128FA" w:rsidRPr="00526DBA" w:rsidRDefault="00E128FA" w:rsidP="008E4A48">
            <w:pPr>
              <w:pStyle w:val="Tabletext"/>
              <w:keepNext/>
              <w:spacing w:before="40" w:after="40" w:line="240" w:lineRule="auto"/>
              <w:ind w:left="0" w:right="0"/>
              <w:rPr>
                <w:rFonts w:asciiTheme="minorHAnsi" w:hAnsiTheme="minorHAnsi"/>
                <w:kern w:val="2"/>
                <w:sz w:val="18"/>
                <w:szCs w:val="18"/>
              </w:rPr>
            </w:pPr>
            <w:r w:rsidRPr="00526DBA">
              <w:rPr>
                <w:rFonts w:asciiTheme="minorHAnsi" w:hAnsiTheme="minorHAnsi"/>
                <w:b/>
                <w:kern w:val="2"/>
                <w:sz w:val="18"/>
                <w:szCs w:val="18"/>
              </w:rPr>
              <w:t>Ra</w:t>
            </w:r>
            <w:r w:rsidR="009D043D">
              <w:rPr>
                <w:rFonts w:asciiTheme="minorHAnsi" w:hAnsiTheme="minorHAnsi"/>
                <w:b/>
                <w:kern w:val="2"/>
                <w:sz w:val="18"/>
                <w:szCs w:val="18"/>
              </w:rPr>
              <w:t xml:space="preserve">t </w:t>
            </w:r>
            <w:r w:rsidRPr="00526DBA">
              <w:rPr>
                <w:rFonts w:asciiTheme="minorHAnsi" w:hAnsiTheme="minorHAnsi"/>
                <w:kern w:val="2"/>
                <w:sz w:val="18"/>
                <w:szCs w:val="18"/>
              </w:rPr>
              <w:t>(SD)</w:t>
            </w:r>
          </w:p>
        </w:tc>
        <w:tc>
          <w:tcPr>
            <w:tcW w:w="2350" w:type="dxa"/>
            <w:vMerge w:val="restart"/>
          </w:tcPr>
          <w:p w:rsidR="00E128FA" w:rsidRPr="00526DBA" w:rsidRDefault="00E128FA" w:rsidP="008E4A48">
            <w:pPr>
              <w:pStyle w:val="Tabletext"/>
              <w:keepNext/>
              <w:spacing w:line="240" w:lineRule="auto"/>
              <w:ind w:left="0" w:right="0"/>
              <w:rPr>
                <w:rFonts w:asciiTheme="minorHAnsi" w:hAnsiTheme="minorHAnsi"/>
                <w:kern w:val="2"/>
                <w:sz w:val="18"/>
                <w:szCs w:val="18"/>
              </w:rPr>
            </w:pPr>
            <w:r w:rsidRPr="00526DBA">
              <w:rPr>
                <w:rFonts w:asciiTheme="minorHAnsi" w:hAnsiTheme="minorHAnsi"/>
                <w:kern w:val="2"/>
                <w:sz w:val="18"/>
                <w:szCs w:val="18"/>
              </w:rPr>
              <w:t xml:space="preserve">Fertility and </w:t>
            </w:r>
            <w:proofErr w:type="spellStart"/>
            <w:r w:rsidRPr="00526DBA">
              <w:rPr>
                <w:rFonts w:asciiTheme="minorHAnsi" w:hAnsiTheme="minorHAnsi"/>
                <w:kern w:val="2"/>
                <w:sz w:val="18"/>
                <w:szCs w:val="18"/>
              </w:rPr>
              <w:t>embryofetal</w:t>
            </w:r>
            <w:proofErr w:type="spellEnd"/>
            <w:r w:rsidRPr="00526DBA">
              <w:rPr>
                <w:rFonts w:asciiTheme="minorHAnsi" w:hAnsiTheme="minorHAnsi"/>
                <w:kern w:val="2"/>
                <w:sz w:val="18"/>
                <w:szCs w:val="18"/>
              </w:rPr>
              <w:t> development</w:t>
            </w:r>
            <w:r w:rsidR="009D043D" w:rsidRPr="00526DBA">
              <w:rPr>
                <w:rFonts w:asciiTheme="minorHAnsi" w:hAnsiTheme="minorHAnsi"/>
                <w:kern w:val="2"/>
                <w:sz w:val="18"/>
                <w:szCs w:val="18"/>
              </w:rPr>
              <w:t xml:space="preserve"> </w:t>
            </w:r>
            <w:r w:rsidR="00E60988" w:rsidRPr="00526DBA">
              <w:rPr>
                <w:rFonts w:asciiTheme="minorHAnsi" w:hAnsiTheme="minorHAnsi"/>
                <w:kern w:val="2"/>
                <w:sz w:val="18"/>
                <w:szCs w:val="18"/>
              </w:rPr>
              <w:t>(</w:t>
            </w:r>
            <w:r w:rsidRPr="00526DBA">
              <w:rPr>
                <w:rFonts w:asciiTheme="minorHAnsi" w:hAnsiTheme="minorHAnsi"/>
                <w:kern w:val="2"/>
                <w:sz w:val="18"/>
                <w:szCs w:val="18"/>
              </w:rPr>
              <w:t>Study PCLN-PIRF-078</w:t>
            </w:r>
            <w:r w:rsidR="00E60988" w:rsidRPr="00526DBA">
              <w:rPr>
                <w:rFonts w:asciiTheme="minorHAnsi" w:hAnsiTheme="minorHAnsi"/>
                <w:kern w:val="2"/>
                <w:sz w:val="18"/>
                <w:szCs w:val="18"/>
              </w:rPr>
              <w:t>)</w:t>
            </w:r>
          </w:p>
        </w:tc>
        <w:tc>
          <w:tcPr>
            <w:tcW w:w="125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50</w:t>
            </w:r>
          </w:p>
        </w:tc>
        <w:tc>
          <w:tcPr>
            <w:tcW w:w="128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300</w:t>
            </w:r>
          </w:p>
        </w:tc>
        <w:tc>
          <w:tcPr>
            <w:tcW w:w="1160"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w:t>
            </w:r>
          </w:p>
        </w:tc>
        <w:tc>
          <w:tcPr>
            <w:tcW w:w="867"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0.2</w:t>
            </w:r>
          </w:p>
        </w:tc>
        <w:tc>
          <w:tcPr>
            <w:tcW w:w="778" w:type="dxa"/>
          </w:tcPr>
          <w:p w:rsidR="00E128FA" w:rsidRPr="00526DBA" w:rsidRDefault="00E128FA" w:rsidP="008E4A48">
            <w:pPr>
              <w:pStyle w:val="TabletextPKvalues"/>
              <w:spacing w:line="240" w:lineRule="auto"/>
              <w:ind w:left="0" w:right="0"/>
              <w:rPr>
                <w:rFonts w:asciiTheme="minorHAnsi" w:hAnsiTheme="minorHAnsi"/>
                <w:szCs w:val="18"/>
              </w:rPr>
            </w:pPr>
          </w:p>
        </w:tc>
      </w:tr>
      <w:tr w:rsidR="00E128FA" w:rsidRPr="009D043D" w:rsidTr="00526DBA">
        <w:trPr>
          <w:trHeight w:val="102"/>
        </w:trPr>
        <w:tc>
          <w:tcPr>
            <w:tcW w:w="1095" w:type="dxa"/>
            <w:vMerge/>
          </w:tcPr>
          <w:p w:rsidR="00E128FA" w:rsidRPr="00526DBA" w:rsidRDefault="00E128FA" w:rsidP="008E4A48">
            <w:pPr>
              <w:pStyle w:val="Tabletext"/>
              <w:keepNext/>
              <w:spacing w:before="40" w:after="40" w:line="240" w:lineRule="auto"/>
              <w:ind w:left="0" w:right="0"/>
              <w:rPr>
                <w:rFonts w:asciiTheme="minorHAnsi" w:hAnsiTheme="minorHAnsi"/>
                <w:kern w:val="2"/>
                <w:sz w:val="18"/>
                <w:szCs w:val="18"/>
              </w:rPr>
            </w:pPr>
          </w:p>
        </w:tc>
        <w:tc>
          <w:tcPr>
            <w:tcW w:w="2350" w:type="dxa"/>
            <w:vMerge/>
          </w:tcPr>
          <w:p w:rsidR="00E128FA" w:rsidRPr="00526DBA" w:rsidRDefault="00E128FA" w:rsidP="008E4A48">
            <w:pPr>
              <w:pStyle w:val="Tabletext"/>
              <w:keepNext/>
              <w:spacing w:line="240" w:lineRule="auto"/>
              <w:ind w:left="0" w:right="0"/>
              <w:rPr>
                <w:rFonts w:asciiTheme="minorHAnsi" w:hAnsiTheme="minorHAnsi"/>
                <w:kern w:val="2"/>
                <w:sz w:val="18"/>
                <w:szCs w:val="18"/>
              </w:rPr>
            </w:pPr>
          </w:p>
        </w:tc>
        <w:tc>
          <w:tcPr>
            <w:tcW w:w="125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150</w:t>
            </w:r>
          </w:p>
        </w:tc>
        <w:tc>
          <w:tcPr>
            <w:tcW w:w="128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900</w:t>
            </w:r>
          </w:p>
        </w:tc>
        <w:tc>
          <w:tcPr>
            <w:tcW w:w="1160"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w:t>
            </w:r>
          </w:p>
        </w:tc>
        <w:tc>
          <w:tcPr>
            <w:tcW w:w="867"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0.6</w:t>
            </w:r>
          </w:p>
        </w:tc>
        <w:tc>
          <w:tcPr>
            <w:tcW w:w="778" w:type="dxa"/>
          </w:tcPr>
          <w:p w:rsidR="00E128FA" w:rsidRPr="00526DBA" w:rsidRDefault="00E128FA" w:rsidP="008E4A48">
            <w:pPr>
              <w:pStyle w:val="TabletextPKvalues"/>
              <w:spacing w:line="240" w:lineRule="auto"/>
              <w:ind w:left="0" w:right="0"/>
              <w:rPr>
                <w:rFonts w:asciiTheme="minorHAnsi" w:hAnsiTheme="minorHAnsi"/>
                <w:szCs w:val="18"/>
              </w:rPr>
            </w:pPr>
          </w:p>
        </w:tc>
      </w:tr>
      <w:tr w:rsidR="00E128FA" w:rsidRPr="009D043D" w:rsidTr="00526DBA">
        <w:trPr>
          <w:trHeight w:val="161"/>
        </w:trPr>
        <w:tc>
          <w:tcPr>
            <w:tcW w:w="1095" w:type="dxa"/>
            <w:vMerge/>
          </w:tcPr>
          <w:p w:rsidR="00E128FA" w:rsidRPr="00526DBA" w:rsidRDefault="00E128FA" w:rsidP="008E4A48">
            <w:pPr>
              <w:pStyle w:val="Tabletext"/>
              <w:keepNext/>
              <w:spacing w:before="40" w:after="40" w:line="240" w:lineRule="auto"/>
              <w:ind w:left="0" w:right="0"/>
              <w:rPr>
                <w:rFonts w:asciiTheme="minorHAnsi" w:hAnsiTheme="minorHAnsi"/>
                <w:kern w:val="2"/>
                <w:sz w:val="18"/>
                <w:szCs w:val="18"/>
              </w:rPr>
            </w:pPr>
          </w:p>
        </w:tc>
        <w:tc>
          <w:tcPr>
            <w:tcW w:w="2350" w:type="dxa"/>
            <w:vMerge/>
          </w:tcPr>
          <w:p w:rsidR="00E128FA" w:rsidRPr="00526DBA" w:rsidRDefault="00E128FA" w:rsidP="008E4A48">
            <w:pPr>
              <w:pStyle w:val="Tabletext"/>
              <w:keepNext/>
              <w:spacing w:line="240" w:lineRule="auto"/>
              <w:ind w:left="0" w:right="0"/>
              <w:rPr>
                <w:rFonts w:asciiTheme="minorHAnsi" w:hAnsiTheme="minorHAnsi"/>
                <w:kern w:val="2"/>
                <w:sz w:val="18"/>
                <w:szCs w:val="18"/>
              </w:rPr>
            </w:pPr>
          </w:p>
        </w:tc>
        <w:tc>
          <w:tcPr>
            <w:tcW w:w="125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450</w:t>
            </w:r>
          </w:p>
        </w:tc>
        <w:tc>
          <w:tcPr>
            <w:tcW w:w="128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2</w:t>
            </w:r>
            <w:r w:rsidR="007514CF">
              <w:rPr>
                <w:rFonts w:asciiTheme="minorHAnsi" w:hAnsiTheme="minorHAnsi"/>
                <w:szCs w:val="18"/>
              </w:rPr>
              <w:t>,</w:t>
            </w:r>
            <w:r w:rsidRPr="00526DBA">
              <w:rPr>
                <w:rFonts w:asciiTheme="minorHAnsi" w:hAnsiTheme="minorHAnsi"/>
                <w:szCs w:val="18"/>
              </w:rPr>
              <w:t>700</w:t>
            </w:r>
          </w:p>
        </w:tc>
        <w:tc>
          <w:tcPr>
            <w:tcW w:w="1160"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w:t>
            </w:r>
          </w:p>
        </w:tc>
        <w:tc>
          <w:tcPr>
            <w:tcW w:w="867"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1.7</w:t>
            </w:r>
          </w:p>
        </w:tc>
        <w:tc>
          <w:tcPr>
            <w:tcW w:w="778" w:type="dxa"/>
          </w:tcPr>
          <w:p w:rsidR="00E128FA" w:rsidRPr="00526DBA" w:rsidRDefault="00E128FA" w:rsidP="008E4A48">
            <w:pPr>
              <w:pStyle w:val="TabletextPKvalues"/>
              <w:spacing w:line="240" w:lineRule="auto"/>
              <w:ind w:left="0" w:right="0"/>
              <w:rPr>
                <w:rFonts w:asciiTheme="minorHAnsi" w:hAnsiTheme="minorHAnsi"/>
                <w:szCs w:val="18"/>
              </w:rPr>
            </w:pPr>
          </w:p>
        </w:tc>
      </w:tr>
      <w:tr w:rsidR="00E128FA" w:rsidRPr="009D043D" w:rsidTr="00526DBA">
        <w:trPr>
          <w:trHeight w:val="218"/>
        </w:trPr>
        <w:tc>
          <w:tcPr>
            <w:tcW w:w="1095" w:type="dxa"/>
            <w:vMerge/>
          </w:tcPr>
          <w:p w:rsidR="00E128FA" w:rsidRPr="00526DBA" w:rsidRDefault="00E128FA" w:rsidP="008E4A48">
            <w:pPr>
              <w:pStyle w:val="Tabletext"/>
              <w:keepNext/>
              <w:spacing w:before="40" w:after="40" w:line="240" w:lineRule="auto"/>
              <w:ind w:left="0" w:right="0"/>
              <w:rPr>
                <w:rFonts w:asciiTheme="minorHAnsi" w:hAnsiTheme="minorHAnsi"/>
                <w:kern w:val="2"/>
                <w:sz w:val="18"/>
                <w:szCs w:val="18"/>
              </w:rPr>
            </w:pPr>
          </w:p>
        </w:tc>
        <w:tc>
          <w:tcPr>
            <w:tcW w:w="2350" w:type="dxa"/>
            <w:vMerge/>
          </w:tcPr>
          <w:p w:rsidR="00E128FA" w:rsidRPr="00526DBA" w:rsidRDefault="00E128FA" w:rsidP="008E4A48">
            <w:pPr>
              <w:pStyle w:val="Tabletext"/>
              <w:keepNext/>
              <w:spacing w:line="240" w:lineRule="auto"/>
              <w:ind w:left="0" w:right="0"/>
              <w:rPr>
                <w:rFonts w:asciiTheme="minorHAnsi" w:hAnsiTheme="minorHAnsi"/>
                <w:kern w:val="2"/>
                <w:sz w:val="18"/>
                <w:szCs w:val="18"/>
              </w:rPr>
            </w:pPr>
          </w:p>
        </w:tc>
        <w:tc>
          <w:tcPr>
            <w:tcW w:w="1258" w:type="dxa"/>
          </w:tcPr>
          <w:p w:rsidR="00E128FA" w:rsidRPr="00526DBA" w:rsidRDefault="00B15BB5"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1,000</w:t>
            </w:r>
          </w:p>
        </w:tc>
        <w:tc>
          <w:tcPr>
            <w:tcW w:w="128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6</w:t>
            </w:r>
            <w:r w:rsidR="007514CF">
              <w:rPr>
                <w:rFonts w:asciiTheme="minorHAnsi" w:hAnsiTheme="minorHAnsi"/>
                <w:szCs w:val="18"/>
              </w:rPr>
              <w:t>,</w:t>
            </w:r>
            <w:r w:rsidRPr="00526DBA">
              <w:rPr>
                <w:rFonts w:asciiTheme="minorHAnsi" w:hAnsiTheme="minorHAnsi"/>
                <w:szCs w:val="18"/>
              </w:rPr>
              <w:t>000</w:t>
            </w:r>
          </w:p>
        </w:tc>
        <w:tc>
          <w:tcPr>
            <w:tcW w:w="1160"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w:t>
            </w:r>
          </w:p>
        </w:tc>
        <w:tc>
          <w:tcPr>
            <w:tcW w:w="867"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3.8</w:t>
            </w:r>
          </w:p>
        </w:tc>
        <w:tc>
          <w:tcPr>
            <w:tcW w:w="778" w:type="dxa"/>
          </w:tcPr>
          <w:p w:rsidR="00E128FA" w:rsidRPr="00526DBA" w:rsidRDefault="00E128FA" w:rsidP="008E4A48">
            <w:pPr>
              <w:pStyle w:val="TabletextPKvalues"/>
              <w:spacing w:line="240" w:lineRule="auto"/>
              <w:ind w:left="0" w:right="0"/>
              <w:rPr>
                <w:rFonts w:asciiTheme="minorHAnsi" w:hAnsiTheme="minorHAnsi"/>
                <w:szCs w:val="18"/>
              </w:rPr>
            </w:pPr>
          </w:p>
        </w:tc>
      </w:tr>
      <w:tr w:rsidR="00E128FA" w:rsidRPr="009D043D" w:rsidTr="00526DBA">
        <w:trPr>
          <w:trHeight w:val="218"/>
        </w:trPr>
        <w:tc>
          <w:tcPr>
            <w:tcW w:w="1095" w:type="dxa"/>
            <w:vMerge/>
          </w:tcPr>
          <w:p w:rsidR="00E128FA" w:rsidRPr="00526DBA" w:rsidRDefault="00E128FA" w:rsidP="008E4A48">
            <w:pPr>
              <w:pStyle w:val="Tabletext"/>
              <w:keepNext/>
              <w:spacing w:before="40" w:after="40" w:line="240" w:lineRule="auto"/>
              <w:ind w:left="0" w:right="0"/>
              <w:rPr>
                <w:rFonts w:asciiTheme="minorHAnsi" w:hAnsiTheme="minorHAnsi"/>
                <w:kern w:val="2"/>
                <w:sz w:val="18"/>
                <w:szCs w:val="18"/>
              </w:rPr>
            </w:pPr>
          </w:p>
        </w:tc>
        <w:tc>
          <w:tcPr>
            <w:tcW w:w="2350" w:type="dxa"/>
            <w:vMerge w:val="restart"/>
          </w:tcPr>
          <w:p w:rsidR="00E128FA" w:rsidRPr="00526DBA" w:rsidRDefault="00E128FA" w:rsidP="008E4A48">
            <w:pPr>
              <w:pStyle w:val="Tabletext"/>
              <w:keepNext/>
              <w:spacing w:line="240" w:lineRule="auto"/>
              <w:ind w:left="0" w:right="0"/>
              <w:rPr>
                <w:rFonts w:asciiTheme="minorHAnsi" w:hAnsiTheme="minorHAnsi"/>
                <w:kern w:val="2"/>
                <w:sz w:val="18"/>
                <w:szCs w:val="18"/>
              </w:rPr>
            </w:pPr>
            <w:r w:rsidRPr="00526DBA">
              <w:rPr>
                <w:rFonts w:asciiTheme="minorHAnsi" w:hAnsiTheme="minorHAnsi"/>
                <w:kern w:val="2"/>
                <w:sz w:val="18"/>
                <w:szCs w:val="18"/>
              </w:rPr>
              <w:t>Pre/post-natal development</w:t>
            </w:r>
            <w:r w:rsidR="009D043D" w:rsidRPr="00526DBA">
              <w:rPr>
                <w:rFonts w:asciiTheme="minorHAnsi" w:hAnsiTheme="minorHAnsi"/>
                <w:kern w:val="2"/>
                <w:sz w:val="18"/>
                <w:szCs w:val="18"/>
              </w:rPr>
              <w:t xml:space="preserve"> </w:t>
            </w:r>
            <w:r w:rsidR="00E60988" w:rsidRPr="00526DBA">
              <w:rPr>
                <w:rFonts w:asciiTheme="minorHAnsi" w:hAnsiTheme="minorHAnsi"/>
                <w:kern w:val="2"/>
                <w:sz w:val="18"/>
                <w:szCs w:val="18"/>
              </w:rPr>
              <w:t>(</w:t>
            </w:r>
            <w:r w:rsidRPr="00526DBA">
              <w:rPr>
                <w:rFonts w:asciiTheme="minorHAnsi" w:hAnsiTheme="minorHAnsi"/>
                <w:kern w:val="2"/>
                <w:sz w:val="18"/>
                <w:szCs w:val="18"/>
              </w:rPr>
              <w:t>Study PCLN-PIRF-079</w:t>
            </w:r>
            <w:r w:rsidR="00E60988" w:rsidRPr="00526DBA">
              <w:rPr>
                <w:rFonts w:asciiTheme="minorHAnsi" w:hAnsiTheme="minorHAnsi"/>
                <w:kern w:val="2"/>
                <w:sz w:val="18"/>
                <w:szCs w:val="18"/>
              </w:rPr>
              <w:t>)</w:t>
            </w:r>
          </w:p>
        </w:tc>
        <w:tc>
          <w:tcPr>
            <w:tcW w:w="125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100</w:t>
            </w:r>
          </w:p>
        </w:tc>
        <w:tc>
          <w:tcPr>
            <w:tcW w:w="128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600</w:t>
            </w:r>
          </w:p>
        </w:tc>
        <w:tc>
          <w:tcPr>
            <w:tcW w:w="1160"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w:t>
            </w:r>
          </w:p>
        </w:tc>
        <w:tc>
          <w:tcPr>
            <w:tcW w:w="867"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0.4</w:t>
            </w:r>
          </w:p>
        </w:tc>
        <w:tc>
          <w:tcPr>
            <w:tcW w:w="778" w:type="dxa"/>
          </w:tcPr>
          <w:p w:rsidR="00E128FA" w:rsidRPr="00526DBA" w:rsidRDefault="00E128FA" w:rsidP="008E4A48">
            <w:pPr>
              <w:pStyle w:val="TabletextPKvalues"/>
              <w:spacing w:line="240" w:lineRule="auto"/>
              <w:ind w:left="0" w:right="0"/>
              <w:rPr>
                <w:rFonts w:asciiTheme="minorHAnsi" w:hAnsiTheme="minorHAnsi"/>
                <w:szCs w:val="18"/>
              </w:rPr>
            </w:pPr>
          </w:p>
        </w:tc>
      </w:tr>
      <w:tr w:rsidR="00E128FA" w:rsidRPr="009D043D" w:rsidTr="00526DBA">
        <w:trPr>
          <w:trHeight w:val="218"/>
        </w:trPr>
        <w:tc>
          <w:tcPr>
            <w:tcW w:w="1095" w:type="dxa"/>
            <w:vMerge/>
          </w:tcPr>
          <w:p w:rsidR="00E128FA" w:rsidRPr="00526DBA" w:rsidRDefault="00E128FA" w:rsidP="008E4A48">
            <w:pPr>
              <w:pStyle w:val="Tabletext"/>
              <w:keepNext/>
              <w:spacing w:before="40" w:after="40" w:line="240" w:lineRule="auto"/>
              <w:ind w:left="0" w:right="0"/>
              <w:rPr>
                <w:rFonts w:asciiTheme="minorHAnsi" w:hAnsiTheme="minorHAnsi"/>
                <w:kern w:val="2"/>
                <w:sz w:val="18"/>
                <w:szCs w:val="18"/>
              </w:rPr>
            </w:pPr>
          </w:p>
        </w:tc>
        <w:tc>
          <w:tcPr>
            <w:tcW w:w="2350" w:type="dxa"/>
            <w:vMerge/>
          </w:tcPr>
          <w:p w:rsidR="00E128FA" w:rsidRPr="00526DBA" w:rsidRDefault="00E128FA" w:rsidP="008E4A48">
            <w:pPr>
              <w:pStyle w:val="Tabletext"/>
              <w:keepNext/>
              <w:spacing w:line="240" w:lineRule="auto"/>
              <w:ind w:left="0" w:right="0"/>
              <w:rPr>
                <w:rFonts w:asciiTheme="minorHAnsi" w:hAnsiTheme="minorHAnsi"/>
                <w:kern w:val="2"/>
                <w:sz w:val="18"/>
                <w:szCs w:val="18"/>
              </w:rPr>
            </w:pPr>
          </w:p>
        </w:tc>
        <w:tc>
          <w:tcPr>
            <w:tcW w:w="125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300</w:t>
            </w:r>
          </w:p>
        </w:tc>
        <w:tc>
          <w:tcPr>
            <w:tcW w:w="128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1</w:t>
            </w:r>
            <w:r w:rsidR="007514CF">
              <w:rPr>
                <w:rFonts w:asciiTheme="minorHAnsi" w:hAnsiTheme="minorHAnsi"/>
                <w:szCs w:val="18"/>
              </w:rPr>
              <w:t>,</w:t>
            </w:r>
            <w:r w:rsidRPr="00526DBA">
              <w:rPr>
                <w:rFonts w:asciiTheme="minorHAnsi" w:hAnsiTheme="minorHAnsi"/>
                <w:szCs w:val="18"/>
              </w:rPr>
              <w:t>800</w:t>
            </w:r>
          </w:p>
        </w:tc>
        <w:tc>
          <w:tcPr>
            <w:tcW w:w="1160"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w:t>
            </w:r>
          </w:p>
        </w:tc>
        <w:tc>
          <w:tcPr>
            <w:tcW w:w="867"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1.1</w:t>
            </w:r>
          </w:p>
        </w:tc>
        <w:tc>
          <w:tcPr>
            <w:tcW w:w="778" w:type="dxa"/>
          </w:tcPr>
          <w:p w:rsidR="00E128FA" w:rsidRPr="00526DBA" w:rsidRDefault="00E128FA" w:rsidP="008E4A48">
            <w:pPr>
              <w:pStyle w:val="TabletextPKvalues"/>
              <w:spacing w:line="240" w:lineRule="auto"/>
              <w:ind w:left="0" w:right="0"/>
              <w:rPr>
                <w:rFonts w:asciiTheme="minorHAnsi" w:hAnsiTheme="minorHAnsi"/>
                <w:szCs w:val="18"/>
              </w:rPr>
            </w:pPr>
          </w:p>
        </w:tc>
      </w:tr>
      <w:tr w:rsidR="00E128FA" w:rsidRPr="009D043D" w:rsidTr="00526DBA">
        <w:trPr>
          <w:trHeight w:val="218"/>
        </w:trPr>
        <w:tc>
          <w:tcPr>
            <w:tcW w:w="1095" w:type="dxa"/>
            <w:vMerge/>
          </w:tcPr>
          <w:p w:rsidR="00E128FA" w:rsidRPr="00526DBA" w:rsidRDefault="00E128FA" w:rsidP="008E4A48">
            <w:pPr>
              <w:pStyle w:val="Tabletext"/>
              <w:keepNext/>
              <w:spacing w:before="40" w:after="40" w:line="240" w:lineRule="auto"/>
              <w:ind w:left="0" w:right="0"/>
              <w:rPr>
                <w:rFonts w:asciiTheme="minorHAnsi" w:hAnsiTheme="minorHAnsi"/>
                <w:kern w:val="2"/>
                <w:sz w:val="18"/>
                <w:szCs w:val="18"/>
              </w:rPr>
            </w:pPr>
          </w:p>
        </w:tc>
        <w:tc>
          <w:tcPr>
            <w:tcW w:w="2350" w:type="dxa"/>
            <w:vMerge/>
          </w:tcPr>
          <w:p w:rsidR="00E128FA" w:rsidRPr="00526DBA" w:rsidRDefault="00E128FA" w:rsidP="008E4A48">
            <w:pPr>
              <w:pStyle w:val="Tabletext"/>
              <w:keepNext/>
              <w:spacing w:line="240" w:lineRule="auto"/>
              <w:ind w:left="0" w:right="0"/>
              <w:rPr>
                <w:rFonts w:asciiTheme="minorHAnsi" w:hAnsiTheme="minorHAnsi"/>
                <w:kern w:val="2"/>
                <w:sz w:val="18"/>
                <w:szCs w:val="18"/>
              </w:rPr>
            </w:pPr>
          </w:p>
        </w:tc>
        <w:tc>
          <w:tcPr>
            <w:tcW w:w="1258" w:type="dxa"/>
          </w:tcPr>
          <w:p w:rsidR="00E128FA" w:rsidRPr="00526DBA" w:rsidRDefault="00B15BB5"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1,000</w:t>
            </w:r>
          </w:p>
        </w:tc>
        <w:tc>
          <w:tcPr>
            <w:tcW w:w="128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6</w:t>
            </w:r>
            <w:r w:rsidR="007514CF">
              <w:rPr>
                <w:rFonts w:asciiTheme="minorHAnsi" w:hAnsiTheme="minorHAnsi"/>
                <w:szCs w:val="18"/>
              </w:rPr>
              <w:t>,</w:t>
            </w:r>
            <w:r w:rsidRPr="00526DBA">
              <w:rPr>
                <w:rFonts w:asciiTheme="minorHAnsi" w:hAnsiTheme="minorHAnsi"/>
                <w:szCs w:val="18"/>
              </w:rPr>
              <w:t>000</w:t>
            </w:r>
          </w:p>
        </w:tc>
        <w:tc>
          <w:tcPr>
            <w:tcW w:w="1160"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w:t>
            </w:r>
          </w:p>
        </w:tc>
        <w:tc>
          <w:tcPr>
            <w:tcW w:w="867"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3.8</w:t>
            </w:r>
          </w:p>
        </w:tc>
        <w:tc>
          <w:tcPr>
            <w:tcW w:w="778" w:type="dxa"/>
          </w:tcPr>
          <w:p w:rsidR="00E128FA" w:rsidRPr="00526DBA" w:rsidRDefault="00E128FA" w:rsidP="008E4A48">
            <w:pPr>
              <w:pStyle w:val="TabletextPKvalues"/>
              <w:spacing w:line="240" w:lineRule="auto"/>
              <w:ind w:left="0" w:right="0"/>
              <w:rPr>
                <w:rFonts w:asciiTheme="minorHAnsi" w:hAnsiTheme="minorHAnsi"/>
                <w:szCs w:val="18"/>
              </w:rPr>
            </w:pPr>
          </w:p>
        </w:tc>
      </w:tr>
      <w:tr w:rsidR="00E128FA" w:rsidRPr="009D043D" w:rsidTr="00526DBA">
        <w:trPr>
          <w:trHeight w:val="115"/>
        </w:trPr>
        <w:tc>
          <w:tcPr>
            <w:tcW w:w="1095" w:type="dxa"/>
            <w:vMerge w:val="restart"/>
          </w:tcPr>
          <w:p w:rsidR="00E128FA" w:rsidRPr="00526DBA" w:rsidRDefault="00E128FA" w:rsidP="008E4A48">
            <w:pPr>
              <w:pStyle w:val="Tabletext"/>
              <w:keepNext/>
              <w:spacing w:before="40" w:after="40" w:line="240" w:lineRule="auto"/>
              <w:ind w:left="0" w:right="0"/>
              <w:rPr>
                <w:rFonts w:asciiTheme="minorHAnsi" w:hAnsiTheme="minorHAnsi"/>
                <w:kern w:val="2"/>
                <w:sz w:val="18"/>
                <w:szCs w:val="18"/>
              </w:rPr>
            </w:pPr>
            <w:r w:rsidRPr="00526DBA">
              <w:rPr>
                <w:rFonts w:asciiTheme="minorHAnsi" w:hAnsiTheme="minorHAnsi"/>
                <w:b/>
                <w:kern w:val="2"/>
                <w:sz w:val="18"/>
                <w:szCs w:val="18"/>
              </w:rPr>
              <w:t>Rabbit</w:t>
            </w:r>
            <w:r w:rsidR="009D043D" w:rsidRPr="00526DBA">
              <w:rPr>
                <w:rFonts w:asciiTheme="minorHAnsi" w:hAnsiTheme="minorHAnsi"/>
                <w:kern w:val="2"/>
                <w:sz w:val="18"/>
                <w:szCs w:val="18"/>
              </w:rPr>
              <w:t xml:space="preserve"> </w:t>
            </w:r>
            <w:r w:rsidRPr="00526DBA">
              <w:rPr>
                <w:rFonts w:asciiTheme="minorHAnsi" w:hAnsiTheme="minorHAnsi"/>
                <w:kern w:val="2"/>
                <w:sz w:val="18"/>
                <w:szCs w:val="18"/>
              </w:rPr>
              <w:t>(JW)</w:t>
            </w:r>
          </w:p>
        </w:tc>
        <w:tc>
          <w:tcPr>
            <w:tcW w:w="2350" w:type="dxa"/>
            <w:vMerge w:val="restart"/>
          </w:tcPr>
          <w:p w:rsidR="00E128FA" w:rsidRPr="00526DBA" w:rsidRDefault="00E128FA" w:rsidP="008E4A48">
            <w:pPr>
              <w:pStyle w:val="Tabletext"/>
              <w:keepNext/>
              <w:spacing w:line="240" w:lineRule="auto"/>
              <w:ind w:left="0" w:right="0"/>
              <w:rPr>
                <w:rFonts w:asciiTheme="minorHAnsi" w:hAnsiTheme="minorHAnsi"/>
                <w:kern w:val="2"/>
                <w:sz w:val="18"/>
                <w:szCs w:val="18"/>
              </w:rPr>
            </w:pPr>
            <w:proofErr w:type="spellStart"/>
            <w:r w:rsidRPr="00526DBA">
              <w:rPr>
                <w:rFonts w:asciiTheme="minorHAnsi" w:hAnsiTheme="minorHAnsi"/>
                <w:kern w:val="2"/>
                <w:sz w:val="18"/>
                <w:szCs w:val="18"/>
              </w:rPr>
              <w:t>Embryofetal</w:t>
            </w:r>
            <w:proofErr w:type="spellEnd"/>
            <w:r w:rsidRPr="00526DBA">
              <w:rPr>
                <w:rFonts w:asciiTheme="minorHAnsi" w:hAnsiTheme="minorHAnsi"/>
                <w:kern w:val="2"/>
                <w:sz w:val="18"/>
                <w:szCs w:val="18"/>
              </w:rPr>
              <w:t xml:space="preserve"> development </w:t>
            </w:r>
            <w:r w:rsidR="00E60988" w:rsidRPr="00526DBA">
              <w:rPr>
                <w:rFonts w:asciiTheme="minorHAnsi" w:hAnsiTheme="minorHAnsi"/>
                <w:kern w:val="2"/>
                <w:sz w:val="18"/>
                <w:szCs w:val="18"/>
              </w:rPr>
              <w:t>(</w:t>
            </w:r>
            <w:r w:rsidRPr="00526DBA">
              <w:rPr>
                <w:rFonts w:asciiTheme="minorHAnsi" w:hAnsiTheme="minorHAnsi"/>
                <w:kern w:val="2"/>
                <w:sz w:val="18"/>
                <w:szCs w:val="18"/>
              </w:rPr>
              <w:t>pilot study; SG99144</w:t>
            </w:r>
            <w:r w:rsidR="00E60988" w:rsidRPr="00526DBA">
              <w:rPr>
                <w:rFonts w:asciiTheme="minorHAnsi" w:hAnsiTheme="minorHAnsi"/>
                <w:kern w:val="2"/>
                <w:sz w:val="18"/>
                <w:szCs w:val="18"/>
              </w:rPr>
              <w:t>)</w:t>
            </w:r>
          </w:p>
        </w:tc>
        <w:tc>
          <w:tcPr>
            <w:tcW w:w="125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30</w:t>
            </w:r>
          </w:p>
        </w:tc>
        <w:tc>
          <w:tcPr>
            <w:tcW w:w="128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360</w:t>
            </w:r>
          </w:p>
        </w:tc>
        <w:tc>
          <w:tcPr>
            <w:tcW w:w="1160"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0.2*</w:t>
            </w:r>
          </w:p>
        </w:tc>
        <w:tc>
          <w:tcPr>
            <w:tcW w:w="867"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0.2</w:t>
            </w:r>
          </w:p>
        </w:tc>
        <w:tc>
          <w:tcPr>
            <w:tcW w:w="77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0.015</w:t>
            </w:r>
          </w:p>
        </w:tc>
      </w:tr>
      <w:tr w:rsidR="00E128FA" w:rsidRPr="009D043D" w:rsidTr="00526DBA">
        <w:trPr>
          <w:trHeight w:val="144"/>
        </w:trPr>
        <w:tc>
          <w:tcPr>
            <w:tcW w:w="1095" w:type="dxa"/>
            <w:vMerge/>
          </w:tcPr>
          <w:p w:rsidR="00E128FA" w:rsidRPr="00526DBA" w:rsidRDefault="00E128FA" w:rsidP="008E4A48">
            <w:pPr>
              <w:pStyle w:val="Tabletext"/>
              <w:keepNext/>
              <w:spacing w:before="40" w:after="40" w:line="240" w:lineRule="auto"/>
              <w:ind w:left="0" w:right="0"/>
              <w:rPr>
                <w:rFonts w:asciiTheme="minorHAnsi" w:hAnsiTheme="minorHAnsi"/>
                <w:b/>
                <w:kern w:val="2"/>
                <w:sz w:val="18"/>
                <w:szCs w:val="18"/>
              </w:rPr>
            </w:pPr>
          </w:p>
        </w:tc>
        <w:tc>
          <w:tcPr>
            <w:tcW w:w="2350" w:type="dxa"/>
            <w:vMerge/>
          </w:tcPr>
          <w:p w:rsidR="00E128FA" w:rsidRPr="00526DBA" w:rsidRDefault="00E128FA" w:rsidP="008E4A48">
            <w:pPr>
              <w:pStyle w:val="Tabletext"/>
              <w:keepNext/>
              <w:spacing w:line="240" w:lineRule="auto"/>
              <w:ind w:left="0" w:right="0"/>
              <w:rPr>
                <w:rFonts w:asciiTheme="minorHAnsi" w:hAnsiTheme="minorHAnsi"/>
                <w:kern w:val="2"/>
                <w:sz w:val="18"/>
                <w:szCs w:val="18"/>
              </w:rPr>
            </w:pPr>
          </w:p>
        </w:tc>
        <w:tc>
          <w:tcPr>
            <w:tcW w:w="125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100</w:t>
            </w:r>
          </w:p>
        </w:tc>
        <w:tc>
          <w:tcPr>
            <w:tcW w:w="128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1</w:t>
            </w:r>
            <w:r w:rsidR="007514CF">
              <w:rPr>
                <w:rFonts w:asciiTheme="minorHAnsi" w:hAnsiTheme="minorHAnsi"/>
                <w:szCs w:val="18"/>
              </w:rPr>
              <w:t>,</w:t>
            </w:r>
            <w:r w:rsidRPr="00526DBA">
              <w:rPr>
                <w:rFonts w:asciiTheme="minorHAnsi" w:hAnsiTheme="minorHAnsi"/>
                <w:szCs w:val="18"/>
              </w:rPr>
              <w:t>200</w:t>
            </w:r>
          </w:p>
        </w:tc>
        <w:tc>
          <w:tcPr>
            <w:tcW w:w="1160"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0.8*</w:t>
            </w:r>
          </w:p>
        </w:tc>
        <w:tc>
          <w:tcPr>
            <w:tcW w:w="867"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0.8</w:t>
            </w:r>
          </w:p>
        </w:tc>
        <w:tc>
          <w:tcPr>
            <w:tcW w:w="77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0.2</w:t>
            </w:r>
          </w:p>
        </w:tc>
      </w:tr>
      <w:tr w:rsidR="00E128FA" w:rsidRPr="009D043D" w:rsidTr="00526DBA">
        <w:trPr>
          <w:trHeight w:val="96"/>
        </w:trPr>
        <w:tc>
          <w:tcPr>
            <w:tcW w:w="1095" w:type="dxa"/>
            <w:vMerge/>
          </w:tcPr>
          <w:p w:rsidR="00E128FA" w:rsidRPr="00526DBA" w:rsidRDefault="00E128FA" w:rsidP="008E4A48">
            <w:pPr>
              <w:pStyle w:val="Tabletext"/>
              <w:keepNext/>
              <w:spacing w:before="40" w:after="40" w:line="240" w:lineRule="auto"/>
              <w:ind w:left="0" w:right="0"/>
              <w:rPr>
                <w:rFonts w:asciiTheme="minorHAnsi" w:hAnsiTheme="minorHAnsi"/>
                <w:b/>
                <w:kern w:val="2"/>
                <w:sz w:val="18"/>
                <w:szCs w:val="18"/>
              </w:rPr>
            </w:pPr>
          </w:p>
        </w:tc>
        <w:tc>
          <w:tcPr>
            <w:tcW w:w="2350" w:type="dxa"/>
            <w:vMerge/>
          </w:tcPr>
          <w:p w:rsidR="00E128FA" w:rsidRPr="00526DBA" w:rsidRDefault="00E128FA" w:rsidP="008E4A48">
            <w:pPr>
              <w:pStyle w:val="Tabletext"/>
              <w:keepNext/>
              <w:spacing w:line="240" w:lineRule="auto"/>
              <w:ind w:left="0" w:right="0"/>
              <w:rPr>
                <w:rFonts w:asciiTheme="minorHAnsi" w:hAnsiTheme="minorHAnsi"/>
                <w:kern w:val="2"/>
                <w:sz w:val="18"/>
                <w:szCs w:val="18"/>
              </w:rPr>
            </w:pPr>
          </w:p>
        </w:tc>
        <w:tc>
          <w:tcPr>
            <w:tcW w:w="125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300</w:t>
            </w:r>
          </w:p>
        </w:tc>
        <w:tc>
          <w:tcPr>
            <w:tcW w:w="128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3</w:t>
            </w:r>
            <w:r w:rsidR="007514CF">
              <w:rPr>
                <w:rFonts w:asciiTheme="minorHAnsi" w:hAnsiTheme="minorHAnsi"/>
                <w:szCs w:val="18"/>
              </w:rPr>
              <w:t>,</w:t>
            </w:r>
            <w:r w:rsidRPr="00526DBA">
              <w:rPr>
                <w:rFonts w:asciiTheme="minorHAnsi" w:hAnsiTheme="minorHAnsi"/>
                <w:szCs w:val="18"/>
              </w:rPr>
              <w:t>600</w:t>
            </w:r>
          </w:p>
        </w:tc>
        <w:tc>
          <w:tcPr>
            <w:tcW w:w="1160"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2.3*</w:t>
            </w:r>
          </w:p>
        </w:tc>
        <w:tc>
          <w:tcPr>
            <w:tcW w:w="867"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2.3</w:t>
            </w:r>
          </w:p>
        </w:tc>
        <w:tc>
          <w:tcPr>
            <w:tcW w:w="77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0.7</w:t>
            </w:r>
          </w:p>
        </w:tc>
      </w:tr>
      <w:tr w:rsidR="00E128FA" w:rsidRPr="009D043D" w:rsidTr="00526DBA">
        <w:trPr>
          <w:trHeight w:val="106"/>
        </w:trPr>
        <w:tc>
          <w:tcPr>
            <w:tcW w:w="1095" w:type="dxa"/>
            <w:vMerge/>
          </w:tcPr>
          <w:p w:rsidR="00E128FA" w:rsidRPr="00526DBA" w:rsidRDefault="00E128FA" w:rsidP="008E4A48">
            <w:pPr>
              <w:pStyle w:val="Tabletext"/>
              <w:keepNext/>
              <w:spacing w:before="40" w:after="40" w:line="240" w:lineRule="auto"/>
              <w:ind w:left="0" w:right="0"/>
              <w:rPr>
                <w:rFonts w:asciiTheme="minorHAnsi" w:hAnsiTheme="minorHAnsi"/>
                <w:b/>
                <w:kern w:val="2"/>
                <w:sz w:val="18"/>
                <w:szCs w:val="18"/>
              </w:rPr>
            </w:pPr>
          </w:p>
        </w:tc>
        <w:tc>
          <w:tcPr>
            <w:tcW w:w="2350" w:type="dxa"/>
            <w:vMerge/>
          </w:tcPr>
          <w:p w:rsidR="00E128FA" w:rsidRPr="00526DBA" w:rsidRDefault="00E128FA" w:rsidP="008E4A48">
            <w:pPr>
              <w:pStyle w:val="Tabletext"/>
              <w:keepNext/>
              <w:spacing w:line="240" w:lineRule="auto"/>
              <w:ind w:left="0" w:right="0"/>
              <w:rPr>
                <w:rFonts w:asciiTheme="minorHAnsi" w:hAnsiTheme="minorHAnsi"/>
                <w:kern w:val="2"/>
                <w:sz w:val="18"/>
                <w:szCs w:val="18"/>
              </w:rPr>
            </w:pPr>
          </w:p>
        </w:tc>
        <w:tc>
          <w:tcPr>
            <w:tcW w:w="125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600</w:t>
            </w:r>
          </w:p>
        </w:tc>
        <w:tc>
          <w:tcPr>
            <w:tcW w:w="128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7</w:t>
            </w:r>
            <w:r w:rsidR="007514CF">
              <w:rPr>
                <w:rFonts w:asciiTheme="minorHAnsi" w:hAnsiTheme="minorHAnsi"/>
                <w:szCs w:val="18"/>
              </w:rPr>
              <w:t>,</w:t>
            </w:r>
            <w:r w:rsidRPr="00526DBA">
              <w:rPr>
                <w:rFonts w:asciiTheme="minorHAnsi" w:hAnsiTheme="minorHAnsi"/>
                <w:szCs w:val="18"/>
              </w:rPr>
              <w:t>200</w:t>
            </w:r>
          </w:p>
        </w:tc>
        <w:tc>
          <w:tcPr>
            <w:tcW w:w="1160"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4.5*</w:t>
            </w:r>
          </w:p>
        </w:tc>
        <w:tc>
          <w:tcPr>
            <w:tcW w:w="867"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4.5</w:t>
            </w:r>
          </w:p>
        </w:tc>
        <w:tc>
          <w:tcPr>
            <w:tcW w:w="77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1.7</w:t>
            </w:r>
          </w:p>
        </w:tc>
      </w:tr>
      <w:tr w:rsidR="00E128FA" w:rsidRPr="009D043D" w:rsidTr="00526DBA">
        <w:trPr>
          <w:trHeight w:val="153"/>
        </w:trPr>
        <w:tc>
          <w:tcPr>
            <w:tcW w:w="1095" w:type="dxa"/>
            <w:vMerge/>
          </w:tcPr>
          <w:p w:rsidR="00E128FA" w:rsidRPr="00526DBA" w:rsidRDefault="00E128FA" w:rsidP="008E4A48">
            <w:pPr>
              <w:pStyle w:val="Tabletext"/>
              <w:keepNext/>
              <w:spacing w:before="40" w:after="40" w:line="240" w:lineRule="auto"/>
              <w:ind w:left="0" w:right="0"/>
              <w:rPr>
                <w:rFonts w:asciiTheme="minorHAnsi" w:hAnsiTheme="minorHAnsi"/>
                <w:b/>
                <w:kern w:val="2"/>
                <w:sz w:val="18"/>
                <w:szCs w:val="18"/>
              </w:rPr>
            </w:pPr>
          </w:p>
        </w:tc>
        <w:tc>
          <w:tcPr>
            <w:tcW w:w="2350" w:type="dxa"/>
            <w:vMerge w:val="restart"/>
          </w:tcPr>
          <w:p w:rsidR="00E128FA" w:rsidRPr="00526DBA" w:rsidRDefault="00E128FA" w:rsidP="008E4A48">
            <w:pPr>
              <w:pStyle w:val="Tabletext"/>
              <w:keepNext/>
              <w:spacing w:line="240" w:lineRule="auto"/>
              <w:ind w:left="0" w:right="0"/>
              <w:rPr>
                <w:rFonts w:asciiTheme="minorHAnsi" w:hAnsiTheme="minorHAnsi"/>
                <w:kern w:val="2"/>
                <w:sz w:val="18"/>
                <w:szCs w:val="18"/>
              </w:rPr>
            </w:pPr>
            <w:proofErr w:type="spellStart"/>
            <w:r w:rsidRPr="00526DBA">
              <w:rPr>
                <w:rFonts w:asciiTheme="minorHAnsi" w:hAnsiTheme="minorHAnsi"/>
                <w:kern w:val="2"/>
                <w:sz w:val="18"/>
                <w:szCs w:val="18"/>
              </w:rPr>
              <w:t>Embryofetal</w:t>
            </w:r>
            <w:proofErr w:type="spellEnd"/>
            <w:r w:rsidRPr="00526DBA">
              <w:rPr>
                <w:rFonts w:asciiTheme="minorHAnsi" w:hAnsiTheme="minorHAnsi"/>
                <w:kern w:val="2"/>
                <w:sz w:val="18"/>
                <w:szCs w:val="18"/>
              </w:rPr>
              <w:t xml:space="preserve"> development </w:t>
            </w:r>
            <w:r w:rsidR="00E60988" w:rsidRPr="00526DBA">
              <w:rPr>
                <w:rFonts w:asciiTheme="minorHAnsi" w:hAnsiTheme="minorHAnsi"/>
                <w:kern w:val="2"/>
                <w:sz w:val="18"/>
                <w:szCs w:val="18"/>
              </w:rPr>
              <w:t>(</w:t>
            </w:r>
            <w:r w:rsidRPr="00526DBA">
              <w:rPr>
                <w:rFonts w:asciiTheme="minorHAnsi" w:hAnsiTheme="minorHAnsi"/>
                <w:kern w:val="2"/>
                <w:sz w:val="18"/>
                <w:szCs w:val="18"/>
              </w:rPr>
              <w:t>Study PCLN-PIRF-080</w:t>
            </w:r>
            <w:r w:rsidR="00E60988" w:rsidRPr="00526DBA">
              <w:rPr>
                <w:rFonts w:asciiTheme="minorHAnsi" w:hAnsiTheme="minorHAnsi"/>
                <w:kern w:val="2"/>
                <w:sz w:val="18"/>
                <w:szCs w:val="18"/>
              </w:rPr>
              <w:t>)</w:t>
            </w:r>
          </w:p>
        </w:tc>
        <w:tc>
          <w:tcPr>
            <w:tcW w:w="125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30</w:t>
            </w:r>
          </w:p>
        </w:tc>
        <w:tc>
          <w:tcPr>
            <w:tcW w:w="128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360</w:t>
            </w:r>
          </w:p>
        </w:tc>
        <w:tc>
          <w:tcPr>
            <w:tcW w:w="1160"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w:t>
            </w:r>
          </w:p>
        </w:tc>
        <w:tc>
          <w:tcPr>
            <w:tcW w:w="867"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0.2</w:t>
            </w:r>
          </w:p>
        </w:tc>
        <w:tc>
          <w:tcPr>
            <w:tcW w:w="778" w:type="dxa"/>
          </w:tcPr>
          <w:p w:rsidR="00E128FA" w:rsidRPr="00526DBA" w:rsidRDefault="00E128FA" w:rsidP="008E4A48">
            <w:pPr>
              <w:pStyle w:val="TabletextPKvalues"/>
              <w:spacing w:line="240" w:lineRule="auto"/>
              <w:ind w:left="0" w:right="0"/>
              <w:rPr>
                <w:rFonts w:asciiTheme="minorHAnsi" w:hAnsiTheme="minorHAnsi"/>
                <w:szCs w:val="18"/>
              </w:rPr>
            </w:pPr>
          </w:p>
        </w:tc>
      </w:tr>
      <w:tr w:rsidR="00E128FA" w:rsidRPr="009D043D" w:rsidTr="00526DBA">
        <w:trPr>
          <w:trHeight w:val="218"/>
        </w:trPr>
        <w:tc>
          <w:tcPr>
            <w:tcW w:w="1095" w:type="dxa"/>
            <w:vMerge/>
          </w:tcPr>
          <w:p w:rsidR="00E128FA" w:rsidRPr="00526DBA" w:rsidRDefault="00E128FA" w:rsidP="008E4A48">
            <w:pPr>
              <w:pStyle w:val="Tabletext"/>
              <w:keepNext/>
              <w:spacing w:before="40" w:after="40" w:line="240" w:lineRule="auto"/>
              <w:ind w:left="0" w:right="0"/>
              <w:rPr>
                <w:rFonts w:asciiTheme="minorHAnsi" w:hAnsiTheme="minorHAnsi"/>
                <w:kern w:val="2"/>
                <w:sz w:val="18"/>
                <w:szCs w:val="18"/>
              </w:rPr>
            </w:pPr>
          </w:p>
        </w:tc>
        <w:tc>
          <w:tcPr>
            <w:tcW w:w="2350" w:type="dxa"/>
            <w:vMerge/>
          </w:tcPr>
          <w:p w:rsidR="00E128FA" w:rsidRPr="00526DBA" w:rsidRDefault="00E128FA" w:rsidP="008E4A48">
            <w:pPr>
              <w:pStyle w:val="Tabletext"/>
              <w:keepNext/>
              <w:spacing w:line="240" w:lineRule="auto"/>
              <w:ind w:left="0" w:right="0"/>
              <w:rPr>
                <w:rFonts w:asciiTheme="minorHAnsi" w:hAnsiTheme="minorHAnsi"/>
                <w:kern w:val="2"/>
                <w:sz w:val="18"/>
                <w:szCs w:val="18"/>
              </w:rPr>
            </w:pPr>
          </w:p>
        </w:tc>
        <w:tc>
          <w:tcPr>
            <w:tcW w:w="125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100</w:t>
            </w:r>
          </w:p>
        </w:tc>
        <w:tc>
          <w:tcPr>
            <w:tcW w:w="128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1</w:t>
            </w:r>
            <w:r w:rsidR="007514CF">
              <w:rPr>
                <w:rFonts w:asciiTheme="minorHAnsi" w:hAnsiTheme="minorHAnsi"/>
                <w:szCs w:val="18"/>
              </w:rPr>
              <w:t>,</w:t>
            </w:r>
            <w:r w:rsidRPr="00526DBA">
              <w:rPr>
                <w:rFonts w:asciiTheme="minorHAnsi" w:hAnsiTheme="minorHAnsi"/>
                <w:szCs w:val="18"/>
              </w:rPr>
              <w:t>200</w:t>
            </w:r>
          </w:p>
        </w:tc>
        <w:tc>
          <w:tcPr>
            <w:tcW w:w="1160"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w:t>
            </w:r>
          </w:p>
        </w:tc>
        <w:tc>
          <w:tcPr>
            <w:tcW w:w="867"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0.8</w:t>
            </w:r>
          </w:p>
        </w:tc>
        <w:tc>
          <w:tcPr>
            <w:tcW w:w="778" w:type="dxa"/>
          </w:tcPr>
          <w:p w:rsidR="00E128FA" w:rsidRPr="00526DBA" w:rsidRDefault="00E128FA" w:rsidP="008E4A48">
            <w:pPr>
              <w:pStyle w:val="TabletextPKvalues"/>
              <w:spacing w:line="240" w:lineRule="auto"/>
              <w:ind w:left="0" w:right="0"/>
              <w:rPr>
                <w:rFonts w:asciiTheme="minorHAnsi" w:hAnsiTheme="minorHAnsi"/>
                <w:szCs w:val="18"/>
              </w:rPr>
            </w:pPr>
          </w:p>
        </w:tc>
      </w:tr>
      <w:tr w:rsidR="00E128FA" w:rsidRPr="009D043D" w:rsidTr="00526DBA">
        <w:trPr>
          <w:trHeight w:val="218"/>
        </w:trPr>
        <w:tc>
          <w:tcPr>
            <w:tcW w:w="1095" w:type="dxa"/>
            <w:vMerge/>
          </w:tcPr>
          <w:p w:rsidR="00E128FA" w:rsidRPr="00526DBA" w:rsidRDefault="00E128FA" w:rsidP="008E4A48">
            <w:pPr>
              <w:pStyle w:val="Tabletext"/>
              <w:keepNext/>
              <w:spacing w:before="40" w:after="40" w:line="240" w:lineRule="auto"/>
              <w:ind w:left="0" w:right="0"/>
              <w:rPr>
                <w:rFonts w:asciiTheme="minorHAnsi" w:hAnsiTheme="minorHAnsi"/>
                <w:kern w:val="2"/>
                <w:sz w:val="18"/>
                <w:szCs w:val="18"/>
              </w:rPr>
            </w:pPr>
          </w:p>
        </w:tc>
        <w:tc>
          <w:tcPr>
            <w:tcW w:w="2350" w:type="dxa"/>
            <w:vMerge/>
          </w:tcPr>
          <w:p w:rsidR="00E128FA" w:rsidRPr="00526DBA" w:rsidRDefault="00E128FA" w:rsidP="008E4A48">
            <w:pPr>
              <w:pStyle w:val="Tabletext"/>
              <w:keepNext/>
              <w:spacing w:line="240" w:lineRule="auto"/>
              <w:ind w:left="0" w:right="0"/>
              <w:rPr>
                <w:rFonts w:asciiTheme="minorHAnsi" w:hAnsiTheme="minorHAnsi"/>
                <w:kern w:val="2"/>
                <w:sz w:val="18"/>
                <w:szCs w:val="18"/>
              </w:rPr>
            </w:pPr>
          </w:p>
        </w:tc>
        <w:tc>
          <w:tcPr>
            <w:tcW w:w="125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300</w:t>
            </w:r>
          </w:p>
        </w:tc>
        <w:tc>
          <w:tcPr>
            <w:tcW w:w="1288"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3</w:t>
            </w:r>
            <w:r w:rsidR="007514CF">
              <w:rPr>
                <w:rFonts w:asciiTheme="minorHAnsi" w:hAnsiTheme="minorHAnsi"/>
                <w:szCs w:val="18"/>
              </w:rPr>
              <w:t>,</w:t>
            </w:r>
            <w:r w:rsidRPr="00526DBA">
              <w:rPr>
                <w:rFonts w:asciiTheme="minorHAnsi" w:hAnsiTheme="minorHAnsi"/>
                <w:szCs w:val="18"/>
              </w:rPr>
              <w:t>600</w:t>
            </w:r>
          </w:p>
        </w:tc>
        <w:tc>
          <w:tcPr>
            <w:tcW w:w="1160"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w:t>
            </w:r>
          </w:p>
        </w:tc>
        <w:tc>
          <w:tcPr>
            <w:tcW w:w="867" w:type="dxa"/>
          </w:tcPr>
          <w:p w:rsidR="00E128FA" w:rsidRPr="00526DBA" w:rsidRDefault="00E128FA" w:rsidP="008E4A48">
            <w:pPr>
              <w:pStyle w:val="TabletextPKvalues"/>
              <w:spacing w:line="240" w:lineRule="auto"/>
              <w:ind w:left="0" w:right="0"/>
              <w:rPr>
                <w:rFonts w:asciiTheme="minorHAnsi" w:hAnsiTheme="minorHAnsi"/>
                <w:szCs w:val="18"/>
              </w:rPr>
            </w:pPr>
            <w:r w:rsidRPr="00526DBA">
              <w:rPr>
                <w:rFonts w:asciiTheme="minorHAnsi" w:hAnsiTheme="minorHAnsi"/>
                <w:szCs w:val="18"/>
              </w:rPr>
              <w:t>2.3</w:t>
            </w:r>
          </w:p>
        </w:tc>
        <w:tc>
          <w:tcPr>
            <w:tcW w:w="778" w:type="dxa"/>
          </w:tcPr>
          <w:p w:rsidR="00E128FA" w:rsidRPr="00526DBA" w:rsidRDefault="00E128FA" w:rsidP="008E4A48">
            <w:pPr>
              <w:pStyle w:val="TabletextPKvalues"/>
              <w:spacing w:line="240" w:lineRule="auto"/>
              <w:ind w:left="0" w:right="0"/>
              <w:rPr>
                <w:rFonts w:asciiTheme="minorHAnsi" w:hAnsiTheme="minorHAnsi"/>
                <w:szCs w:val="18"/>
              </w:rPr>
            </w:pPr>
          </w:p>
        </w:tc>
      </w:tr>
      <w:tr w:rsidR="00E128FA" w:rsidRPr="009D043D" w:rsidTr="00526DBA">
        <w:trPr>
          <w:trHeight w:val="218"/>
        </w:trPr>
        <w:tc>
          <w:tcPr>
            <w:tcW w:w="1095" w:type="dxa"/>
          </w:tcPr>
          <w:p w:rsidR="00E128FA" w:rsidRPr="00526DBA" w:rsidRDefault="00E128FA" w:rsidP="008E4A48">
            <w:pPr>
              <w:pStyle w:val="Tabletext"/>
              <w:spacing w:before="40" w:after="40" w:line="240" w:lineRule="auto"/>
              <w:ind w:left="0" w:right="0"/>
              <w:rPr>
                <w:rFonts w:asciiTheme="minorHAnsi" w:hAnsiTheme="minorHAnsi"/>
                <w:kern w:val="2"/>
                <w:sz w:val="18"/>
                <w:szCs w:val="18"/>
              </w:rPr>
            </w:pPr>
            <w:r w:rsidRPr="00526DBA">
              <w:rPr>
                <w:rFonts w:asciiTheme="minorHAnsi" w:hAnsiTheme="minorHAnsi"/>
                <w:b/>
                <w:kern w:val="2"/>
                <w:sz w:val="18"/>
                <w:szCs w:val="18"/>
              </w:rPr>
              <w:t>Human</w:t>
            </w:r>
            <w:r w:rsidR="009D043D" w:rsidRPr="00526DBA">
              <w:rPr>
                <w:rFonts w:asciiTheme="minorHAnsi" w:hAnsiTheme="minorHAnsi"/>
                <w:kern w:val="2"/>
                <w:sz w:val="18"/>
                <w:szCs w:val="18"/>
              </w:rPr>
              <w:t xml:space="preserve"> </w:t>
            </w:r>
            <w:r w:rsidRPr="00526DBA">
              <w:rPr>
                <w:rFonts w:asciiTheme="minorHAnsi" w:hAnsiTheme="minorHAnsi"/>
                <w:kern w:val="2"/>
                <w:sz w:val="18"/>
                <w:szCs w:val="18"/>
              </w:rPr>
              <w:t>(patients)</w:t>
            </w:r>
          </w:p>
        </w:tc>
        <w:tc>
          <w:tcPr>
            <w:tcW w:w="2350" w:type="dxa"/>
          </w:tcPr>
          <w:p w:rsidR="00E128FA" w:rsidRPr="00526DBA" w:rsidRDefault="00E128FA" w:rsidP="008E4A48">
            <w:pPr>
              <w:pStyle w:val="Tabletext"/>
              <w:spacing w:line="240" w:lineRule="auto"/>
              <w:ind w:left="0" w:right="0"/>
              <w:rPr>
                <w:rFonts w:asciiTheme="minorHAnsi" w:hAnsiTheme="minorHAnsi"/>
                <w:kern w:val="2"/>
                <w:sz w:val="18"/>
                <w:szCs w:val="18"/>
              </w:rPr>
            </w:pPr>
            <w:r w:rsidRPr="00526DBA">
              <w:rPr>
                <w:rFonts w:asciiTheme="minorHAnsi" w:hAnsiTheme="minorHAnsi"/>
                <w:kern w:val="2"/>
                <w:sz w:val="18"/>
                <w:szCs w:val="18"/>
              </w:rPr>
              <w:t>steady state</w:t>
            </w:r>
          </w:p>
        </w:tc>
        <w:tc>
          <w:tcPr>
            <w:tcW w:w="1258" w:type="dxa"/>
          </w:tcPr>
          <w:p w:rsidR="00E128FA" w:rsidRPr="00526DBA" w:rsidRDefault="00E128FA" w:rsidP="008E4A48">
            <w:pPr>
              <w:pStyle w:val="TabletextPKvalues"/>
              <w:spacing w:line="240" w:lineRule="auto"/>
              <w:ind w:left="0" w:right="0"/>
              <w:rPr>
                <w:rFonts w:asciiTheme="minorHAnsi" w:hAnsiTheme="minorHAnsi"/>
                <w:kern w:val="2"/>
                <w:szCs w:val="18"/>
              </w:rPr>
            </w:pPr>
            <w:r w:rsidRPr="00526DBA">
              <w:rPr>
                <w:rFonts w:asciiTheme="minorHAnsi" w:hAnsiTheme="minorHAnsi"/>
                <w:kern w:val="2"/>
                <w:szCs w:val="18"/>
              </w:rPr>
              <w:t>48^</w:t>
            </w:r>
          </w:p>
        </w:tc>
        <w:tc>
          <w:tcPr>
            <w:tcW w:w="1288" w:type="dxa"/>
          </w:tcPr>
          <w:p w:rsidR="00E128FA" w:rsidRPr="00526DBA" w:rsidRDefault="00E128FA" w:rsidP="008E4A48">
            <w:pPr>
              <w:pStyle w:val="TabletextPKvalues"/>
              <w:spacing w:line="240" w:lineRule="auto"/>
              <w:ind w:left="0" w:right="0"/>
              <w:rPr>
                <w:rFonts w:asciiTheme="minorHAnsi" w:hAnsiTheme="minorHAnsi"/>
                <w:kern w:val="2"/>
                <w:szCs w:val="18"/>
              </w:rPr>
            </w:pPr>
            <w:r w:rsidRPr="00526DBA">
              <w:rPr>
                <w:rFonts w:asciiTheme="minorHAnsi" w:hAnsiTheme="minorHAnsi"/>
                <w:kern w:val="2"/>
                <w:szCs w:val="18"/>
              </w:rPr>
              <w:t>1</w:t>
            </w:r>
            <w:r w:rsidR="007514CF">
              <w:rPr>
                <w:rFonts w:asciiTheme="minorHAnsi" w:hAnsiTheme="minorHAnsi"/>
                <w:kern w:val="2"/>
                <w:szCs w:val="18"/>
              </w:rPr>
              <w:t>,</w:t>
            </w:r>
            <w:r w:rsidRPr="00526DBA">
              <w:rPr>
                <w:rFonts w:asciiTheme="minorHAnsi" w:hAnsiTheme="minorHAnsi"/>
                <w:kern w:val="2"/>
                <w:szCs w:val="18"/>
              </w:rPr>
              <w:t>586</w:t>
            </w:r>
          </w:p>
        </w:tc>
        <w:tc>
          <w:tcPr>
            <w:tcW w:w="1160" w:type="dxa"/>
          </w:tcPr>
          <w:p w:rsidR="00E128FA" w:rsidRPr="00526DBA" w:rsidRDefault="00E128FA" w:rsidP="008E4A48">
            <w:pPr>
              <w:pStyle w:val="TabletextPKvalues"/>
              <w:spacing w:line="240" w:lineRule="auto"/>
              <w:ind w:left="0" w:right="0"/>
              <w:rPr>
                <w:rFonts w:asciiTheme="minorHAnsi" w:hAnsiTheme="minorHAnsi"/>
                <w:kern w:val="2"/>
                <w:szCs w:val="18"/>
              </w:rPr>
            </w:pPr>
            <w:r w:rsidRPr="00526DBA">
              <w:rPr>
                <w:rFonts w:asciiTheme="minorHAnsi" w:hAnsiTheme="minorHAnsi"/>
                <w:kern w:val="2"/>
                <w:szCs w:val="18"/>
              </w:rPr>
              <w:t>180</w:t>
            </w:r>
          </w:p>
        </w:tc>
        <w:tc>
          <w:tcPr>
            <w:tcW w:w="867" w:type="dxa"/>
          </w:tcPr>
          <w:p w:rsidR="00E128FA" w:rsidRPr="00526DBA" w:rsidRDefault="00E128FA" w:rsidP="008E4A48">
            <w:pPr>
              <w:pStyle w:val="TabletextPKvalues"/>
              <w:spacing w:line="240" w:lineRule="auto"/>
              <w:ind w:left="0" w:right="0"/>
              <w:rPr>
                <w:rFonts w:asciiTheme="minorHAnsi" w:hAnsiTheme="minorHAnsi"/>
                <w:kern w:val="2"/>
                <w:szCs w:val="18"/>
              </w:rPr>
            </w:pPr>
            <w:r w:rsidRPr="00526DBA">
              <w:rPr>
                <w:rFonts w:asciiTheme="minorHAnsi" w:hAnsiTheme="minorHAnsi"/>
                <w:kern w:val="2"/>
                <w:szCs w:val="18"/>
              </w:rPr>
              <w:t>–</w:t>
            </w:r>
          </w:p>
        </w:tc>
        <w:tc>
          <w:tcPr>
            <w:tcW w:w="778" w:type="dxa"/>
          </w:tcPr>
          <w:p w:rsidR="00E128FA" w:rsidRPr="00526DBA" w:rsidRDefault="00E128FA" w:rsidP="008E4A48">
            <w:pPr>
              <w:pStyle w:val="TabletextPKvalues"/>
              <w:spacing w:line="240" w:lineRule="auto"/>
              <w:ind w:left="0" w:right="0"/>
              <w:rPr>
                <w:rFonts w:asciiTheme="minorHAnsi" w:hAnsiTheme="minorHAnsi"/>
                <w:kern w:val="2"/>
                <w:szCs w:val="18"/>
              </w:rPr>
            </w:pPr>
          </w:p>
        </w:tc>
      </w:tr>
    </w:tbl>
    <w:p w:rsidR="007514CF" w:rsidRDefault="007514CF" w:rsidP="00526DBA">
      <w:pPr>
        <w:pStyle w:val="TableDescription"/>
      </w:pPr>
      <w:r w:rsidRPr="007514CF">
        <w:rPr>
          <w:vertAlign w:val="superscript"/>
        </w:rPr>
        <w:t xml:space="preserve"># </w:t>
      </w:r>
      <w:r w:rsidRPr="007514CF">
        <w:t>= animal:</w:t>
      </w:r>
      <w:r>
        <w:t xml:space="preserve"> </w:t>
      </w:r>
      <w:r w:rsidRPr="007514CF">
        <w:t>human dose based on body surface area, calculated using mg/kg to mg/m</w:t>
      </w:r>
      <w:r w:rsidRPr="007514CF">
        <w:rPr>
          <w:vertAlign w:val="superscript"/>
        </w:rPr>
        <w:t xml:space="preserve">2 </w:t>
      </w:r>
      <w:r w:rsidRPr="007514CF">
        <w:t xml:space="preserve">conversion factors of 6, 12 </w:t>
      </w:r>
      <w:r>
        <w:t>and</w:t>
      </w:r>
      <w:r w:rsidRPr="007514CF">
        <w:t xml:space="preserve"> 33 for rats, rabbits and humans (50 kg adult), respectively; *AUC</w:t>
      </w:r>
      <w:r w:rsidRPr="007514CF">
        <w:rPr>
          <w:vertAlign w:val="subscript"/>
        </w:rPr>
        <w:t xml:space="preserve">0‒6h </w:t>
      </w:r>
      <w:r w:rsidRPr="007514CF">
        <w:t>values on GD18. In the 30 and 100 mg/kg/day groups approximate AUC</w:t>
      </w:r>
      <w:r w:rsidRPr="007514CF">
        <w:rPr>
          <w:vertAlign w:val="subscript"/>
        </w:rPr>
        <w:t xml:space="preserve">0‒24h </w:t>
      </w:r>
      <w:r w:rsidRPr="007514CF">
        <w:t xml:space="preserve">exposure as plasma </w:t>
      </w:r>
      <w:proofErr w:type="spellStart"/>
      <w:r w:rsidRPr="007514CF">
        <w:t>pirfenidone</w:t>
      </w:r>
      <w:proofErr w:type="spellEnd"/>
      <w:r w:rsidRPr="007514CF">
        <w:t xml:space="preserve"> levels were undetected at 6 h, but are likely underestimated in the higher dose groups; ^ = based on a 50 kg human receiving the MRHD of 2</w:t>
      </w:r>
      <w:r>
        <w:t>,</w:t>
      </w:r>
      <w:r w:rsidRPr="007514CF">
        <w:t>403 mg/day</w:t>
      </w:r>
    </w:p>
    <w:p w:rsidR="00B07B60" w:rsidRPr="0096468A" w:rsidRDefault="00B07B60" w:rsidP="000F53E7">
      <w:proofErr w:type="spellStart"/>
      <w:r w:rsidRPr="0096468A">
        <w:t>Pirfenidone</w:t>
      </w:r>
      <w:proofErr w:type="spellEnd"/>
      <w:r w:rsidRPr="0096468A">
        <w:t xml:space="preserve"> and/or its metabolites crossed the placental barrier </w:t>
      </w:r>
      <w:r>
        <w:t>after a single 100 </w:t>
      </w:r>
      <w:r w:rsidRPr="0096468A">
        <w:t>mg/kg/day PO dose</w:t>
      </w:r>
      <w:r>
        <w:t xml:space="preserve"> of radiolabelled drug in rats</w:t>
      </w:r>
      <w:r w:rsidRPr="0096468A">
        <w:t xml:space="preserve">. The highest levels of radioactivity in </w:t>
      </w:r>
      <w:proofErr w:type="spellStart"/>
      <w:r w:rsidRPr="0096468A">
        <w:t>fetal</w:t>
      </w:r>
      <w:proofErr w:type="spellEnd"/>
      <w:r w:rsidRPr="0096468A">
        <w:t xml:space="preserve"> tissues were observed 0.5</w:t>
      </w:r>
      <w:r w:rsidRPr="00BF7372">
        <w:rPr>
          <w:w w:val="50"/>
        </w:rPr>
        <w:t xml:space="preserve"> </w:t>
      </w:r>
      <w:r w:rsidRPr="0096468A">
        <w:t>h post</w:t>
      </w:r>
      <w:r>
        <w:t xml:space="preserve"> </w:t>
      </w:r>
      <w:r w:rsidRPr="0096468A">
        <w:t xml:space="preserve">dose, with only low levels observed after 24 h. There appeared to be modest retention of </w:t>
      </w:r>
      <w:proofErr w:type="spellStart"/>
      <w:r w:rsidRPr="0096468A">
        <w:t>pirfenidone</w:t>
      </w:r>
      <w:proofErr w:type="spellEnd"/>
      <w:r w:rsidRPr="0096468A">
        <w:t xml:space="preserve"> in the amniotic fluid. At the peak concentration, levels in </w:t>
      </w:r>
      <w:proofErr w:type="spellStart"/>
      <w:r w:rsidRPr="0096468A">
        <w:t>fetal</w:t>
      </w:r>
      <w:proofErr w:type="spellEnd"/>
      <w:r w:rsidRPr="0096468A">
        <w:t xml:space="preserve"> tissues were approximately half the maternal plasma level. </w:t>
      </w:r>
      <w:proofErr w:type="spellStart"/>
      <w:r w:rsidRPr="0096468A">
        <w:t>Pirfenidone</w:t>
      </w:r>
      <w:proofErr w:type="spellEnd"/>
      <w:r w:rsidRPr="0096468A">
        <w:t xml:space="preserve"> and/or its metabolites were also excreted into milk following a single </w:t>
      </w:r>
      <w:r w:rsidRPr="0096468A">
        <w:lastRenderedPageBreak/>
        <w:t>100</w:t>
      </w:r>
      <w:r w:rsidR="007514CF">
        <w:t> </w:t>
      </w:r>
      <w:r w:rsidRPr="0096468A">
        <w:t>mg/kg PO dose on LD12. The concentration in milk was similar to plasma up to 0.5 h post</w:t>
      </w:r>
      <w:r w:rsidR="00313290">
        <w:noBreakHyphen/>
      </w:r>
      <w:r w:rsidRPr="0096468A">
        <w:t>dose, with levels in milk higher from 2</w:t>
      </w:r>
      <w:r>
        <w:t> to </w:t>
      </w:r>
      <w:r w:rsidRPr="0096468A">
        <w:t>24 h post-dose.</w:t>
      </w:r>
    </w:p>
    <w:p w:rsidR="00B07B60" w:rsidRPr="0096468A" w:rsidRDefault="00B07B60" w:rsidP="000F53E7">
      <w:r w:rsidRPr="0096468A">
        <w:t xml:space="preserve">Male fertility, including sperm count and motility, were unaffected by repeated dosing with up to </w:t>
      </w:r>
      <w:r w:rsidR="00B15BB5">
        <w:t>1,000</w:t>
      </w:r>
      <w:r w:rsidRPr="0096468A">
        <w:t xml:space="preserve"> mg/kg/day PO </w:t>
      </w:r>
      <w:proofErr w:type="spellStart"/>
      <w:r w:rsidRPr="0096468A">
        <w:t>pirfenidone</w:t>
      </w:r>
      <w:proofErr w:type="spellEnd"/>
      <w:r w:rsidRPr="0096468A">
        <w:t xml:space="preserve"> in SD rats (RE</w:t>
      </w:r>
      <w:r>
        <w:t>,</w:t>
      </w:r>
      <w:r w:rsidRPr="0096468A">
        <w:t xml:space="preserve"> ≤</w:t>
      </w:r>
      <w:r>
        <w:t> </w:t>
      </w:r>
      <w:r w:rsidRPr="0096468A">
        <w:t>1.9</w:t>
      </w:r>
      <w:r>
        <w:t> </w:t>
      </w:r>
      <w:r w:rsidR="00271F1A">
        <w:t>x</w:t>
      </w:r>
      <w:r>
        <w:t>).</w:t>
      </w:r>
      <w:r w:rsidRPr="0096468A">
        <w:rPr>
          <w:rStyle w:val="FootnoteReference"/>
          <w:kern w:val="2"/>
          <w:szCs w:val="20"/>
        </w:rPr>
        <w:footnoteReference w:id="27"/>
      </w:r>
      <w:r w:rsidRPr="00ED6F85">
        <w:rPr>
          <w:w w:val="50"/>
          <w:vertAlign w:val="superscript"/>
        </w:rPr>
        <w:t>]</w:t>
      </w:r>
      <w:r w:rsidRPr="0096468A">
        <w:t xml:space="preserve"> Irregular oestrus cycles were observed in female SD rats that received ≥</w:t>
      </w:r>
      <w:r>
        <w:t> </w:t>
      </w:r>
      <w:r w:rsidRPr="0096468A">
        <w:t xml:space="preserve">450 mg/kg/day PO </w:t>
      </w:r>
      <w:proofErr w:type="spellStart"/>
      <w:r w:rsidRPr="0096468A">
        <w:t>pirfenidone</w:t>
      </w:r>
      <w:proofErr w:type="spellEnd"/>
      <w:r w:rsidRPr="0096468A">
        <w:t xml:space="preserve"> (RE</w:t>
      </w:r>
      <w:r>
        <w:t>,</w:t>
      </w:r>
      <w:r w:rsidRPr="0096468A">
        <w:t xml:space="preserve"> ≥</w:t>
      </w:r>
      <w:r>
        <w:t> </w:t>
      </w:r>
      <w:r w:rsidRPr="0096468A">
        <w:t>1.7</w:t>
      </w:r>
      <w:r>
        <w:t> </w:t>
      </w:r>
      <w:r w:rsidR="00271F1A">
        <w:t>x</w:t>
      </w:r>
      <w:r w:rsidRPr="0096468A">
        <w:t xml:space="preserve"> based on mg/m</w:t>
      </w:r>
      <w:r w:rsidRPr="0096468A">
        <w:rPr>
          <w:vertAlign w:val="superscript"/>
        </w:rPr>
        <w:t>2</w:t>
      </w:r>
      <w:r w:rsidRPr="0096468A">
        <w:t>). Oestrus cycle length was more than two</w:t>
      </w:r>
      <w:r w:rsidR="007514CF">
        <w:t xml:space="preserve"> </w:t>
      </w:r>
      <w:r w:rsidRPr="0096468A">
        <w:t xml:space="preserve">fold greater in females that received </w:t>
      </w:r>
      <w:r w:rsidR="00B15BB5">
        <w:t>1,000</w:t>
      </w:r>
      <w:r w:rsidRPr="0096468A">
        <w:t xml:space="preserve"> mg/kg/day </w:t>
      </w:r>
      <w:proofErr w:type="spellStart"/>
      <w:r w:rsidRPr="0096468A">
        <w:t>pirfenidone</w:t>
      </w:r>
      <w:proofErr w:type="spellEnd"/>
      <w:r w:rsidRPr="0096468A">
        <w:t xml:space="preserve"> compared to controls (9.9 </w:t>
      </w:r>
      <w:r w:rsidR="007514CF">
        <w:t>compared</w:t>
      </w:r>
      <w:r>
        <w:t xml:space="preserve"> with</w:t>
      </w:r>
      <w:r w:rsidRPr="0096468A">
        <w:t xml:space="preserve"> 4.1 days). Despite these effects, </w:t>
      </w:r>
      <w:r>
        <w:t>the fertility index was not seen to be reduced in treated females</w:t>
      </w:r>
      <w:r w:rsidRPr="0096468A">
        <w:t>.</w:t>
      </w:r>
    </w:p>
    <w:p w:rsidR="00B07B60" w:rsidRPr="0096468A" w:rsidRDefault="00B07B60" w:rsidP="000F53E7">
      <w:proofErr w:type="spellStart"/>
      <w:r w:rsidRPr="0096468A">
        <w:t>Pirfenidone</w:t>
      </w:r>
      <w:proofErr w:type="spellEnd"/>
      <w:r w:rsidRPr="0096468A">
        <w:t xml:space="preserve"> was not teratogenic in rats at doses up to </w:t>
      </w:r>
      <w:r w:rsidR="00B15BB5">
        <w:t>1,000</w:t>
      </w:r>
      <w:r>
        <w:t> </w:t>
      </w:r>
      <w:r w:rsidRPr="0096468A">
        <w:t>mg/kg/day or rabbits at doses up to 300 mg/kg/day (RE of 3.8</w:t>
      </w:r>
      <w:r>
        <w:t> </w:t>
      </w:r>
      <w:r w:rsidR="00271F1A">
        <w:t>x</w:t>
      </w:r>
      <w:r w:rsidRPr="0096468A">
        <w:t xml:space="preserve"> and 2.3</w:t>
      </w:r>
      <w:r>
        <w:t> </w:t>
      </w:r>
      <w:r w:rsidR="00271F1A">
        <w:t>x</w:t>
      </w:r>
      <w:r w:rsidRPr="0096468A">
        <w:t>, respectively). Maternal toxicity</w:t>
      </w:r>
      <w:r w:rsidRPr="00A40C6A">
        <w:rPr>
          <w:w w:val="50"/>
        </w:rPr>
        <w:t xml:space="preserve"> </w:t>
      </w:r>
      <w:r w:rsidRPr="0096468A">
        <w:t xml:space="preserve">characterised by reduced </w:t>
      </w:r>
      <w:r>
        <w:t xml:space="preserve">body </w:t>
      </w:r>
      <w:r w:rsidRPr="0096468A">
        <w:t xml:space="preserve">weight gain, food intake and/or clinical signs (including </w:t>
      </w:r>
      <w:proofErr w:type="spellStart"/>
      <w:r w:rsidRPr="0096468A">
        <w:t>hypoactivity</w:t>
      </w:r>
      <w:proofErr w:type="spellEnd"/>
      <w:r w:rsidRPr="0096468A">
        <w:t xml:space="preserve"> and hypopnea)</w:t>
      </w:r>
      <w:r>
        <w:rPr>
          <w:w w:val="50"/>
        </w:rPr>
        <w:t xml:space="preserve"> </w:t>
      </w:r>
      <w:r w:rsidRPr="0096468A">
        <w:t xml:space="preserve">was observed in pregnant rats and rabbits that </w:t>
      </w:r>
      <w:r w:rsidRPr="007514CF">
        <w:t>received ≥ 150 and ≥ 100 mg/kg/day (estimated RE, 0.6 </w:t>
      </w:r>
      <w:r w:rsidR="003B3F98" w:rsidRPr="007514CF">
        <w:t>x</w:t>
      </w:r>
      <w:r w:rsidRPr="007514CF">
        <w:t xml:space="preserve"> and 0.8 </w:t>
      </w:r>
      <w:r w:rsidR="003B3F98" w:rsidRPr="007514CF">
        <w:t>x</w:t>
      </w:r>
      <w:r w:rsidRPr="007514CF">
        <w:t>, respectively</w:t>
      </w:r>
      <w:r w:rsidRPr="0096468A">
        <w:t xml:space="preserve">). In rabbits, 300 mg/kg/day </w:t>
      </w:r>
      <w:proofErr w:type="spellStart"/>
      <w:r w:rsidRPr="0096468A">
        <w:t>pirfenidone</w:t>
      </w:r>
      <w:proofErr w:type="spellEnd"/>
      <w:r w:rsidRPr="0096468A">
        <w:t xml:space="preserve"> led to maternal death and abortions, with one instance of premature delivery in the 100 mg/kg/day group. Delayed ossification occurred in the offspring of </w:t>
      </w:r>
      <w:r>
        <w:t>rats</w:t>
      </w:r>
      <w:r w:rsidRPr="0096468A">
        <w:t xml:space="preserve"> that received ≥</w:t>
      </w:r>
      <w:r>
        <w:t> </w:t>
      </w:r>
      <w:r w:rsidRPr="0096468A">
        <w:t xml:space="preserve">450 mg/kg/day </w:t>
      </w:r>
      <w:proofErr w:type="spellStart"/>
      <w:r w:rsidRPr="0096468A">
        <w:t>pirfenidone</w:t>
      </w:r>
      <w:proofErr w:type="spellEnd"/>
      <w:r w:rsidRPr="0096468A">
        <w:t xml:space="preserve"> (RE</w:t>
      </w:r>
      <w:r>
        <w:t>,</w:t>
      </w:r>
      <w:r w:rsidRPr="0096468A">
        <w:t xml:space="preserve"> 1.7</w:t>
      </w:r>
      <w:r>
        <w:t> </w:t>
      </w:r>
      <w:proofErr w:type="gramStart"/>
      <w:r w:rsidR="003B3F98">
        <w:t>x</w:t>
      </w:r>
      <w:proofErr w:type="gramEnd"/>
      <w:r w:rsidRPr="0096468A">
        <w:t>). Additional visceral variations (dilatation of ventricles in brain and heart, dilatation of ureters and increased renal pelvic cavitation)</w:t>
      </w:r>
      <w:r>
        <w:t xml:space="preserve"> and decreased </w:t>
      </w:r>
      <w:proofErr w:type="spellStart"/>
      <w:r>
        <w:t>fetal</w:t>
      </w:r>
      <w:proofErr w:type="spellEnd"/>
      <w:r>
        <w:t xml:space="preserve"> weight</w:t>
      </w:r>
      <w:r w:rsidRPr="0096468A">
        <w:t xml:space="preserve"> were observed in </w:t>
      </w:r>
      <w:r>
        <w:t>a</w:t>
      </w:r>
      <w:r w:rsidRPr="0096468A">
        <w:t xml:space="preserve"> pilot study in which pregnant SD rats received 450 or 900 mg/kg/day </w:t>
      </w:r>
      <w:proofErr w:type="spellStart"/>
      <w:r w:rsidRPr="0096468A">
        <w:t>pirfenidone</w:t>
      </w:r>
      <w:proofErr w:type="spellEnd"/>
      <w:r w:rsidRPr="0096468A">
        <w:t xml:space="preserve"> as a dietary admixture. These changes were not observed at the same or higher doses in the pivotal study. Administration of up to 300 mg/kg/day </w:t>
      </w:r>
      <w:proofErr w:type="spellStart"/>
      <w:r w:rsidRPr="0096468A">
        <w:t>pirfenidone</w:t>
      </w:r>
      <w:proofErr w:type="spellEnd"/>
      <w:r w:rsidRPr="0096468A">
        <w:t xml:space="preserve"> during organogenesis in rabbits did not cause any </w:t>
      </w:r>
      <w:proofErr w:type="spellStart"/>
      <w:r w:rsidRPr="0096468A">
        <w:t>fetal</w:t>
      </w:r>
      <w:proofErr w:type="spellEnd"/>
      <w:r w:rsidRPr="0096468A">
        <w:t xml:space="preserve"> variations.</w:t>
      </w:r>
    </w:p>
    <w:p w:rsidR="00B07B60" w:rsidRPr="0096468A" w:rsidRDefault="00B07B60" w:rsidP="000F53E7">
      <w:r w:rsidRPr="0096468A">
        <w:t xml:space="preserve">Maternal toxicity was more pronounced in SD rats when dosing was initiated during pregnancy, with adverse clinical signs, reduced </w:t>
      </w:r>
      <w:r>
        <w:t xml:space="preserve">body </w:t>
      </w:r>
      <w:r w:rsidRPr="0096468A">
        <w:t xml:space="preserve">weight gain and decreased food intake </w:t>
      </w:r>
      <w:r>
        <w:t xml:space="preserve">observed </w:t>
      </w:r>
      <w:r w:rsidRPr="0096468A">
        <w:t>in dams that received ≥</w:t>
      </w:r>
      <w:r>
        <w:t> </w:t>
      </w:r>
      <w:r w:rsidRPr="0096468A">
        <w:t>100 mg/kg/day (estimated RE</w:t>
      </w:r>
      <w:r>
        <w:t>,</w:t>
      </w:r>
      <w:r w:rsidRPr="0096468A">
        <w:t xml:space="preserve"> 0.4</w:t>
      </w:r>
      <w:r w:rsidR="003B3F98">
        <w:t>x</w:t>
      </w:r>
      <w:r w:rsidRPr="0096468A">
        <w:t xml:space="preserve">). In addition, 25% of </w:t>
      </w:r>
      <w:r>
        <w:t>females</w:t>
      </w:r>
      <w:r w:rsidRPr="0096468A">
        <w:t xml:space="preserve"> that received </w:t>
      </w:r>
      <w:r w:rsidR="00B15BB5">
        <w:t>1,000</w:t>
      </w:r>
      <w:r w:rsidRPr="0096468A">
        <w:t xml:space="preserve"> mg/kg/day </w:t>
      </w:r>
      <w:proofErr w:type="spellStart"/>
      <w:r w:rsidRPr="0096468A">
        <w:t>pirfenidone</w:t>
      </w:r>
      <w:proofErr w:type="spellEnd"/>
      <w:r w:rsidRPr="0096468A">
        <w:t xml:space="preserve"> from GD6 died between GD19 and GD23 (estimated RE</w:t>
      </w:r>
      <w:r>
        <w:t>,</w:t>
      </w:r>
      <w:r w:rsidRPr="0096468A">
        <w:t xml:space="preserve"> 3.8</w:t>
      </w:r>
      <w:r>
        <w:t> </w:t>
      </w:r>
      <w:r w:rsidR="003B3F98">
        <w:t>x</w:t>
      </w:r>
      <w:r w:rsidRPr="0096468A">
        <w:t>). At this dose level, gestation length was increased and the parturition index decreased. Furthermore</w:t>
      </w:r>
      <w:r>
        <w:t xml:space="preserve">, total and live litter </w:t>
      </w:r>
      <w:r w:rsidR="00271F1A">
        <w:t>sizes were</w:t>
      </w:r>
      <w:r>
        <w:t xml:space="preserve"> </w:t>
      </w:r>
      <w:r w:rsidR="00271F1A">
        <w:t>reduced</w:t>
      </w:r>
      <w:r w:rsidRPr="0096468A">
        <w:t xml:space="preserve">. Pup weight was similar between groups at birth but was reduced from PND11 in the offspring of </w:t>
      </w:r>
      <w:r>
        <w:t>females</w:t>
      </w:r>
      <w:r w:rsidRPr="0096468A">
        <w:t xml:space="preserve"> that received ≥</w:t>
      </w:r>
      <w:r>
        <w:t> </w:t>
      </w:r>
      <w:r w:rsidRPr="0096468A">
        <w:t xml:space="preserve">300 mg/kg/day </w:t>
      </w:r>
      <w:proofErr w:type="spellStart"/>
      <w:r w:rsidRPr="0096468A">
        <w:t>pirfenidone</w:t>
      </w:r>
      <w:proofErr w:type="spellEnd"/>
      <w:r w:rsidRPr="0096468A">
        <w:t xml:space="preserve"> (estimated RE</w:t>
      </w:r>
      <w:r>
        <w:t>,</w:t>
      </w:r>
      <w:r w:rsidRPr="0096468A">
        <w:t xml:space="preserve"> 1.1</w:t>
      </w:r>
      <w:r>
        <w:t> </w:t>
      </w:r>
      <w:r w:rsidR="00271F1A">
        <w:t>x</w:t>
      </w:r>
      <w:r w:rsidRPr="0096468A">
        <w:t>)</w:t>
      </w:r>
      <w:r>
        <w:t>; a</w:t>
      </w:r>
      <w:r w:rsidRPr="0096468A">
        <w:t>t 15 weeks of age</w:t>
      </w:r>
      <w:r>
        <w:t>,</w:t>
      </w:r>
      <w:r w:rsidRPr="0096468A">
        <w:t xml:space="preserve"> body weight still tended to be lower in these animals</w:t>
      </w:r>
      <w:r>
        <w:t xml:space="preserve"> compared with controls</w:t>
      </w:r>
      <w:r w:rsidRPr="0096468A">
        <w:t>. There was no effect of pre</w:t>
      </w:r>
      <w:r>
        <w:noBreakHyphen/>
        <w:t> </w:t>
      </w:r>
      <w:r w:rsidRPr="0096468A">
        <w:t>and post</w:t>
      </w:r>
      <w:r>
        <w:noBreakHyphen/>
      </w:r>
      <w:r w:rsidRPr="0096468A">
        <w:t xml:space="preserve">natal exposure to </w:t>
      </w:r>
      <w:proofErr w:type="spellStart"/>
      <w:r w:rsidRPr="0096468A">
        <w:t>pirfenidone</w:t>
      </w:r>
      <w:proofErr w:type="spellEnd"/>
      <w:r w:rsidRPr="0096468A">
        <w:t xml:space="preserve"> on the behaviour, sexual maturation or reproductive performance of </w:t>
      </w:r>
      <w:r>
        <w:t>the offspring</w:t>
      </w:r>
      <w:r w:rsidRPr="0096468A">
        <w:t>.</w:t>
      </w:r>
    </w:p>
    <w:p w:rsidR="00931383" w:rsidRDefault="00B07B60" w:rsidP="000F53E7">
      <w:r w:rsidRPr="0096468A">
        <w:t>In summary,</w:t>
      </w:r>
      <w:r>
        <w:t xml:space="preserve"> male and</w:t>
      </w:r>
      <w:r w:rsidRPr="0096468A">
        <w:t xml:space="preserve"> female fertility </w:t>
      </w:r>
      <w:r>
        <w:t xml:space="preserve">indices were unaffected by </w:t>
      </w:r>
      <w:proofErr w:type="spellStart"/>
      <w:r>
        <w:t>pirfenidone</w:t>
      </w:r>
      <w:proofErr w:type="spellEnd"/>
      <w:r>
        <w:t xml:space="preserve"> treatment in rats, although</w:t>
      </w:r>
      <w:r w:rsidRPr="0096468A">
        <w:t xml:space="preserve"> </w:t>
      </w:r>
      <w:r>
        <w:t>disruption of</w:t>
      </w:r>
      <w:r w:rsidRPr="0096468A">
        <w:t xml:space="preserve"> oestrus cycl</w:t>
      </w:r>
      <w:r>
        <w:t>ing</w:t>
      </w:r>
      <w:r w:rsidRPr="0096468A">
        <w:t xml:space="preserve"> </w:t>
      </w:r>
      <w:r>
        <w:t>was seen</w:t>
      </w:r>
      <w:r w:rsidRPr="0096468A">
        <w:t xml:space="preserve">. The current studies indicate that </w:t>
      </w:r>
      <w:proofErr w:type="spellStart"/>
      <w:r w:rsidRPr="0096468A">
        <w:t>pirfenidone</w:t>
      </w:r>
      <w:proofErr w:type="spellEnd"/>
      <w:r w:rsidRPr="0096468A">
        <w:t xml:space="preserve"> is not teratogenic. However, </w:t>
      </w:r>
      <w:r>
        <w:t xml:space="preserve">adverse effects on </w:t>
      </w:r>
      <w:proofErr w:type="spellStart"/>
      <w:r>
        <w:t>embryofetal</w:t>
      </w:r>
      <w:proofErr w:type="spellEnd"/>
      <w:r>
        <w:t xml:space="preserve"> and postnatal development were observed (including inhibition of ossification, decreased birth index and reduced postnatal body weight gain, and also abortion, prolonged gestation and premature delivery)</w:t>
      </w:r>
      <w:r w:rsidRPr="0096468A">
        <w:t>.</w:t>
      </w:r>
      <w:r>
        <w:t xml:space="preserve"> These effects occurred in conjunction with </w:t>
      </w:r>
      <w:proofErr w:type="spellStart"/>
      <w:r>
        <w:t>maternotoxicity</w:t>
      </w:r>
      <w:proofErr w:type="spellEnd"/>
      <w:r>
        <w:t>.</w:t>
      </w:r>
    </w:p>
    <w:p w:rsidR="00B07B60" w:rsidRPr="00B07B60" w:rsidRDefault="00B07B60" w:rsidP="00B07B60">
      <w:pPr>
        <w:pStyle w:val="Heading5"/>
      </w:pPr>
      <w:r w:rsidRPr="00B07B60">
        <w:t>Pregnancy classification</w:t>
      </w:r>
    </w:p>
    <w:p w:rsidR="00B07B60" w:rsidRDefault="00B07B60" w:rsidP="000F53E7">
      <w:r w:rsidRPr="00B07B60">
        <w:t>The sponsor has proposed Pregnancy Category B3.</w:t>
      </w:r>
      <w:r w:rsidR="00313290">
        <w:rPr>
          <w:rStyle w:val="FootnoteReference"/>
        </w:rPr>
        <w:footnoteReference w:id="28"/>
      </w:r>
      <w:r w:rsidRPr="00B07B60">
        <w:t xml:space="preserve"> This category is appropriate based on the adverse effects described in pregnant rats and rabbits.</w:t>
      </w:r>
    </w:p>
    <w:p w:rsidR="00B07B60" w:rsidRPr="00B07B60" w:rsidRDefault="00B07B60" w:rsidP="00B07B60">
      <w:pPr>
        <w:pStyle w:val="Heading4"/>
      </w:pPr>
      <w:r w:rsidRPr="00B07B60">
        <w:lastRenderedPageBreak/>
        <w:t>Antigenicity</w:t>
      </w:r>
    </w:p>
    <w:p w:rsidR="00B07B60" w:rsidRPr="00B07B60" w:rsidRDefault="00B07B60" w:rsidP="000F53E7">
      <w:proofErr w:type="spellStart"/>
      <w:r w:rsidRPr="00B07B60">
        <w:t>Pirfenidone</w:t>
      </w:r>
      <w:proofErr w:type="spellEnd"/>
      <w:r w:rsidRPr="00B07B60">
        <w:t xml:space="preserve"> was not antigenic in active systemic anaphylaxis and passive cutaneous anaphylaxis tests conducted in guinea pigs. However, these assays are not considered to be sensitive in assessing the antigenic properties of small molecular weight drugs.</w:t>
      </w:r>
      <w:r w:rsidR="006B0746">
        <w:t xml:space="preserve"> </w:t>
      </w:r>
      <w:r w:rsidRPr="00B07B60">
        <w:t xml:space="preserve">Therefore, while the data provided indicate that </w:t>
      </w:r>
      <w:proofErr w:type="spellStart"/>
      <w:r w:rsidRPr="00B07B60">
        <w:t>pirfenidone</w:t>
      </w:r>
      <w:proofErr w:type="spellEnd"/>
      <w:r w:rsidRPr="00B07B60">
        <w:t xml:space="preserve"> was not antigenic in guinea pigs, the potential for antigenicity cannot be excluded. However, as specialised investigation of antigenicity is not required for new chemical entities this is not co</w:t>
      </w:r>
      <w:r>
        <w:t>nsidered a deficiency.</w:t>
      </w:r>
    </w:p>
    <w:p w:rsidR="00B07B60" w:rsidRPr="00B07B60" w:rsidRDefault="00B07B60" w:rsidP="00B07B60">
      <w:pPr>
        <w:pStyle w:val="Heading4"/>
      </w:pPr>
      <w:proofErr w:type="spellStart"/>
      <w:r w:rsidRPr="00B07B60">
        <w:t>Phototoxicity</w:t>
      </w:r>
      <w:proofErr w:type="spellEnd"/>
    </w:p>
    <w:p w:rsidR="00B07B60" w:rsidRPr="00B07B60" w:rsidRDefault="00B07B60" w:rsidP="00B07B60">
      <w:pPr>
        <w:pStyle w:val="Standard"/>
        <w:rPr>
          <w:kern w:val="2"/>
          <w:szCs w:val="20"/>
        </w:rPr>
      </w:pPr>
      <w:r w:rsidRPr="00B07B60">
        <w:rPr>
          <w:kern w:val="2"/>
          <w:szCs w:val="20"/>
        </w:rPr>
        <w:t xml:space="preserve">The </w:t>
      </w:r>
      <w:proofErr w:type="spellStart"/>
      <w:r w:rsidRPr="00B07B60">
        <w:rPr>
          <w:kern w:val="2"/>
          <w:szCs w:val="20"/>
        </w:rPr>
        <w:t>photogenotoxicity</w:t>
      </w:r>
      <w:proofErr w:type="spellEnd"/>
      <w:r w:rsidRPr="00B07B60">
        <w:rPr>
          <w:kern w:val="2"/>
          <w:szCs w:val="20"/>
        </w:rPr>
        <w:t xml:space="preserve"> of </w:t>
      </w:r>
      <w:proofErr w:type="spellStart"/>
      <w:r w:rsidRPr="00B07B60">
        <w:rPr>
          <w:kern w:val="2"/>
          <w:szCs w:val="20"/>
        </w:rPr>
        <w:t>pirfenidone</w:t>
      </w:r>
      <w:proofErr w:type="spellEnd"/>
      <w:r w:rsidRPr="00B07B60">
        <w:rPr>
          <w:kern w:val="2"/>
          <w:szCs w:val="20"/>
        </w:rPr>
        <w:t xml:space="preserve"> and 5-CA-pirfenidone were assessed in in vitro assays. In addition, the general </w:t>
      </w:r>
      <w:proofErr w:type="spellStart"/>
      <w:r w:rsidRPr="00B07B60">
        <w:rPr>
          <w:kern w:val="2"/>
          <w:szCs w:val="20"/>
        </w:rPr>
        <w:t>phototoxicity</w:t>
      </w:r>
      <w:proofErr w:type="spellEnd"/>
      <w:r w:rsidRPr="00B07B60">
        <w:rPr>
          <w:kern w:val="2"/>
          <w:szCs w:val="20"/>
        </w:rPr>
        <w:t xml:space="preserve"> of </w:t>
      </w:r>
      <w:proofErr w:type="spellStart"/>
      <w:r w:rsidRPr="00B07B60">
        <w:rPr>
          <w:kern w:val="2"/>
          <w:szCs w:val="20"/>
        </w:rPr>
        <w:t>pirfenidone</w:t>
      </w:r>
      <w:proofErr w:type="spellEnd"/>
      <w:r w:rsidRPr="00B07B60">
        <w:rPr>
          <w:kern w:val="2"/>
          <w:szCs w:val="20"/>
        </w:rPr>
        <w:t xml:space="preserve"> was assessed in vivo.</w:t>
      </w:r>
    </w:p>
    <w:p w:rsidR="00B07B60" w:rsidRPr="00B07B60" w:rsidRDefault="00B07B60" w:rsidP="00B07B60">
      <w:pPr>
        <w:pStyle w:val="Standard"/>
        <w:rPr>
          <w:kern w:val="2"/>
          <w:szCs w:val="20"/>
        </w:rPr>
      </w:pPr>
      <w:proofErr w:type="spellStart"/>
      <w:r w:rsidRPr="00B07B60">
        <w:rPr>
          <w:kern w:val="2"/>
          <w:szCs w:val="20"/>
        </w:rPr>
        <w:t>Pirfenidone</w:t>
      </w:r>
      <w:proofErr w:type="spellEnd"/>
      <w:r w:rsidRPr="00B07B60">
        <w:rPr>
          <w:kern w:val="2"/>
          <w:szCs w:val="20"/>
        </w:rPr>
        <w:t xml:space="preserve"> was equivocally positive in a </w:t>
      </w:r>
      <w:proofErr w:type="spellStart"/>
      <w:r w:rsidRPr="00B07B60">
        <w:rPr>
          <w:kern w:val="2"/>
          <w:szCs w:val="20"/>
        </w:rPr>
        <w:t>photomutagenicity</w:t>
      </w:r>
      <w:proofErr w:type="spellEnd"/>
      <w:r w:rsidRPr="00B07B60">
        <w:rPr>
          <w:kern w:val="2"/>
          <w:szCs w:val="20"/>
        </w:rPr>
        <w:t xml:space="preserve"> assay in bacteria, with a trend for increased mutations in the presence of UV light. However, the increase in mutations was &lt;</w:t>
      </w:r>
      <w:r w:rsidR="000F53E7">
        <w:rPr>
          <w:kern w:val="2"/>
          <w:szCs w:val="20"/>
        </w:rPr>
        <w:t> </w:t>
      </w:r>
      <w:r w:rsidRPr="00B07B60">
        <w:rPr>
          <w:kern w:val="2"/>
          <w:szCs w:val="20"/>
        </w:rPr>
        <w:t>2</w:t>
      </w:r>
      <w:r w:rsidR="000F53E7">
        <w:rPr>
          <w:kern w:val="2"/>
          <w:szCs w:val="20"/>
        </w:rPr>
        <w:t> </w:t>
      </w:r>
      <w:r w:rsidRPr="00B07B60">
        <w:rPr>
          <w:kern w:val="2"/>
          <w:szCs w:val="20"/>
        </w:rPr>
        <w:t xml:space="preserve">fold which was the threshold for a positive response. Positive results were obtained for </w:t>
      </w:r>
      <w:proofErr w:type="spellStart"/>
      <w:r w:rsidRPr="00B07B60">
        <w:rPr>
          <w:kern w:val="2"/>
          <w:szCs w:val="20"/>
        </w:rPr>
        <w:t>pirfenidone</w:t>
      </w:r>
      <w:proofErr w:type="spellEnd"/>
      <w:r w:rsidRPr="00B07B60">
        <w:rPr>
          <w:kern w:val="2"/>
          <w:szCs w:val="20"/>
        </w:rPr>
        <w:t xml:space="preserve"> in a </w:t>
      </w:r>
      <w:proofErr w:type="spellStart"/>
      <w:r w:rsidRPr="00B07B60">
        <w:rPr>
          <w:kern w:val="2"/>
          <w:szCs w:val="20"/>
        </w:rPr>
        <w:t>photoclastogenicity</w:t>
      </w:r>
      <w:proofErr w:type="spellEnd"/>
      <w:r w:rsidRPr="00B07B60">
        <w:rPr>
          <w:kern w:val="2"/>
          <w:szCs w:val="20"/>
        </w:rPr>
        <w:t xml:space="preserve"> assay, but the finding should be interpreted with caution as these assays are known to be over sensitive and may give false positive results.</w:t>
      </w:r>
      <w:r w:rsidR="004E2F28">
        <w:rPr>
          <w:rStyle w:val="FootnoteReference"/>
          <w:kern w:val="2"/>
          <w:szCs w:val="20"/>
        </w:rPr>
        <w:footnoteReference w:id="29"/>
      </w:r>
      <w:r w:rsidRPr="00B07B60">
        <w:rPr>
          <w:kern w:val="2"/>
          <w:szCs w:val="20"/>
        </w:rPr>
        <w:t xml:space="preserve"> The metabolite, 5</w:t>
      </w:r>
      <w:r w:rsidR="000F53E7">
        <w:rPr>
          <w:kern w:val="2"/>
          <w:szCs w:val="20"/>
        </w:rPr>
        <w:noBreakHyphen/>
      </w:r>
      <w:r w:rsidRPr="00B07B60">
        <w:rPr>
          <w:kern w:val="2"/>
          <w:szCs w:val="20"/>
        </w:rPr>
        <w:t>CA</w:t>
      </w:r>
      <w:r w:rsidR="000F53E7">
        <w:rPr>
          <w:kern w:val="2"/>
          <w:szCs w:val="20"/>
        </w:rPr>
        <w:noBreakHyphen/>
      </w:r>
      <w:r w:rsidRPr="00B07B60">
        <w:rPr>
          <w:kern w:val="2"/>
          <w:szCs w:val="20"/>
        </w:rPr>
        <w:t xml:space="preserve">pirfenidone, was negative in an in vitro </w:t>
      </w:r>
      <w:proofErr w:type="spellStart"/>
      <w:r w:rsidRPr="00B07B60">
        <w:rPr>
          <w:kern w:val="2"/>
          <w:szCs w:val="20"/>
        </w:rPr>
        <w:t>photogenotoxicity</w:t>
      </w:r>
      <w:proofErr w:type="spellEnd"/>
      <w:r w:rsidRPr="00B07B60">
        <w:rPr>
          <w:kern w:val="2"/>
          <w:szCs w:val="20"/>
        </w:rPr>
        <w:t xml:space="preserve"> assay in bacteria, and also in a </w:t>
      </w:r>
      <w:proofErr w:type="spellStart"/>
      <w:r w:rsidRPr="00B07B60">
        <w:rPr>
          <w:kern w:val="2"/>
          <w:szCs w:val="20"/>
        </w:rPr>
        <w:t>photoclastogenicity</w:t>
      </w:r>
      <w:proofErr w:type="spellEnd"/>
      <w:r w:rsidRPr="00B07B60">
        <w:rPr>
          <w:kern w:val="2"/>
          <w:szCs w:val="20"/>
        </w:rPr>
        <w:t xml:space="preserve"> assay.</w:t>
      </w:r>
    </w:p>
    <w:p w:rsidR="00B07B60" w:rsidRDefault="00B07B60" w:rsidP="00B07B60">
      <w:pPr>
        <w:pStyle w:val="Standard"/>
        <w:rPr>
          <w:kern w:val="2"/>
          <w:szCs w:val="20"/>
        </w:rPr>
      </w:pPr>
      <w:proofErr w:type="spellStart"/>
      <w:r w:rsidRPr="00B07B60">
        <w:rPr>
          <w:kern w:val="2"/>
          <w:szCs w:val="20"/>
        </w:rPr>
        <w:t>Phototoxicity</w:t>
      </w:r>
      <w:proofErr w:type="spellEnd"/>
      <w:r w:rsidRPr="00B07B60">
        <w:rPr>
          <w:kern w:val="2"/>
          <w:szCs w:val="20"/>
        </w:rPr>
        <w:t xml:space="preserve"> was observed in hairless mice that received 500 mg/kg/day PO </w:t>
      </w:r>
      <w:proofErr w:type="spellStart"/>
      <w:r w:rsidRPr="00B07B60">
        <w:rPr>
          <w:kern w:val="2"/>
          <w:szCs w:val="20"/>
        </w:rPr>
        <w:t>pirfenidone</w:t>
      </w:r>
      <w:proofErr w:type="spellEnd"/>
      <w:r w:rsidRPr="00B07B60">
        <w:rPr>
          <w:kern w:val="2"/>
          <w:szCs w:val="20"/>
        </w:rPr>
        <w:t xml:space="preserve"> for one month (RE, 14</w:t>
      </w:r>
      <w:r w:rsidR="00271F1A">
        <w:rPr>
          <w:kern w:val="2"/>
          <w:szCs w:val="20"/>
        </w:rPr>
        <w:t> x</w:t>
      </w:r>
      <w:r w:rsidRPr="00B07B60">
        <w:rPr>
          <w:kern w:val="2"/>
          <w:szCs w:val="20"/>
        </w:rPr>
        <w:t xml:space="preserve"> based on </w:t>
      </w:r>
      <w:proofErr w:type="spellStart"/>
      <w:r w:rsidRPr="00B07B60">
        <w:rPr>
          <w:kern w:val="2"/>
          <w:szCs w:val="20"/>
        </w:rPr>
        <w:t>C</w:t>
      </w:r>
      <w:r w:rsidRPr="00271F1A">
        <w:rPr>
          <w:kern w:val="2"/>
          <w:szCs w:val="20"/>
          <w:vertAlign w:val="subscript"/>
        </w:rPr>
        <w:t>max</w:t>
      </w:r>
      <w:proofErr w:type="spellEnd"/>
      <w:r w:rsidRPr="00B07B60">
        <w:rPr>
          <w:kern w:val="2"/>
          <w:szCs w:val="20"/>
        </w:rPr>
        <w:t xml:space="preserve">). </w:t>
      </w:r>
      <w:proofErr w:type="spellStart"/>
      <w:r w:rsidRPr="00B07B60">
        <w:rPr>
          <w:kern w:val="2"/>
          <w:szCs w:val="20"/>
        </w:rPr>
        <w:t>Phototoxicity</w:t>
      </w:r>
      <w:proofErr w:type="spellEnd"/>
      <w:r w:rsidRPr="00B07B60">
        <w:rPr>
          <w:kern w:val="2"/>
          <w:szCs w:val="20"/>
        </w:rPr>
        <w:t xml:space="preserve"> consisted of moderate to severe erythema following </w:t>
      </w:r>
      <w:r w:rsidR="00313290">
        <w:rPr>
          <w:kern w:val="2"/>
          <w:szCs w:val="20"/>
        </w:rPr>
        <w:t>ultra violet (</w:t>
      </w:r>
      <w:r w:rsidRPr="00B07B60">
        <w:rPr>
          <w:kern w:val="2"/>
          <w:szCs w:val="20"/>
        </w:rPr>
        <w:t>UV</w:t>
      </w:r>
      <w:r w:rsidR="00313290">
        <w:rPr>
          <w:kern w:val="2"/>
          <w:szCs w:val="20"/>
        </w:rPr>
        <w:t>)</w:t>
      </w:r>
      <w:r w:rsidRPr="00B07B60">
        <w:rPr>
          <w:kern w:val="2"/>
          <w:szCs w:val="20"/>
        </w:rPr>
        <w:t xml:space="preserve"> exposure in the first two to three weeks, but erythema was not observed in response to UV exposure after that. Reversible acanthosis and single cell necrosis were observed in the epidermis (auricle and dorsal skin) of hairless mice that received </w:t>
      </w:r>
      <w:proofErr w:type="spellStart"/>
      <w:r w:rsidRPr="00B07B60">
        <w:rPr>
          <w:kern w:val="2"/>
          <w:szCs w:val="20"/>
        </w:rPr>
        <w:t>pirfenidone</w:t>
      </w:r>
      <w:proofErr w:type="spellEnd"/>
      <w:r w:rsidRPr="00B07B60">
        <w:rPr>
          <w:kern w:val="2"/>
          <w:szCs w:val="20"/>
        </w:rPr>
        <w:t xml:space="preserve"> and were exposed to UV light. Similar results were obtained in guinea pigs, with </w:t>
      </w:r>
      <w:proofErr w:type="spellStart"/>
      <w:r w:rsidRPr="00B07B60">
        <w:rPr>
          <w:kern w:val="2"/>
          <w:szCs w:val="20"/>
        </w:rPr>
        <w:t>phototoxicity</w:t>
      </w:r>
      <w:proofErr w:type="spellEnd"/>
      <w:r w:rsidRPr="00B07B60">
        <w:rPr>
          <w:kern w:val="2"/>
          <w:szCs w:val="20"/>
        </w:rPr>
        <w:t xml:space="preserve"> (dermal irritation) evident in animals that received ≥</w:t>
      </w:r>
      <w:r w:rsidR="000F53E7">
        <w:rPr>
          <w:kern w:val="2"/>
          <w:szCs w:val="20"/>
        </w:rPr>
        <w:t> 40 </w:t>
      </w:r>
      <w:r w:rsidRPr="00B07B60">
        <w:rPr>
          <w:kern w:val="2"/>
          <w:szCs w:val="20"/>
        </w:rPr>
        <w:t>mg/kg/day for 3 days, but not at lower doses (exposure ratio, ≥</w:t>
      </w:r>
      <w:r w:rsidR="000F53E7">
        <w:rPr>
          <w:kern w:val="2"/>
          <w:szCs w:val="20"/>
        </w:rPr>
        <w:t> </w:t>
      </w:r>
      <w:r w:rsidRPr="00B07B60">
        <w:rPr>
          <w:kern w:val="2"/>
          <w:szCs w:val="20"/>
        </w:rPr>
        <w:t xml:space="preserve">0.8 based on </w:t>
      </w:r>
      <w:proofErr w:type="spellStart"/>
      <w:r w:rsidRPr="00B07B60">
        <w:rPr>
          <w:kern w:val="2"/>
          <w:szCs w:val="20"/>
        </w:rPr>
        <w:t>C</w:t>
      </w:r>
      <w:r w:rsidRPr="000F53E7">
        <w:rPr>
          <w:kern w:val="2"/>
          <w:szCs w:val="20"/>
          <w:vertAlign w:val="subscript"/>
        </w:rPr>
        <w:t>max</w:t>
      </w:r>
      <w:proofErr w:type="spellEnd"/>
      <w:r w:rsidRPr="00B07B60">
        <w:rPr>
          <w:kern w:val="2"/>
          <w:szCs w:val="20"/>
        </w:rPr>
        <w:t xml:space="preserve">). The severity of </w:t>
      </w:r>
      <w:proofErr w:type="spellStart"/>
      <w:r w:rsidRPr="00B07B60">
        <w:rPr>
          <w:kern w:val="2"/>
          <w:szCs w:val="20"/>
        </w:rPr>
        <w:t>phototoxicity</w:t>
      </w:r>
      <w:proofErr w:type="spellEnd"/>
      <w:r w:rsidRPr="00B07B60">
        <w:rPr>
          <w:kern w:val="2"/>
          <w:szCs w:val="20"/>
        </w:rPr>
        <w:t xml:space="preserve"> was dependent on dose and UV intensity, and decreased with increased time between </w:t>
      </w:r>
      <w:proofErr w:type="spellStart"/>
      <w:r w:rsidRPr="00B07B60">
        <w:rPr>
          <w:kern w:val="2"/>
          <w:szCs w:val="20"/>
        </w:rPr>
        <w:t>pirfenidone</w:t>
      </w:r>
      <w:proofErr w:type="spellEnd"/>
      <w:r w:rsidRPr="00B07B60">
        <w:rPr>
          <w:kern w:val="2"/>
          <w:szCs w:val="20"/>
        </w:rPr>
        <w:t xml:space="preserve"> administration and UV exposure. The application of sunscreen reduced the severity of phototoxic lesions. Repeated dosing with ≤</w:t>
      </w:r>
      <w:r w:rsidR="000F53E7">
        <w:rPr>
          <w:kern w:val="2"/>
          <w:szCs w:val="20"/>
        </w:rPr>
        <w:t> 160 </w:t>
      </w:r>
      <w:r w:rsidRPr="00B07B60">
        <w:rPr>
          <w:kern w:val="2"/>
          <w:szCs w:val="20"/>
        </w:rPr>
        <w:t xml:space="preserve">mg/kg/day PO </w:t>
      </w:r>
      <w:proofErr w:type="spellStart"/>
      <w:r w:rsidRPr="00B07B60">
        <w:rPr>
          <w:kern w:val="2"/>
          <w:szCs w:val="20"/>
        </w:rPr>
        <w:t>pirfenidone</w:t>
      </w:r>
      <w:proofErr w:type="spellEnd"/>
      <w:r w:rsidRPr="00B07B60">
        <w:rPr>
          <w:kern w:val="2"/>
          <w:szCs w:val="20"/>
        </w:rPr>
        <w:t xml:space="preserve"> did not induce photosensitisation in guinea pigs. Together, the data indicate that </w:t>
      </w:r>
      <w:proofErr w:type="spellStart"/>
      <w:r w:rsidRPr="00B07B60">
        <w:rPr>
          <w:kern w:val="2"/>
          <w:szCs w:val="20"/>
        </w:rPr>
        <w:t>phototoxicity</w:t>
      </w:r>
      <w:proofErr w:type="spellEnd"/>
      <w:r w:rsidRPr="00B07B60">
        <w:rPr>
          <w:kern w:val="2"/>
          <w:szCs w:val="20"/>
        </w:rPr>
        <w:t xml:space="preserve"> may occur clinically.</w:t>
      </w:r>
    </w:p>
    <w:p w:rsidR="00D01C0B" w:rsidRDefault="00D01C0B" w:rsidP="00D01C0B">
      <w:pPr>
        <w:pStyle w:val="Heading3"/>
      </w:pPr>
      <w:bookmarkStart w:id="56" w:name="_Toc453068491"/>
      <w:r>
        <w:t>Impurities</w:t>
      </w:r>
      <w:bookmarkEnd w:id="56"/>
    </w:p>
    <w:p w:rsidR="00D01C0B" w:rsidRDefault="00D01C0B" w:rsidP="00D01C0B">
      <w:r w:rsidRPr="00D01C0B">
        <w:t>The proposed specifications for four impurities in the drug substance are below the ICH qualification thresholds. In silico and/or in vitro analyses indicated there was no genotoxic concern for three of the proposed impurities. One impurity is genotoxic (</w:t>
      </w:r>
      <w:proofErr w:type="spellStart"/>
      <w:r w:rsidRPr="00D01C0B">
        <w:t>clastogenic</w:t>
      </w:r>
      <w:proofErr w:type="spellEnd"/>
      <w:r w:rsidRPr="00D01C0B">
        <w:t>) however, and it is recommended that its specified limit be tightened to reduce carcinogenic risk.</w:t>
      </w:r>
    </w:p>
    <w:p w:rsidR="00D01C0B" w:rsidRPr="0096468A" w:rsidRDefault="00D01C0B" w:rsidP="00D01C0B">
      <w:pPr>
        <w:pStyle w:val="Heading3"/>
      </w:pPr>
      <w:bookmarkStart w:id="57" w:name="_Toc453068492"/>
      <w:r w:rsidRPr="0096468A">
        <w:t>Paediatric use</w:t>
      </w:r>
      <w:bookmarkEnd w:id="57"/>
    </w:p>
    <w:p w:rsidR="00D01C0B" w:rsidRPr="00D01C0B" w:rsidRDefault="00D01C0B" w:rsidP="00D01C0B">
      <w:proofErr w:type="spellStart"/>
      <w:r w:rsidRPr="0096468A">
        <w:t>Pirfenidone</w:t>
      </w:r>
      <w:proofErr w:type="spellEnd"/>
      <w:r w:rsidRPr="0096468A">
        <w:t xml:space="preserve"> is not proposed for paediatric use and no specific studies in j</w:t>
      </w:r>
      <w:r>
        <w:t>uvenile animals were submitted.</w:t>
      </w:r>
    </w:p>
    <w:p w:rsidR="004E2F28" w:rsidRDefault="008E7846" w:rsidP="00526DBA">
      <w:pPr>
        <w:pStyle w:val="Heading3"/>
      </w:pPr>
      <w:bookmarkStart w:id="58" w:name="_Toc247691515"/>
      <w:bookmarkStart w:id="59" w:name="_Toc314842499"/>
      <w:bookmarkStart w:id="60" w:name="_Toc453068493"/>
      <w:r>
        <w:lastRenderedPageBreak/>
        <w:t>Nonclinical summary</w:t>
      </w:r>
      <w:bookmarkEnd w:id="58"/>
      <w:bookmarkEnd w:id="59"/>
      <w:bookmarkEnd w:id="60"/>
    </w:p>
    <w:p w:rsidR="004E2F28" w:rsidRDefault="004E2F28" w:rsidP="004E2F28">
      <w:pPr>
        <w:pStyle w:val="ListBullet"/>
      </w:pPr>
      <w:r>
        <w:t>The submitted nonclinical dossier was compliant with the relevant international guidelines, and all pivotal safety studies were conducted under GLP conditions</w:t>
      </w:r>
    </w:p>
    <w:p w:rsidR="00C77A5C" w:rsidRPr="00313290" w:rsidRDefault="00C77A5C" w:rsidP="00C77A5C">
      <w:pPr>
        <w:pStyle w:val="ListBullet"/>
      </w:pPr>
      <w:r w:rsidRPr="00313290">
        <w:t xml:space="preserve">Anti-inflammatory and anti-fibrotic effects were proposed as the mechanism of action for </w:t>
      </w:r>
      <w:proofErr w:type="spellStart"/>
      <w:r w:rsidRPr="00313290">
        <w:t>pirfenidone</w:t>
      </w:r>
      <w:proofErr w:type="spellEnd"/>
      <w:r w:rsidRPr="00313290">
        <w:t xml:space="preserve">. </w:t>
      </w:r>
      <w:proofErr w:type="spellStart"/>
      <w:r w:rsidRPr="00313290">
        <w:t>Pirfenidone</w:t>
      </w:r>
      <w:proofErr w:type="spellEnd"/>
      <w:r w:rsidRPr="00313290">
        <w:t xml:space="preserve"> inhibited </w:t>
      </w:r>
      <w:r w:rsidR="006623E5">
        <w:t>LPS</w:t>
      </w:r>
      <w:r w:rsidRPr="00313290">
        <w:t xml:space="preserve"> induced </w:t>
      </w:r>
      <w:r w:rsidR="006623E5">
        <w:t>TNFα</w:t>
      </w:r>
      <w:r w:rsidRPr="00313290">
        <w:t xml:space="preserve"> release both in vitro and in vivo, with the latter occurring at clinically relevant doses. The in vitro anti-fibrotic effects of </w:t>
      </w:r>
      <w:proofErr w:type="spellStart"/>
      <w:r w:rsidRPr="00313290">
        <w:t>pirfenidone</w:t>
      </w:r>
      <w:proofErr w:type="spellEnd"/>
      <w:r w:rsidRPr="00313290">
        <w:t xml:space="preserve"> were mixed: the majority of effects were only observed at very high concentrations and effects were more pronounced in dermal compared to lung fibroblasts. When given prophylactically, </w:t>
      </w:r>
      <w:proofErr w:type="spellStart"/>
      <w:r w:rsidRPr="00313290">
        <w:t>pirfenidone</w:t>
      </w:r>
      <w:proofErr w:type="spellEnd"/>
      <w:r w:rsidRPr="00313290">
        <w:t xml:space="preserve"> attenuated the development of pulmonary fibrosis in response to bleomycin at subclinical exposures in mice, and also at doses approximating the maximum recommended human dose in rats and hamsters. In mice, </w:t>
      </w:r>
      <w:proofErr w:type="spellStart"/>
      <w:r w:rsidRPr="00313290">
        <w:t>pirfenidone</w:t>
      </w:r>
      <w:proofErr w:type="spellEnd"/>
      <w:r w:rsidRPr="00313290">
        <w:t xml:space="preserve"> appeared to arrest fibrosis development, but was ineffective at reversing established fibrosis in rats</w:t>
      </w:r>
    </w:p>
    <w:p w:rsidR="00C77A5C" w:rsidRPr="00313290" w:rsidRDefault="00C77A5C" w:rsidP="00C77A5C">
      <w:pPr>
        <w:pStyle w:val="ListBullet"/>
      </w:pPr>
      <w:r w:rsidRPr="00313290">
        <w:t xml:space="preserve">The molecular target of </w:t>
      </w:r>
      <w:proofErr w:type="spellStart"/>
      <w:r w:rsidRPr="00313290">
        <w:t>pirfenidone</w:t>
      </w:r>
      <w:proofErr w:type="spellEnd"/>
      <w:r w:rsidRPr="00313290">
        <w:t xml:space="preserve"> responsible for its primary pharmacological activity has not been identified. Binding assays against a panel of receptors, enzymes and transporters identified no clinically relevant secondary targets</w:t>
      </w:r>
    </w:p>
    <w:p w:rsidR="00C77A5C" w:rsidRPr="00313290" w:rsidRDefault="00C77A5C" w:rsidP="007F15A6">
      <w:pPr>
        <w:pStyle w:val="ListBullet"/>
      </w:pPr>
      <w:r w:rsidRPr="00313290">
        <w:t xml:space="preserve">Safety pharmacology studies examined the effects of </w:t>
      </w:r>
      <w:proofErr w:type="spellStart"/>
      <w:r w:rsidRPr="00313290">
        <w:t>pirfenidone</w:t>
      </w:r>
      <w:proofErr w:type="spellEnd"/>
      <w:r w:rsidRPr="00313290">
        <w:t xml:space="preserve"> on the CNS, cardiovascular, respiratory and gastrointestinal systems. Adverse CNS effects were observed in mice from subclinical doses of </w:t>
      </w:r>
      <w:proofErr w:type="spellStart"/>
      <w:r w:rsidRPr="00313290">
        <w:t>pirfenidone</w:t>
      </w:r>
      <w:proofErr w:type="spellEnd"/>
      <w:r w:rsidRPr="00313290">
        <w:t xml:space="preserve">; convulsions, respiratory inhibition and mortality were seen at doses </w:t>
      </w:r>
      <w:r w:rsidR="004E2F28">
        <w:t>approximately 2 x</w:t>
      </w:r>
      <w:r w:rsidRPr="00313290">
        <w:t xml:space="preserve"> the </w:t>
      </w:r>
      <w:r w:rsidR="006623E5">
        <w:t>MRHD</w:t>
      </w:r>
      <w:r w:rsidRPr="00313290">
        <w:t xml:space="preserve"> based on mg/m</w:t>
      </w:r>
      <w:r w:rsidRPr="00313290">
        <w:rPr>
          <w:vertAlign w:val="superscript"/>
        </w:rPr>
        <w:t>2</w:t>
      </w:r>
      <w:r w:rsidRPr="00313290">
        <w:t xml:space="preserve"> body surface area. Inhibition of </w:t>
      </w:r>
      <w:r w:rsidR="007F15A6" w:rsidRPr="00313290">
        <w:t>human ether-à-go-go-related gene (</w:t>
      </w:r>
      <w:proofErr w:type="spellStart"/>
      <w:r w:rsidRPr="00313290">
        <w:t>hERG</w:t>
      </w:r>
      <w:proofErr w:type="spellEnd"/>
      <w:r w:rsidR="007F15A6" w:rsidRPr="00313290">
        <w:t>)</w:t>
      </w:r>
      <w:r w:rsidRPr="00313290">
        <w:t xml:space="preserve"> channels was observed at high concentrations, but there was no dose-related prolongation of QT interval in dogs at exposures </w:t>
      </w:r>
      <w:r w:rsidR="007F15A6" w:rsidRPr="00313290">
        <w:t xml:space="preserve">at 14 </w:t>
      </w:r>
      <w:r w:rsidR="00FE2140">
        <w:t>x</w:t>
      </w:r>
      <w:r w:rsidR="00FE2140" w:rsidRPr="00313290">
        <w:t xml:space="preserve"> </w:t>
      </w:r>
      <w:r w:rsidR="007F15A6" w:rsidRPr="00313290">
        <w:t>the</w:t>
      </w:r>
      <w:r w:rsidRPr="00313290">
        <w:t xml:space="preserve"> clinical </w:t>
      </w:r>
      <w:proofErr w:type="spellStart"/>
      <w:r w:rsidRPr="00313290">
        <w:t>C</w:t>
      </w:r>
      <w:r w:rsidRPr="00313290">
        <w:rPr>
          <w:vertAlign w:val="subscript"/>
        </w:rPr>
        <w:t>max</w:t>
      </w:r>
      <w:proofErr w:type="spellEnd"/>
      <w:r w:rsidRPr="00313290">
        <w:t xml:space="preserve"> at the MRHD. Ventricular abnormalities were observed in rats but not dogs. Reduced blood pressure and increased heart rate occurred in anaesthetised rats and dogs, but only increased heart rate was observed in conscious dogs and at higher doses (14</w:t>
      </w:r>
      <w:r w:rsidR="007F15A6" w:rsidRPr="00313290">
        <w:t xml:space="preserve"> </w:t>
      </w:r>
      <w:r w:rsidR="00FE2140">
        <w:t>x</w:t>
      </w:r>
      <w:r w:rsidR="00FE2140" w:rsidRPr="00313290">
        <w:t xml:space="preserve"> </w:t>
      </w:r>
      <w:proofErr w:type="spellStart"/>
      <w:r w:rsidRPr="00313290">
        <w:t>C</w:t>
      </w:r>
      <w:r w:rsidRPr="00313290">
        <w:rPr>
          <w:vertAlign w:val="subscript"/>
        </w:rPr>
        <w:t>max</w:t>
      </w:r>
      <w:proofErr w:type="spellEnd"/>
      <w:r w:rsidRPr="00313290">
        <w:t>). There were no adverse respiratory effects in conscious dogs at doses yielding up to 4</w:t>
      </w:r>
      <w:r w:rsidR="007F15A6" w:rsidRPr="00313290">
        <w:t xml:space="preserve"> </w:t>
      </w:r>
      <w:r w:rsidR="00FE2140">
        <w:t>x</w:t>
      </w:r>
      <w:r w:rsidR="00FE2140" w:rsidRPr="00313290">
        <w:t xml:space="preserve"> </w:t>
      </w:r>
      <w:r w:rsidRPr="00313290">
        <w:t xml:space="preserve">the expected </w:t>
      </w:r>
      <w:proofErr w:type="spellStart"/>
      <w:r w:rsidRPr="00313290">
        <w:t>C</w:t>
      </w:r>
      <w:r w:rsidRPr="00313290">
        <w:rPr>
          <w:vertAlign w:val="subscript"/>
        </w:rPr>
        <w:t>max</w:t>
      </w:r>
      <w:proofErr w:type="spellEnd"/>
      <w:r w:rsidRPr="00313290">
        <w:t>. In vitro and in vivo studies indicated that delayed gastric emptying and reduced rate of intestinal transit are likely to occur clinically</w:t>
      </w:r>
    </w:p>
    <w:p w:rsidR="00C77A5C" w:rsidRPr="00313290" w:rsidRDefault="00C77A5C" w:rsidP="00C77A5C">
      <w:pPr>
        <w:pStyle w:val="ListBullet"/>
      </w:pPr>
      <w:r w:rsidRPr="00313290">
        <w:t xml:space="preserve">The pharmacokinetic profile of </w:t>
      </w:r>
      <w:proofErr w:type="spellStart"/>
      <w:r w:rsidRPr="00313290">
        <w:t>pirfenidone</w:t>
      </w:r>
      <w:proofErr w:type="spellEnd"/>
      <w:r w:rsidRPr="00313290">
        <w:t xml:space="preserve"> was highly similar between animals and humans. </w:t>
      </w:r>
      <w:proofErr w:type="spellStart"/>
      <w:r w:rsidRPr="00313290">
        <w:t>Pirfenidone</w:t>
      </w:r>
      <w:proofErr w:type="spellEnd"/>
      <w:r w:rsidRPr="00313290">
        <w:t xml:space="preserve"> has moderate to high bioavailability, was rapidly absorbed and has a short plasma half-life. Plasma protein binding was low and tissue distribution was wide. Peak concentrations of </w:t>
      </w:r>
      <w:r w:rsidRPr="00526DBA">
        <w:rPr>
          <w:vertAlign w:val="superscript"/>
        </w:rPr>
        <w:t>14</w:t>
      </w:r>
      <w:r w:rsidRPr="00313290">
        <w:t>C</w:t>
      </w:r>
      <w:r w:rsidR="00FE2140">
        <w:t xml:space="preserve">-pirfenidone </w:t>
      </w:r>
      <w:r w:rsidRPr="00313290">
        <w:t xml:space="preserve">derived radioactivity in the lung and brain were comparable to that in plasma in rats. CYP1A2 was the predominant CYP isoform responsible for metabolism, involving formation of the one major metabolite, 5-CA-pirfenidone. Excretion was predominantly via the urine, almost exclusively as 5-CA-pirfenidone. The plasma ratio of 5-CA-pirfenidone to </w:t>
      </w:r>
      <w:proofErr w:type="spellStart"/>
      <w:r w:rsidRPr="00313290">
        <w:t>pirfenidone</w:t>
      </w:r>
      <w:proofErr w:type="spellEnd"/>
      <w:r w:rsidRPr="00313290">
        <w:t xml:space="preserve"> was 0.7</w:t>
      </w:r>
      <w:r w:rsidR="006623E5">
        <w:t> to </w:t>
      </w:r>
      <w:r w:rsidRPr="00313290">
        <w:t xml:space="preserve">0.8 in humans and beagle dogs. In contrast, 5-CA-pirfendione was generally the predominant circulating species </w:t>
      </w:r>
      <w:r w:rsidRPr="005F7E14">
        <w:t xml:space="preserve">in </w:t>
      </w:r>
      <w:r w:rsidR="005F7E14" w:rsidRPr="005F7E14">
        <w:t xml:space="preserve">B6C3F1 </w:t>
      </w:r>
      <w:r w:rsidR="005F7E14" w:rsidRPr="00313290">
        <w:t>mice</w:t>
      </w:r>
      <w:r w:rsidRPr="00313290">
        <w:t xml:space="preserve"> and SD and F344 rats, with metabolite to parent ratios of 2</w:t>
      </w:r>
      <w:r w:rsidR="006623E5">
        <w:t>:</w:t>
      </w:r>
      <w:r w:rsidR="00FE2140">
        <w:t xml:space="preserve"> </w:t>
      </w:r>
      <w:r w:rsidR="006623E5">
        <w:t>14 in mice and 1:</w:t>
      </w:r>
      <w:r w:rsidR="00FE2140">
        <w:t xml:space="preserve"> </w:t>
      </w:r>
      <w:r w:rsidRPr="00313290">
        <w:t>5 in rats. 5-CA-pirfendione had no or negligible pharmacological activity</w:t>
      </w:r>
    </w:p>
    <w:p w:rsidR="00C77A5C" w:rsidRPr="00313290" w:rsidRDefault="00C77A5C" w:rsidP="00C77A5C">
      <w:pPr>
        <w:pStyle w:val="ListBullet"/>
      </w:pPr>
      <w:r w:rsidRPr="00313290">
        <w:t xml:space="preserve">Inhibition of </w:t>
      </w:r>
      <w:r w:rsidR="006623E5">
        <w:t>P-</w:t>
      </w:r>
      <w:proofErr w:type="spellStart"/>
      <w:r w:rsidR="006623E5">
        <w:t>gp</w:t>
      </w:r>
      <w:proofErr w:type="spellEnd"/>
      <w:r w:rsidRPr="00313290">
        <w:t xml:space="preserve"> by </w:t>
      </w:r>
      <w:proofErr w:type="spellStart"/>
      <w:r w:rsidRPr="00313290">
        <w:t>pirfenidone</w:t>
      </w:r>
      <w:proofErr w:type="spellEnd"/>
      <w:r w:rsidRPr="00313290">
        <w:t xml:space="preserve"> was demonstrated in vitro, and inhibition of P </w:t>
      </w:r>
      <w:proofErr w:type="spellStart"/>
      <w:r w:rsidRPr="00313290">
        <w:t>gp</w:t>
      </w:r>
      <w:proofErr w:type="spellEnd"/>
      <w:r w:rsidRPr="00313290">
        <w:t xml:space="preserve"> may occur clinically given the high predicted intestinal concentration. The drug is not a substrate for P </w:t>
      </w:r>
      <w:proofErr w:type="spellStart"/>
      <w:r w:rsidRPr="00313290">
        <w:t>gp</w:t>
      </w:r>
      <w:proofErr w:type="spellEnd"/>
      <w:r w:rsidRPr="00313290">
        <w:t xml:space="preserve">. Inhibition of other intestinal transporters was not investigated. Clinically relevant inhibition of CYP enzymes was not observed in experiments with human liver </w:t>
      </w:r>
      <w:proofErr w:type="spellStart"/>
      <w:r w:rsidRPr="00313290">
        <w:t>microsomes</w:t>
      </w:r>
      <w:proofErr w:type="spellEnd"/>
      <w:r w:rsidRPr="00313290">
        <w:t xml:space="preserve">. </w:t>
      </w:r>
      <w:proofErr w:type="spellStart"/>
      <w:r w:rsidRPr="00313290">
        <w:t>Pirfenidone</w:t>
      </w:r>
      <w:proofErr w:type="spellEnd"/>
      <w:r w:rsidRPr="00313290">
        <w:t xml:space="preserve"> showed phenobarbital</w:t>
      </w:r>
      <w:r w:rsidR="00FE2140">
        <w:t xml:space="preserve"> </w:t>
      </w:r>
      <w:r w:rsidRPr="00313290">
        <w:t>like induction of CYPs 1A, 2B, 2D and 3A at clinically relevant exposures in vivo in animals. However, in vitro in cultured human hepatocytes, there was only weak induction of CYP1A, 2C9, 2C19 and/or 3A at concentrations &gt;</w:t>
      </w:r>
      <w:r w:rsidR="006623E5">
        <w:t> </w:t>
      </w:r>
      <w:r w:rsidRPr="00313290">
        <w:t>3</w:t>
      </w:r>
      <w:r w:rsidR="006623E5">
        <w:t> </w:t>
      </w:r>
      <w:r w:rsidR="00E60988">
        <w:t>x</w:t>
      </w:r>
      <w:r w:rsidRPr="00313290">
        <w:t xml:space="preserve"> </w:t>
      </w:r>
      <w:proofErr w:type="spellStart"/>
      <w:r w:rsidRPr="00313290">
        <w:t>C</w:t>
      </w:r>
      <w:r w:rsidRPr="006623E5">
        <w:rPr>
          <w:vertAlign w:val="subscript"/>
        </w:rPr>
        <w:t>max</w:t>
      </w:r>
      <w:proofErr w:type="spellEnd"/>
      <w:r w:rsidRPr="00313290">
        <w:t xml:space="preserve"> at the MRHD. Therefore, significant induction of CYP enzymes by </w:t>
      </w:r>
      <w:proofErr w:type="spellStart"/>
      <w:r w:rsidRPr="00313290">
        <w:t>pirfenidone</w:t>
      </w:r>
      <w:proofErr w:type="spellEnd"/>
      <w:r w:rsidRPr="00313290">
        <w:t xml:space="preserve"> is not anticipated in patients</w:t>
      </w:r>
    </w:p>
    <w:p w:rsidR="00C77A5C" w:rsidRPr="00313290" w:rsidRDefault="00C77A5C" w:rsidP="00C77A5C">
      <w:pPr>
        <w:pStyle w:val="ListBullet"/>
      </w:pPr>
      <w:r w:rsidRPr="00313290">
        <w:lastRenderedPageBreak/>
        <w:t>Single</w:t>
      </w:r>
      <w:r w:rsidR="00FE2140">
        <w:t xml:space="preserve"> </w:t>
      </w:r>
      <w:r w:rsidRPr="00313290">
        <w:t xml:space="preserve">dose toxicity studies in mice, rats and dogs indicated a relatively low order of acute toxicity for </w:t>
      </w:r>
      <w:proofErr w:type="spellStart"/>
      <w:r w:rsidRPr="00313290">
        <w:t>pirfenidone</w:t>
      </w:r>
      <w:proofErr w:type="spellEnd"/>
      <w:r w:rsidRPr="00313290">
        <w:t xml:space="preserve"> by the oral route</w:t>
      </w:r>
    </w:p>
    <w:p w:rsidR="00C77A5C" w:rsidRPr="00313290" w:rsidRDefault="00B15BB5" w:rsidP="00C77A5C">
      <w:pPr>
        <w:pStyle w:val="ListBullet"/>
      </w:pPr>
      <w:r>
        <w:t>Repeat dose</w:t>
      </w:r>
      <w:r w:rsidR="00C77A5C" w:rsidRPr="00313290">
        <w:t xml:space="preserve"> toxicity studies were conducted in mice (3 months, PO), rats (up to 6 months, PO and IV) and dogs (up to 9 months, PO). The major target organs for toxicity were liver (hepatocellular hypertrophy associated with enzyme induction; all species), thyroid (hyperplasia; rats only), kidneys (pelvic dilatation and inflammation; rats only), urinary bladder (inflammation and/or hyperplasia; rats only), adrenal glands (hypertrophy; rats only) and submaxillary glands (hypertrophy; dogs only). These toxicities were observed at low or subclinical exposures (</w:t>
      </w:r>
      <w:r w:rsidR="008A6A9C">
        <w:t>RE</w:t>
      </w:r>
      <w:r w:rsidR="00C77A5C" w:rsidRPr="00313290">
        <w:t xml:space="preserve"> ≤</w:t>
      </w:r>
      <w:r w:rsidR="006623E5">
        <w:t> </w:t>
      </w:r>
      <w:r w:rsidR="00C77A5C" w:rsidRPr="00313290">
        <w:t>3</w:t>
      </w:r>
      <w:r w:rsidR="006623E5">
        <w:t> </w:t>
      </w:r>
      <w:r w:rsidR="008A6A9C">
        <w:t>x</w:t>
      </w:r>
      <w:r w:rsidR="00C77A5C" w:rsidRPr="00313290">
        <w:t xml:space="preserve"> based on AUC), but were reversible. Mild anaemia, increased platelets, and adverse clinical CNS and gastrointestinal signs were also observed</w:t>
      </w:r>
    </w:p>
    <w:p w:rsidR="00C77A5C" w:rsidRPr="00313290" w:rsidRDefault="00C77A5C" w:rsidP="00C77A5C">
      <w:pPr>
        <w:pStyle w:val="ListBullet"/>
      </w:pPr>
      <w:proofErr w:type="spellStart"/>
      <w:r w:rsidRPr="00313290">
        <w:t>Pirfenidone</w:t>
      </w:r>
      <w:proofErr w:type="spellEnd"/>
      <w:r w:rsidRPr="00313290">
        <w:t xml:space="preserve"> was negative in genotoxicity assays. Long-term carcinogenicity studies were conducted </w:t>
      </w:r>
      <w:r w:rsidRPr="00744158">
        <w:t xml:space="preserve">in </w:t>
      </w:r>
      <w:r w:rsidR="005F7E14" w:rsidRPr="00744158">
        <w:t xml:space="preserve">B6C3F1 </w:t>
      </w:r>
      <w:r w:rsidR="005F7E14" w:rsidRPr="00313290">
        <w:t>mice</w:t>
      </w:r>
      <w:r w:rsidRPr="00313290">
        <w:t xml:space="preserve"> and F344 rats. </w:t>
      </w:r>
      <w:proofErr w:type="spellStart"/>
      <w:r w:rsidRPr="00313290">
        <w:t>Pirfenidone</w:t>
      </w:r>
      <w:proofErr w:type="spellEnd"/>
      <w:r w:rsidRPr="00313290">
        <w:t xml:space="preserve"> was administered as a dietary admixture, which was associated with subclinical </w:t>
      </w:r>
      <w:proofErr w:type="spellStart"/>
      <w:r w:rsidRPr="00313290">
        <w:t>pirfenidone</w:t>
      </w:r>
      <w:proofErr w:type="spellEnd"/>
      <w:r w:rsidRPr="00313290">
        <w:t xml:space="preserve"> exposures (AUC) despite high daily doses. </w:t>
      </w:r>
      <w:proofErr w:type="spellStart"/>
      <w:r w:rsidRPr="00313290">
        <w:t>Pirfenidone</w:t>
      </w:r>
      <w:proofErr w:type="spellEnd"/>
      <w:r w:rsidRPr="00313290">
        <w:t xml:space="preserve"> induced </w:t>
      </w:r>
      <w:proofErr w:type="spellStart"/>
      <w:r w:rsidRPr="00313290">
        <w:t>hepato</w:t>
      </w:r>
      <w:proofErr w:type="spellEnd"/>
      <w:r w:rsidR="009436C8">
        <w:t>-</w:t>
      </w:r>
      <w:r w:rsidRPr="00313290">
        <w:t>carcinogenesis in both mice and rats, as well as thyroid tumours in rats. These appeared to be secondary to liver enzyme induction. Treatment</w:t>
      </w:r>
      <w:r w:rsidR="009436C8">
        <w:t xml:space="preserve"> </w:t>
      </w:r>
      <w:r w:rsidRPr="00313290">
        <w:t>related uterine tumours also occurred in rats. The sponsor proposed a rodent</w:t>
      </w:r>
      <w:r w:rsidR="009436C8">
        <w:t xml:space="preserve"> </w:t>
      </w:r>
      <w:r w:rsidRPr="00313290">
        <w:t>specific prolactin</w:t>
      </w:r>
      <w:r w:rsidR="009436C8">
        <w:t xml:space="preserve"> </w:t>
      </w:r>
      <w:r w:rsidRPr="00313290">
        <w:t>mediated mechanism for uterine tumour development, but the mechanistic data provided were insufficient to conclusively support this hypothesis</w:t>
      </w:r>
    </w:p>
    <w:p w:rsidR="00C77A5C" w:rsidRPr="00313290" w:rsidRDefault="00C77A5C" w:rsidP="00C77A5C">
      <w:pPr>
        <w:pStyle w:val="ListBullet"/>
      </w:pPr>
      <w:r w:rsidRPr="00313290">
        <w:t xml:space="preserve">Male fertility was unaffected by </w:t>
      </w:r>
      <w:proofErr w:type="spellStart"/>
      <w:r w:rsidRPr="00313290">
        <w:t>pirfenidone</w:t>
      </w:r>
      <w:proofErr w:type="spellEnd"/>
      <w:r w:rsidRPr="00313290">
        <w:t xml:space="preserve"> in rats (tested up to </w:t>
      </w:r>
      <w:r w:rsidR="00876BB3" w:rsidRPr="00313290">
        <w:t>approximately</w:t>
      </w:r>
      <w:r w:rsidR="006623E5">
        <w:t> </w:t>
      </w:r>
      <w:r w:rsidRPr="00313290">
        <w:t>2</w:t>
      </w:r>
      <w:r w:rsidR="006623E5">
        <w:t> </w:t>
      </w:r>
      <w:r w:rsidR="00E60988">
        <w:t>x</w:t>
      </w:r>
      <w:r w:rsidRPr="00313290">
        <w:t xml:space="preserve"> AUC). In females, </w:t>
      </w:r>
      <w:proofErr w:type="spellStart"/>
      <w:r w:rsidRPr="00313290">
        <w:t>pirfenidone</w:t>
      </w:r>
      <w:proofErr w:type="spellEnd"/>
      <w:r w:rsidRPr="00313290">
        <w:t xml:space="preserve"> did not significantly affect fertility indices despite inducing irregular or prolonged oestrus cycles at low relative exposures. </w:t>
      </w:r>
      <w:proofErr w:type="spellStart"/>
      <w:r w:rsidRPr="00313290">
        <w:t>Pirfenidone</w:t>
      </w:r>
      <w:proofErr w:type="spellEnd"/>
      <w:r w:rsidRPr="00313290">
        <w:t xml:space="preserve"> and/or its metabolites crossed the placental barrier and were excreted in the milk of lactating rats. </w:t>
      </w:r>
      <w:proofErr w:type="spellStart"/>
      <w:r w:rsidRPr="00313290">
        <w:t>Pirfenidone</w:t>
      </w:r>
      <w:proofErr w:type="spellEnd"/>
      <w:r w:rsidRPr="00313290">
        <w:t xml:space="preserve"> was not teratogenic in rats or rabbits (tested up to low </w:t>
      </w:r>
      <w:r w:rsidR="006623E5">
        <w:t>estimated relative exposures; 2 to </w:t>
      </w:r>
      <w:r w:rsidRPr="00313290">
        <w:t>4</w:t>
      </w:r>
      <w:r w:rsidR="006623E5">
        <w:t> </w:t>
      </w:r>
      <w:r w:rsidR="00E60988">
        <w:t>x</w:t>
      </w:r>
      <w:r w:rsidRPr="00313290">
        <w:t xml:space="preserve"> based on mg/m</w:t>
      </w:r>
      <w:r w:rsidRPr="006623E5">
        <w:rPr>
          <w:vertAlign w:val="superscript"/>
        </w:rPr>
        <w:t>2</w:t>
      </w:r>
      <w:r w:rsidRPr="00313290">
        <w:t xml:space="preserve"> body surface area). However, abortion, maternal death, prolonged gestation, reduced pup numbers and viability were observed at estimated relative doses of less than 4</w:t>
      </w:r>
      <w:r w:rsidR="006623E5">
        <w:t> </w:t>
      </w:r>
      <w:r w:rsidR="00E60988">
        <w:t>x</w:t>
      </w:r>
      <w:r w:rsidRPr="00313290">
        <w:t xml:space="preserve"> the MRHD (mg/m</w:t>
      </w:r>
      <w:r w:rsidRPr="006623E5">
        <w:rPr>
          <w:vertAlign w:val="superscript"/>
        </w:rPr>
        <w:t>2</w:t>
      </w:r>
      <w:r w:rsidRPr="00313290">
        <w:t xml:space="preserve">). In addition, while pup weight was similar at birth, postnatal body weight gain was reduced in the offspring of rats that received clinically relevant doses of </w:t>
      </w:r>
      <w:proofErr w:type="spellStart"/>
      <w:r w:rsidRPr="00313290">
        <w:t>pirfenidone</w:t>
      </w:r>
      <w:proofErr w:type="spellEnd"/>
      <w:r w:rsidRPr="00313290">
        <w:t xml:space="preserve"> during gestation and lactation. There were no other ef</w:t>
      </w:r>
      <w:r w:rsidR="006623E5">
        <w:t>fects of pre</w:t>
      </w:r>
      <w:r w:rsidR="006623E5">
        <w:noBreakHyphen/>
      </w:r>
      <w:r w:rsidRPr="00313290">
        <w:t xml:space="preserve"> and post</w:t>
      </w:r>
      <w:r w:rsidR="006623E5">
        <w:noBreakHyphen/>
      </w:r>
      <w:r w:rsidRPr="00313290">
        <w:t xml:space="preserve">natal exposure to </w:t>
      </w:r>
      <w:proofErr w:type="spellStart"/>
      <w:r w:rsidRPr="00313290">
        <w:t>pirfenidone</w:t>
      </w:r>
      <w:proofErr w:type="spellEnd"/>
      <w:r w:rsidRPr="00313290">
        <w:t xml:space="preserve"> on behaviour, sexual maturation or reproductive performance of the offspring</w:t>
      </w:r>
    </w:p>
    <w:p w:rsidR="008A6A9C" w:rsidRDefault="00C77A5C" w:rsidP="008A6A9C">
      <w:pPr>
        <w:pStyle w:val="ListBullet"/>
      </w:pPr>
      <w:proofErr w:type="spellStart"/>
      <w:r w:rsidRPr="00313290">
        <w:t>Pirfenidone</w:t>
      </w:r>
      <w:proofErr w:type="spellEnd"/>
      <w:r w:rsidRPr="00313290">
        <w:t xml:space="preserve"> was phototoxic in hairless mice and Hartley guinea pigs. </w:t>
      </w:r>
      <w:proofErr w:type="spellStart"/>
      <w:r w:rsidRPr="00313290">
        <w:t>Pirfenidone</w:t>
      </w:r>
      <w:proofErr w:type="spellEnd"/>
      <w:r w:rsidRPr="00313290">
        <w:t xml:space="preserve"> potentiated the development of erythema in response to UV exposure at subclinical exposures (</w:t>
      </w:r>
      <w:proofErr w:type="spellStart"/>
      <w:r w:rsidRPr="00313290">
        <w:t>C</w:t>
      </w:r>
      <w:r w:rsidRPr="006623E5">
        <w:rPr>
          <w:vertAlign w:val="subscript"/>
        </w:rPr>
        <w:t>max</w:t>
      </w:r>
      <w:proofErr w:type="spellEnd"/>
      <w:r w:rsidRPr="00313290">
        <w:t xml:space="preserve">). The severity of </w:t>
      </w:r>
      <w:proofErr w:type="spellStart"/>
      <w:r w:rsidRPr="00313290">
        <w:t>phototoxicity</w:t>
      </w:r>
      <w:proofErr w:type="spellEnd"/>
      <w:r w:rsidRPr="00313290">
        <w:t xml:space="preserve"> decreased with time after </w:t>
      </w:r>
      <w:proofErr w:type="spellStart"/>
      <w:r w:rsidRPr="00313290">
        <w:t>pirfenidone</w:t>
      </w:r>
      <w:proofErr w:type="spellEnd"/>
      <w:r w:rsidRPr="00313290">
        <w:t xml:space="preserve"> administration, and could be attenuated by the application of sunscreen. In vitro studies of the </w:t>
      </w:r>
      <w:proofErr w:type="spellStart"/>
      <w:r w:rsidRPr="00313290">
        <w:t>photomutagenicity</w:t>
      </w:r>
      <w:proofErr w:type="spellEnd"/>
      <w:r w:rsidRPr="00313290">
        <w:t xml:space="preserve"> of </w:t>
      </w:r>
      <w:proofErr w:type="spellStart"/>
      <w:r w:rsidRPr="00313290">
        <w:t>pirfenidone</w:t>
      </w:r>
      <w:proofErr w:type="spellEnd"/>
      <w:r w:rsidRPr="00313290">
        <w:t xml:space="preserve"> appeared negative. </w:t>
      </w:r>
      <w:proofErr w:type="spellStart"/>
      <w:r w:rsidRPr="00313290">
        <w:t>Pirfenidone</w:t>
      </w:r>
      <w:proofErr w:type="spellEnd"/>
      <w:r w:rsidRPr="00313290">
        <w:t xml:space="preserve"> did not induce photosensitivity in guinea pigs.</w:t>
      </w:r>
    </w:p>
    <w:p w:rsidR="008A6A9C" w:rsidRPr="0096468A" w:rsidRDefault="008F0053" w:rsidP="008A6A9C">
      <w:pPr>
        <w:pStyle w:val="Heading3"/>
      </w:pPr>
      <w:bookmarkStart w:id="61" w:name="_Toc294861479"/>
      <w:bookmarkStart w:id="62" w:name="_Toc295290862"/>
      <w:bookmarkStart w:id="63" w:name="_Toc435697779"/>
      <w:bookmarkStart w:id="64" w:name="_Toc453068494"/>
      <w:r>
        <w:t>Nonclinical c</w:t>
      </w:r>
      <w:r w:rsidR="008A6A9C" w:rsidRPr="0096468A">
        <w:t>onclusion</w:t>
      </w:r>
      <w:bookmarkEnd w:id="61"/>
      <w:bookmarkEnd w:id="62"/>
      <w:bookmarkEnd w:id="63"/>
      <w:r>
        <w:t>s</w:t>
      </w:r>
      <w:bookmarkEnd w:id="64"/>
    </w:p>
    <w:p w:rsidR="008A6A9C" w:rsidRDefault="008A6A9C" w:rsidP="008A6A9C">
      <w:pPr>
        <w:pStyle w:val="ListBullet"/>
      </w:pPr>
      <w:r>
        <w:t>The submission was of high quality overall, and contained no critical deficiencies</w:t>
      </w:r>
    </w:p>
    <w:p w:rsidR="008A6A9C" w:rsidRPr="00917EF8" w:rsidRDefault="008A6A9C" w:rsidP="008A6A9C">
      <w:pPr>
        <w:pStyle w:val="ListBullet"/>
      </w:pPr>
      <w:r w:rsidRPr="00917EF8">
        <w:t xml:space="preserve">While the mechanism of action has not been fully established, the primary pharmacology data indicate anti-inflammatory and anti-fibrotic activity. </w:t>
      </w:r>
      <w:proofErr w:type="spellStart"/>
      <w:r w:rsidRPr="00917EF8">
        <w:t>Pirfenidone</w:t>
      </w:r>
      <w:proofErr w:type="spellEnd"/>
      <w:r w:rsidRPr="00917EF8">
        <w:t xml:space="preserve"> attenuated and/or arrested fibrosis development in an animal model of pulmonary fibrosis, but did not reverse established fibrosis</w:t>
      </w:r>
    </w:p>
    <w:p w:rsidR="008A6A9C" w:rsidRPr="00917EF8" w:rsidRDefault="008A6A9C" w:rsidP="008A6A9C">
      <w:pPr>
        <w:pStyle w:val="ListBullet"/>
      </w:pPr>
      <w:proofErr w:type="spellStart"/>
      <w:r w:rsidRPr="00917EF8">
        <w:t>Pirfenidone</w:t>
      </w:r>
      <w:proofErr w:type="spellEnd"/>
      <w:r w:rsidRPr="00917EF8">
        <w:t xml:space="preserve"> caused adverse CNS effects which may be related to inhibition of centrally expressed transporters or receptors. Adverse gastrointestinal effects may be secondary to delayed gastric emptying and decreased intestinal motility</w:t>
      </w:r>
    </w:p>
    <w:p w:rsidR="008A6A9C" w:rsidRPr="00917EF8" w:rsidRDefault="008A6A9C" w:rsidP="008A6A9C">
      <w:pPr>
        <w:pStyle w:val="ListBullet"/>
      </w:pPr>
      <w:r w:rsidRPr="00917EF8">
        <w:lastRenderedPageBreak/>
        <w:t>The potential for intestinal drug-drug interactions was not fully explored. Inhibition of P-</w:t>
      </w:r>
      <w:proofErr w:type="spellStart"/>
      <w:r w:rsidRPr="00917EF8">
        <w:t>gp</w:t>
      </w:r>
      <w:proofErr w:type="spellEnd"/>
      <w:r w:rsidRPr="00917EF8">
        <w:t xml:space="preserve"> is predicted. The effects of </w:t>
      </w:r>
      <w:proofErr w:type="spellStart"/>
      <w:r w:rsidRPr="00917EF8">
        <w:t>pirfenidone</w:t>
      </w:r>
      <w:proofErr w:type="spellEnd"/>
      <w:r w:rsidRPr="00917EF8">
        <w:t xml:space="preserve"> on gastric emptying and intestinal motility may cause drug interactions clinically</w:t>
      </w:r>
    </w:p>
    <w:p w:rsidR="008A6A9C" w:rsidRPr="00917EF8" w:rsidRDefault="008A6A9C" w:rsidP="008A6A9C">
      <w:pPr>
        <w:pStyle w:val="ListBullet"/>
      </w:pPr>
      <w:r w:rsidRPr="00917EF8">
        <w:t>The main target organ identified in toxicity studies was the liver, with hepatocellular hypertrophy observed in all species. This appeared to be secondary to CYP induction, which was less evident in human hepatocytes. Changes in other target organs were generally of minimal severity, were reversible and were often only observed in one species</w:t>
      </w:r>
    </w:p>
    <w:p w:rsidR="008A6A9C" w:rsidRPr="00917EF8" w:rsidRDefault="008A6A9C" w:rsidP="008A6A9C">
      <w:pPr>
        <w:pStyle w:val="ListBullet"/>
      </w:pPr>
      <w:proofErr w:type="spellStart"/>
      <w:r w:rsidRPr="00917EF8">
        <w:t>Pirfenidone</w:t>
      </w:r>
      <w:proofErr w:type="spellEnd"/>
      <w:r w:rsidRPr="00917EF8">
        <w:t xml:space="preserve"> was not genotoxic, but was carcinogenic in mice and rats. Liver tumours occurred in both species at subclinical exposures, with thyroid tumours also occurring in rats. These tumours are likely to be secondary to chronic liver enzyme induction, but the clinical relevance of liver tumours cannot be ruled out due to the low exposure ratios. Uterine tumours also developed in rats and their significance to humans is unclear</w:t>
      </w:r>
    </w:p>
    <w:p w:rsidR="008A6A9C" w:rsidRPr="00917EF8" w:rsidRDefault="008A6A9C" w:rsidP="008A6A9C">
      <w:pPr>
        <w:pStyle w:val="ListBullet"/>
      </w:pPr>
      <w:proofErr w:type="spellStart"/>
      <w:r w:rsidRPr="00917EF8">
        <w:t>Pirfenidone</w:t>
      </w:r>
      <w:proofErr w:type="spellEnd"/>
      <w:r w:rsidRPr="00917EF8">
        <w:t xml:space="preserve"> was not teratogenic in rats or rabbits, but induced abortions and reduced parturition index and pup viability in rats at relatively low exposures. The proposed Pregnancy Category (B3) adequately reflects these adverse findings</w:t>
      </w:r>
    </w:p>
    <w:p w:rsidR="008A6A9C" w:rsidRPr="00C153D0" w:rsidRDefault="008A6A9C" w:rsidP="008A6A9C">
      <w:pPr>
        <w:pStyle w:val="ListBullet"/>
      </w:pPr>
      <w:proofErr w:type="spellStart"/>
      <w:r w:rsidRPr="00917EF8">
        <w:t>Phototoxicity</w:t>
      </w:r>
      <w:proofErr w:type="spellEnd"/>
      <w:r w:rsidRPr="00917EF8">
        <w:t xml:space="preserve"> was evident at subclinical doses and is likely to be clinically relevant. Nonclinical </w:t>
      </w:r>
      <w:r w:rsidRPr="00C153D0">
        <w:t>data indicated the use of sunscreens could attenuate the severity of reactions</w:t>
      </w:r>
    </w:p>
    <w:p w:rsidR="008A6A9C" w:rsidRDefault="009436C8" w:rsidP="008A6A9C">
      <w:pPr>
        <w:pStyle w:val="ListBullet"/>
      </w:pPr>
      <w:r>
        <w:t>[Information redacted]</w:t>
      </w:r>
      <w:r w:rsidR="008A6A9C">
        <w:t xml:space="preserve"> a specified impurity in the drug substance, is genotoxic (</w:t>
      </w:r>
      <w:proofErr w:type="spellStart"/>
      <w:r w:rsidR="008A6A9C">
        <w:t>clastogenic</w:t>
      </w:r>
      <w:proofErr w:type="spellEnd"/>
      <w:r w:rsidR="008A6A9C">
        <w:t>) and considered to pose a carcinogenic risk above that normally considered acceptable for human pharmaceuticals. It is recommended that the limit for this impurity be reduced to as low as reasonably practicable so as not to expose patients to unnecessary risk.</w:t>
      </w:r>
    </w:p>
    <w:p w:rsidR="00AB4CDB" w:rsidRDefault="00AB4CDB" w:rsidP="00AB4CDB">
      <w:pPr>
        <w:pStyle w:val="Heading3"/>
      </w:pPr>
      <w:bookmarkStart w:id="65" w:name="_Toc453068495"/>
      <w:r>
        <w:t>Comments on the Safety Specification of the Risk Management Plan</w:t>
      </w:r>
      <w:bookmarkEnd w:id="65"/>
    </w:p>
    <w:p w:rsidR="00AB4CDB" w:rsidRPr="00AB4CDB" w:rsidRDefault="00AB4CDB" w:rsidP="00AB4CDB">
      <w:r w:rsidRPr="00AB4CDB">
        <w:t xml:space="preserve">Results and conclusions drawn from the nonclinical program for </w:t>
      </w:r>
      <w:proofErr w:type="spellStart"/>
      <w:r w:rsidRPr="00AB4CDB">
        <w:t>pirfenidone</w:t>
      </w:r>
      <w:proofErr w:type="spellEnd"/>
      <w:r w:rsidRPr="00AB4CDB">
        <w:t xml:space="preserve"> detailed in the sponsor’s draft Risk Management Plan </w:t>
      </w:r>
      <w:r>
        <w:t xml:space="preserve">Section </w:t>
      </w:r>
      <w:r w:rsidRPr="00AB4CDB">
        <w:t xml:space="preserve">SII are in general concordance with those of the Nonclinical </w:t>
      </w:r>
      <w:r w:rsidR="00E60988">
        <w:t>evaluator</w:t>
      </w:r>
      <w:r w:rsidRPr="00AB4CDB">
        <w:t>. However the following errors or inconsistencies were noted that should be addressed:</w:t>
      </w:r>
    </w:p>
    <w:p w:rsidR="00AB4CDB" w:rsidRPr="00AB4CDB" w:rsidRDefault="00AB4CDB" w:rsidP="008F0053">
      <w:pPr>
        <w:pStyle w:val="ListBullet"/>
      </w:pPr>
      <w:r w:rsidRPr="00AB4CDB">
        <w:t>Body weight gain was inhibited in the 13 weeks studies in rats and mice, but the RMP states there were no effects on body weight gain.</w:t>
      </w:r>
    </w:p>
    <w:p w:rsidR="00AB4CDB" w:rsidRPr="00AB4CDB" w:rsidRDefault="00AB4CDB" w:rsidP="008F0053">
      <w:pPr>
        <w:pStyle w:val="ListBullet"/>
      </w:pPr>
      <w:r w:rsidRPr="00AB4CDB">
        <w:t>There was an increased incidence of hepatocellular carcinoma in the rat carcinogenicity study, but the RMP stat</w:t>
      </w:r>
      <w:r>
        <w:t>es only an increase in adenoma.</w:t>
      </w:r>
    </w:p>
    <w:p w:rsidR="00AB4CDB" w:rsidRPr="00AB4CDB" w:rsidRDefault="00AB4CDB" w:rsidP="008F0053">
      <w:pPr>
        <w:pStyle w:val="ListBullet"/>
      </w:pPr>
      <w:r w:rsidRPr="00AB4CDB">
        <w:t>The comments regarding P-</w:t>
      </w:r>
      <w:proofErr w:type="spellStart"/>
      <w:r w:rsidRPr="00AB4CDB">
        <w:t>gp</w:t>
      </w:r>
      <w:proofErr w:type="spellEnd"/>
      <w:r w:rsidRPr="00AB4CDB">
        <w:t xml:space="preserve"> should be updated to reflect the available nonclinical data.</w:t>
      </w:r>
    </w:p>
    <w:p w:rsidR="00AB4CDB" w:rsidRPr="00AB4CDB" w:rsidRDefault="00AB4CDB" w:rsidP="008F0053">
      <w:pPr>
        <w:pStyle w:val="ListBullet"/>
      </w:pPr>
      <w:r w:rsidRPr="00AB4CDB">
        <w:t xml:space="preserve">The statement regarding the impurities having no genotoxic potential is not fully supported as </w:t>
      </w:r>
      <w:r w:rsidR="00812C76">
        <w:t>specified impurity</w:t>
      </w:r>
      <w:r w:rsidR="008F0053">
        <w:t xml:space="preserve"> i</w:t>
      </w:r>
      <w:r w:rsidRPr="00AB4CDB">
        <w:t xml:space="preserve">s </w:t>
      </w:r>
      <w:proofErr w:type="spellStart"/>
      <w:r w:rsidRPr="00AB4CDB">
        <w:t>clastogenic</w:t>
      </w:r>
      <w:proofErr w:type="spellEnd"/>
      <w:r w:rsidRPr="00AB4CDB">
        <w:t>. This should be corrected.</w:t>
      </w:r>
    </w:p>
    <w:p w:rsidR="008A6A9C" w:rsidRPr="009C7C64" w:rsidRDefault="008A6A9C" w:rsidP="008A6A9C">
      <w:pPr>
        <w:pStyle w:val="Heading3"/>
      </w:pPr>
      <w:bookmarkStart w:id="66" w:name="_Toc453068496"/>
      <w:r>
        <w:t>Nonclinical evaluator’s recommendations</w:t>
      </w:r>
      <w:bookmarkEnd w:id="66"/>
    </w:p>
    <w:p w:rsidR="008A6A9C" w:rsidRPr="00C153D0" w:rsidRDefault="008A6A9C" w:rsidP="008A6A9C">
      <w:pPr>
        <w:pStyle w:val="ListBullet"/>
      </w:pPr>
      <w:r w:rsidRPr="00C153D0">
        <w:t xml:space="preserve">Based on the nonclinical data provided and evaluated, there </w:t>
      </w:r>
      <w:r>
        <w:t>were</w:t>
      </w:r>
      <w:r w:rsidRPr="00C153D0">
        <w:t xml:space="preserve"> no nonclinical objections to the registration of </w:t>
      </w:r>
      <w:proofErr w:type="spellStart"/>
      <w:r w:rsidRPr="00C153D0">
        <w:t>pirfenidone</w:t>
      </w:r>
      <w:proofErr w:type="spellEnd"/>
      <w:r w:rsidRPr="00C153D0">
        <w:t xml:space="preserve"> for the proposed indication, subject to out</w:t>
      </w:r>
      <w:r>
        <w:t xml:space="preserve">standing issues relating to the </w:t>
      </w:r>
      <w:r w:rsidR="00812C76">
        <w:t>specified</w:t>
      </w:r>
      <w:r>
        <w:t xml:space="preserve"> impurity</w:t>
      </w:r>
      <w:r w:rsidRPr="00C153D0">
        <w:t>.</w:t>
      </w:r>
      <w:r>
        <w:t xml:space="preserve"> The carcinogenic risk posed by this impurity may be acceptable to the Delegate in the context of the proposed therapy, but should be minimised as far as reasonably practicable.</w:t>
      </w:r>
    </w:p>
    <w:p w:rsidR="008A6A9C" w:rsidRPr="008A6A9C" w:rsidRDefault="008A6A9C" w:rsidP="008A6A9C">
      <w:pPr>
        <w:pStyle w:val="ListBullet"/>
      </w:pPr>
      <w:r>
        <w:lastRenderedPageBreak/>
        <w:t>The nonclinical evaluator made recommendations regarding the draft PI b</w:t>
      </w:r>
      <w:r w:rsidR="008F0053">
        <w:t xml:space="preserve">eyond the scope of this </w:t>
      </w:r>
      <w:proofErr w:type="spellStart"/>
      <w:r w:rsidR="008F0053">
        <w:t>AusPAR</w:t>
      </w:r>
      <w:proofErr w:type="spellEnd"/>
      <w:r w:rsidR="008F0053">
        <w:t>.</w:t>
      </w:r>
    </w:p>
    <w:p w:rsidR="008E7846" w:rsidRPr="00254787" w:rsidRDefault="008E7846" w:rsidP="008E7846">
      <w:pPr>
        <w:pStyle w:val="Heading2"/>
      </w:pPr>
      <w:bookmarkStart w:id="67" w:name="_Toc196046462"/>
      <w:bookmarkStart w:id="68" w:name="_Toc247691516"/>
      <w:bookmarkStart w:id="69" w:name="_Toc314842500"/>
      <w:bookmarkStart w:id="70" w:name="_Toc453068497"/>
      <w:bookmarkStart w:id="71" w:name="_Toc163441353"/>
      <w:bookmarkStart w:id="72" w:name="_Toc163441348"/>
      <w:r>
        <w:t xml:space="preserve">IV. </w:t>
      </w:r>
      <w:r w:rsidRPr="00254787">
        <w:t>Clinical</w:t>
      </w:r>
      <w:bookmarkEnd w:id="67"/>
      <w:r>
        <w:t xml:space="preserve"> </w:t>
      </w:r>
      <w:r w:rsidR="003A7F6C">
        <w:t>f</w:t>
      </w:r>
      <w:r>
        <w:t>indings</w:t>
      </w:r>
      <w:bookmarkEnd w:id="68"/>
      <w:bookmarkEnd w:id="69"/>
      <w:bookmarkEnd w:id="70"/>
    </w:p>
    <w:p w:rsidR="00C80137" w:rsidRDefault="00C80137" w:rsidP="00D425BB">
      <w:bookmarkStart w:id="73"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605AD4" w:rsidRDefault="00605AD4" w:rsidP="00605AD4">
      <w:pPr>
        <w:pStyle w:val="Heading4"/>
      </w:pPr>
      <w:bookmarkStart w:id="74" w:name="_Toc196046464"/>
      <w:bookmarkStart w:id="75" w:name="_Toc247691518"/>
      <w:bookmarkStart w:id="76" w:name="_Toc314842502"/>
      <w:bookmarkEnd w:id="73"/>
      <w:r w:rsidRPr="00605AD4">
        <w:t xml:space="preserve">Clinical </w:t>
      </w:r>
      <w:r w:rsidR="00EF59DC">
        <w:t>r</w:t>
      </w:r>
      <w:r w:rsidRPr="00605AD4">
        <w:t>ationale</w:t>
      </w:r>
    </w:p>
    <w:p w:rsidR="00F151DA" w:rsidRDefault="00F151DA" w:rsidP="00F151DA">
      <w:r>
        <w:t xml:space="preserve">IPF is a distinct form of irreversible chronic fibrosing interstitial </w:t>
      </w:r>
      <w:proofErr w:type="gramStart"/>
      <w:r>
        <w:t>It</w:t>
      </w:r>
      <w:proofErr w:type="gramEnd"/>
      <w:r>
        <w:t xml:space="preserve"> is a rare condition with a prevalence estimated at between 2 and 29 cases per 100,000 of the population. The clinical course is characterised by debilitating loss of lung function resulting in respiratory insufficiency, with an estimated median survival after diagnosis of 2.5 to 5 years.</w:t>
      </w:r>
    </w:p>
    <w:p w:rsidR="00F151DA" w:rsidRDefault="00F151DA" w:rsidP="00F151DA">
      <w:r>
        <w:t>Few medical treatments exist, and despite being a rare condition, currently IPF accounts for approximately 23% of lung transplantations performed worldwide, usually for selected younger patients.</w:t>
      </w:r>
    </w:p>
    <w:p w:rsidR="00F151DA" w:rsidRDefault="00F151DA" w:rsidP="00F151DA">
      <w:r>
        <w:t xml:space="preserve">NAC (used as monotherapy without azathioprine) is available for some IPF patients in Australia through the Special Access Scheme (SAS). Besides the experimental use of NAC, </w:t>
      </w:r>
      <w:proofErr w:type="spellStart"/>
      <w:r>
        <w:t>nintedanib</w:t>
      </w:r>
      <w:proofErr w:type="spellEnd"/>
      <w:r>
        <w:t xml:space="preserve"> is approved for treatment of IPF by the Food and Drug Administration (FDA) of the United States, and was recently approved by the TGA (August 2015).</w:t>
      </w:r>
    </w:p>
    <w:p w:rsidR="00744158" w:rsidRDefault="00744158" w:rsidP="00F151DA">
      <w:proofErr w:type="spellStart"/>
      <w:r>
        <w:t>Pirfenidone</w:t>
      </w:r>
      <w:proofErr w:type="spellEnd"/>
      <w:r>
        <w:t xml:space="preserve"> has been proposed for treatment of IPF for many years and has been an approved drug for the treatment of IPF in other countries as early as 2008.</w:t>
      </w:r>
      <w:r>
        <w:rPr>
          <w:rStyle w:val="FootnoteReference"/>
        </w:rPr>
        <w:footnoteReference w:id="30"/>
      </w:r>
      <w:r>
        <w:t xml:space="preserve"> The clinical development program for the product proposed for registration included 1336 healthy subjects and patients with IPF or pulmonary fibrosis, including 1098 patients assigned to receive </w:t>
      </w:r>
      <w:proofErr w:type="spellStart"/>
      <w:r>
        <w:t>pirfenidone</w:t>
      </w:r>
      <w:proofErr w:type="spellEnd"/>
      <w:r>
        <w:t xml:space="preserve"> at doses of 2,403 mg/day or higher. Due to its availability in other markets, post</w:t>
      </w:r>
      <w:r>
        <w:noBreakHyphen/>
        <w:t xml:space="preserve">marketing experience for </w:t>
      </w:r>
      <w:proofErr w:type="spellStart"/>
      <w:r>
        <w:t>pirfenidone</w:t>
      </w:r>
      <w:proofErr w:type="spellEnd"/>
      <w:r>
        <w:t xml:space="preserve"> is based on cumulative exposure of over 15,000 patient-years.</w:t>
      </w:r>
    </w:p>
    <w:p w:rsidR="00F151DA" w:rsidRDefault="00F151DA" w:rsidP="00F151DA">
      <w:proofErr w:type="spellStart"/>
      <w:r>
        <w:t>Pirfenidone</w:t>
      </w:r>
      <w:proofErr w:type="spellEnd"/>
      <w:r>
        <w:t xml:space="preserve"> has been an approved drug for the treatment of IPF in other countries such as Japan since 2008. </w:t>
      </w:r>
      <w:proofErr w:type="spellStart"/>
      <w:r>
        <w:t>Pirfenidone</w:t>
      </w:r>
      <w:proofErr w:type="spellEnd"/>
      <w:r>
        <w:t xml:space="preserve"> has been available on a named</w:t>
      </w:r>
      <w:r>
        <w:noBreakHyphen/>
        <w:t>patient basis on the SAS.</w:t>
      </w:r>
    </w:p>
    <w:p w:rsidR="00F151DA" w:rsidRDefault="00F151DA" w:rsidP="00F151DA">
      <w:pPr>
        <w:pStyle w:val="Heading4"/>
      </w:pPr>
      <w:r>
        <w:t>Guidance</w:t>
      </w:r>
    </w:p>
    <w:p w:rsidR="00F151DA" w:rsidRPr="00F151DA" w:rsidRDefault="00F151DA" w:rsidP="00F151DA">
      <w:r w:rsidRPr="00F151DA">
        <w:t>There is no specific EMA guidance for the investig</w:t>
      </w:r>
      <w:r>
        <w:t xml:space="preserve">ation of drugs for IPF. </w:t>
      </w:r>
      <w:r w:rsidRPr="00F151DA">
        <w:t xml:space="preserve">The FDA gave advice on the design of the additional </w:t>
      </w:r>
      <w:r w:rsidR="00E60988">
        <w:t>S</w:t>
      </w:r>
      <w:r w:rsidRPr="00F151DA">
        <w:t>tudy PIPF-016.</w:t>
      </w:r>
    </w:p>
    <w:p w:rsidR="00605AD4" w:rsidRDefault="00605AD4" w:rsidP="00605AD4">
      <w:pPr>
        <w:pStyle w:val="Heading4"/>
      </w:pPr>
      <w:r w:rsidRPr="00605AD4">
        <w:t>Contents of the clinical dossier</w:t>
      </w:r>
    </w:p>
    <w:p w:rsidR="00443C9A" w:rsidRDefault="00443C9A" w:rsidP="00443C9A">
      <w:r>
        <w:t>The submission included the following clinical information:</w:t>
      </w:r>
    </w:p>
    <w:p w:rsidR="00443C9A" w:rsidRDefault="00443C9A" w:rsidP="00381256">
      <w:pPr>
        <w:pStyle w:val="ListBullet"/>
        <w:numPr>
          <w:ilvl w:val="0"/>
          <w:numId w:val="1"/>
        </w:numPr>
      </w:pPr>
      <w:r>
        <w:t>6 clinical pharmacology studies, including 5 that provided pharmacokinetic data and a pharmacodynamics study on ECG effects:</w:t>
      </w:r>
    </w:p>
    <w:p w:rsidR="00443C9A" w:rsidRDefault="00443C9A" w:rsidP="00381256">
      <w:pPr>
        <w:pStyle w:val="ListBullet2"/>
        <w:numPr>
          <w:ilvl w:val="1"/>
          <w:numId w:val="1"/>
        </w:numPr>
      </w:pPr>
      <w:r>
        <w:t>1 population pharmacokinetic analysis</w:t>
      </w:r>
    </w:p>
    <w:p w:rsidR="00443C9A" w:rsidRDefault="00443C9A" w:rsidP="00381256">
      <w:pPr>
        <w:pStyle w:val="ListBullet2"/>
        <w:numPr>
          <w:ilvl w:val="1"/>
          <w:numId w:val="1"/>
        </w:numPr>
      </w:pPr>
      <w:r>
        <w:t>3 p</w:t>
      </w:r>
      <w:r w:rsidR="000A41E7">
        <w:t>ivotal efficacy/safety studies: (</w:t>
      </w:r>
      <w:r>
        <w:t>PIPF</w:t>
      </w:r>
      <w:r>
        <w:noBreakHyphen/>
        <w:t>004</w:t>
      </w:r>
      <w:r w:rsidR="000A41E7">
        <w:t xml:space="preserve">, </w:t>
      </w:r>
      <w:r>
        <w:t>PIPF</w:t>
      </w:r>
      <w:r>
        <w:noBreakHyphen/>
        <w:t>006</w:t>
      </w:r>
      <w:r w:rsidR="000A41E7">
        <w:t xml:space="preserve"> and </w:t>
      </w:r>
      <w:r>
        <w:t>PIPF</w:t>
      </w:r>
      <w:r>
        <w:noBreakHyphen/>
        <w:t>016</w:t>
      </w:r>
      <w:r w:rsidR="000A41E7">
        <w:t>)</w:t>
      </w:r>
    </w:p>
    <w:p w:rsidR="00443C9A" w:rsidRDefault="00443C9A" w:rsidP="00381256">
      <w:pPr>
        <w:pStyle w:val="ListBullet2"/>
        <w:numPr>
          <w:ilvl w:val="1"/>
          <w:numId w:val="1"/>
        </w:numPr>
      </w:pPr>
      <w:r>
        <w:t>2 ongoing long-term safety studies</w:t>
      </w:r>
    </w:p>
    <w:p w:rsidR="00443C9A" w:rsidRDefault="00443C9A" w:rsidP="00381256">
      <w:pPr>
        <w:pStyle w:val="ListBullet"/>
        <w:numPr>
          <w:ilvl w:val="0"/>
          <w:numId w:val="1"/>
        </w:numPr>
      </w:pPr>
      <w:r>
        <w:t>Pooled analyses, Post-Marketing Safety Update Reports (PSUR), Integrated Summary of Efficacy, and Integrated Summary of Safety.</w:t>
      </w:r>
    </w:p>
    <w:p w:rsidR="00443C9A" w:rsidRDefault="00443C9A" w:rsidP="00443C9A">
      <w:pPr>
        <w:rPr>
          <w:lang w:eastAsia="ja-JP"/>
        </w:rPr>
      </w:pPr>
      <w:r>
        <w:rPr>
          <w:lang w:eastAsia="ja-JP"/>
        </w:rPr>
        <w:lastRenderedPageBreak/>
        <w:t xml:space="preserve">In addition the </w:t>
      </w:r>
      <w:r w:rsidR="00FF41AB">
        <w:rPr>
          <w:lang w:eastAsia="ja-JP"/>
        </w:rPr>
        <w:t xml:space="preserve">sponsor also </w:t>
      </w:r>
      <w:r>
        <w:rPr>
          <w:lang w:eastAsia="ja-JP"/>
        </w:rPr>
        <w:t>provided:</w:t>
      </w:r>
    </w:p>
    <w:p w:rsidR="00A75AB6" w:rsidRDefault="00443C9A" w:rsidP="00381256">
      <w:pPr>
        <w:pStyle w:val="ListBullet"/>
        <w:numPr>
          <w:ilvl w:val="0"/>
          <w:numId w:val="1"/>
        </w:numPr>
      </w:pPr>
      <w:r>
        <w:t xml:space="preserve">Clinical </w:t>
      </w:r>
      <w:r w:rsidR="00FF41AB">
        <w:t>summaries</w:t>
      </w:r>
      <w:r>
        <w:t xml:space="preserve"> of </w:t>
      </w:r>
      <w:r w:rsidR="00FF41AB">
        <w:t>e</w:t>
      </w:r>
      <w:r>
        <w:t xml:space="preserve">fficacy, </w:t>
      </w:r>
      <w:r w:rsidR="00FF41AB">
        <w:t>s</w:t>
      </w:r>
      <w:r>
        <w:t xml:space="preserve">afety and </w:t>
      </w:r>
      <w:r w:rsidR="00FF41AB">
        <w:t>other clinical literature</w:t>
      </w:r>
    </w:p>
    <w:p w:rsidR="00A75AB6" w:rsidRDefault="006623E5" w:rsidP="00381256">
      <w:pPr>
        <w:pStyle w:val="ListBullet"/>
        <w:numPr>
          <w:ilvl w:val="0"/>
          <w:numId w:val="1"/>
        </w:numPr>
      </w:pPr>
      <w:r w:rsidRPr="00A75AB6">
        <w:t>EMA</w:t>
      </w:r>
      <w:r w:rsidR="00443C9A" w:rsidRPr="00A75AB6">
        <w:t xml:space="preserve"> </w:t>
      </w:r>
      <w:r w:rsidR="00FF41AB" w:rsidRPr="00A75AB6">
        <w:t>and Canadian regulatory reports</w:t>
      </w:r>
    </w:p>
    <w:p w:rsidR="00A75AB6" w:rsidRDefault="00443C9A" w:rsidP="00A75AB6">
      <w:pPr>
        <w:pStyle w:val="Heading5"/>
      </w:pPr>
      <w:r w:rsidRPr="00A75AB6">
        <w:t>Evaluator’s comments</w:t>
      </w:r>
      <w:r w:rsidR="00A75AB6" w:rsidRPr="00A75AB6">
        <w:t xml:space="preserve"> on clinical data</w:t>
      </w:r>
    </w:p>
    <w:p w:rsidR="00443C9A" w:rsidRPr="00A75AB6" w:rsidRDefault="00443C9A" w:rsidP="00A75AB6">
      <w:r w:rsidRPr="00A75AB6">
        <w:t>Overall the development program was comprehensively documented and the dossier well presented, although links to</w:t>
      </w:r>
      <w:r w:rsidR="000A41E7" w:rsidRPr="00A75AB6">
        <w:t xml:space="preserve"> some data were not functional. </w:t>
      </w:r>
      <w:r w:rsidR="00FF441A">
        <w:t>The clinical evaluation</w:t>
      </w:r>
      <w:r w:rsidRPr="00A75AB6">
        <w:t xml:space="preserve"> </w:t>
      </w:r>
      <w:r w:rsidR="00FF441A">
        <w:t>was</w:t>
      </w:r>
      <w:r w:rsidRPr="00A75AB6">
        <w:t xml:space="preserve"> based on the submitted </w:t>
      </w:r>
      <w:r w:rsidR="00FF441A">
        <w:t>information from the sponsor</w:t>
      </w:r>
      <w:r w:rsidRPr="00A75AB6">
        <w:t xml:space="preserve">. Other agency reports were </w:t>
      </w:r>
      <w:r w:rsidR="00542BF5" w:rsidRPr="00A75AB6">
        <w:t xml:space="preserve">also </w:t>
      </w:r>
      <w:r w:rsidRPr="00A75AB6">
        <w:t>viewed for additional information.</w:t>
      </w:r>
    </w:p>
    <w:p w:rsidR="00605AD4" w:rsidRDefault="00605AD4" w:rsidP="00605AD4">
      <w:pPr>
        <w:pStyle w:val="Heading4"/>
      </w:pPr>
      <w:r w:rsidRPr="00605AD4">
        <w:t>Paediatric data</w:t>
      </w:r>
    </w:p>
    <w:p w:rsidR="00443C9A" w:rsidRPr="00443C9A" w:rsidRDefault="00443C9A" w:rsidP="00443C9A">
      <w:pPr>
        <w:rPr>
          <w:lang w:eastAsia="ja-JP"/>
        </w:rPr>
      </w:pPr>
      <w:r>
        <w:t>The submission did not include paediatric data</w:t>
      </w:r>
      <w:r w:rsidR="00542BF5">
        <w:t xml:space="preserve"> as</w:t>
      </w:r>
      <w:r>
        <w:t xml:space="preserve"> IPF occurs only in the adult population.</w:t>
      </w:r>
    </w:p>
    <w:p w:rsidR="00605AD4" w:rsidRDefault="00605AD4" w:rsidP="00605AD4">
      <w:pPr>
        <w:pStyle w:val="Heading4"/>
      </w:pPr>
      <w:r w:rsidRPr="00605AD4">
        <w:t>Good clinical practice</w:t>
      </w:r>
    </w:p>
    <w:p w:rsidR="00443C9A" w:rsidRPr="00443C9A" w:rsidRDefault="00443C9A" w:rsidP="00443C9A">
      <w:pPr>
        <w:rPr>
          <w:lang w:eastAsia="ja-JP"/>
        </w:rPr>
      </w:pPr>
      <w:r w:rsidRPr="00D11AB8">
        <w:rPr>
          <w:lang w:eastAsia="ja-JP"/>
        </w:rPr>
        <w:t xml:space="preserve">The </w:t>
      </w:r>
      <w:r w:rsidR="00FF441A">
        <w:rPr>
          <w:lang w:eastAsia="ja-JP"/>
        </w:rPr>
        <w:t>study reports</w:t>
      </w:r>
      <w:r>
        <w:rPr>
          <w:lang w:eastAsia="ja-JP"/>
        </w:rPr>
        <w:t xml:space="preserve"> for the each study submitted </w:t>
      </w:r>
      <w:r w:rsidRPr="00D11AB8">
        <w:rPr>
          <w:lang w:eastAsia="ja-JP"/>
        </w:rPr>
        <w:t xml:space="preserve">addressed </w:t>
      </w:r>
      <w:r w:rsidR="00FF441A">
        <w:rPr>
          <w:lang w:eastAsia="ja-JP"/>
        </w:rPr>
        <w:t xml:space="preserve">the </w:t>
      </w:r>
      <w:r w:rsidR="00FF441A">
        <w:t>principles laid down in the Declaration of Helsinki, in accordance with the ICH Harmonised Tripartite Guideline for Good Clinical Practice and in accordance with any other applicable regulatory requirements.</w:t>
      </w:r>
    </w:p>
    <w:p w:rsidR="00542BF5" w:rsidRPr="00542BF5" w:rsidRDefault="008E7846" w:rsidP="00FF41AB">
      <w:pPr>
        <w:pStyle w:val="Heading3"/>
      </w:pPr>
      <w:bookmarkStart w:id="77" w:name="_Toc453068498"/>
      <w:r w:rsidRPr="00254787">
        <w:t>Pharmacokinetics</w:t>
      </w:r>
      <w:bookmarkEnd w:id="71"/>
      <w:bookmarkEnd w:id="74"/>
      <w:bookmarkEnd w:id="75"/>
      <w:bookmarkEnd w:id="76"/>
      <w:bookmarkEnd w:id="77"/>
    </w:p>
    <w:p w:rsidR="00605AD4" w:rsidRDefault="00605AD4" w:rsidP="00605AD4">
      <w:pPr>
        <w:pStyle w:val="Heading4"/>
      </w:pPr>
      <w:r>
        <w:t>Studies providing pharma</w:t>
      </w:r>
      <w:r w:rsidR="00443C9A">
        <w:t>cokinetic data</w:t>
      </w:r>
    </w:p>
    <w:p w:rsidR="00FF441A" w:rsidRPr="00FF441A" w:rsidRDefault="00FF441A" w:rsidP="00FF441A">
      <w:r w:rsidRPr="00FF441A">
        <w:t xml:space="preserve">Summaries of the pharmacokinetic studies were provided. Table </w:t>
      </w:r>
      <w:r>
        <w:t>4</w:t>
      </w:r>
      <w:r w:rsidRPr="00FF441A">
        <w:t xml:space="preserve"> shows the studies relating to each pharmacokinetic topic.</w:t>
      </w:r>
    </w:p>
    <w:p w:rsidR="00FF41AB" w:rsidRPr="00FF41AB" w:rsidRDefault="00FF41AB" w:rsidP="00FF41AB">
      <w:pPr>
        <w:pStyle w:val="Tabletitle0"/>
      </w:pPr>
      <w:r>
        <w:t>Table 4: Summary of studies providing pharmacokinetic</w:t>
      </w:r>
      <w:r w:rsidR="006E7E9F">
        <w:t xml:space="preserve"> (PK)</w:t>
      </w:r>
      <w:r>
        <w:t xml:space="preserve"> data</w:t>
      </w:r>
    </w:p>
    <w:tbl>
      <w:tblPr>
        <w:tblStyle w:val="TableTGAblue"/>
        <w:tblW w:w="8613" w:type="dxa"/>
        <w:tblLook w:val="04A0" w:firstRow="1" w:lastRow="0" w:firstColumn="1" w:lastColumn="0" w:noHBand="0" w:noVBand="1"/>
      </w:tblPr>
      <w:tblGrid>
        <w:gridCol w:w="1990"/>
        <w:gridCol w:w="3956"/>
        <w:gridCol w:w="2667"/>
      </w:tblGrid>
      <w:tr w:rsidR="00443C9A" w:rsidRPr="008E4A48" w:rsidTr="00E76EE3">
        <w:trPr>
          <w:cnfStyle w:val="100000000000" w:firstRow="1" w:lastRow="0" w:firstColumn="0" w:lastColumn="0" w:oddVBand="0" w:evenVBand="0" w:oddHBand="0" w:evenHBand="0" w:firstRowFirstColumn="0" w:firstRowLastColumn="0" w:lastRowFirstColumn="0" w:lastRowLastColumn="0"/>
          <w:trHeight w:val="453"/>
        </w:trPr>
        <w:tc>
          <w:tcPr>
            <w:tcW w:w="1990" w:type="dxa"/>
          </w:tcPr>
          <w:p w:rsidR="00443C9A" w:rsidRPr="008E4A48" w:rsidRDefault="00443C9A" w:rsidP="008E4A48">
            <w:pPr>
              <w:rPr>
                <w:sz w:val="20"/>
                <w:szCs w:val="20"/>
              </w:rPr>
            </w:pPr>
            <w:r w:rsidRPr="008E4A48">
              <w:rPr>
                <w:sz w:val="20"/>
                <w:szCs w:val="20"/>
              </w:rPr>
              <w:t>PK topic</w:t>
            </w:r>
          </w:p>
        </w:tc>
        <w:tc>
          <w:tcPr>
            <w:tcW w:w="3953" w:type="dxa"/>
          </w:tcPr>
          <w:p w:rsidR="00443C9A" w:rsidRPr="008E4A48" w:rsidRDefault="00443C9A" w:rsidP="008E4A48">
            <w:pPr>
              <w:rPr>
                <w:sz w:val="20"/>
                <w:szCs w:val="20"/>
              </w:rPr>
            </w:pPr>
            <w:r w:rsidRPr="008E4A48">
              <w:rPr>
                <w:sz w:val="20"/>
                <w:szCs w:val="20"/>
              </w:rPr>
              <w:t>Subtopic</w:t>
            </w:r>
          </w:p>
        </w:tc>
        <w:tc>
          <w:tcPr>
            <w:tcW w:w="2670" w:type="dxa"/>
          </w:tcPr>
          <w:p w:rsidR="00443C9A" w:rsidRPr="008E4A48" w:rsidRDefault="00443C9A" w:rsidP="008E4A48">
            <w:pPr>
              <w:rPr>
                <w:sz w:val="20"/>
                <w:szCs w:val="20"/>
              </w:rPr>
            </w:pPr>
            <w:r w:rsidRPr="008E4A48">
              <w:rPr>
                <w:sz w:val="20"/>
                <w:szCs w:val="20"/>
              </w:rPr>
              <w:t>Study ID</w:t>
            </w:r>
          </w:p>
        </w:tc>
      </w:tr>
      <w:tr w:rsidR="00443C9A" w:rsidRPr="008E4A48" w:rsidTr="00E76EE3">
        <w:trPr>
          <w:trHeight w:val="464"/>
        </w:trPr>
        <w:tc>
          <w:tcPr>
            <w:tcW w:w="1990" w:type="dxa"/>
            <w:vMerge w:val="restart"/>
          </w:tcPr>
          <w:p w:rsidR="00443C9A" w:rsidRPr="008E4A48" w:rsidRDefault="00443C9A" w:rsidP="008E4A48">
            <w:pPr>
              <w:rPr>
                <w:sz w:val="20"/>
                <w:szCs w:val="20"/>
              </w:rPr>
            </w:pPr>
            <w:r w:rsidRPr="008E4A48">
              <w:rPr>
                <w:sz w:val="20"/>
                <w:szCs w:val="20"/>
              </w:rPr>
              <w:t>PK in healthy adults</w:t>
            </w:r>
          </w:p>
        </w:tc>
        <w:tc>
          <w:tcPr>
            <w:tcW w:w="3953" w:type="dxa"/>
          </w:tcPr>
          <w:p w:rsidR="00443C9A" w:rsidRPr="008E4A48" w:rsidRDefault="00443C9A" w:rsidP="008E4A48">
            <w:pPr>
              <w:rPr>
                <w:sz w:val="20"/>
                <w:szCs w:val="20"/>
              </w:rPr>
            </w:pPr>
            <w:r w:rsidRPr="008E4A48">
              <w:rPr>
                <w:sz w:val="20"/>
                <w:szCs w:val="20"/>
              </w:rPr>
              <w:t>General PK (Single-dose, QT)*</w:t>
            </w:r>
          </w:p>
        </w:tc>
        <w:tc>
          <w:tcPr>
            <w:tcW w:w="2670" w:type="dxa"/>
          </w:tcPr>
          <w:p w:rsidR="00443C9A" w:rsidRPr="008E4A48" w:rsidRDefault="00443C9A" w:rsidP="008E4A48">
            <w:pPr>
              <w:rPr>
                <w:sz w:val="20"/>
                <w:szCs w:val="20"/>
              </w:rPr>
            </w:pPr>
            <w:r w:rsidRPr="008E4A48">
              <w:rPr>
                <w:sz w:val="20"/>
                <w:szCs w:val="20"/>
              </w:rPr>
              <w:t>PIPF 007</w:t>
            </w:r>
          </w:p>
        </w:tc>
      </w:tr>
      <w:tr w:rsidR="00443C9A" w:rsidRPr="008E4A48" w:rsidTr="00E76EE3">
        <w:trPr>
          <w:trHeight w:val="138"/>
        </w:trPr>
        <w:tc>
          <w:tcPr>
            <w:tcW w:w="1990" w:type="dxa"/>
            <w:vMerge/>
          </w:tcPr>
          <w:p w:rsidR="00443C9A" w:rsidRPr="008E4A48" w:rsidRDefault="00443C9A" w:rsidP="008E4A48">
            <w:pPr>
              <w:rPr>
                <w:sz w:val="20"/>
                <w:szCs w:val="20"/>
              </w:rPr>
            </w:pPr>
          </w:p>
        </w:tc>
        <w:tc>
          <w:tcPr>
            <w:tcW w:w="3953" w:type="dxa"/>
          </w:tcPr>
          <w:p w:rsidR="00443C9A" w:rsidRPr="008E4A48" w:rsidRDefault="00443C9A" w:rsidP="008E4A48">
            <w:pPr>
              <w:rPr>
                <w:sz w:val="20"/>
                <w:szCs w:val="20"/>
              </w:rPr>
            </w:pPr>
            <w:r w:rsidRPr="008E4A48">
              <w:rPr>
                <w:sz w:val="20"/>
                <w:szCs w:val="20"/>
              </w:rPr>
              <w:t>General PK (Multi-dose)*</w:t>
            </w:r>
          </w:p>
        </w:tc>
        <w:tc>
          <w:tcPr>
            <w:tcW w:w="2670" w:type="dxa"/>
          </w:tcPr>
          <w:p w:rsidR="00443C9A" w:rsidRPr="008E4A48" w:rsidRDefault="00443C9A" w:rsidP="008E4A48">
            <w:pPr>
              <w:rPr>
                <w:sz w:val="20"/>
                <w:szCs w:val="20"/>
              </w:rPr>
            </w:pPr>
            <w:r w:rsidRPr="008E4A48">
              <w:rPr>
                <w:sz w:val="20"/>
                <w:szCs w:val="20"/>
              </w:rPr>
              <w:t>PIPF 005</w:t>
            </w:r>
          </w:p>
        </w:tc>
      </w:tr>
      <w:tr w:rsidR="00443C9A" w:rsidRPr="008E4A48" w:rsidTr="00E76EE3">
        <w:trPr>
          <w:trHeight w:val="138"/>
        </w:trPr>
        <w:tc>
          <w:tcPr>
            <w:tcW w:w="1990" w:type="dxa"/>
            <w:vMerge/>
          </w:tcPr>
          <w:p w:rsidR="00443C9A" w:rsidRPr="008E4A48" w:rsidRDefault="00443C9A" w:rsidP="008E4A48">
            <w:pPr>
              <w:rPr>
                <w:sz w:val="20"/>
                <w:szCs w:val="20"/>
              </w:rPr>
            </w:pPr>
          </w:p>
        </w:tc>
        <w:tc>
          <w:tcPr>
            <w:tcW w:w="3953" w:type="dxa"/>
          </w:tcPr>
          <w:p w:rsidR="00443C9A" w:rsidRPr="008E4A48" w:rsidRDefault="00443C9A" w:rsidP="008E4A48">
            <w:pPr>
              <w:rPr>
                <w:sz w:val="20"/>
                <w:szCs w:val="20"/>
              </w:rPr>
            </w:pPr>
            <w:r w:rsidRPr="008E4A48">
              <w:rPr>
                <w:sz w:val="20"/>
                <w:szCs w:val="20"/>
              </w:rPr>
              <w:t>Bioequivalence† (Single dose)</w:t>
            </w:r>
          </w:p>
        </w:tc>
        <w:tc>
          <w:tcPr>
            <w:tcW w:w="2670" w:type="dxa"/>
          </w:tcPr>
          <w:p w:rsidR="00443C9A" w:rsidRPr="008E4A48" w:rsidRDefault="003548DC" w:rsidP="008E4A48">
            <w:pPr>
              <w:rPr>
                <w:sz w:val="20"/>
                <w:szCs w:val="20"/>
              </w:rPr>
            </w:pPr>
            <w:r w:rsidRPr="008E4A48">
              <w:rPr>
                <w:sz w:val="20"/>
                <w:szCs w:val="20"/>
              </w:rPr>
              <w:t>Not applicable</w:t>
            </w:r>
          </w:p>
        </w:tc>
      </w:tr>
      <w:tr w:rsidR="00443C9A" w:rsidRPr="008E4A48" w:rsidTr="00E76EE3">
        <w:trPr>
          <w:trHeight w:val="138"/>
        </w:trPr>
        <w:tc>
          <w:tcPr>
            <w:tcW w:w="1990" w:type="dxa"/>
            <w:vMerge/>
          </w:tcPr>
          <w:p w:rsidR="00443C9A" w:rsidRPr="008E4A48" w:rsidRDefault="00443C9A" w:rsidP="008E4A48">
            <w:pPr>
              <w:rPr>
                <w:sz w:val="20"/>
                <w:szCs w:val="20"/>
              </w:rPr>
            </w:pPr>
          </w:p>
        </w:tc>
        <w:tc>
          <w:tcPr>
            <w:tcW w:w="3953" w:type="dxa"/>
          </w:tcPr>
          <w:p w:rsidR="00443C9A" w:rsidRPr="008E4A48" w:rsidRDefault="00443C9A" w:rsidP="008E4A48">
            <w:pPr>
              <w:rPr>
                <w:sz w:val="20"/>
                <w:szCs w:val="20"/>
              </w:rPr>
            </w:pPr>
            <w:r w:rsidRPr="008E4A48">
              <w:rPr>
                <w:sz w:val="20"/>
                <w:szCs w:val="20"/>
              </w:rPr>
              <w:t>Bioequivalence† (Multi-dose)</w:t>
            </w:r>
          </w:p>
        </w:tc>
        <w:tc>
          <w:tcPr>
            <w:tcW w:w="2670" w:type="dxa"/>
          </w:tcPr>
          <w:p w:rsidR="00443C9A" w:rsidRPr="008E4A48" w:rsidRDefault="003548DC" w:rsidP="008E4A48">
            <w:pPr>
              <w:rPr>
                <w:sz w:val="20"/>
                <w:szCs w:val="20"/>
              </w:rPr>
            </w:pPr>
            <w:r w:rsidRPr="008E4A48">
              <w:rPr>
                <w:sz w:val="20"/>
                <w:szCs w:val="20"/>
              </w:rPr>
              <w:t>No</w:t>
            </w:r>
            <w:r w:rsidR="00E76EE3" w:rsidRPr="008E4A48">
              <w:rPr>
                <w:sz w:val="20"/>
                <w:szCs w:val="20"/>
              </w:rPr>
              <w:t>t</w:t>
            </w:r>
            <w:r w:rsidRPr="008E4A48">
              <w:rPr>
                <w:sz w:val="20"/>
                <w:szCs w:val="20"/>
              </w:rPr>
              <w:t xml:space="preserve"> applicable</w:t>
            </w:r>
          </w:p>
        </w:tc>
      </w:tr>
      <w:tr w:rsidR="00443C9A" w:rsidRPr="008E4A48" w:rsidTr="00E76EE3">
        <w:trPr>
          <w:trHeight w:val="138"/>
        </w:trPr>
        <w:tc>
          <w:tcPr>
            <w:tcW w:w="1990" w:type="dxa"/>
            <w:vMerge/>
          </w:tcPr>
          <w:p w:rsidR="00443C9A" w:rsidRPr="008E4A48" w:rsidRDefault="00443C9A" w:rsidP="008E4A48">
            <w:pPr>
              <w:rPr>
                <w:sz w:val="20"/>
                <w:szCs w:val="20"/>
              </w:rPr>
            </w:pPr>
          </w:p>
        </w:tc>
        <w:tc>
          <w:tcPr>
            <w:tcW w:w="3953" w:type="dxa"/>
          </w:tcPr>
          <w:p w:rsidR="00443C9A" w:rsidRPr="008E4A48" w:rsidRDefault="00443C9A" w:rsidP="008E4A48">
            <w:pPr>
              <w:rPr>
                <w:sz w:val="20"/>
                <w:szCs w:val="20"/>
              </w:rPr>
            </w:pPr>
            <w:r w:rsidRPr="008E4A48">
              <w:rPr>
                <w:sz w:val="20"/>
                <w:szCs w:val="20"/>
              </w:rPr>
              <w:t>Food effect</w:t>
            </w:r>
          </w:p>
        </w:tc>
        <w:tc>
          <w:tcPr>
            <w:tcW w:w="2670" w:type="dxa"/>
          </w:tcPr>
          <w:p w:rsidR="00443C9A" w:rsidRPr="008E4A48" w:rsidRDefault="00443C9A" w:rsidP="008E4A48">
            <w:pPr>
              <w:rPr>
                <w:sz w:val="20"/>
                <w:szCs w:val="20"/>
              </w:rPr>
            </w:pPr>
            <w:r w:rsidRPr="008E4A48">
              <w:rPr>
                <w:sz w:val="20"/>
                <w:szCs w:val="20"/>
              </w:rPr>
              <w:t>PIPF 005</w:t>
            </w:r>
          </w:p>
        </w:tc>
      </w:tr>
      <w:tr w:rsidR="00443C9A" w:rsidRPr="008E4A48" w:rsidTr="00E76EE3">
        <w:trPr>
          <w:trHeight w:val="453"/>
        </w:trPr>
        <w:tc>
          <w:tcPr>
            <w:tcW w:w="1990" w:type="dxa"/>
            <w:vMerge w:val="restart"/>
          </w:tcPr>
          <w:p w:rsidR="00443C9A" w:rsidRPr="008E4A48" w:rsidRDefault="00443C9A" w:rsidP="008E4A48">
            <w:pPr>
              <w:rPr>
                <w:sz w:val="20"/>
                <w:szCs w:val="20"/>
              </w:rPr>
            </w:pPr>
            <w:r w:rsidRPr="008E4A48">
              <w:rPr>
                <w:sz w:val="20"/>
                <w:szCs w:val="20"/>
              </w:rPr>
              <w:t>PK in special populations</w:t>
            </w:r>
          </w:p>
        </w:tc>
        <w:tc>
          <w:tcPr>
            <w:tcW w:w="3953" w:type="dxa"/>
          </w:tcPr>
          <w:p w:rsidR="00443C9A" w:rsidRPr="008E4A48" w:rsidRDefault="00443C9A" w:rsidP="008E4A48">
            <w:pPr>
              <w:rPr>
                <w:sz w:val="20"/>
                <w:szCs w:val="20"/>
              </w:rPr>
            </w:pPr>
            <w:r w:rsidRPr="008E4A48">
              <w:rPr>
                <w:sz w:val="20"/>
                <w:szCs w:val="20"/>
              </w:rPr>
              <w:t>Target population§ (Single and multiple dose)</w:t>
            </w:r>
          </w:p>
        </w:tc>
        <w:tc>
          <w:tcPr>
            <w:tcW w:w="2670" w:type="dxa"/>
          </w:tcPr>
          <w:p w:rsidR="00443C9A" w:rsidRPr="008E4A48" w:rsidRDefault="00443C9A" w:rsidP="008E4A48">
            <w:pPr>
              <w:rPr>
                <w:sz w:val="20"/>
                <w:szCs w:val="20"/>
              </w:rPr>
            </w:pPr>
            <w:r w:rsidRPr="008E4A48">
              <w:rPr>
                <w:sz w:val="20"/>
                <w:szCs w:val="20"/>
              </w:rPr>
              <w:t>PIPF 004</w:t>
            </w:r>
          </w:p>
        </w:tc>
      </w:tr>
      <w:tr w:rsidR="00443C9A" w:rsidRPr="008E4A48" w:rsidTr="00E76EE3">
        <w:trPr>
          <w:trHeight w:val="138"/>
        </w:trPr>
        <w:tc>
          <w:tcPr>
            <w:tcW w:w="1990" w:type="dxa"/>
            <w:vMerge/>
          </w:tcPr>
          <w:p w:rsidR="00443C9A" w:rsidRPr="008E4A48" w:rsidRDefault="00443C9A" w:rsidP="008E4A48">
            <w:pPr>
              <w:rPr>
                <w:sz w:val="20"/>
                <w:szCs w:val="20"/>
              </w:rPr>
            </w:pPr>
          </w:p>
        </w:tc>
        <w:tc>
          <w:tcPr>
            <w:tcW w:w="3953" w:type="dxa"/>
          </w:tcPr>
          <w:p w:rsidR="00443C9A" w:rsidRPr="008E4A48" w:rsidRDefault="00443C9A" w:rsidP="008E4A48">
            <w:pPr>
              <w:rPr>
                <w:sz w:val="20"/>
                <w:szCs w:val="20"/>
              </w:rPr>
            </w:pPr>
            <w:r w:rsidRPr="008E4A48">
              <w:rPr>
                <w:sz w:val="20"/>
                <w:szCs w:val="20"/>
              </w:rPr>
              <w:t>Hepatic impairment*</w:t>
            </w:r>
          </w:p>
        </w:tc>
        <w:tc>
          <w:tcPr>
            <w:tcW w:w="2670" w:type="dxa"/>
          </w:tcPr>
          <w:p w:rsidR="00443C9A" w:rsidRPr="008E4A48" w:rsidRDefault="00443C9A" w:rsidP="008E4A48">
            <w:pPr>
              <w:rPr>
                <w:sz w:val="20"/>
                <w:szCs w:val="20"/>
              </w:rPr>
            </w:pPr>
            <w:r w:rsidRPr="008E4A48">
              <w:rPr>
                <w:sz w:val="20"/>
                <w:szCs w:val="20"/>
              </w:rPr>
              <w:t>PIPF 011</w:t>
            </w:r>
          </w:p>
        </w:tc>
      </w:tr>
      <w:tr w:rsidR="00443C9A" w:rsidRPr="008E4A48" w:rsidTr="00E76EE3">
        <w:trPr>
          <w:trHeight w:val="138"/>
        </w:trPr>
        <w:tc>
          <w:tcPr>
            <w:tcW w:w="1990" w:type="dxa"/>
            <w:vMerge/>
          </w:tcPr>
          <w:p w:rsidR="00443C9A" w:rsidRPr="008E4A48" w:rsidRDefault="00443C9A" w:rsidP="008E4A48">
            <w:pPr>
              <w:rPr>
                <w:sz w:val="20"/>
                <w:szCs w:val="20"/>
              </w:rPr>
            </w:pPr>
          </w:p>
        </w:tc>
        <w:tc>
          <w:tcPr>
            <w:tcW w:w="3953" w:type="dxa"/>
          </w:tcPr>
          <w:p w:rsidR="00443C9A" w:rsidRPr="008E4A48" w:rsidRDefault="00443C9A" w:rsidP="008E4A48">
            <w:pPr>
              <w:rPr>
                <w:sz w:val="20"/>
                <w:szCs w:val="20"/>
              </w:rPr>
            </w:pPr>
            <w:r w:rsidRPr="008E4A48">
              <w:rPr>
                <w:sz w:val="20"/>
                <w:szCs w:val="20"/>
              </w:rPr>
              <w:t>Renal impairment*</w:t>
            </w:r>
          </w:p>
        </w:tc>
        <w:tc>
          <w:tcPr>
            <w:tcW w:w="2670" w:type="dxa"/>
          </w:tcPr>
          <w:p w:rsidR="00443C9A" w:rsidRPr="008E4A48" w:rsidRDefault="00443C9A" w:rsidP="008E4A48">
            <w:pPr>
              <w:rPr>
                <w:sz w:val="20"/>
                <w:szCs w:val="20"/>
              </w:rPr>
            </w:pPr>
            <w:r w:rsidRPr="008E4A48">
              <w:rPr>
                <w:sz w:val="20"/>
                <w:szCs w:val="20"/>
              </w:rPr>
              <w:t>PIPF 009</w:t>
            </w:r>
          </w:p>
        </w:tc>
      </w:tr>
      <w:tr w:rsidR="00443C9A" w:rsidRPr="008E4A48" w:rsidTr="00E76EE3">
        <w:trPr>
          <w:trHeight w:val="138"/>
        </w:trPr>
        <w:tc>
          <w:tcPr>
            <w:tcW w:w="1990" w:type="dxa"/>
            <w:vMerge/>
          </w:tcPr>
          <w:p w:rsidR="00443C9A" w:rsidRPr="008E4A48" w:rsidRDefault="00443C9A" w:rsidP="008E4A48">
            <w:pPr>
              <w:rPr>
                <w:sz w:val="20"/>
                <w:szCs w:val="20"/>
              </w:rPr>
            </w:pPr>
          </w:p>
        </w:tc>
        <w:tc>
          <w:tcPr>
            <w:tcW w:w="3953" w:type="dxa"/>
          </w:tcPr>
          <w:p w:rsidR="00443C9A" w:rsidRPr="008E4A48" w:rsidRDefault="00443C9A" w:rsidP="008E4A48">
            <w:pPr>
              <w:rPr>
                <w:sz w:val="20"/>
                <w:szCs w:val="20"/>
              </w:rPr>
            </w:pPr>
            <w:r w:rsidRPr="008E4A48">
              <w:rPr>
                <w:sz w:val="20"/>
                <w:szCs w:val="20"/>
              </w:rPr>
              <w:t>Neonates/infants/children/adolescents</w:t>
            </w:r>
          </w:p>
        </w:tc>
        <w:tc>
          <w:tcPr>
            <w:tcW w:w="2670" w:type="dxa"/>
          </w:tcPr>
          <w:p w:rsidR="00443C9A" w:rsidRPr="008E4A48" w:rsidRDefault="003548DC" w:rsidP="008E4A48">
            <w:pPr>
              <w:rPr>
                <w:sz w:val="20"/>
                <w:szCs w:val="20"/>
              </w:rPr>
            </w:pPr>
            <w:r w:rsidRPr="008E4A48">
              <w:rPr>
                <w:sz w:val="20"/>
                <w:szCs w:val="20"/>
              </w:rPr>
              <w:t>Not applicable</w:t>
            </w:r>
          </w:p>
        </w:tc>
      </w:tr>
      <w:tr w:rsidR="00443C9A" w:rsidRPr="008E4A48" w:rsidTr="00E76EE3">
        <w:trPr>
          <w:trHeight w:val="138"/>
        </w:trPr>
        <w:tc>
          <w:tcPr>
            <w:tcW w:w="1990" w:type="dxa"/>
            <w:vMerge/>
          </w:tcPr>
          <w:p w:rsidR="00443C9A" w:rsidRPr="008E4A48" w:rsidRDefault="00443C9A" w:rsidP="008E4A48">
            <w:pPr>
              <w:rPr>
                <w:sz w:val="20"/>
                <w:szCs w:val="20"/>
              </w:rPr>
            </w:pPr>
          </w:p>
        </w:tc>
        <w:tc>
          <w:tcPr>
            <w:tcW w:w="3953" w:type="dxa"/>
          </w:tcPr>
          <w:p w:rsidR="00443C9A" w:rsidRPr="008E4A48" w:rsidRDefault="00443C9A" w:rsidP="008E4A48">
            <w:pPr>
              <w:rPr>
                <w:sz w:val="20"/>
                <w:szCs w:val="20"/>
              </w:rPr>
            </w:pPr>
            <w:r w:rsidRPr="008E4A48">
              <w:rPr>
                <w:sz w:val="20"/>
                <w:szCs w:val="20"/>
              </w:rPr>
              <w:t>Elderly</w:t>
            </w:r>
          </w:p>
        </w:tc>
        <w:tc>
          <w:tcPr>
            <w:tcW w:w="2670" w:type="dxa"/>
          </w:tcPr>
          <w:p w:rsidR="00443C9A" w:rsidRPr="008E4A48" w:rsidRDefault="00443C9A" w:rsidP="008E4A48">
            <w:pPr>
              <w:rPr>
                <w:sz w:val="20"/>
                <w:szCs w:val="20"/>
              </w:rPr>
            </w:pPr>
            <w:r w:rsidRPr="008E4A48">
              <w:rPr>
                <w:sz w:val="20"/>
                <w:szCs w:val="20"/>
              </w:rPr>
              <w:t>See Pop PK</w:t>
            </w:r>
          </w:p>
        </w:tc>
      </w:tr>
      <w:tr w:rsidR="00443C9A" w:rsidRPr="008E4A48" w:rsidTr="00E76EE3">
        <w:trPr>
          <w:trHeight w:val="680"/>
        </w:trPr>
        <w:tc>
          <w:tcPr>
            <w:tcW w:w="1990" w:type="dxa"/>
          </w:tcPr>
          <w:p w:rsidR="00443C9A" w:rsidRPr="008E4A48" w:rsidRDefault="00443C9A" w:rsidP="008E4A48">
            <w:pPr>
              <w:rPr>
                <w:sz w:val="20"/>
                <w:szCs w:val="20"/>
              </w:rPr>
            </w:pPr>
            <w:r w:rsidRPr="008E4A48">
              <w:rPr>
                <w:sz w:val="20"/>
                <w:szCs w:val="20"/>
              </w:rPr>
              <w:lastRenderedPageBreak/>
              <w:t>Genetic/gender-related PK</w:t>
            </w:r>
          </w:p>
        </w:tc>
        <w:tc>
          <w:tcPr>
            <w:tcW w:w="3953" w:type="dxa"/>
          </w:tcPr>
          <w:p w:rsidR="00443C9A" w:rsidRPr="008E4A48" w:rsidRDefault="00443C9A" w:rsidP="008E4A48">
            <w:pPr>
              <w:rPr>
                <w:sz w:val="20"/>
                <w:szCs w:val="20"/>
              </w:rPr>
            </w:pPr>
            <w:r w:rsidRPr="008E4A48">
              <w:rPr>
                <w:sz w:val="20"/>
                <w:szCs w:val="20"/>
              </w:rPr>
              <w:t>Males versus females</w:t>
            </w:r>
          </w:p>
        </w:tc>
        <w:tc>
          <w:tcPr>
            <w:tcW w:w="2670" w:type="dxa"/>
          </w:tcPr>
          <w:p w:rsidR="00443C9A" w:rsidRPr="008E4A48" w:rsidRDefault="00443C9A" w:rsidP="008E4A48">
            <w:pPr>
              <w:rPr>
                <w:sz w:val="20"/>
                <w:szCs w:val="20"/>
              </w:rPr>
            </w:pPr>
            <w:r w:rsidRPr="008E4A48">
              <w:rPr>
                <w:sz w:val="20"/>
                <w:szCs w:val="20"/>
              </w:rPr>
              <w:t>See pop PK</w:t>
            </w:r>
          </w:p>
        </w:tc>
      </w:tr>
      <w:tr w:rsidR="00443C9A" w:rsidRPr="008E4A48" w:rsidTr="00E76EE3">
        <w:trPr>
          <w:trHeight w:val="464"/>
        </w:trPr>
        <w:tc>
          <w:tcPr>
            <w:tcW w:w="1990" w:type="dxa"/>
            <w:vMerge w:val="restart"/>
          </w:tcPr>
          <w:p w:rsidR="00443C9A" w:rsidRPr="008E4A48" w:rsidRDefault="00443C9A" w:rsidP="008E4A48">
            <w:pPr>
              <w:rPr>
                <w:sz w:val="20"/>
                <w:szCs w:val="20"/>
              </w:rPr>
            </w:pPr>
            <w:r w:rsidRPr="008E4A48">
              <w:rPr>
                <w:sz w:val="20"/>
                <w:szCs w:val="20"/>
              </w:rPr>
              <w:t>PK interactions</w:t>
            </w:r>
          </w:p>
        </w:tc>
        <w:tc>
          <w:tcPr>
            <w:tcW w:w="3953" w:type="dxa"/>
          </w:tcPr>
          <w:p w:rsidR="00443C9A" w:rsidRPr="008E4A48" w:rsidRDefault="00443C9A" w:rsidP="008E4A48">
            <w:pPr>
              <w:rPr>
                <w:sz w:val="20"/>
                <w:szCs w:val="20"/>
              </w:rPr>
            </w:pPr>
            <w:r w:rsidRPr="008E4A48">
              <w:rPr>
                <w:sz w:val="20"/>
                <w:szCs w:val="20"/>
              </w:rPr>
              <w:t>CYPA12 inhibitor Fluvoxamine</w:t>
            </w:r>
          </w:p>
        </w:tc>
        <w:tc>
          <w:tcPr>
            <w:tcW w:w="2670" w:type="dxa"/>
          </w:tcPr>
          <w:p w:rsidR="00443C9A" w:rsidRPr="008E4A48" w:rsidRDefault="00443C9A" w:rsidP="008E4A48">
            <w:pPr>
              <w:rPr>
                <w:sz w:val="20"/>
                <w:szCs w:val="20"/>
              </w:rPr>
            </w:pPr>
            <w:r w:rsidRPr="008E4A48">
              <w:rPr>
                <w:sz w:val="20"/>
                <w:szCs w:val="20"/>
              </w:rPr>
              <w:t>PIPF 010</w:t>
            </w:r>
          </w:p>
        </w:tc>
      </w:tr>
      <w:tr w:rsidR="00443C9A" w:rsidRPr="008E4A48" w:rsidTr="00E76EE3">
        <w:trPr>
          <w:trHeight w:val="138"/>
        </w:trPr>
        <w:tc>
          <w:tcPr>
            <w:tcW w:w="1990" w:type="dxa"/>
            <w:vMerge/>
          </w:tcPr>
          <w:p w:rsidR="00443C9A" w:rsidRPr="008E4A48" w:rsidRDefault="00443C9A" w:rsidP="008E4A48">
            <w:pPr>
              <w:rPr>
                <w:sz w:val="20"/>
                <w:szCs w:val="20"/>
              </w:rPr>
            </w:pPr>
          </w:p>
        </w:tc>
        <w:tc>
          <w:tcPr>
            <w:tcW w:w="3953" w:type="dxa"/>
          </w:tcPr>
          <w:p w:rsidR="00443C9A" w:rsidRPr="008E4A48" w:rsidRDefault="00443C9A" w:rsidP="008E4A48">
            <w:pPr>
              <w:rPr>
                <w:sz w:val="20"/>
                <w:szCs w:val="20"/>
              </w:rPr>
            </w:pPr>
            <w:r w:rsidRPr="008E4A48">
              <w:rPr>
                <w:sz w:val="20"/>
                <w:szCs w:val="20"/>
              </w:rPr>
              <w:t>Ciprofloxacin*</w:t>
            </w:r>
          </w:p>
        </w:tc>
        <w:tc>
          <w:tcPr>
            <w:tcW w:w="2670" w:type="dxa"/>
          </w:tcPr>
          <w:p w:rsidR="00443C9A" w:rsidRPr="008E4A48" w:rsidRDefault="00443C9A" w:rsidP="008E4A48">
            <w:pPr>
              <w:rPr>
                <w:sz w:val="20"/>
                <w:szCs w:val="20"/>
              </w:rPr>
            </w:pPr>
            <w:r w:rsidRPr="008E4A48">
              <w:rPr>
                <w:sz w:val="20"/>
                <w:szCs w:val="20"/>
              </w:rPr>
              <w:t>PIPF 017</w:t>
            </w:r>
          </w:p>
        </w:tc>
      </w:tr>
      <w:tr w:rsidR="00443C9A" w:rsidRPr="008E4A48" w:rsidTr="00E76EE3">
        <w:trPr>
          <w:trHeight w:val="138"/>
        </w:trPr>
        <w:tc>
          <w:tcPr>
            <w:tcW w:w="1990" w:type="dxa"/>
            <w:vMerge/>
          </w:tcPr>
          <w:p w:rsidR="00443C9A" w:rsidRPr="008E4A48" w:rsidRDefault="00443C9A" w:rsidP="008E4A48">
            <w:pPr>
              <w:rPr>
                <w:sz w:val="20"/>
                <w:szCs w:val="20"/>
              </w:rPr>
            </w:pPr>
          </w:p>
        </w:tc>
        <w:tc>
          <w:tcPr>
            <w:tcW w:w="3953" w:type="dxa"/>
          </w:tcPr>
          <w:p w:rsidR="00443C9A" w:rsidRPr="008E4A48" w:rsidRDefault="00443C9A" w:rsidP="008E4A48">
            <w:pPr>
              <w:rPr>
                <w:sz w:val="20"/>
                <w:szCs w:val="20"/>
              </w:rPr>
            </w:pPr>
            <w:r w:rsidRPr="008E4A48">
              <w:rPr>
                <w:sz w:val="20"/>
                <w:szCs w:val="20"/>
              </w:rPr>
              <w:t>Smoking*</w:t>
            </w:r>
          </w:p>
        </w:tc>
        <w:tc>
          <w:tcPr>
            <w:tcW w:w="2670" w:type="dxa"/>
          </w:tcPr>
          <w:p w:rsidR="00443C9A" w:rsidRPr="008E4A48" w:rsidRDefault="00443C9A" w:rsidP="008E4A48">
            <w:pPr>
              <w:rPr>
                <w:sz w:val="20"/>
                <w:szCs w:val="20"/>
              </w:rPr>
            </w:pPr>
            <w:r w:rsidRPr="008E4A48">
              <w:rPr>
                <w:sz w:val="20"/>
                <w:szCs w:val="20"/>
              </w:rPr>
              <w:t>PIPF 010</w:t>
            </w:r>
          </w:p>
        </w:tc>
      </w:tr>
      <w:tr w:rsidR="00443C9A" w:rsidRPr="008E4A48" w:rsidTr="00E76EE3">
        <w:trPr>
          <w:trHeight w:val="453"/>
        </w:trPr>
        <w:tc>
          <w:tcPr>
            <w:tcW w:w="1990" w:type="dxa"/>
            <w:vMerge w:val="restart"/>
          </w:tcPr>
          <w:p w:rsidR="00443C9A" w:rsidRPr="008E4A48" w:rsidRDefault="00443C9A" w:rsidP="008E4A48">
            <w:pPr>
              <w:rPr>
                <w:sz w:val="20"/>
                <w:szCs w:val="20"/>
              </w:rPr>
            </w:pPr>
            <w:r w:rsidRPr="008E4A48">
              <w:rPr>
                <w:sz w:val="20"/>
                <w:szCs w:val="20"/>
              </w:rPr>
              <w:t>Population PK analyses</w:t>
            </w:r>
          </w:p>
        </w:tc>
        <w:tc>
          <w:tcPr>
            <w:tcW w:w="3953" w:type="dxa"/>
          </w:tcPr>
          <w:p w:rsidR="00443C9A" w:rsidRPr="008E4A48" w:rsidRDefault="00443C9A" w:rsidP="008E4A48">
            <w:pPr>
              <w:rPr>
                <w:sz w:val="20"/>
                <w:szCs w:val="20"/>
              </w:rPr>
            </w:pPr>
            <w:r w:rsidRPr="008E4A48">
              <w:rPr>
                <w:sz w:val="20"/>
                <w:szCs w:val="20"/>
              </w:rPr>
              <w:t>Healthy subjects</w:t>
            </w:r>
          </w:p>
        </w:tc>
        <w:tc>
          <w:tcPr>
            <w:tcW w:w="2670" w:type="dxa"/>
          </w:tcPr>
          <w:p w:rsidR="00443C9A" w:rsidRPr="008E4A48" w:rsidRDefault="00443C9A" w:rsidP="008E4A48">
            <w:pPr>
              <w:rPr>
                <w:sz w:val="20"/>
                <w:szCs w:val="20"/>
              </w:rPr>
            </w:pPr>
            <w:r w:rsidRPr="008E4A48">
              <w:rPr>
                <w:sz w:val="20"/>
                <w:szCs w:val="20"/>
              </w:rPr>
              <w:t>PIPF-ORD1</w:t>
            </w:r>
          </w:p>
        </w:tc>
      </w:tr>
      <w:tr w:rsidR="00443C9A" w:rsidRPr="008E4A48" w:rsidTr="00E76EE3">
        <w:trPr>
          <w:trHeight w:val="138"/>
        </w:trPr>
        <w:tc>
          <w:tcPr>
            <w:tcW w:w="1990" w:type="dxa"/>
            <w:vMerge/>
          </w:tcPr>
          <w:p w:rsidR="00443C9A" w:rsidRPr="008E4A48" w:rsidRDefault="00443C9A" w:rsidP="008E4A48">
            <w:pPr>
              <w:rPr>
                <w:sz w:val="20"/>
                <w:szCs w:val="20"/>
              </w:rPr>
            </w:pPr>
          </w:p>
        </w:tc>
        <w:tc>
          <w:tcPr>
            <w:tcW w:w="3953" w:type="dxa"/>
          </w:tcPr>
          <w:p w:rsidR="00443C9A" w:rsidRPr="008E4A48" w:rsidRDefault="00443C9A" w:rsidP="008E4A48">
            <w:pPr>
              <w:rPr>
                <w:sz w:val="20"/>
                <w:szCs w:val="20"/>
              </w:rPr>
            </w:pPr>
            <w:r w:rsidRPr="008E4A48">
              <w:rPr>
                <w:sz w:val="20"/>
                <w:szCs w:val="20"/>
              </w:rPr>
              <w:t>Target population</w:t>
            </w:r>
          </w:p>
        </w:tc>
        <w:tc>
          <w:tcPr>
            <w:tcW w:w="2670" w:type="dxa"/>
          </w:tcPr>
          <w:p w:rsidR="00443C9A" w:rsidRPr="008E4A48" w:rsidRDefault="00443C9A" w:rsidP="008E4A48">
            <w:pPr>
              <w:rPr>
                <w:sz w:val="20"/>
                <w:szCs w:val="20"/>
              </w:rPr>
            </w:pPr>
            <w:r w:rsidRPr="008E4A48">
              <w:rPr>
                <w:sz w:val="20"/>
                <w:szCs w:val="20"/>
              </w:rPr>
              <w:t>PIPF-ORD1, PIPF-ORD2</w:t>
            </w:r>
          </w:p>
        </w:tc>
      </w:tr>
      <w:tr w:rsidR="00443C9A" w:rsidRPr="008E4A48" w:rsidTr="00E76EE3">
        <w:trPr>
          <w:trHeight w:val="138"/>
        </w:trPr>
        <w:tc>
          <w:tcPr>
            <w:tcW w:w="1990" w:type="dxa"/>
            <w:vMerge/>
          </w:tcPr>
          <w:p w:rsidR="00443C9A" w:rsidRPr="008E4A48" w:rsidRDefault="00443C9A" w:rsidP="008E4A48">
            <w:pPr>
              <w:rPr>
                <w:sz w:val="20"/>
                <w:szCs w:val="20"/>
              </w:rPr>
            </w:pPr>
          </w:p>
        </w:tc>
        <w:tc>
          <w:tcPr>
            <w:tcW w:w="3953" w:type="dxa"/>
          </w:tcPr>
          <w:p w:rsidR="00443C9A" w:rsidRPr="008E4A48" w:rsidRDefault="00443C9A" w:rsidP="008E4A48">
            <w:pPr>
              <w:rPr>
                <w:sz w:val="20"/>
                <w:szCs w:val="20"/>
              </w:rPr>
            </w:pPr>
            <w:r w:rsidRPr="008E4A48">
              <w:rPr>
                <w:sz w:val="20"/>
                <w:szCs w:val="20"/>
              </w:rPr>
              <w:t>Other-combined</w:t>
            </w:r>
          </w:p>
        </w:tc>
        <w:tc>
          <w:tcPr>
            <w:tcW w:w="2670" w:type="dxa"/>
          </w:tcPr>
          <w:p w:rsidR="00443C9A" w:rsidRPr="008E4A48" w:rsidRDefault="00443C9A" w:rsidP="008E4A48">
            <w:pPr>
              <w:rPr>
                <w:sz w:val="20"/>
                <w:szCs w:val="20"/>
              </w:rPr>
            </w:pPr>
            <w:r w:rsidRPr="008E4A48">
              <w:rPr>
                <w:sz w:val="20"/>
                <w:szCs w:val="20"/>
              </w:rPr>
              <w:t>PIPF-ORD1</w:t>
            </w:r>
          </w:p>
        </w:tc>
      </w:tr>
    </w:tbl>
    <w:p w:rsidR="00077160" w:rsidRPr="00FC5089" w:rsidRDefault="00077160" w:rsidP="00077160">
      <w:pPr>
        <w:pStyle w:val="TableDescription"/>
      </w:pPr>
      <w:r w:rsidRPr="00FF441A">
        <w:rPr>
          <w:vertAlign w:val="superscript"/>
        </w:rPr>
        <w:t>*</w:t>
      </w:r>
      <w:r>
        <w:t xml:space="preserve">Indicates the primary aim of the study. </w:t>
      </w:r>
      <w:r w:rsidRPr="00FC5089">
        <w:rPr>
          <w:vertAlign w:val="superscript"/>
        </w:rPr>
        <w:t>†</w:t>
      </w:r>
      <w:r>
        <w:t xml:space="preserve">Bioequivalence of different formulations. </w:t>
      </w:r>
      <w:r w:rsidRPr="00FC5089">
        <w:rPr>
          <w:vertAlign w:val="superscript"/>
        </w:rPr>
        <w:t>§</w:t>
      </w:r>
      <w:r>
        <w:t>Subjects who would be eligible to receive the drug if approved for the proposed indication.</w:t>
      </w:r>
    </w:p>
    <w:p w:rsidR="00077160" w:rsidRDefault="00077160" w:rsidP="00077160">
      <w:r>
        <w:t>None of the pharmacokinetic studies had deficiencies that excluded their results from consideration.</w:t>
      </w:r>
    </w:p>
    <w:p w:rsidR="00443C9A" w:rsidRDefault="00077160" w:rsidP="00443C9A">
      <w:r>
        <w:t xml:space="preserve">The information is derived from conventional pharmacokinetic (PK) studies and population PK analyses used to fit models in compartmental analyses, using data from Phase </w:t>
      </w:r>
      <w:r w:rsidR="00572E5A">
        <w:t>I studies and Phase III</w:t>
      </w:r>
      <w:r>
        <w:t xml:space="preserve"> Study PIPF</w:t>
      </w:r>
      <w:r>
        <w:noBreakHyphen/>
        <w:t>004 (PIPF</w:t>
      </w:r>
      <w:r>
        <w:noBreakHyphen/>
        <w:t>ORD1). Non-compartmental analyses</w:t>
      </w:r>
      <w:r w:rsidR="00A75AB6">
        <w:t xml:space="preserve"> provided confirmatory results.</w:t>
      </w:r>
    </w:p>
    <w:p w:rsidR="00605AD4" w:rsidRDefault="00605AD4" w:rsidP="00572E5A">
      <w:pPr>
        <w:pStyle w:val="Heading4"/>
      </w:pPr>
      <w:r>
        <w:t>Evaluator’s conclusions on pharmacokinetics</w:t>
      </w:r>
    </w:p>
    <w:p w:rsidR="00077160" w:rsidRPr="00077160" w:rsidRDefault="00077160" w:rsidP="00077160">
      <w:r w:rsidRPr="00077160">
        <w:t xml:space="preserve">Oral absorption, dose proportionality and aspects of metabolism of </w:t>
      </w:r>
      <w:proofErr w:type="spellStart"/>
      <w:r w:rsidRPr="00077160">
        <w:t>pirfenidone</w:t>
      </w:r>
      <w:proofErr w:type="spellEnd"/>
      <w:r w:rsidRPr="00077160">
        <w:t xml:space="preserve"> have been </w:t>
      </w:r>
      <w:r w:rsidR="008E4A48" w:rsidRPr="00077160">
        <w:t>charac</w:t>
      </w:r>
      <w:r w:rsidR="008E4A48">
        <w:t>t</w:t>
      </w:r>
      <w:r w:rsidR="008E4A48" w:rsidRPr="00077160">
        <w:t>erised</w:t>
      </w:r>
      <w:r w:rsidRPr="00077160">
        <w:t xml:space="preserve"> sufficiently to make recommendations with respect to administration with food, dose titration, hepatic impairment and interaction with other medicines. </w:t>
      </w:r>
      <w:proofErr w:type="spellStart"/>
      <w:r w:rsidRPr="00077160">
        <w:t>Pirfenidone</w:t>
      </w:r>
      <w:proofErr w:type="spellEnd"/>
      <w:r w:rsidRPr="00077160">
        <w:t xml:space="preserve"> is cleared rapidly and is not expected to accumulate appreciably with multiple dosing at the proposed dosage in patients with normal hepatic and renal function.</w:t>
      </w:r>
    </w:p>
    <w:p w:rsidR="008E7846" w:rsidRDefault="008E7846" w:rsidP="008E7846">
      <w:pPr>
        <w:pStyle w:val="Heading3"/>
      </w:pPr>
      <w:bookmarkStart w:id="78" w:name="_Toc196046481"/>
      <w:bookmarkStart w:id="79" w:name="_Toc247691520"/>
      <w:bookmarkStart w:id="80" w:name="_Toc314842503"/>
      <w:bookmarkStart w:id="81" w:name="_Toc453068499"/>
      <w:r w:rsidRPr="00254787">
        <w:t>Pharmacodynamics</w:t>
      </w:r>
      <w:bookmarkEnd w:id="72"/>
      <w:bookmarkEnd w:id="78"/>
      <w:bookmarkEnd w:id="79"/>
      <w:bookmarkEnd w:id="80"/>
      <w:bookmarkEnd w:id="81"/>
    </w:p>
    <w:p w:rsidR="00605AD4" w:rsidRDefault="00605AD4" w:rsidP="00605AD4">
      <w:pPr>
        <w:pStyle w:val="Heading4"/>
      </w:pPr>
      <w:r>
        <w:t xml:space="preserve">Studies providing </w:t>
      </w:r>
      <w:proofErr w:type="spellStart"/>
      <w:r>
        <w:t>pharmacodynamic</w:t>
      </w:r>
      <w:proofErr w:type="spellEnd"/>
      <w:r>
        <w:t xml:space="preserve"> data</w:t>
      </w:r>
    </w:p>
    <w:p w:rsidR="00077160" w:rsidRPr="00077160" w:rsidRDefault="00077160" w:rsidP="00077160">
      <w:r w:rsidRPr="00077160">
        <w:t>Information was derived from animal models and in vitro studies:</w:t>
      </w:r>
    </w:p>
    <w:p w:rsidR="00077160" w:rsidRPr="00F928FF" w:rsidRDefault="00077160" w:rsidP="00F928FF">
      <w:pPr>
        <w:pStyle w:val="ListBullet"/>
      </w:pPr>
      <w:r w:rsidRPr="00F928FF">
        <w:t>Study PIPF</w:t>
      </w:r>
      <w:r w:rsidRPr="00F928FF">
        <w:noBreakHyphen/>
        <w:t xml:space="preserve">005 examined dose escalation, where a range of doses were tested in the multiple dose cohorts and the presence of food reduced the rate and extent of absorption of </w:t>
      </w:r>
      <w:proofErr w:type="spellStart"/>
      <w:r w:rsidRPr="00F928FF">
        <w:t>pirfenidone</w:t>
      </w:r>
      <w:proofErr w:type="spellEnd"/>
      <w:r w:rsidRPr="00F928FF">
        <w:t>.</w:t>
      </w:r>
    </w:p>
    <w:p w:rsidR="00077160" w:rsidRPr="00F928FF" w:rsidRDefault="00077160" w:rsidP="00F928FF">
      <w:pPr>
        <w:pStyle w:val="ListBullet"/>
      </w:pPr>
      <w:r w:rsidRPr="00F928FF">
        <w:t>Study PIPF</w:t>
      </w:r>
      <w:r w:rsidRPr="00F928FF">
        <w:noBreakHyphen/>
        <w:t>008 examined escalating doses in healthy young adults.</w:t>
      </w:r>
    </w:p>
    <w:p w:rsidR="00077160" w:rsidRPr="00F928FF" w:rsidRDefault="00077160" w:rsidP="00F928FF">
      <w:pPr>
        <w:pStyle w:val="ListBullet"/>
      </w:pPr>
      <w:r w:rsidRPr="00F928FF">
        <w:t>Study PIPF</w:t>
      </w:r>
      <w:r w:rsidRPr="00F928FF">
        <w:noBreakHyphen/>
        <w:t>007 examined the effects on ECG eff</w:t>
      </w:r>
      <w:r w:rsidR="006E7E9F">
        <w:t>ects</w:t>
      </w:r>
      <w:r w:rsidRPr="00F928FF">
        <w:t xml:space="preserve"> of oral </w:t>
      </w:r>
      <w:proofErr w:type="spellStart"/>
      <w:r w:rsidRPr="00F928FF">
        <w:t>pirfenidone</w:t>
      </w:r>
      <w:proofErr w:type="spellEnd"/>
      <w:r w:rsidRPr="00F928FF">
        <w:t xml:space="preserve"> at clinical and supra</w:t>
      </w:r>
      <w:r w:rsidRPr="00F928FF">
        <w:noBreakHyphen/>
        <w:t>therapeutic doses compared to placebo or placebo</w:t>
      </w:r>
      <w:r w:rsidR="00A75AB6" w:rsidRPr="00F928FF">
        <w:t xml:space="preserve"> with</w:t>
      </w:r>
      <w:r w:rsidRPr="00F928FF">
        <w:t> moxifloxacin in healthy volunteers.</w:t>
      </w:r>
    </w:p>
    <w:p w:rsidR="00077160" w:rsidRPr="00F928FF" w:rsidRDefault="00077160" w:rsidP="00F928FF">
      <w:pPr>
        <w:pStyle w:val="ListBullet"/>
      </w:pPr>
      <w:r w:rsidRPr="00F928FF">
        <w:t>Study PIPF</w:t>
      </w:r>
      <w:r w:rsidRPr="00F928FF">
        <w:noBreakHyphen/>
        <w:t>004 had PK/</w:t>
      </w:r>
      <w:proofErr w:type="spellStart"/>
      <w:r w:rsidRPr="00F928FF">
        <w:t>pharmacodynamic</w:t>
      </w:r>
      <w:proofErr w:type="spellEnd"/>
      <w:r w:rsidRPr="00F928FF">
        <w:t xml:space="preserve"> (PD) exploratory analyses of data from 88 subjects who had PK exposure estimates. However, there were lower adverse event (AE) rates and differing rates of lung function decline compared with the full study population, so the subset of patients in the PK/PD analysis do not appear to be representative of the overall population in PIPF</w:t>
      </w:r>
      <w:r w:rsidRPr="00F928FF">
        <w:noBreakHyphen/>
        <w:t>004.</w:t>
      </w:r>
    </w:p>
    <w:p w:rsidR="00605AD4" w:rsidRDefault="00605AD4" w:rsidP="00077160">
      <w:pPr>
        <w:pStyle w:val="Heading4"/>
      </w:pPr>
      <w:r>
        <w:lastRenderedPageBreak/>
        <w:t>Evaluator’s conclusions on pharmacodynamics</w:t>
      </w:r>
    </w:p>
    <w:p w:rsidR="00077160" w:rsidRPr="00077160" w:rsidRDefault="00077160" w:rsidP="00077160">
      <w:r>
        <w:t>PK/PD correlation was demonstrated for common adverse effects including GI and dermatologic AEs.</w:t>
      </w:r>
    </w:p>
    <w:p w:rsidR="008E7846" w:rsidRDefault="00605AD4" w:rsidP="00605AD4">
      <w:pPr>
        <w:pStyle w:val="Heading3"/>
      </w:pPr>
      <w:bookmarkStart w:id="82" w:name="_Toc453068500"/>
      <w:r>
        <w:t>Dosage selection for the pivotal studies</w:t>
      </w:r>
      <w:bookmarkEnd w:id="82"/>
    </w:p>
    <w:p w:rsidR="00077160" w:rsidRPr="00077160" w:rsidRDefault="00077160" w:rsidP="00077160">
      <w:r w:rsidRPr="00077160">
        <w:t xml:space="preserve">The PK </w:t>
      </w:r>
      <w:r w:rsidR="004F2DC6">
        <w:t>data from S</w:t>
      </w:r>
      <w:r w:rsidRPr="00077160">
        <w:t>tudy PIPF-005 showed reduced in</w:t>
      </w:r>
      <w:r w:rsidR="004A630C">
        <w:t>cidence of AEs at a dose of 801 </w:t>
      </w:r>
      <w:r w:rsidRPr="00077160">
        <w:t xml:space="preserve">mg/day (as 267 mg capsules </w:t>
      </w:r>
      <w:r w:rsidR="006623E5">
        <w:t>TDS</w:t>
      </w:r>
      <w:r w:rsidRPr="00077160">
        <w:t xml:space="preserve">) when taken with food. The </w:t>
      </w:r>
      <w:r w:rsidR="00A75AB6">
        <w:t>m</w:t>
      </w:r>
      <w:r w:rsidRPr="00077160">
        <w:t xml:space="preserve">aximum </w:t>
      </w:r>
      <w:r w:rsidR="00A75AB6">
        <w:t>t</w:t>
      </w:r>
      <w:r w:rsidRPr="00077160">
        <w:t xml:space="preserve">olerated </w:t>
      </w:r>
      <w:r w:rsidR="00A75AB6">
        <w:t>d</w:t>
      </w:r>
      <w:r w:rsidRPr="00077160">
        <w:t>ose</w:t>
      </w:r>
      <w:r w:rsidR="00A75AB6">
        <w:t xml:space="preserve"> in </w:t>
      </w:r>
      <w:r w:rsidRPr="00077160">
        <w:t>Study PIPF</w:t>
      </w:r>
      <w:r w:rsidR="004F2DC6">
        <w:noBreakHyphen/>
      </w:r>
      <w:r w:rsidRPr="00077160">
        <w:t xml:space="preserve">008 </w:t>
      </w:r>
      <w:r w:rsidR="00A75AB6">
        <w:t>(</w:t>
      </w:r>
      <w:r w:rsidR="00C6681F">
        <w:t>2,403</w:t>
      </w:r>
      <w:r w:rsidR="00A75AB6">
        <w:t xml:space="preserve"> mg/day) </w:t>
      </w:r>
      <w:r w:rsidRPr="00077160">
        <w:t xml:space="preserve">confirmed that at doses above </w:t>
      </w:r>
      <w:r w:rsidR="00C6681F">
        <w:t>2,403</w:t>
      </w:r>
      <w:r w:rsidRPr="00077160">
        <w:t xml:space="preserve"> mg/day, women were likely to have significant adverse effects mainly of GI and </w:t>
      </w:r>
      <w:r w:rsidR="006623E5">
        <w:t>CNS</w:t>
      </w:r>
      <w:r w:rsidRPr="00077160">
        <w:t xml:space="preserve"> in nature resulting in discontinuation.</w:t>
      </w:r>
    </w:p>
    <w:p w:rsidR="00077160" w:rsidRPr="00077160" w:rsidRDefault="00077160" w:rsidP="00077160">
      <w:r w:rsidRPr="00077160">
        <w:t>However the CSR for PIPF</w:t>
      </w:r>
      <w:r w:rsidRPr="00077160">
        <w:noBreakHyphen/>
        <w:t xml:space="preserve">004 stated that the maximum tolerated dose was not determined in these </w:t>
      </w:r>
      <w:r w:rsidR="009F34DD" w:rsidRPr="00077160">
        <w:t>studies</w:t>
      </w:r>
      <w:r w:rsidRPr="00077160">
        <w:t xml:space="preserve"> and that selection of doses and frequency of administration was based on a published Phase </w:t>
      </w:r>
      <w:r w:rsidR="00E60988">
        <w:t>II</w:t>
      </w:r>
      <w:r w:rsidRPr="00077160">
        <w:t xml:space="preserve"> study in IPF patients that used a maximum dose of </w:t>
      </w:r>
      <w:proofErr w:type="spellStart"/>
      <w:r w:rsidRPr="00077160">
        <w:t>pirfenidone</w:t>
      </w:r>
      <w:proofErr w:type="spellEnd"/>
      <w:r w:rsidRPr="00077160">
        <w:t xml:space="preserve"> 600 mg TDS and empirical experience generated by investigators in the USA since 1995.</w:t>
      </w:r>
      <w:r w:rsidRPr="00077160">
        <w:rPr>
          <w:vertAlign w:val="superscript"/>
        </w:rPr>
        <w:footnoteReference w:id="31"/>
      </w:r>
    </w:p>
    <w:p w:rsidR="00077160" w:rsidRPr="00077160" w:rsidRDefault="00077160" w:rsidP="00077160">
      <w:pPr>
        <w:autoSpaceDE w:val="0"/>
        <w:autoSpaceDN w:val="0"/>
        <w:adjustRightInd w:val="0"/>
      </w:pPr>
      <w:r w:rsidRPr="00077160">
        <w:t xml:space="preserve">Doses of </w:t>
      </w:r>
      <w:r w:rsidR="00C6681F">
        <w:t>1,197</w:t>
      </w:r>
      <w:r w:rsidRPr="00077160">
        <w:t xml:space="preserve"> mg/day and </w:t>
      </w:r>
      <w:r w:rsidR="00C6681F">
        <w:t>2,403</w:t>
      </w:r>
      <w:r w:rsidRPr="00077160">
        <w:t xml:space="preserve"> mg/day were chosen for </w:t>
      </w:r>
      <w:r w:rsidR="009F34DD">
        <w:t xml:space="preserve">Study </w:t>
      </w:r>
      <w:r w:rsidRPr="00077160">
        <w:t xml:space="preserve">PIPF-004 and </w:t>
      </w:r>
      <w:r w:rsidR="00C6681F">
        <w:t>2,403</w:t>
      </w:r>
      <w:r w:rsidRPr="00077160">
        <w:t xml:space="preserve"> mg/day for </w:t>
      </w:r>
      <w:r w:rsidR="009F34DD">
        <w:t xml:space="preserve">Study </w:t>
      </w:r>
      <w:r w:rsidRPr="00077160">
        <w:t>PIPF</w:t>
      </w:r>
      <w:r w:rsidRPr="00077160">
        <w:noBreakHyphen/>
        <w:t xml:space="preserve">006 and </w:t>
      </w:r>
      <w:r w:rsidR="009F34DD">
        <w:t xml:space="preserve">Study </w:t>
      </w:r>
      <w:r w:rsidRPr="00077160">
        <w:t>PIPF</w:t>
      </w:r>
      <w:r w:rsidRPr="00077160">
        <w:noBreakHyphen/>
        <w:t xml:space="preserve">016. The </w:t>
      </w:r>
      <w:r w:rsidR="00C6681F">
        <w:t>2,403</w:t>
      </w:r>
      <w:r w:rsidRPr="00077160">
        <w:t xml:space="preserve"> mg dose was considered to be that needed to achieve efficacy based on previous clinical experience, and the </w:t>
      </w:r>
      <w:r w:rsidR="00C6681F">
        <w:t>1,197</w:t>
      </w:r>
      <w:r w:rsidRPr="00077160">
        <w:t xml:space="preserve"> mg dose was included for additional qualitative safety and efficacy information.</w:t>
      </w:r>
    </w:p>
    <w:p w:rsidR="008E7846" w:rsidRPr="00254787" w:rsidRDefault="008E7846" w:rsidP="008E7846">
      <w:pPr>
        <w:pStyle w:val="Heading3"/>
      </w:pPr>
      <w:bookmarkStart w:id="83" w:name="_Toc163441372"/>
      <w:bookmarkStart w:id="84" w:name="_Toc196046485"/>
      <w:bookmarkStart w:id="85" w:name="_Toc247691521"/>
      <w:bookmarkStart w:id="86" w:name="_Toc314842504"/>
      <w:bookmarkStart w:id="87" w:name="_Toc453068501"/>
      <w:r w:rsidRPr="00254787">
        <w:t>Efficacy</w:t>
      </w:r>
      <w:bookmarkEnd w:id="83"/>
      <w:bookmarkEnd w:id="84"/>
      <w:bookmarkEnd w:id="85"/>
      <w:bookmarkEnd w:id="86"/>
      <w:bookmarkEnd w:id="87"/>
    </w:p>
    <w:p w:rsidR="00605AD4" w:rsidRDefault="00605AD4" w:rsidP="00605AD4">
      <w:pPr>
        <w:pStyle w:val="Heading4"/>
      </w:pPr>
      <w:bookmarkStart w:id="88" w:name="_Toc184439992"/>
      <w:bookmarkStart w:id="89" w:name="_Toc184440279"/>
      <w:bookmarkStart w:id="90" w:name="_Toc184444657"/>
      <w:bookmarkStart w:id="91" w:name="_Toc196046487"/>
      <w:r>
        <w:t>Studies providing efficacy data</w:t>
      </w:r>
    </w:p>
    <w:p w:rsidR="004F2DC6" w:rsidRDefault="00077160" w:rsidP="00077160">
      <w:r w:rsidRPr="007F32BD">
        <w:t xml:space="preserve">There were </w:t>
      </w:r>
      <w:r w:rsidRPr="00D15F25">
        <w:t>three</w:t>
      </w:r>
      <w:r w:rsidRPr="007F32BD">
        <w:t xml:space="preserve"> Phase III </w:t>
      </w:r>
      <w:r>
        <w:t>randomised, double</w:t>
      </w:r>
      <w:r>
        <w:noBreakHyphen/>
        <w:t>blind, placebo</w:t>
      </w:r>
      <w:r>
        <w:noBreakHyphen/>
        <w:t xml:space="preserve">controlled, </w:t>
      </w:r>
      <w:r w:rsidRPr="007F32BD">
        <w:t xml:space="preserve">efficacy studies using the </w:t>
      </w:r>
      <w:proofErr w:type="spellStart"/>
      <w:r>
        <w:t>pirfenidone</w:t>
      </w:r>
      <w:proofErr w:type="spellEnd"/>
      <w:r>
        <w:t xml:space="preserve"> </w:t>
      </w:r>
      <w:r w:rsidRPr="007F32BD">
        <w:t>at the proposed dose</w:t>
      </w:r>
      <w:r>
        <w:t xml:space="preserve"> in patients with IPF. These were</w:t>
      </w:r>
      <w:r w:rsidR="004F2DC6">
        <w:t>:</w:t>
      </w:r>
    </w:p>
    <w:p w:rsidR="004F2DC6" w:rsidRPr="004F2DC6" w:rsidRDefault="004F2DC6" w:rsidP="004F2DC6">
      <w:pPr>
        <w:pStyle w:val="ListBullet"/>
      </w:pPr>
      <w:r w:rsidRPr="004F2DC6">
        <w:t>Study PIPF-004</w:t>
      </w:r>
    </w:p>
    <w:p w:rsidR="004F2DC6" w:rsidRPr="004F2DC6" w:rsidRDefault="004F2DC6" w:rsidP="004F2DC6">
      <w:pPr>
        <w:pStyle w:val="ListBullet"/>
      </w:pPr>
      <w:r w:rsidRPr="004F2DC6">
        <w:t>Study PIPF-006</w:t>
      </w:r>
    </w:p>
    <w:p w:rsidR="00077160" w:rsidRPr="004F2DC6" w:rsidRDefault="004F2DC6" w:rsidP="004F2DC6">
      <w:pPr>
        <w:pStyle w:val="ListBullet"/>
      </w:pPr>
      <w:r w:rsidRPr="004F2DC6">
        <w:t xml:space="preserve">Study </w:t>
      </w:r>
      <w:r w:rsidR="00077160" w:rsidRPr="004F2DC6">
        <w:t>PIPF-016.</w:t>
      </w:r>
    </w:p>
    <w:p w:rsidR="008E7846" w:rsidRDefault="00605AD4" w:rsidP="00605AD4">
      <w:pPr>
        <w:pStyle w:val="Heading4"/>
      </w:pPr>
      <w:r>
        <w:t>Evaluator’s conclusions on efficacy</w:t>
      </w:r>
    </w:p>
    <w:p w:rsidR="00077160" w:rsidRDefault="009F34DD" w:rsidP="00077160">
      <w:r>
        <w:t xml:space="preserve">Study </w:t>
      </w:r>
      <w:r w:rsidR="00077160">
        <w:t>PIPF</w:t>
      </w:r>
      <w:r w:rsidR="006623E5">
        <w:noBreakHyphen/>
      </w:r>
      <w:r w:rsidR="00077160">
        <w:t xml:space="preserve">004 demonstrated statistically significant difference from placebo favouring </w:t>
      </w:r>
      <w:proofErr w:type="spellStart"/>
      <w:r w:rsidR="00077160">
        <w:t>pirfenidone</w:t>
      </w:r>
      <w:proofErr w:type="spellEnd"/>
      <w:r w:rsidR="00077160">
        <w:t xml:space="preserve"> in change from </w:t>
      </w:r>
      <w:r w:rsidR="00A96408">
        <w:t>Baseline</w:t>
      </w:r>
      <w:r w:rsidR="00077160">
        <w:t xml:space="preserve"> in % predicted FVC, but in </w:t>
      </w:r>
      <w:r>
        <w:t xml:space="preserve">Study </w:t>
      </w:r>
      <w:r w:rsidR="00077160">
        <w:t>PIPF</w:t>
      </w:r>
      <w:r w:rsidR="006623E5">
        <w:noBreakHyphen/>
      </w:r>
      <w:r w:rsidR="00077160">
        <w:t>006 no significant difference was shown.</w:t>
      </w:r>
    </w:p>
    <w:p w:rsidR="00077160" w:rsidRDefault="00077160" w:rsidP="00077160">
      <w:r>
        <w:t xml:space="preserve">Small adjustments in the inclusion criteria ‘to increase the chances of disease </w:t>
      </w:r>
      <w:r w:rsidR="009F34DD">
        <w:t>progression’ were made for Study PIPF</w:t>
      </w:r>
      <w:r w:rsidR="009F34DD">
        <w:noBreakHyphen/>
      </w:r>
      <w:r>
        <w:t xml:space="preserve">016. The study was larger, with changes in the definition for disease progression and clinically relevant secondary endpoints as well as the change in the presentation of the </w:t>
      </w:r>
      <w:r w:rsidR="009F34DD">
        <w:t>primary efficacy variable. PIPF</w:t>
      </w:r>
      <w:r w:rsidR="009F34DD">
        <w:noBreakHyphen/>
      </w:r>
      <w:r>
        <w:t xml:space="preserve">016 demonstrated a statistically significant difference in change from </w:t>
      </w:r>
      <w:r w:rsidR="00A96408">
        <w:t>Baseline</w:t>
      </w:r>
      <w:r>
        <w:t xml:space="preserve"> percent predicted FVC decline ≥ 10% or death, favouring </w:t>
      </w:r>
      <w:proofErr w:type="spellStart"/>
      <w:r>
        <w:t>pirfenidone</w:t>
      </w:r>
      <w:proofErr w:type="spellEnd"/>
      <w:r>
        <w:t xml:space="preserve"> </w:t>
      </w:r>
      <w:r w:rsidR="00C6681F">
        <w:t>2,403</w:t>
      </w:r>
      <w:r>
        <w:t xml:space="preserve"> mg/day over placebo.</w:t>
      </w:r>
    </w:p>
    <w:p w:rsidR="00077160" w:rsidRDefault="00077160" w:rsidP="00077160">
      <w:r>
        <w:t xml:space="preserve">As supportive evidence, in the pooled analysis the proportion of patients with FVC decline &gt; 10% or death was significantly reduced over 1 year; </w:t>
      </w:r>
      <w:proofErr w:type="spellStart"/>
      <w:r>
        <w:t>pirfenidone</w:t>
      </w:r>
      <w:proofErr w:type="spellEnd"/>
      <w:r>
        <w:t xml:space="preserve"> 14.8% versus placebo 26.3%. Analyses for all-cause mortality were also supportive.</w:t>
      </w:r>
    </w:p>
    <w:p w:rsidR="00077160" w:rsidRPr="00077160" w:rsidRDefault="00077160" w:rsidP="00077160">
      <w:r>
        <w:lastRenderedPageBreak/>
        <w:t xml:space="preserve">For regulatory purposes in the context of current international approval, efficacy of </w:t>
      </w:r>
      <w:proofErr w:type="spellStart"/>
      <w:r>
        <w:t>pirfenidone</w:t>
      </w:r>
      <w:proofErr w:type="spellEnd"/>
      <w:r>
        <w:t xml:space="preserve"> was satisfactorily demonstrated in a patient population with a clear diagnosis of idiopathic pulmonary fibrosis. However at Round 1 it </w:t>
      </w:r>
      <w:r w:rsidR="009F34DD">
        <w:t>was</w:t>
      </w:r>
      <w:r>
        <w:t xml:space="preserve"> not clear whether this population included an appreciable number of patients with ‘severe’ disease or whether the indication should be restricted to ‘mild to moderate’ IPF, as for the EMA and Canadian approvals.</w:t>
      </w:r>
    </w:p>
    <w:p w:rsidR="008E7846" w:rsidRPr="002E238E" w:rsidRDefault="008E7846" w:rsidP="008E7846">
      <w:pPr>
        <w:pStyle w:val="Heading3"/>
      </w:pPr>
      <w:bookmarkStart w:id="92" w:name="_Toc163441378"/>
      <w:bookmarkStart w:id="93" w:name="_Toc196046495"/>
      <w:bookmarkStart w:id="94" w:name="_Toc247691522"/>
      <w:bookmarkStart w:id="95" w:name="_Toc314842505"/>
      <w:bookmarkStart w:id="96" w:name="_Toc453068502"/>
      <w:bookmarkEnd w:id="88"/>
      <w:bookmarkEnd w:id="89"/>
      <w:bookmarkEnd w:id="90"/>
      <w:bookmarkEnd w:id="91"/>
      <w:r w:rsidRPr="002E238E">
        <w:t>Safety</w:t>
      </w:r>
      <w:bookmarkEnd w:id="92"/>
      <w:bookmarkEnd w:id="93"/>
      <w:bookmarkEnd w:id="94"/>
      <w:bookmarkEnd w:id="95"/>
      <w:bookmarkEnd w:id="96"/>
    </w:p>
    <w:p w:rsidR="00605AD4" w:rsidRDefault="00605AD4" w:rsidP="00605AD4">
      <w:pPr>
        <w:pStyle w:val="Heading4"/>
      </w:pPr>
      <w:bookmarkStart w:id="97" w:name="_Toc247691524"/>
      <w:bookmarkStart w:id="98" w:name="_Toc314842508"/>
      <w:bookmarkStart w:id="99" w:name="_Toc196046504"/>
      <w:bookmarkStart w:id="100" w:name="_Toc163441390"/>
      <w:r w:rsidRPr="00605AD4">
        <w:t>Studies providing safety data</w:t>
      </w:r>
    </w:p>
    <w:p w:rsidR="00077160" w:rsidRDefault="00077160" w:rsidP="00077160">
      <w:bookmarkStart w:id="101" w:name="_Ref268776745"/>
      <w:r w:rsidRPr="007F32BD">
        <w:t>The following studies provided</w:t>
      </w:r>
      <w:r>
        <w:t xml:space="preserve"> </w:t>
      </w:r>
      <w:r w:rsidRPr="007F32BD">
        <w:t>safety data:</w:t>
      </w:r>
    </w:p>
    <w:p w:rsidR="00077160" w:rsidRDefault="00077160" w:rsidP="00381256">
      <w:pPr>
        <w:pStyle w:val="ListBullet"/>
        <w:numPr>
          <w:ilvl w:val="0"/>
          <w:numId w:val="1"/>
        </w:numPr>
      </w:pPr>
      <w:r>
        <w:t>Pivotal studies:</w:t>
      </w:r>
    </w:p>
    <w:p w:rsidR="00077160" w:rsidRDefault="009F34DD" w:rsidP="00381256">
      <w:pPr>
        <w:pStyle w:val="ListBullet2"/>
        <w:numPr>
          <w:ilvl w:val="1"/>
          <w:numId w:val="1"/>
        </w:numPr>
      </w:pPr>
      <w:r>
        <w:t xml:space="preserve">Study </w:t>
      </w:r>
      <w:r w:rsidR="00077160" w:rsidRPr="00932CD3">
        <w:t>PIPF-004</w:t>
      </w:r>
    </w:p>
    <w:p w:rsidR="00077160" w:rsidRDefault="009F34DD" w:rsidP="00381256">
      <w:pPr>
        <w:pStyle w:val="ListBullet2"/>
        <w:numPr>
          <w:ilvl w:val="1"/>
          <w:numId w:val="1"/>
        </w:numPr>
      </w:pPr>
      <w:r>
        <w:t xml:space="preserve">Study </w:t>
      </w:r>
      <w:r w:rsidR="00077160" w:rsidRPr="00932CD3">
        <w:t>PIPF-006</w:t>
      </w:r>
    </w:p>
    <w:p w:rsidR="00077160" w:rsidRDefault="009F34DD" w:rsidP="00381256">
      <w:pPr>
        <w:pStyle w:val="ListBullet2"/>
        <w:numPr>
          <w:ilvl w:val="1"/>
          <w:numId w:val="1"/>
        </w:numPr>
      </w:pPr>
      <w:r>
        <w:t xml:space="preserve">Study </w:t>
      </w:r>
      <w:r w:rsidR="00077160" w:rsidRPr="00932CD3">
        <w:t>PIPF-016</w:t>
      </w:r>
      <w:r w:rsidR="004A630C">
        <w:t>;</w:t>
      </w:r>
    </w:p>
    <w:p w:rsidR="00077160" w:rsidRDefault="009F34DD" w:rsidP="00381256">
      <w:pPr>
        <w:pStyle w:val="ListBullet"/>
        <w:numPr>
          <w:ilvl w:val="0"/>
          <w:numId w:val="1"/>
        </w:numPr>
      </w:pPr>
      <w:r>
        <w:t xml:space="preserve">Studies </w:t>
      </w:r>
      <w:r w:rsidR="00077160" w:rsidRPr="006623E5">
        <w:t>PIPF-002 and PIPF-012</w:t>
      </w:r>
      <w:r w:rsidR="00077160" w:rsidRPr="007F32BD">
        <w:t xml:space="preserve"> (cut-off 7/8/2013)</w:t>
      </w:r>
      <w:r w:rsidR="00077160">
        <w:t>;</w:t>
      </w:r>
    </w:p>
    <w:p w:rsidR="00077160" w:rsidRDefault="00E60988" w:rsidP="00381256">
      <w:pPr>
        <w:pStyle w:val="ListBullet"/>
        <w:numPr>
          <w:ilvl w:val="0"/>
          <w:numId w:val="1"/>
        </w:numPr>
      </w:pPr>
      <w:r>
        <w:t>7 Phase I</w:t>
      </w:r>
      <w:r w:rsidR="00077160" w:rsidRPr="007F32BD">
        <w:t xml:space="preserve"> studies</w:t>
      </w:r>
      <w:r w:rsidR="00077160">
        <w:t>.</w:t>
      </w:r>
    </w:p>
    <w:p w:rsidR="00077160" w:rsidRPr="00E17771" w:rsidRDefault="00077160" w:rsidP="00077160">
      <w:r w:rsidRPr="007F32BD">
        <w:t>An Integrated Safety Summary submitted to the FDA as the 2014 Resubmission Safety Update (</w:t>
      </w:r>
      <w:r w:rsidRPr="00FF441A">
        <w:t>‘2014 RSU’</w:t>
      </w:r>
      <w:r w:rsidRPr="007F32BD">
        <w:t xml:space="preserve">) was a review of </w:t>
      </w:r>
      <w:r>
        <w:t xml:space="preserve">pooled </w:t>
      </w:r>
      <w:r w:rsidRPr="007F32BD">
        <w:t xml:space="preserve">safety data, focussed on analyses of </w:t>
      </w:r>
      <w:r>
        <w:t xml:space="preserve">safety data for </w:t>
      </w:r>
      <w:proofErr w:type="spellStart"/>
      <w:r>
        <w:t>pirfenidone</w:t>
      </w:r>
      <w:proofErr w:type="spellEnd"/>
      <w:r>
        <w:t xml:space="preserve"> </w:t>
      </w:r>
      <w:r w:rsidR="00C6681F">
        <w:t>2,403</w:t>
      </w:r>
      <w:r>
        <w:t xml:space="preserve"> mg/day versus</w:t>
      </w:r>
      <w:r w:rsidRPr="007F32BD">
        <w:t xml:space="preserve"> placebo.</w:t>
      </w:r>
      <w:r>
        <w:t xml:space="preserve"> It is the source of the information summarised in this section except where results from individual studies are mentioned.</w:t>
      </w:r>
    </w:p>
    <w:p w:rsidR="00077160" w:rsidRPr="00E17771" w:rsidRDefault="00077160" w:rsidP="00077160">
      <w:pPr>
        <w:pStyle w:val="Comment"/>
      </w:pPr>
      <w:r>
        <w:rPr>
          <w:b/>
        </w:rPr>
        <w:t xml:space="preserve">Evaluator’s </w:t>
      </w:r>
      <w:r w:rsidRPr="00932CD3">
        <w:rPr>
          <w:b/>
        </w:rPr>
        <w:t>Comment</w:t>
      </w:r>
      <w:r w:rsidR="004A630C">
        <w:rPr>
          <w:b/>
        </w:rPr>
        <w:t>:</w:t>
      </w:r>
      <w:r w:rsidRPr="00932CD3">
        <w:t xml:space="preserve"> The 2014 RSU referred to data sourced from the original 2009 </w:t>
      </w:r>
      <w:proofErr w:type="gramStart"/>
      <w:r w:rsidRPr="00932CD3">
        <w:t xml:space="preserve">ISS </w:t>
      </w:r>
      <w:r w:rsidR="00A37EBB">
        <w:t xml:space="preserve"> </w:t>
      </w:r>
      <w:r>
        <w:t>but</w:t>
      </w:r>
      <w:proofErr w:type="gramEnd"/>
      <w:r>
        <w:t xml:space="preserve"> the links were not active. </w:t>
      </w:r>
      <w:r w:rsidRPr="00932CD3">
        <w:t xml:space="preserve">These aspects could not be verified by the evaluator but are accepted as evaluated </w:t>
      </w:r>
      <w:r>
        <w:t>in the CHMP report</w:t>
      </w:r>
      <w:r w:rsidRPr="00932CD3">
        <w:t>.</w:t>
      </w:r>
    </w:p>
    <w:p w:rsidR="00077160" w:rsidRPr="003B4994" w:rsidRDefault="00077160" w:rsidP="009F34DD">
      <w:pPr>
        <w:pStyle w:val="Heading4"/>
        <w:numPr>
          <w:ilvl w:val="2"/>
          <w:numId w:val="0"/>
        </w:numPr>
        <w:tabs>
          <w:tab w:val="num" w:pos="1134"/>
        </w:tabs>
        <w:adjustRightInd w:val="0"/>
        <w:snapToGrid w:val="0"/>
        <w:spacing w:before="120" w:after="120"/>
      </w:pPr>
      <w:r w:rsidRPr="003B4994">
        <w:t>Pivotal efficacy and safety studies</w:t>
      </w:r>
      <w:bookmarkEnd w:id="101"/>
    </w:p>
    <w:p w:rsidR="00077160" w:rsidRPr="007F32BD" w:rsidRDefault="00077160" w:rsidP="00077160">
      <w:r w:rsidRPr="00757BFA">
        <w:t>In the</w:t>
      </w:r>
      <w:r>
        <w:t xml:space="preserve"> pivotal </w:t>
      </w:r>
      <w:r w:rsidRPr="00757BFA">
        <w:t>studies, safety data were collected</w:t>
      </w:r>
      <w:r>
        <w:t xml:space="preserve"> as specified in study protocols</w:t>
      </w:r>
      <w:r w:rsidRPr="00757BFA">
        <w:t>:</w:t>
      </w:r>
    </w:p>
    <w:p w:rsidR="00077160" w:rsidRPr="007F32BD" w:rsidRDefault="00077160" w:rsidP="00381256">
      <w:pPr>
        <w:pStyle w:val="ListBullet"/>
        <w:numPr>
          <w:ilvl w:val="0"/>
          <w:numId w:val="1"/>
        </w:numPr>
      </w:pPr>
      <w:r w:rsidRPr="007F32BD">
        <w:t xml:space="preserve">General </w:t>
      </w:r>
      <w:r w:rsidR="009F34DD">
        <w:t>AEs</w:t>
      </w:r>
      <w:r w:rsidRPr="007F32BD">
        <w:t xml:space="preserve"> were </w:t>
      </w:r>
      <w:r>
        <w:t>recorded at every patient contact</w:t>
      </w:r>
      <w:r w:rsidRPr="007F32BD">
        <w:t>.</w:t>
      </w:r>
      <w:r>
        <w:t xml:space="preserve"> Treatment emergent AEs (TEAEs) were defined as AEs that occurred after the first dose and within 28 days of the last dose of study treatment. AEs were classified as serious or non-serious, and graded as mild, moderate, severe or life-threatening (Grades 1</w:t>
      </w:r>
      <w:r w:rsidR="006623E5">
        <w:t> to </w:t>
      </w:r>
      <w:r w:rsidR="009F34DD">
        <w:t>4)</w:t>
      </w:r>
    </w:p>
    <w:p w:rsidR="00077160" w:rsidRPr="007F32BD" w:rsidRDefault="00077160" w:rsidP="00381256">
      <w:pPr>
        <w:pStyle w:val="ListBullet"/>
        <w:numPr>
          <w:ilvl w:val="0"/>
          <w:numId w:val="1"/>
        </w:numPr>
      </w:pPr>
      <w:r w:rsidRPr="007F32BD">
        <w:t>AEs of particular interest</w:t>
      </w:r>
      <w:r>
        <w:t>,</w:t>
      </w:r>
      <w:r w:rsidRPr="007F32BD">
        <w:t xml:space="preserve"> </w:t>
      </w:r>
      <w:r>
        <w:t>including dermatologic AEs, were recorded at patient contacts</w:t>
      </w:r>
    </w:p>
    <w:p w:rsidR="00077160" w:rsidRPr="007F32BD" w:rsidRDefault="00077160" w:rsidP="00381256">
      <w:pPr>
        <w:pStyle w:val="ListBullet"/>
        <w:numPr>
          <w:ilvl w:val="0"/>
          <w:numId w:val="1"/>
        </w:numPr>
      </w:pPr>
      <w:r>
        <w:t>Standard l</w:t>
      </w:r>
      <w:r w:rsidRPr="007F32BD">
        <w:t xml:space="preserve">aboratory tests </w:t>
      </w:r>
      <w:r>
        <w:t xml:space="preserve">for haematology and chemistry. </w:t>
      </w:r>
      <w:r w:rsidRPr="00757BFA">
        <w:t xml:space="preserve">Liver </w:t>
      </w:r>
      <w:r>
        <w:t xml:space="preserve">chemistry tests were performed at pre-specified intervals </w:t>
      </w:r>
      <w:r w:rsidR="009F34DD">
        <w:t>according to the study protocol</w:t>
      </w:r>
    </w:p>
    <w:p w:rsidR="00077160" w:rsidRPr="00E17771" w:rsidRDefault="00077160" w:rsidP="00381256">
      <w:pPr>
        <w:pStyle w:val="ListBullet"/>
        <w:numPr>
          <w:ilvl w:val="0"/>
          <w:numId w:val="1"/>
        </w:numPr>
      </w:pPr>
      <w:r>
        <w:t>ECGs, physical examination, weight and vital signs.</w:t>
      </w:r>
    </w:p>
    <w:p w:rsidR="00077160" w:rsidRPr="003B4994" w:rsidRDefault="00077160" w:rsidP="00077160">
      <w:pPr>
        <w:pStyle w:val="Heading4"/>
        <w:numPr>
          <w:ilvl w:val="2"/>
          <w:numId w:val="0"/>
        </w:numPr>
        <w:tabs>
          <w:tab w:val="num" w:pos="1134"/>
        </w:tabs>
        <w:adjustRightInd w:val="0"/>
        <w:snapToGrid w:val="0"/>
        <w:spacing w:before="120" w:after="120"/>
        <w:ind w:left="1134" w:hanging="964"/>
      </w:pPr>
      <w:r w:rsidRPr="003B4994">
        <w:t>Other studies</w:t>
      </w:r>
    </w:p>
    <w:p w:rsidR="00077160" w:rsidRDefault="00077160" w:rsidP="00077160">
      <w:r w:rsidRPr="00400C48">
        <w:t>Study PIPF-012</w:t>
      </w:r>
      <w:r w:rsidR="009F34DD">
        <w:t>:</w:t>
      </w:r>
      <w:r w:rsidRPr="003B4994">
        <w:t xml:space="preserve"> As this was an extension study, ‘</w:t>
      </w:r>
      <w:r>
        <w:t>TEAEs’</w:t>
      </w:r>
      <w:r w:rsidRPr="003B4994">
        <w:t xml:space="preserve"> were defined as pre-existing AEs that worsened after the first dose in PIPF-012, or started after first dose in PIPF-012 until 28 days after last dose.</w:t>
      </w:r>
    </w:p>
    <w:p w:rsidR="006623E5" w:rsidRPr="00077160" w:rsidRDefault="006623E5" w:rsidP="00077160">
      <w:r>
        <w:t xml:space="preserve">Table </w:t>
      </w:r>
      <w:r w:rsidR="007A31D9">
        <w:t>5</w:t>
      </w:r>
      <w:r>
        <w:t xml:space="preserve"> (below) summaries the studies and collates numbers of participants in </w:t>
      </w:r>
      <w:proofErr w:type="spellStart"/>
      <w:r>
        <w:t>pirfenidone</w:t>
      </w:r>
      <w:proofErr w:type="spellEnd"/>
      <w:r>
        <w:t xml:space="preserve"> or placebo arms of studies used in </w:t>
      </w:r>
      <w:proofErr w:type="spellStart"/>
      <w:r>
        <w:t>pirfenidone</w:t>
      </w:r>
      <w:proofErr w:type="spellEnd"/>
      <w:r>
        <w:t xml:space="preserve"> clinical development.</w:t>
      </w:r>
    </w:p>
    <w:p w:rsidR="00644E77" w:rsidRPr="00644E77" w:rsidRDefault="00644E77" w:rsidP="00644E77">
      <w:pPr>
        <w:pStyle w:val="Tabletitle0"/>
      </w:pPr>
      <w:r w:rsidRPr="006623E5">
        <w:lastRenderedPageBreak/>
        <w:t xml:space="preserve">Table </w:t>
      </w:r>
      <w:r w:rsidR="007A31D9">
        <w:t>5</w:t>
      </w:r>
      <w:r w:rsidR="006623E5" w:rsidRPr="006623E5">
        <w:t>:</w:t>
      </w:r>
      <w:r w:rsidRPr="006623E5">
        <w:t xml:space="preserve"> Summary of studies in </w:t>
      </w:r>
      <w:proofErr w:type="spellStart"/>
      <w:r w:rsidRPr="006623E5">
        <w:t>pirfenidone</w:t>
      </w:r>
      <w:proofErr w:type="spellEnd"/>
      <w:r w:rsidRPr="006623E5">
        <w:t xml:space="preserve"> I</w:t>
      </w:r>
      <w:r w:rsidR="007A31D9">
        <w:t>PF clinical development program</w:t>
      </w:r>
    </w:p>
    <w:p w:rsidR="006623E5" w:rsidRDefault="00644E77" w:rsidP="00644E77">
      <w:r>
        <w:rPr>
          <w:noProof/>
          <w:lang w:eastAsia="en-AU"/>
        </w:rPr>
        <w:drawing>
          <wp:inline distT="0" distB="0" distL="0" distR="0" wp14:anchorId="7BBC1958" wp14:editId="7A2532A9">
            <wp:extent cx="4728949" cy="4804684"/>
            <wp:effectExtent l="0" t="0" r="0" b="0"/>
            <wp:docPr id="23" name="Picture 23" descr="Table 5: Summary of studies in pirfenidone IPF clinical developm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2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33066" cy="4808867"/>
                    </a:xfrm>
                    <a:prstGeom prst="rect">
                      <a:avLst/>
                    </a:prstGeom>
                    <a:noFill/>
                    <a:ln>
                      <a:noFill/>
                    </a:ln>
                  </pic:spPr>
                </pic:pic>
              </a:graphicData>
            </a:graphic>
          </wp:inline>
        </w:drawing>
      </w:r>
    </w:p>
    <w:p w:rsidR="006623E5" w:rsidRDefault="006623E5" w:rsidP="006623E5">
      <w:pPr>
        <w:pStyle w:val="Heading4"/>
      </w:pPr>
      <w:r w:rsidRPr="00605AD4">
        <w:t>Patient exposure</w:t>
      </w:r>
    </w:p>
    <w:p w:rsidR="00644E77" w:rsidRDefault="00644E77" w:rsidP="00644E77">
      <w:r>
        <w:t>T</w:t>
      </w:r>
      <w:r w:rsidR="00E60988">
        <w:t>he Phase II</w:t>
      </w:r>
      <w:r w:rsidR="009F34DD">
        <w:t xml:space="preserve"> S</w:t>
      </w:r>
      <w:r w:rsidRPr="007F32BD">
        <w:t>tudies P</w:t>
      </w:r>
      <w:r>
        <w:t>IPF</w:t>
      </w:r>
      <w:r>
        <w:noBreakHyphen/>
      </w:r>
      <w:r w:rsidRPr="007F32BD">
        <w:t xml:space="preserve">001 </w:t>
      </w:r>
      <w:r>
        <w:t>(prednisolone control) and PIPF</w:t>
      </w:r>
      <w:r>
        <w:noBreakHyphen/>
      </w:r>
      <w:r w:rsidRPr="007F32BD">
        <w:t xml:space="preserve">003 (placebo control) were both terminated </w:t>
      </w:r>
      <w:r w:rsidRPr="00400C48">
        <w:t xml:space="preserve">early. No data were located in the 2014 RISE but </w:t>
      </w:r>
      <w:r>
        <w:t>the sponsor</w:t>
      </w:r>
      <w:r w:rsidRPr="00400C48">
        <w:t xml:space="preserve"> included a brief summary</w:t>
      </w:r>
      <w:r>
        <w:t>.</w:t>
      </w:r>
    </w:p>
    <w:p w:rsidR="00644E77" w:rsidRDefault="00644E77" w:rsidP="00644E77">
      <w:r w:rsidRPr="007F32BD">
        <w:t xml:space="preserve">Subjects contributing to pooled safety data from Phase </w:t>
      </w:r>
      <w:r w:rsidR="00FF441A">
        <w:t>II and III</w:t>
      </w:r>
      <w:r w:rsidRPr="007F32BD">
        <w:t xml:space="preserve"> clinical studies had exposure as </w:t>
      </w:r>
      <w:r w:rsidR="004A630C">
        <w:t>shown in Table 6.</w:t>
      </w:r>
    </w:p>
    <w:p w:rsidR="00644E77" w:rsidRPr="006623E5" w:rsidRDefault="00644E77" w:rsidP="006623E5">
      <w:pPr>
        <w:pStyle w:val="Tabletitle0"/>
      </w:pPr>
      <w:proofErr w:type="gramStart"/>
      <w:r w:rsidRPr="006623E5">
        <w:lastRenderedPageBreak/>
        <w:t xml:space="preserve">Table </w:t>
      </w:r>
      <w:r w:rsidR="007A31D9">
        <w:t>6</w:t>
      </w:r>
      <w:r w:rsidRPr="006623E5">
        <w:t>.</w:t>
      </w:r>
      <w:proofErr w:type="gramEnd"/>
      <w:r w:rsidRPr="006623E5">
        <w:t xml:space="preserve"> Pooled safety data (patient exposure) from Phase </w:t>
      </w:r>
      <w:r w:rsidR="00FF441A">
        <w:t>II and Phase III clinical studies</w:t>
      </w:r>
    </w:p>
    <w:p w:rsidR="00644E77" w:rsidRPr="007F32BD" w:rsidRDefault="00644E77" w:rsidP="00644E77">
      <w:r>
        <w:rPr>
          <w:noProof/>
          <w:lang w:eastAsia="en-AU"/>
        </w:rPr>
        <w:drawing>
          <wp:inline distT="0" distB="0" distL="0" distR="0" wp14:anchorId="00157A9B" wp14:editId="530D2D80">
            <wp:extent cx="5106035" cy="6188710"/>
            <wp:effectExtent l="0" t="0" r="0" b="2540"/>
            <wp:docPr id="2" name="Picture 2" descr="Table 6: Pooled safety data (patient exposure) from Phase 2 and 3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6035" cy="6188710"/>
                    </a:xfrm>
                    <a:prstGeom prst="rect">
                      <a:avLst/>
                    </a:prstGeom>
                    <a:noFill/>
                    <a:ln>
                      <a:noFill/>
                    </a:ln>
                  </pic:spPr>
                </pic:pic>
              </a:graphicData>
            </a:graphic>
          </wp:inline>
        </w:drawing>
      </w:r>
    </w:p>
    <w:p w:rsidR="00644E77" w:rsidRPr="007F32BD" w:rsidRDefault="00644E77" w:rsidP="00644E77">
      <w:r w:rsidRPr="007F32BD">
        <w:t xml:space="preserve">The </w:t>
      </w:r>
      <w:r w:rsidRPr="00683C20">
        <w:t>‘Randomised patient</w:t>
      </w:r>
      <w:r w:rsidRPr="00C45D28">
        <w:rPr>
          <w:b/>
        </w:rPr>
        <w:t xml:space="preserve"> </w:t>
      </w:r>
      <w:r w:rsidRPr="00683C20">
        <w:t xml:space="preserve">subset’ </w:t>
      </w:r>
      <w:r w:rsidRPr="007F32BD">
        <w:t xml:space="preserve">was the </w:t>
      </w:r>
      <w:r w:rsidR="00C6681F">
        <w:t>2,403</w:t>
      </w:r>
      <w:r w:rsidRPr="007F32BD">
        <w:t xml:space="preserve"> mg/day </w:t>
      </w:r>
      <w:proofErr w:type="spellStart"/>
      <w:r w:rsidRPr="007F32BD">
        <w:t>pirfenidone</w:t>
      </w:r>
      <w:proofErr w:type="spellEnd"/>
      <w:r w:rsidRPr="007F32BD">
        <w:t xml:space="preserve"> </w:t>
      </w:r>
      <w:r>
        <w:t>(</w:t>
      </w:r>
      <w:r w:rsidRPr="007F32BD">
        <w:t xml:space="preserve">n = 623) and the placebo </w:t>
      </w:r>
      <w:r>
        <w:t>groups (n = 624) from PIPF-004, PIPF-006, and PIPF</w:t>
      </w:r>
      <w:r w:rsidRPr="007F32BD">
        <w:t xml:space="preserve">-016. Overall the demographics across treatment groups were well balanced. </w:t>
      </w:r>
      <w:r w:rsidRPr="00AC72B1">
        <w:t>Most of the information below focuses on information from this subset.</w:t>
      </w:r>
    </w:p>
    <w:p w:rsidR="00644E77" w:rsidRPr="007F32BD" w:rsidRDefault="00644E77" w:rsidP="00644E77">
      <w:r w:rsidRPr="007F32BD">
        <w:t>The ‘</w:t>
      </w:r>
      <w:proofErr w:type="spellStart"/>
      <w:r w:rsidRPr="00683C20">
        <w:t>Pirfenidone</w:t>
      </w:r>
      <w:proofErr w:type="spellEnd"/>
      <w:r w:rsidRPr="00683C20">
        <w:t xml:space="preserve"> patient subset’</w:t>
      </w:r>
      <w:r w:rsidRPr="007F32BD">
        <w:t xml:space="preserve"> additionally included patients fro</w:t>
      </w:r>
      <w:r w:rsidR="005246D6">
        <w:t>m PIPF-002 and PIPF</w:t>
      </w:r>
      <w:r w:rsidR="005246D6">
        <w:noBreakHyphen/>
      </w:r>
      <w:r w:rsidRPr="007F32BD">
        <w:t xml:space="preserve">012, and those treated with </w:t>
      </w:r>
      <w:proofErr w:type="spellStart"/>
      <w:r w:rsidRPr="007F32BD">
        <w:t>pirfenidone</w:t>
      </w:r>
      <w:proofErr w:type="spellEnd"/>
      <w:r w:rsidRPr="007F32BD">
        <w:t xml:space="preserve"> </w:t>
      </w:r>
      <w:r w:rsidR="00C6681F">
        <w:t>1,197</w:t>
      </w:r>
      <w:r w:rsidRPr="007F32BD">
        <w:t xml:space="preserve"> mg/day in PIPF-004 (total n = 1067, n = 980 treated with </w:t>
      </w:r>
      <w:r w:rsidR="00C6681F">
        <w:t>2,403</w:t>
      </w:r>
      <w:r w:rsidRPr="007F32BD">
        <w:t xml:space="preserve"> mg/day </w:t>
      </w:r>
      <w:proofErr w:type="spellStart"/>
      <w:r w:rsidRPr="007F32BD">
        <w:t>pirfenidone</w:t>
      </w:r>
      <w:proofErr w:type="spellEnd"/>
      <w:r w:rsidRPr="007F32BD">
        <w:t xml:space="preserve"> dose).</w:t>
      </w:r>
    </w:p>
    <w:p w:rsidR="00644E77" w:rsidRDefault="00644E77" w:rsidP="00644E77">
      <w:r w:rsidRPr="007F32BD">
        <w:t>Long-term exposure in clinical studies included 172 patients treated for at least five years.</w:t>
      </w:r>
    </w:p>
    <w:p w:rsidR="00644E77" w:rsidRPr="006623E5" w:rsidRDefault="006623E5" w:rsidP="006623E5">
      <w:pPr>
        <w:pStyle w:val="Tabletitle0"/>
      </w:pPr>
      <w:proofErr w:type="gramStart"/>
      <w:r w:rsidRPr="006623E5">
        <w:lastRenderedPageBreak/>
        <w:t xml:space="preserve">Table </w:t>
      </w:r>
      <w:r w:rsidR="004A630C">
        <w:t>7.</w:t>
      </w:r>
      <w:proofErr w:type="gramEnd"/>
      <w:r w:rsidR="007A31D9">
        <w:t xml:space="preserve"> </w:t>
      </w:r>
      <w:r w:rsidR="00644E77" w:rsidRPr="006623E5">
        <w:t xml:space="preserve">Exposure to </w:t>
      </w:r>
      <w:proofErr w:type="spellStart"/>
      <w:r w:rsidR="00644E77" w:rsidRPr="006623E5">
        <w:t>pirfenidone</w:t>
      </w:r>
      <w:proofErr w:type="spellEnd"/>
      <w:r w:rsidR="00644E77" w:rsidRPr="006623E5">
        <w:t xml:space="preserve"> </w:t>
      </w:r>
      <w:r w:rsidR="00C6681F">
        <w:t>2,403</w:t>
      </w:r>
      <w:r w:rsidR="00644E77" w:rsidRPr="006623E5">
        <w:t xml:space="preserve"> mg/day in clinical</w:t>
      </w:r>
      <w:r w:rsidR="007A31D9">
        <w:t xml:space="preserve"> studies, according to duration</w:t>
      </w:r>
    </w:p>
    <w:p w:rsidR="00644E77" w:rsidRDefault="00644E77" w:rsidP="00644E77">
      <w:r>
        <w:rPr>
          <w:noProof/>
          <w:lang w:eastAsia="en-AU"/>
        </w:rPr>
        <w:drawing>
          <wp:inline distT="0" distB="0" distL="0" distR="0" wp14:anchorId="3B977340" wp14:editId="3C2D2702">
            <wp:extent cx="5720715" cy="3204210"/>
            <wp:effectExtent l="0" t="0" r="0" b="0"/>
            <wp:docPr id="5" name="Picture 5" descr="Table 7. Exposure to pirfenidone 2403 mg/day in clinical studies, according to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0715" cy="3204210"/>
                    </a:xfrm>
                    <a:prstGeom prst="rect">
                      <a:avLst/>
                    </a:prstGeom>
                    <a:noFill/>
                    <a:ln>
                      <a:noFill/>
                    </a:ln>
                  </pic:spPr>
                </pic:pic>
              </a:graphicData>
            </a:graphic>
          </wp:inline>
        </w:drawing>
      </w:r>
    </w:p>
    <w:p w:rsidR="005246D6" w:rsidRPr="005246D6" w:rsidRDefault="004A630C" w:rsidP="005246D6">
      <w:pPr>
        <w:pStyle w:val="Tabletitle0"/>
      </w:pPr>
      <w:proofErr w:type="gramStart"/>
      <w:r>
        <w:t>Table 8.</w:t>
      </w:r>
      <w:proofErr w:type="gramEnd"/>
      <w:r>
        <w:t xml:space="preserve"> </w:t>
      </w:r>
      <w:r w:rsidR="007A31D9">
        <w:t>Summary of Patient</w:t>
      </w:r>
      <w:r w:rsidR="007A31D9">
        <w:noBreakHyphen/>
        <w:t>E</w:t>
      </w:r>
      <w:r w:rsidR="005246D6" w:rsidRPr="005246D6">
        <w:t>xpo</w:t>
      </w:r>
      <w:r w:rsidR="007A31D9">
        <w:t>sure years</w:t>
      </w:r>
    </w:p>
    <w:p w:rsidR="00644E77" w:rsidRDefault="00644E77" w:rsidP="00644E77">
      <w:r>
        <w:rPr>
          <w:noProof/>
          <w:lang w:eastAsia="en-AU"/>
        </w:rPr>
        <w:drawing>
          <wp:inline distT="0" distB="0" distL="0" distR="0" wp14:anchorId="2B3E3984" wp14:editId="0D3142DD">
            <wp:extent cx="5486400" cy="2926080"/>
            <wp:effectExtent l="0" t="0" r="0" b="7620"/>
            <wp:docPr id="20" name="Picture 20" descr="Table 8: Summary of Patient Exposur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926080"/>
                    </a:xfrm>
                    <a:prstGeom prst="rect">
                      <a:avLst/>
                    </a:prstGeom>
                    <a:noFill/>
                    <a:ln>
                      <a:noFill/>
                    </a:ln>
                  </pic:spPr>
                </pic:pic>
              </a:graphicData>
            </a:graphic>
          </wp:inline>
        </w:drawing>
      </w:r>
    </w:p>
    <w:p w:rsidR="00644E77" w:rsidRPr="00644E77" w:rsidRDefault="00644E77" w:rsidP="00644E77">
      <w:pPr>
        <w:autoSpaceDE w:val="0"/>
        <w:autoSpaceDN w:val="0"/>
        <w:adjustRightInd w:val="0"/>
        <w:rPr>
          <w:b/>
        </w:rPr>
      </w:pPr>
      <w:r w:rsidRPr="007F32BD">
        <w:t xml:space="preserve">The majority of patients (64%) had a mean daily dose of </w:t>
      </w:r>
      <w:proofErr w:type="spellStart"/>
      <w:r w:rsidRPr="007F32BD">
        <w:t>pirfenidone</w:t>
      </w:r>
      <w:proofErr w:type="spellEnd"/>
      <w:r w:rsidRPr="007F32BD">
        <w:t xml:space="preserve"> &gt; 2200 to ≤ 2600 mg/day.</w:t>
      </w:r>
    </w:p>
    <w:p w:rsidR="00605AD4" w:rsidRDefault="00605AD4" w:rsidP="00605AD4">
      <w:pPr>
        <w:pStyle w:val="Heading4"/>
      </w:pPr>
      <w:r w:rsidRPr="00605AD4">
        <w:t>Safety issues with the potential for major regulatory impact</w:t>
      </w:r>
    </w:p>
    <w:p w:rsidR="00644E77" w:rsidRPr="00644E77" w:rsidRDefault="00644E77" w:rsidP="00644E77">
      <w:r w:rsidRPr="00644E77">
        <w:t>Several issues identified during drug development and with subsequent experience have implications for safe use.</w:t>
      </w:r>
    </w:p>
    <w:p w:rsidR="00644E77" w:rsidRPr="00644E77" w:rsidRDefault="00644E77" w:rsidP="00644E77">
      <w:pPr>
        <w:pStyle w:val="Heading5"/>
        <w:rPr>
          <w:rFonts w:eastAsia="MS Mincho"/>
          <w:lang w:eastAsia="ja-JP"/>
        </w:rPr>
      </w:pPr>
      <w:bookmarkStart w:id="102" w:name="_Toc272414681"/>
      <w:bookmarkStart w:id="103" w:name="_Toc290846319"/>
      <w:bookmarkStart w:id="104" w:name="_Toc430785414"/>
      <w:r w:rsidRPr="00644E77">
        <w:rPr>
          <w:rFonts w:eastAsia="MS Mincho"/>
          <w:lang w:eastAsia="ja-JP"/>
        </w:rPr>
        <w:t>Liver toxicity</w:t>
      </w:r>
      <w:bookmarkEnd w:id="102"/>
      <w:bookmarkEnd w:id="103"/>
      <w:bookmarkEnd w:id="104"/>
    </w:p>
    <w:p w:rsidR="00644E77" w:rsidRPr="00644E77" w:rsidRDefault="00644E77" w:rsidP="00644E77">
      <w:pPr>
        <w:autoSpaceDE w:val="0"/>
        <w:autoSpaceDN w:val="0"/>
        <w:adjustRightInd w:val="0"/>
      </w:pPr>
      <w:proofErr w:type="spellStart"/>
      <w:r w:rsidRPr="00644E77">
        <w:t>Pirfenidone</w:t>
      </w:r>
      <w:proofErr w:type="spellEnd"/>
      <w:r w:rsidRPr="00644E77">
        <w:t xml:space="preserve"> has a known association with liver toxicity. Hepatic events were analysed in the cumulative datasets as adverse events of interest, for example through SMQ ‘possible drug-related hepatic disorders</w:t>
      </w:r>
      <w:r w:rsidRPr="00644E77">
        <w:noBreakHyphen/>
        <w:t xml:space="preserve">comprehensive search’. Liver related laboratory outcomes </w:t>
      </w:r>
      <w:r w:rsidRPr="00644E77">
        <w:lastRenderedPageBreak/>
        <w:t>were categorised according to specified test range values, as described in the 2012 Safety Update SAP for the assessment of potential hepatotoxicity.</w:t>
      </w:r>
    </w:p>
    <w:p w:rsidR="00644E77" w:rsidRPr="00644E77" w:rsidRDefault="00644E77" w:rsidP="00644E77">
      <w:r w:rsidRPr="00644E77">
        <w:t xml:space="preserve">In the randomised patient subset 9.5% </w:t>
      </w:r>
      <w:proofErr w:type="spellStart"/>
      <w:r w:rsidRPr="00644E77">
        <w:t>pirfenidone</w:t>
      </w:r>
      <w:proofErr w:type="spellEnd"/>
      <w:r w:rsidRPr="00644E77">
        <w:t xml:space="preserve"> patients reported hepatic TEAEs versus 4.3% for placebo. There were 6 </w:t>
      </w:r>
      <w:proofErr w:type="spellStart"/>
      <w:r w:rsidRPr="00644E77">
        <w:t>pirf</w:t>
      </w:r>
      <w:r w:rsidR="006E7E9F">
        <w:t>enidone</w:t>
      </w:r>
      <w:proofErr w:type="spellEnd"/>
      <w:r w:rsidR="006E7E9F">
        <w:t xml:space="preserve"> patients with hepatic treatment emergent (TE)</w:t>
      </w:r>
      <w:r w:rsidRPr="00644E77">
        <w:t xml:space="preserve"> </w:t>
      </w:r>
      <w:r w:rsidR="006E7E9F">
        <w:t>serious adverse events (</w:t>
      </w:r>
      <w:r w:rsidRPr="00644E77">
        <w:t>SAEs</w:t>
      </w:r>
      <w:r w:rsidR="006E7E9F">
        <w:t>)</w:t>
      </w:r>
      <w:r w:rsidRPr="00644E77">
        <w:t xml:space="preserve"> versus 1 placebo patient. Three </w:t>
      </w:r>
      <w:proofErr w:type="spellStart"/>
      <w:r w:rsidRPr="00644E77">
        <w:t>pirfenidone</w:t>
      </w:r>
      <w:proofErr w:type="spellEnd"/>
      <w:r w:rsidRPr="00644E77">
        <w:t xml:space="preserve"> patients had moderate to severely abnormal LFTs judged probably related and 2 had severe hepatitis, judged probably or possibly related. One was discontinued because of persistent GGT elevation and diagnosed with malignant hepatic neoplasm. Overall LFT elevations were more frequent and severe with </w:t>
      </w:r>
      <w:proofErr w:type="spellStart"/>
      <w:r w:rsidRPr="00644E77">
        <w:t>pirfenidone</w:t>
      </w:r>
      <w:proofErr w:type="spellEnd"/>
      <w:r w:rsidRPr="00644E77">
        <w:t xml:space="preserve"> treatment.</w:t>
      </w:r>
    </w:p>
    <w:p w:rsidR="00644E77" w:rsidRPr="00644E77" w:rsidRDefault="00644E77" w:rsidP="00644E77">
      <w:r w:rsidRPr="00644E77">
        <w:t xml:space="preserve">Notable elevations in </w:t>
      </w:r>
      <w:r w:rsidR="005F7E14">
        <w:t xml:space="preserve">aspartate transaminase (AST)/alanine transaminase (ALT) </w:t>
      </w:r>
      <w:r w:rsidRPr="00644E77">
        <w:t xml:space="preserve">tended to occur early in therapy; of 21 patients with an ALT /AST &gt; 3 x </w:t>
      </w:r>
      <w:r w:rsidR="0069137B">
        <w:t>the upper limit of normal (</w:t>
      </w:r>
      <w:r w:rsidRPr="00644E77">
        <w:t>ULN</w:t>
      </w:r>
      <w:r w:rsidR="0069137B">
        <w:t>)</w:t>
      </w:r>
      <w:r w:rsidRPr="00644E77">
        <w:t xml:space="preserve">, 14 first had ALT/AST &gt; 3 x ULN in the initial 6 months of treatment. Of 7 </w:t>
      </w:r>
      <w:proofErr w:type="spellStart"/>
      <w:r w:rsidRPr="00644E77">
        <w:t>pirfenidone</w:t>
      </w:r>
      <w:proofErr w:type="spellEnd"/>
      <w:r w:rsidRPr="00644E77">
        <w:t xml:space="preserve"> patients with ALT/AST &gt; 5 </w:t>
      </w:r>
      <w:r w:rsidR="00E60988">
        <w:rPr>
          <w:rFonts w:hint="eastAsia"/>
        </w:rPr>
        <w:t>x</w:t>
      </w:r>
      <w:r w:rsidRPr="00644E77">
        <w:t xml:space="preserve"> ULN, 5 patients first had that elevation in the first 6 months; 2 patients had smaller elevations (Grade 1, mild, up to 3 x </w:t>
      </w:r>
      <w:proofErr w:type="gramStart"/>
      <w:r w:rsidRPr="00644E77">
        <w:t>ULN )</w:t>
      </w:r>
      <w:proofErr w:type="gramEnd"/>
      <w:r w:rsidRPr="00644E77">
        <w:t xml:space="preserve"> at </w:t>
      </w:r>
      <w:r w:rsidR="00A96408">
        <w:t>Baseline</w:t>
      </w:r>
      <w:r w:rsidRPr="00644E77">
        <w:t xml:space="preserve"> and during the initial 6 months of treatment. For ALT/AST &gt;3 and &lt; 5 x ULN (in the absence of symptoms or bilirubin &gt; 2 </w:t>
      </w:r>
      <w:r w:rsidR="00E60988">
        <w:rPr>
          <w:rFonts w:hint="eastAsia"/>
        </w:rPr>
        <w:t>x</w:t>
      </w:r>
      <w:r w:rsidRPr="00644E77">
        <w:t xml:space="preserve"> ULN), the protocols allowed dose reduction or interruption if clinically appropriate, with subsequent re-titration to full dose, as tolerated. Of 15 patients in this category 12 were on </w:t>
      </w:r>
      <w:proofErr w:type="spellStart"/>
      <w:r w:rsidRPr="00644E77">
        <w:t>pirfenidone</w:t>
      </w:r>
      <w:proofErr w:type="spellEnd"/>
      <w:r w:rsidRPr="00644E77">
        <w:t xml:space="preserve"> at completion of study, 7 on full dose.</w:t>
      </w:r>
    </w:p>
    <w:p w:rsidR="00644E77" w:rsidRPr="00644E77" w:rsidRDefault="00644E77" w:rsidP="00644E77">
      <w:r w:rsidRPr="00644E77">
        <w:t xml:space="preserve">Data from the </w:t>
      </w:r>
      <w:proofErr w:type="spellStart"/>
      <w:r w:rsidRPr="00644E77">
        <w:t>pirfenidone</w:t>
      </w:r>
      <w:proofErr w:type="spellEnd"/>
      <w:r w:rsidRPr="00644E77">
        <w:t xml:space="preserve"> patient subset indicated that adjusted incidence rates did not increase with longer term exposure.</w:t>
      </w:r>
    </w:p>
    <w:p w:rsidR="00644E77" w:rsidRPr="00644E77" w:rsidRDefault="00644E77" w:rsidP="00644E77">
      <w:r w:rsidRPr="00644E77">
        <w:t xml:space="preserve">In the combined database, including Japanese Phase </w:t>
      </w:r>
      <w:r w:rsidR="00E60988">
        <w:t>II studies, PIPF</w:t>
      </w:r>
      <w:r w:rsidR="00E60988">
        <w:noBreakHyphen/>
        <w:t>016 and 2</w:t>
      </w:r>
      <w:r w:rsidR="00E60988">
        <w:noBreakHyphen/>
      </w:r>
      <w:r w:rsidRPr="00644E77">
        <w:t xml:space="preserve">market reports (total exposure approximately 15,000 patients), 4 patients met </w:t>
      </w:r>
      <w:proofErr w:type="spellStart"/>
      <w:r w:rsidRPr="00644E77">
        <w:t>Hy’s</w:t>
      </w:r>
      <w:proofErr w:type="spellEnd"/>
      <w:r w:rsidRPr="00644E77">
        <w:t xml:space="preserve"> law criteria of concomitant elevations in ALT or AST &gt; 3 </w:t>
      </w:r>
      <w:r w:rsidR="00E60988">
        <w:rPr>
          <w:rFonts w:hint="eastAsia"/>
        </w:rPr>
        <w:t>x</w:t>
      </w:r>
      <w:r w:rsidRPr="00644E77">
        <w:t xml:space="preserve"> ULN and total bilirubin &gt; 2 </w:t>
      </w:r>
      <w:r w:rsidR="00E60988">
        <w:rPr>
          <w:rFonts w:hint="eastAsia"/>
        </w:rPr>
        <w:t>x</w:t>
      </w:r>
      <w:r w:rsidRPr="00644E77">
        <w:t xml:space="preserve"> ULN in the absence of alternate explanations. In all 4 cases, liver test elevations occurred early after first exposure to </w:t>
      </w:r>
      <w:proofErr w:type="spellStart"/>
      <w:r w:rsidRPr="00644E77">
        <w:t>pirfenidone</w:t>
      </w:r>
      <w:proofErr w:type="spellEnd"/>
      <w:r w:rsidRPr="00644E77">
        <w:t xml:space="preserve"> (that is ALT &gt; 5 </w:t>
      </w:r>
      <w:r w:rsidR="00E60988">
        <w:rPr>
          <w:rFonts w:hint="eastAsia"/>
        </w:rPr>
        <w:t>x</w:t>
      </w:r>
      <w:r w:rsidRPr="00644E77">
        <w:t xml:space="preserve"> ULN by Week 13), and all showed reversal after discontinuation of </w:t>
      </w:r>
      <w:proofErr w:type="spellStart"/>
      <w:r w:rsidRPr="00644E77">
        <w:t>pirfenidone</w:t>
      </w:r>
      <w:proofErr w:type="spellEnd"/>
      <w:r w:rsidRPr="00644E77">
        <w:t>.</w:t>
      </w:r>
    </w:p>
    <w:p w:rsidR="00644E77" w:rsidRPr="00644E77" w:rsidRDefault="00644E77" w:rsidP="00644E77">
      <w:r w:rsidRPr="00644E77">
        <w:t>Regular LFT monitoring was useful for early identification and new onset symptoms such as nausea, abdominal discomfort or malaise should be considered as a warning for potentially serious LFT elevations. LFT evaluation is therefore recommended prior to initiation of therapy and then monthly for the first 6 months and 3 monthly thereafter.</w:t>
      </w:r>
    </w:p>
    <w:p w:rsidR="00644E77" w:rsidRPr="00644E77" w:rsidRDefault="00644E77" w:rsidP="00644E77">
      <w:pPr>
        <w:ind w:left="1134" w:hanging="1134"/>
        <w:rPr>
          <w:rFonts w:asciiTheme="minorHAnsi" w:hAnsiTheme="minorHAnsi" w:cstheme="minorHAnsi"/>
          <w:b/>
        </w:rPr>
      </w:pPr>
      <w:r w:rsidRPr="00644E77">
        <w:rPr>
          <w:rFonts w:asciiTheme="minorHAnsi" w:hAnsiTheme="minorHAnsi" w:cstheme="minorHAnsi"/>
          <w:b/>
        </w:rPr>
        <w:t xml:space="preserve">Evaluator’s comment: </w:t>
      </w:r>
      <w:r w:rsidR="00E60988">
        <w:t>Advice from the Phase III</w:t>
      </w:r>
      <w:r w:rsidRPr="00644E77">
        <w:t xml:space="preserve"> study protocols is the basis of the PI recommendations for managing drug dosage with elevation of LFTs.</w:t>
      </w:r>
      <w:r w:rsidR="006B0746">
        <w:t xml:space="preserve"> </w:t>
      </w:r>
      <w:r w:rsidRPr="00644E77">
        <w:t xml:space="preserve">The </w:t>
      </w:r>
      <w:r w:rsidR="00E60988">
        <w:t>sponsor</w:t>
      </w:r>
      <w:r w:rsidRPr="00644E77">
        <w:t xml:space="preserve">’s recommendation in 2014 RSU are: </w:t>
      </w:r>
    </w:p>
    <w:p w:rsidR="00644E77" w:rsidRPr="00644E77" w:rsidRDefault="00644E77" w:rsidP="00644E77">
      <w:pPr>
        <w:ind w:left="360" w:hanging="360"/>
      </w:pPr>
      <w:r w:rsidRPr="00644E77">
        <w:t xml:space="preserve">LFTs 3-5 x ULN, bilirubin normal; cease confounding medications </w:t>
      </w:r>
      <w:r w:rsidR="00E60988">
        <w:t>and</w:t>
      </w:r>
      <w:r w:rsidRPr="00644E77">
        <w:t xml:space="preserve"> monitor closely, and interrupt or reduce and ti</w:t>
      </w:r>
      <w:r w:rsidR="004A630C">
        <w:t xml:space="preserve">trate </w:t>
      </w:r>
      <w:proofErr w:type="spellStart"/>
      <w:r w:rsidR="004A630C">
        <w:t>pirfenidone</w:t>
      </w:r>
      <w:proofErr w:type="spellEnd"/>
      <w:r w:rsidR="004A630C">
        <w:t xml:space="preserve"> as necessary.</w:t>
      </w:r>
    </w:p>
    <w:p w:rsidR="00644E77" w:rsidRPr="00644E77" w:rsidRDefault="00644E77" w:rsidP="00644E77">
      <w:pPr>
        <w:ind w:left="360" w:hanging="360"/>
      </w:pPr>
      <w:r w:rsidRPr="00644E77">
        <w:t>LFTs 3-5 x ULN with symptoms or elevated bilirubin; permanently discontinue.</w:t>
      </w:r>
    </w:p>
    <w:p w:rsidR="00644E77" w:rsidRPr="00644E77" w:rsidRDefault="00644E77" w:rsidP="00644E77">
      <w:pPr>
        <w:ind w:left="360" w:hanging="360"/>
      </w:pPr>
      <w:r w:rsidRPr="00644E77">
        <w:t>ALT/AST &gt; 5</w:t>
      </w:r>
      <w:r w:rsidR="00E60988">
        <w:t> </w:t>
      </w:r>
      <w:r w:rsidRPr="00644E77">
        <w:t>x ULN; permanently discontinue.</w:t>
      </w:r>
    </w:p>
    <w:p w:rsidR="00644E77" w:rsidRPr="00644E77" w:rsidRDefault="00644E77" w:rsidP="00644E77">
      <w:pPr>
        <w:pStyle w:val="Heading5"/>
        <w:rPr>
          <w:rFonts w:eastAsia="MS Mincho"/>
          <w:lang w:eastAsia="ja-JP"/>
        </w:rPr>
      </w:pPr>
      <w:bookmarkStart w:id="105" w:name="_Toc272414682"/>
      <w:bookmarkStart w:id="106" w:name="_Toc290846320"/>
      <w:bookmarkStart w:id="107" w:name="_Toc430785415"/>
      <w:r w:rsidRPr="00644E77">
        <w:rPr>
          <w:rFonts w:eastAsia="MS Mincho"/>
          <w:lang w:eastAsia="ja-JP"/>
        </w:rPr>
        <w:t>Haematological toxicity</w:t>
      </w:r>
      <w:bookmarkEnd w:id="105"/>
      <w:bookmarkEnd w:id="106"/>
      <w:bookmarkEnd w:id="107"/>
    </w:p>
    <w:p w:rsidR="00644E77" w:rsidRPr="00644E77" w:rsidRDefault="00644E77" w:rsidP="00644E77">
      <w:r w:rsidRPr="00644E77">
        <w:t xml:space="preserve">There were occasional reports of haematological abnormalities in the clinical development program. There were 3 reports of SAE of agranulocytosis in the post-marketing experience (as of 28 February 2014). Each event occurred within 2 months after the start of </w:t>
      </w:r>
      <w:proofErr w:type="spellStart"/>
      <w:r w:rsidRPr="00644E77">
        <w:t>pirfenidone</w:t>
      </w:r>
      <w:proofErr w:type="spellEnd"/>
      <w:r w:rsidRPr="00644E77">
        <w:t xml:space="preserve"> treatment.</w:t>
      </w:r>
      <w:r w:rsidR="003548DC">
        <w:t xml:space="preserve"> </w:t>
      </w:r>
      <w:r w:rsidRPr="00644E77">
        <w:t xml:space="preserve">Each patient’s neutrophil count normalized when </w:t>
      </w:r>
      <w:proofErr w:type="spellStart"/>
      <w:r w:rsidRPr="00644E77">
        <w:t>pirfenidone</w:t>
      </w:r>
      <w:proofErr w:type="spellEnd"/>
      <w:r w:rsidRPr="00644E77">
        <w:t xml:space="preserve"> was discontinued.</w:t>
      </w:r>
    </w:p>
    <w:p w:rsidR="00644E77" w:rsidRPr="00644E77" w:rsidRDefault="00644E77" w:rsidP="00644E77">
      <w:pPr>
        <w:pStyle w:val="Heading5"/>
        <w:rPr>
          <w:rFonts w:eastAsia="MS Mincho"/>
          <w:lang w:eastAsia="ja-JP"/>
        </w:rPr>
      </w:pPr>
      <w:bookmarkStart w:id="108" w:name="_Toc272414683"/>
      <w:bookmarkStart w:id="109" w:name="_Toc290846321"/>
      <w:bookmarkStart w:id="110" w:name="_Toc430785416"/>
      <w:r w:rsidRPr="00644E77">
        <w:rPr>
          <w:rFonts w:eastAsia="MS Mincho"/>
          <w:lang w:eastAsia="ja-JP"/>
        </w:rPr>
        <w:t>Serious skin reactions</w:t>
      </w:r>
      <w:bookmarkEnd w:id="108"/>
      <w:bookmarkEnd w:id="109"/>
      <w:bookmarkEnd w:id="110"/>
    </w:p>
    <w:p w:rsidR="00644E77" w:rsidRPr="00644E77" w:rsidRDefault="00644E77" w:rsidP="00644E77">
      <w:r w:rsidRPr="00644E77">
        <w:t xml:space="preserve">Photosensitivity reaction was reported for 9.3% of </w:t>
      </w:r>
      <w:proofErr w:type="spellStart"/>
      <w:r w:rsidRPr="00644E77">
        <w:t>pirfenidone</w:t>
      </w:r>
      <w:proofErr w:type="spellEnd"/>
      <w:r w:rsidRPr="00644E77">
        <w:t xml:space="preserve"> patients and 1.1% of placebo patients in the randomised patient subset, most within the initial 6 months. In the </w:t>
      </w:r>
      <w:proofErr w:type="spellStart"/>
      <w:r w:rsidRPr="00644E77">
        <w:t>pirfenidone</w:t>
      </w:r>
      <w:proofErr w:type="spellEnd"/>
      <w:r w:rsidRPr="00644E77">
        <w:t xml:space="preserve"> group, one patient had a TE SAE. Rash was reported for 30.3% of </w:t>
      </w:r>
      <w:proofErr w:type="spellStart"/>
      <w:r w:rsidRPr="00644E77">
        <w:t>pirfenidone</w:t>
      </w:r>
      <w:proofErr w:type="spellEnd"/>
      <w:r w:rsidRPr="00644E77">
        <w:t xml:space="preserve"> patients (1 patient had </w:t>
      </w:r>
      <w:r w:rsidR="0069137B">
        <w:t xml:space="preserve">a </w:t>
      </w:r>
      <w:r w:rsidRPr="00644E77">
        <w:t xml:space="preserve">SAE) and 10.3% of placebo patients. The narratives for patients </w:t>
      </w:r>
      <w:r w:rsidRPr="00644E77">
        <w:lastRenderedPageBreak/>
        <w:t>with individual skin SAEs were not accessible. The PI notes that patients must be protected from sunlight.</w:t>
      </w:r>
    </w:p>
    <w:p w:rsidR="00644E77" w:rsidRPr="00644E77" w:rsidRDefault="00644E77" w:rsidP="00644E77">
      <w:pPr>
        <w:pStyle w:val="Heading5"/>
        <w:rPr>
          <w:rFonts w:eastAsia="MS Mincho"/>
          <w:lang w:eastAsia="ja-JP"/>
        </w:rPr>
      </w:pPr>
      <w:bookmarkStart w:id="111" w:name="_Toc272414684"/>
      <w:bookmarkStart w:id="112" w:name="_Toc290846322"/>
      <w:bookmarkStart w:id="113" w:name="_Toc430785417"/>
      <w:r w:rsidRPr="00644E77">
        <w:rPr>
          <w:rFonts w:eastAsia="MS Mincho"/>
          <w:lang w:eastAsia="ja-JP"/>
        </w:rPr>
        <w:t>Cardiovascular safety</w:t>
      </w:r>
      <w:bookmarkEnd w:id="111"/>
      <w:bookmarkEnd w:id="112"/>
      <w:bookmarkEnd w:id="113"/>
    </w:p>
    <w:p w:rsidR="00644E77" w:rsidRPr="00644E77" w:rsidRDefault="00644E77" w:rsidP="00644E77">
      <w:r w:rsidRPr="00644E77">
        <w:t>In cumulative data for the randomised patient subset there was an imbalance in cardiac arrhythmias</w:t>
      </w:r>
      <w:r w:rsidR="003548DC">
        <w:t xml:space="preserve"> </w:t>
      </w:r>
      <w:r w:rsidRPr="00644E77">
        <w:t xml:space="preserve">(pirfenidone14.4% versus 8% placebo) and valvular incompetence (1.1% versus 0.6%; 1 SAE of mitral valve incompetence in a patient on </w:t>
      </w:r>
      <w:proofErr w:type="spellStart"/>
      <w:r w:rsidRPr="00644E77">
        <w:t>pirfenidone</w:t>
      </w:r>
      <w:proofErr w:type="spellEnd"/>
      <w:r w:rsidRPr="00644E77">
        <w:t xml:space="preserve">). Types of arrhythmia events were diverse and numbers were low for specific events. The </w:t>
      </w:r>
      <w:proofErr w:type="spellStart"/>
      <w:r w:rsidRPr="00644E77">
        <w:t>pirfenidone</w:t>
      </w:r>
      <w:proofErr w:type="spellEnd"/>
      <w:r w:rsidRPr="00644E77">
        <w:t xml:space="preserve"> group recorded 1 death (myocardial infarction) versus 4 deaths from cardiac disorders in the placebo group, with an additional death in the placebo group assessed by MAC as sudden cardiac death. In the cumulative </w:t>
      </w:r>
      <w:proofErr w:type="spellStart"/>
      <w:r w:rsidRPr="00644E77">
        <w:t>pirfenidone</w:t>
      </w:r>
      <w:proofErr w:type="spellEnd"/>
      <w:r w:rsidRPr="00644E77">
        <w:t xml:space="preserve"> patient subset 13 additional cardiac deaths were identified in the long-term safety studies PIPF</w:t>
      </w:r>
      <w:r w:rsidRPr="00644E77">
        <w:noBreakHyphen/>
        <w:t>002 and PIPF</w:t>
      </w:r>
      <w:r w:rsidRPr="00644E77">
        <w:noBreakHyphen/>
        <w:t xml:space="preserve">012, all with a medical history of cardiac disease or risk factors prior to </w:t>
      </w:r>
      <w:proofErr w:type="spellStart"/>
      <w:r w:rsidRPr="00644E77">
        <w:t>pirfenidone</w:t>
      </w:r>
      <w:proofErr w:type="spellEnd"/>
      <w:r w:rsidRPr="00644E77">
        <w:t xml:space="preserve"> treatment.</w:t>
      </w:r>
    </w:p>
    <w:p w:rsidR="00644E77" w:rsidRPr="00644E77" w:rsidRDefault="00644E77" w:rsidP="00644E77">
      <w:r w:rsidRPr="00644E77">
        <w:t xml:space="preserve">Review by independent cardiology experts concluded that there was no clear evidence of an effect of </w:t>
      </w:r>
      <w:proofErr w:type="spellStart"/>
      <w:r w:rsidRPr="00644E77">
        <w:t>pirfenidone</w:t>
      </w:r>
      <w:proofErr w:type="spellEnd"/>
      <w:r w:rsidRPr="00644E77">
        <w:t xml:space="preserve"> on heart rate, cardiac depolarization, QT prolongation, or electrocardiographic morphology.</w:t>
      </w:r>
    </w:p>
    <w:p w:rsidR="00644E77" w:rsidRPr="00644E77" w:rsidRDefault="00644E77" w:rsidP="00644E77">
      <w:pPr>
        <w:pStyle w:val="Heading5"/>
        <w:rPr>
          <w:rFonts w:eastAsia="MS Mincho"/>
          <w:lang w:eastAsia="ja-JP"/>
        </w:rPr>
      </w:pPr>
      <w:bookmarkStart w:id="114" w:name="_Toc241374323"/>
      <w:bookmarkStart w:id="115" w:name="_Toc272414685"/>
      <w:bookmarkStart w:id="116" w:name="_Toc290846323"/>
      <w:bookmarkStart w:id="117" w:name="_Toc430785418"/>
      <w:r w:rsidRPr="00644E77">
        <w:rPr>
          <w:rFonts w:eastAsia="MS Mincho"/>
          <w:lang w:eastAsia="ja-JP"/>
        </w:rPr>
        <w:t>Unwanted immunological events</w:t>
      </w:r>
      <w:bookmarkEnd w:id="114"/>
      <w:bookmarkEnd w:id="115"/>
      <w:bookmarkEnd w:id="116"/>
      <w:bookmarkEnd w:id="117"/>
    </w:p>
    <w:p w:rsidR="00644E77" w:rsidRPr="00644E77" w:rsidRDefault="00644E77" w:rsidP="00644E77">
      <w:r w:rsidRPr="00644E77">
        <w:t xml:space="preserve">There were 14 reports of angioedema in the post-marketing experience (as of 28 February 2014). All occurred within 3 months after the start of </w:t>
      </w:r>
      <w:proofErr w:type="spellStart"/>
      <w:r w:rsidRPr="00644E77">
        <w:t>pirfenidone</w:t>
      </w:r>
      <w:proofErr w:type="spellEnd"/>
      <w:r w:rsidRPr="00644E77">
        <w:t xml:space="preserve"> treatment. A majority of the cases were considered serious but each patient improved when </w:t>
      </w:r>
      <w:proofErr w:type="spellStart"/>
      <w:r w:rsidRPr="00644E77">
        <w:t>pirfenidone</w:t>
      </w:r>
      <w:proofErr w:type="spellEnd"/>
      <w:r w:rsidRPr="00644E77">
        <w:t xml:space="preserve"> was discontinued.</w:t>
      </w:r>
    </w:p>
    <w:p w:rsidR="00605AD4" w:rsidRDefault="00605AD4" w:rsidP="00605AD4">
      <w:pPr>
        <w:pStyle w:val="Heading4"/>
      </w:pPr>
      <w:r w:rsidRPr="00605AD4">
        <w:t>Post</w:t>
      </w:r>
      <w:r w:rsidR="00D612DA">
        <w:noBreakHyphen/>
      </w:r>
      <w:r w:rsidRPr="00605AD4">
        <w:t>marketing data</w:t>
      </w:r>
    </w:p>
    <w:p w:rsidR="00644E77" w:rsidRPr="002713DE" w:rsidRDefault="004407CB" w:rsidP="00644E77">
      <w:r>
        <w:t>Seven PSURs</w:t>
      </w:r>
      <w:r w:rsidR="00644E77">
        <w:t xml:space="preserve"> were provided</w:t>
      </w:r>
      <w:r w:rsidR="00644E77" w:rsidRPr="002713DE">
        <w:t>. The cumulative post</w:t>
      </w:r>
      <w:r w:rsidR="00644E77">
        <w:noBreakHyphen/>
      </w:r>
      <w:r w:rsidR="00644E77" w:rsidRPr="002713DE">
        <w:t>marketing exposure as of 27 February 2014 was estimated to be 13,191 patient years, a total of approximately 15,000 patients.</w:t>
      </w:r>
    </w:p>
    <w:p w:rsidR="00644E77" w:rsidRPr="002713DE" w:rsidRDefault="00644E77" w:rsidP="00644E77">
      <w:r w:rsidRPr="002713DE">
        <w:t>PSUR 4 included the case of elevated bilirubin in PIPF</w:t>
      </w:r>
      <w:r>
        <w:noBreakHyphen/>
      </w:r>
      <w:r w:rsidRPr="002713DE">
        <w:t>016 that triggered review of hepatic events</w:t>
      </w:r>
      <w:r>
        <w:t xml:space="preserve">. </w:t>
      </w:r>
      <w:r w:rsidRPr="002713DE">
        <w:t xml:space="preserve">Three other cases of </w:t>
      </w:r>
      <w:proofErr w:type="spellStart"/>
      <w:r w:rsidRPr="002713DE">
        <w:t>Hy’s</w:t>
      </w:r>
      <w:proofErr w:type="spellEnd"/>
      <w:r w:rsidRPr="002713DE">
        <w:t xml:space="preserve"> law were found as described below. Increased total serum bilirubin in conjunction with elevated AST and ALT was added to the </w:t>
      </w:r>
      <w:r w:rsidR="00A65322">
        <w:t>Summary of Product Characteristics (</w:t>
      </w:r>
      <w:r w:rsidRPr="002713DE">
        <w:t>S</w:t>
      </w:r>
      <w:r>
        <w:t>PC</w:t>
      </w:r>
      <w:r w:rsidR="00A65322">
        <w:t>)</w:t>
      </w:r>
      <w:r>
        <w:t>.</w:t>
      </w:r>
    </w:p>
    <w:p w:rsidR="00644E77" w:rsidRPr="002713DE" w:rsidRDefault="00644E77" w:rsidP="00644E77">
      <w:r w:rsidRPr="002713DE">
        <w:t>Based on reports in PSUR 5 and PSUR 6, as of 28 February 2014, two new TEAEs of interest were identified in post-marketing experience</w:t>
      </w:r>
      <w:r>
        <w:t>, added to the SPC</w:t>
      </w:r>
      <w:r w:rsidRPr="002713DE">
        <w:t xml:space="preserve"> and assessed as safety signals for </w:t>
      </w:r>
      <w:proofErr w:type="spellStart"/>
      <w:r w:rsidRPr="002713DE">
        <w:t>pirfenidone</w:t>
      </w:r>
      <w:proofErr w:type="spellEnd"/>
      <w:r w:rsidRPr="002713DE">
        <w:t>:</w:t>
      </w:r>
    </w:p>
    <w:p w:rsidR="00644E77" w:rsidRPr="00D319FB" w:rsidRDefault="00644E77" w:rsidP="00381256">
      <w:pPr>
        <w:pStyle w:val="ListBullet"/>
        <w:numPr>
          <w:ilvl w:val="0"/>
          <w:numId w:val="1"/>
        </w:numPr>
      </w:pPr>
      <w:r>
        <w:t>A</w:t>
      </w:r>
      <w:r w:rsidRPr="00D319FB">
        <w:t>granulocytosis (3 cases</w:t>
      </w:r>
      <w:r>
        <w:t xml:space="preserve"> </w:t>
      </w:r>
      <w:r w:rsidR="004A630C">
        <w:t>identified</w:t>
      </w:r>
      <w:r>
        <w:t>)</w:t>
      </w:r>
    </w:p>
    <w:p w:rsidR="00644E77" w:rsidRDefault="00644E77" w:rsidP="00381256">
      <w:pPr>
        <w:pStyle w:val="ListBullet"/>
        <w:numPr>
          <w:ilvl w:val="0"/>
          <w:numId w:val="1"/>
        </w:numPr>
      </w:pPr>
      <w:r>
        <w:t>A</w:t>
      </w:r>
      <w:r w:rsidRPr="00D319FB">
        <w:t>ngioedema (14 cases identified).</w:t>
      </w:r>
    </w:p>
    <w:p w:rsidR="00644E77" w:rsidRPr="007F32BD" w:rsidRDefault="00644E77" w:rsidP="00644E77">
      <w:r w:rsidRPr="00AC0993">
        <w:t xml:space="preserve">According to PSUR 7, </w:t>
      </w:r>
      <w:r>
        <w:t>up until</w:t>
      </w:r>
      <w:r w:rsidRPr="00AC0993">
        <w:t xml:space="preserve"> 27 August 2014 the estimated cumulative exposure in clinical trials was 1574 </w:t>
      </w:r>
      <w:r w:rsidR="004A630C" w:rsidRPr="00AC0993">
        <w:t>patients</w:t>
      </w:r>
      <w:r w:rsidRPr="00AC0993">
        <w:t xml:space="preserve"> and total post-marketing exposure was estimated to be 16,634 patient-years. There are named patient programmes and patient assistance programmes in Europe and patient registries in</w:t>
      </w:r>
      <w:r>
        <w:t xml:space="preserve"> both Canada and the Benelux. </w:t>
      </w:r>
      <w:r w:rsidRPr="00AC0993">
        <w:t xml:space="preserve">A post-authorisation safety </w:t>
      </w:r>
      <w:r w:rsidR="00E60988">
        <w:t>S</w:t>
      </w:r>
      <w:r w:rsidRPr="00AC0993">
        <w:t>tudy PIPF</w:t>
      </w:r>
      <w:r>
        <w:noBreakHyphen/>
      </w:r>
      <w:r w:rsidRPr="00AC0993">
        <w:t xml:space="preserve">025 has enrolled approximately </w:t>
      </w:r>
      <w:r w:rsidR="00B15BB5">
        <w:t>1,000</w:t>
      </w:r>
      <w:r w:rsidRPr="00AC0993">
        <w:t xml:space="preserve"> participants. Since the international birth date (IBD) of 28 February 2011, a total of 8185 su</w:t>
      </w:r>
      <w:r>
        <w:t xml:space="preserve">spected ADRs </w:t>
      </w:r>
      <w:r w:rsidRPr="00AC0993">
        <w:t>have been reported in the post-marketing surveillance period. This included 1931 (23.6%) from spontaneous reporting, literature, or regulatory authorities; 190 (2.3%) from clinical trials; and 6064 (74.1%) from solicited reporting. The majority (7161) were non</w:t>
      </w:r>
      <w:r>
        <w:noBreakHyphen/>
      </w:r>
      <w:r w:rsidRPr="00AC0993">
        <w:t>serious. The total number of ADRs increased from 5525 in PSUR 6 to 8185 in PSUR 7. This is stated to be largely due to solicited reporting and spontaneous post-marketing reports from Europe and Canada.</w:t>
      </w:r>
    </w:p>
    <w:p w:rsidR="00644E77" w:rsidRDefault="00644E77" w:rsidP="00644E77">
      <w:pPr>
        <w:autoSpaceDE w:val="0"/>
        <w:autoSpaceDN w:val="0"/>
        <w:adjustRightInd w:val="0"/>
      </w:pPr>
      <w:r>
        <w:t xml:space="preserve">Overall the pattern of </w:t>
      </w:r>
      <w:r w:rsidRPr="007F32BD">
        <w:t xml:space="preserve">the </w:t>
      </w:r>
      <w:r w:rsidRPr="00C73191">
        <w:t xml:space="preserve">post-marketing AEs </w:t>
      </w:r>
      <w:r>
        <w:t>is</w:t>
      </w:r>
      <w:r w:rsidRPr="00C73191">
        <w:t xml:space="preserve"> similar to th</w:t>
      </w:r>
      <w:r>
        <w:t>at observed in clinical trials.</w:t>
      </w:r>
    </w:p>
    <w:p w:rsidR="00644E77" w:rsidRPr="00644E77" w:rsidRDefault="00644E77" w:rsidP="00644E77">
      <w:r w:rsidRPr="00AC0993">
        <w:t>In PSUR 7 a series of cases of thrombocytopenia were reported in post</w:t>
      </w:r>
      <w:r>
        <w:noBreakHyphen/>
      </w:r>
      <w:r w:rsidRPr="00AC0993">
        <w:t xml:space="preserve">marketing surveillance. These cases lead to an investigation of thrombocytopenia as a safety signal. </w:t>
      </w:r>
      <w:r w:rsidRPr="00AC0993">
        <w:lastRenderedPageBreak/>
        <w:t>The MAH concluded that current information was not sufficient to propose any current changes to the reference safety information and that more monitoring of this signal would be required. Additionally there was mention of a potential warfarin</w:t>
      </w:r>
      <w:r>
        <w:noBreakHyphen/>
      </w:r>
      <w:proofErr w:type="spellStart"/>
      <w:r>
        <w:t>pirfenidone</w:t>
      </w:r>
      <w:proofErr w:type="spellEnd"/>
      <w:r>
        <w:t xml:space="preserve"> interaction.</w:t>
      </w:r>
    </w:p>
    <w:p w:rsidR="00605AD4" w:rsidRPr="00605AD4" w:rsidRDefault="00605AD4" w:rsidP="00605AD4">
      <w:pPr>
        <w:pStyle w:val="Heading4"/>
      </w:pPr>
      <w:r w:rsidRPr="00605AD4">
        <w:t>Evaluator’s conclusions on safety</w:t>
      </w:r>
    </w:p>
    <w:p w:rsidR="00644E77" w:rsidRPr="007F32BD" w:rsidRDefault="00644E77" w:rsidP="00644E77">
      <w:pPr>
        <w:autoSpaceDE w:val="0"/>
        <w:autoSpaceDN w:val="0"/>
        <w:adjustRightInd w:val="0"/>
      </w:pPr>
      <w:r>
        <w:t>Overall the data indicated</w:t>
      </w:r>
      <w:r w:rsidRPr="007F32BD">
        <w:t xml:space="preserve"> </w:t>
      </w:r>
      <w:r>
        <w:t xml:space="preserve">a well characterised and </w:t>
      </w:r>
      <w:r w:rsidRPr="007F32BD">
        <w:t>acceptable safety profile for IPF patients, although monitoring and effective management of adverse events will be required</w:t>
      </w:r>
      <w:r>
        <w:t>.</w:t>
      </w:r>
      <w:r w:rsidRPr="007F32BD">
        <w:t xml:space="preserve"> </w:t>
      </w:r>
      <w:r w:rsidR="00E60988">
        <w:t xml:space="preserve">Dose </w:t>
      </w:r>
      <w:r>
        <w:t xml:space="preserve">adjustments may be needed soon after initiation and this is important </w:t>
      </w:r>
      <w:r w:rsidRPr="007F32BD">
        <w:t>for the proposed us</w:t>
      </w:r>
      <w:r>
        <w:t>ag</w:t>
      </w:r>
      <w:r w:rsidRPr="007F32BD">
        <w:t>e</w:t>
      </w:r>
      <w:r>
        <w:t>.</w:t>
      </w:r>
    </w:p>
    <w:p w:rsidR="00605AD4" w:rsidRPr="00605AD4" w:rsidRDefault="00644E77" w:rsidP="00644E77">
      <w:pPr>
        <w:autoSpaceDE w:val="0"/>
        <w:autoSpaceDN w:val="0"/>
        <w:adjustRightInd w:val="0"/>
      </w:pPr>
      <w:r w:rsidRPr="007F32BD">
        <w:t>Occurrence of common AEs such as GI and CNS responses may be amenable to measures to improve tolera</w:t>
      </w:r>
      <w:r>
        <w:t>bility,</w:t>
      </w:r>
      <w:r w:rsidRPr="007F32BD">
        <w:t xml:space="preserve"> such as dose escalation and dosing wit</w:t>
      </w:r>
      <w:r>
        <w:t>h food as recommended in the PI.</w:t>
      </w:r>
      <w:r w:rsidRPr="007F32BD">
        <w:t xml:space="preserve"> </w:t>
      </w:r>
      <w:r>
        <w:t>D</w:t>
      </w:r>
      <w:r w:rsidRPr="007F32BD">
        <w:t>ose reduction</w:t>
      </w:r>
      <w:r>
        <w:t xml:space="preserve"> or interruption might be required to allow recovery and subsequent dose titration. </w:t>
      </w:r>
      <w:r w:rsidRPr="007F32BD">
        <w:t>Some AEs require prompt assessment to avoi</w:t>
      </w:r>
      <w:r>
        <w:t>d serious clinical consequences.</w:t>
      </w:r>
      <w:r w:rsidRPr="007F32BD">
        <w:t xml:space="preserve"> </w:t>
      </w:r>
      <w:r>
        <w:t>T</w:t>
      </w:r>
      <w:r w:rsidRPr="007F32BD">
        <w:t xml:space="preserve">he onset of </w:t>
      </w:r>
      <w:r>
        <w:t>an</w:t>
      </w:r>
      <w:r w:rsidRPr="007F32BD">
        <w:t xml:space="preserve"> adverse event need</w:t>
      </w:r>
      <w:r>
        <w:t>s</w:t>
      </w:r>
      <w:r w:rsidRPr="007F32BD">
        <w:t xml:space="preserve"> to be recognised as a potential reaction to </w:t>
      </w:r>
      <w:proofErr w:type="spellStart"/>
      <w:r w:rsidRPr="007F32BD">
        <w:t>pirfenidone</w:t>
      </w:r>
      <w:proofErr w:type="spellEnd"/>
      <w:r w:rsidRPr="007F32BD">
        <w:t xml:space="preserve"> that might require discontinuation or dose reduction.</w:t>
      </w:r>
    </w:p>
    <w:p w:rsidR="00605AD4" w:rsidRPr="00605AD4" w:rsidRDefault="00605AD4" w:rsidP="00605AD4">
      <w:pPr>
        <w:pStyle w:val="Heading3"/>
        <w:rPr>
          <w:rFonts w:eastAsia="Cambria"/>
        </w:rPr>
      </w:pPr>
      <w:bookmarkStart w:id="118" w:name="_Toc453068503"/>
      <w:r w:rsidRPr="00605AD4">
        <w:rPr>
          <w:rFonts w:eastAsia="Cambria"/>
        </w:rPr>
        <w:t>First Round Benefit-Risk Assessment</w:t>
      </w:r>
      <w:bookmarkEnd w:id="118"/>
    </w:p>
    <w:p w:rsidR="00605AD4" w:rsidRDefault="00605AD4" w:rsidP="00605AD4">
      <w:pPr>
        <w:pStyle w:val="Heading4"/>
      </w:pPr>
      <w:r w:rsidRPr="00605AD4">
        <w:t>First round assessment of benefits</w:t>
      </w:r>
    </w:p>
    <w:p w:rsidR="00644E77" w:rsidRPr="00644E77" w:rsidRDefault="00644E77" w:rsidP="00644E77">
      <w:r w:rsidRPr="00644E77">
        <w:t xml:space="preserve">The benefits of </w:t>
      </w:r>
      <w:proofErr w:type="spellStart"/>
      <w:r w:rsidRPr="00644E77">
        <w:t>pirfenidone</w:t>
      </w:r>
      <w:proofErr w:type="spellEnd"/>
      <w:r w:rsidRPr="00644E77">
        <w:t xml:space="preserve"> in the proposed usage in patients with IPF include:</w:t>
      </w:r>
    </w:p>
    <w:p w:rsidR="00644E77" w:rsidRPr="00644E77" w:rsidRDefault="00644E77" w:rsidP="00687E0D">
      <w:pPr>
        <w:pStyle w:val="ListBullet"/>
      </w:pPr>
      <w:r w:rsidRPr="00644E77">
        <w:t>Reduction in the decline of percent predicted FVC</w:t>
      </w:r>
    </w:p>
    <w:p w:rsidR="00644E77" w:rsidRPr="00644E77" w:rsidRDefault="00644E77" w:rsidP="00687E0D">
      <w:pPr>
        <w:pStyle w:val="ListBullet"/>
      </w:pPr>
      <w:r w:rsidRPr="00644E77">
        <w:t>increased proportion of patients with improved exercise tolerance, (for example 6-MWT)</w:t>
      </w:r>
    </w:p>
    <w:p w:rsidR="00644E77" w:rsidRPr="00644E77" w:rsidRDefault="00644E77" w:rsidP="00644E77">
      <w:pPr>
        <w:pStyle w:val="ListBullet"/>
      </w:pPr>
      <w:proofErr w:type="gramStart"/>
      <w:r w:rsidRPr="00644E77">
        <w:t>in</w:t>
      </w:r>
      <w:proofErr w:type="gramEnd"/>
      <w:r w:rsidRPr="00644E77">
        <w:t xml:space="preserve"> pooled analyses, suggestion of reduction in mortality.</w:t>
      </w:r>
    </w:p>
    <w:p w:rsidR="00605AD4" w:rsidRDefault="00605AD4" w:rsidP="00605AD4">
      <w:pPr>
        <w:pStyle w:val="Heading4"/>
      </w:pPr>
      <w:r w:rsidRPr="00605AD4">
        <w:t>First round assessment of risks</w:t>
      </w:r>
    </w:p>
    <w:p w:rsidR="00687E0D" w:rsidRDefault="00687E0D" w:rsidP="00687E0D">
      <w:r>
        <w:t xml:space="preserve">The risks of </w:t>
      </w:r>
      <w:proofErr w:type="spellStart"/>
      <w:r>
        <w:t>pirfenidone</w:t>
      </w:r>
      <w:proofErr w:type="spellEnd"/>
      <w:r>
        <w:t xml:space="preserve"> in the proposed usage are:</w:t>
      </w:r>
    </w:p>
    <w:p w:rsidR="00687E0D" w:rsidRDefault="00687E0D" w:rsidP="00687E0D">
      <w:pPr>
        <w:pStyle w:val="ListBullet"/>
      </w:pPr>
      <w:r>
        <w:t>Well characterised GI, CNS and hepatic adverse events that can generally be managed in clinical practice</w:t>
      </w:r>
    </w:p>
    <w:p w:rsidR="00687E0D" w:rsidRPr="00687E0D" w:rsidRDefault="00687E0D" w:rsidP="00687E0D">
      <w:pPr>
        <w:pStyle w:val="ListBullet"/>
      </w:pPr>
      <w:proofErr w:type="gramStart"/>
      <w:r>
        <w:t>drug</w:t>
      </w:r>
      <w:proofErr w:type="gramEnd"/>
      <w:r>
        <w:t xml:space="preserve"> interactions.</w:t>
      </w:r>
    </w:p>
    <w:p w:rsidR="00605AD4" w:rsidRPr="00605AD4" w:rsidRDefault="00605AD4" w:rsidP="00605AD4">
      <w:pPr>
        <w:pStyle w:val="Heading4"/>
      </w:pPr>
      <w:r w:rsidRPr="00605AD4">
        <w:t>First round assessment of benefit-risk balance</w:t>
      </w:r>
    </w:p>
    <w:p w:rsidR="00605AD4" w:rsidRPr="00687E0D" w:rsidRDefault="00687E0D" w:rsidP="00687E0D">
      <w:r w:rsidRPr="00687E0D">
        <w:t>The benefit</w:t>
      </w:r>
      <w:r w:rsidRPr="00687E0D">
        <w:noBreakHyphen/>
        <w:t xml:space="preserve">risk balance of </w:t>
      </w:r>
      <w:proofErr w:type="spellStart"/>
      <w:r w:rsidRPr="00687E0D">
        <w:t>pirfenidone</w:t>
      </w:r>
      <w:proofErr w:type="spellEnd"/>
      <w:r w:rsidRPr="00687E0D">
        <w:t xml:space="preserve">, given the proposed usage, </w:t>
      </w:r>
      <w:r w:rsidR="00FF441A">
        <w:t>was deemed</w:t>
      </w:r>
      <w:r w:rsidRPr="00687E0D">
        <w:t xml:space="preserve"> favourable at Round 1</w:t>
      </w:r>
      <w:r w:rsidR="00FF441A">
        <w:t xml:space="preserve"> by the clinical evaluator</w:t>
      </w:r>
      <w:r w:rsidRPr="00687E0D">
        <w:t>.</w:t>
      </w:r>
    </w:p>
    <w:p w:rsidR="00605AD4" w:rsidRPr="00605AD4" w:rsidRDefault="00605AD4" w:rsidP="00605AD4">
      <w:pPr>
        <w:pStyle w:val="Heading3"/>
        <w:rPr>
          <w:rFonts w:eastAsia="Cambria"/>
        </w:rPr>
      </w:pPr>
      <w:bookmarkStart w:id="119" w:name="_Toc453068504"/>
      <w:r w:rsidRPr="00605AD4">
        <w:rPr>
          <w:rFonts w:eastAsia="Cambria"/>
        </w:rPr>
        <w:t>First Round Recommendation Regarding Authorisation</w:t>
      </w:r>
      <w:bookmarkEnd w:id="119"/>
    </w:p>
    <w:p w:rsidR="00605AD4" w:rsidRPr="00605AD4" w:rsidRDefault="00687E0D" w:rsidP="00605AD4">
      <w:r>
        <w:t xml:space="preserve">At Round 1, recommendation for registration of </w:t>
      </w:r>
      <w:proofErr w:type="spellStart"/>
      <w:r>
        <w:t>pirfenidone</w:t>
      </w:r>
      <w:proofErr w:type="spellEnd"/>
      <w:r>
        <w:t xml:space="preserve"> for IPF </w:t>
      </w:r>
      <w:r w:rsidR="00A65322">
        <w:t>was</w:t>
      </w:r>
      <w:r>
        <w:t xml:space="preserve"> expected, subject to </w:t>
      </w:r>
      <w:r w:rsidR="0022519B">
        <w:t xml:space="preserve">satisfactory </w:t>
      </w:r>
      <w:r>
        <w:t>responses to questions</w:t>
      </w:r>
      <w:r w:rsidR="00A65322">
        <w:t xml:space="preserve"> (see clinical questions below)</w:t>
      </w:r>
      <w:r>
        <w:t xml:space="preserve"> and satisfactory amendments</w:t>
      </w:r>
      <w:r w:rsidR="00A65322">
        <w:t xml:space="preserve"> </w:t>
      </w:r>
      <w:r>
        <w:t>to the PI</w:t>
      </w:r>
      <w:r w:rsidR="00A65322">
        <w:t xml:space="preserve"> (details of which are beyond the scope of this </w:t>
      </w:r>
      <w:proofErr w:type="spellStart"/>
      <w:r w:rsidR="00A65322">
        <w:t>AusPAR</w:t>
      </w:r>
      <w:proofErr w:type="spellEnd"/>
      <w:r w:rsidR="00A65322">
        <w:t>)</w:t>
      </w:r>
      <w:r>
        <w:t>.</w:t>
      </w:r>
    </w:p>
    <w:p w:rsidR="00605AD4" w:rsidRPr="00605AD4" w:rsidRDefault="00605AD4" w:rsidP="00605AD4">
      <w:pPr>
        <w:pStyle w:val="Heading3"/>
        <w:rPr>
          <w:rFonts w:eastAsia="Cambria"/>
        </w:rPr>
      </w:pPr>
      <w:bookmarkStart w:id="120" w:name="_Toc453068505"/>
      <w:r w:rsidRPr="00605AD4">
        <w:rPr>
          <w:rFonts w:eastAsia="Cambria"/>
        </w:rPr>
        <w:lastRenderedPageBreak/>
        <w:t>Clinical Questions</w:t>
      </w:r>
      <w:bookmarkEnd w:id="120"/>
    </w:p>
    <w:p w:rsidR="00687E0D" w:rsidRPr="00687E0D" w:rsidRDefault="00687E0D" w:rsidP="004A630C">
      <w:pPr>
        <w:pStyle w:val="Heading4"/>
      </w:pPr>
      <w:bookmarkStart w:id="121" w:name="_Toc430785443"/>
      <w:bookmarkStart w:id="122" w:name="_Toc290846340"/>
      <w:bookmarkStart w:id="123" w:name="_Toc272414700"/>
      <w:bookmarkStart w:id="124" w:name="_Ref272312341"/>
      <w:r w:rsidRPr="00687E0D">
        <w:t>Additional expert input</w:t>
      </w:r>
      <w:bookmarkEnd w:id="121"/>
      <w:bookmarkEnd w:id="122"/>
      <w:bookmarkEnd w:id="123"/>
      <w:bookmarkEnd w:id="124"/>
    </w:p>
    <w:p w:rsidR="00687E0D" w:rsidRPr="00687E0D" w:rsidRDefault="00687E0D" w:rsidP="00687E0D">
      <w:r w:rsidRPr="00687E0D">
        <w:t>The following aspects are inconsistent across international regulatory agencies and need resolution prior to Australian approval:</w:t>
      </w:r>
    </w:p>
    <w:p w:rsidR="00687E0D" w:rsidRPr="00687E0D" w:rsidRDefault="00687E0D" w:rsidP="00687E0D">
      <w:pPr>
        <w:pStyle w:val="ListBullet"/>
      </w:pPr>
      <w:r w:rsidRPr="00687E0D">
        <w:t>Is the narrower Indication for the treatment of ‘mild to moderate’ IPF appropriate, as per the SPC?</w:t>
      </w:r>
    </w:p>
    <w:p w:rsidR="00687E0D" w:rsidRPr="00687E0D" w:rsidRDefault="00687E0D" w:rsidP="00687E0D">
      <w:pPr>
        <w:pStyle w:val="ListBullet"/>
      </w:pPr>
      <w:r w:rsidRPr="00687E0D">
        <w:t>Should use be contraindicated in severe hepatic and renal disease as in the SPC?</w:t>
      </w:r>
    </w:p>
    <w:p w:rsidR="00687E0D" w:rsidRPr="00687E0D" w:rsidRDefault="00687E0D" w:rsidP="004A630C">
      <w:pPr>
        <w:pStyle w:val="Heading4"/>
      </w:pPr>
      <w:r w:rsidRPr="00687E0D">
        <w:t>Clinical questions for the sponsor</w:t>
      </w:r>
    </w:p>
    <w:p w:rsidR="00687E0D" w:rsidRPr="00687E0D" w:rsidRDefault="00687E0D" w:rsidP="00687E0D">
      <w:pPr>
        <w:pStyle w:val="Numberbullet0"/>
      </w:pPr>
      <w:bookmarkStart w:id="125" w:name="_Toc430959551"/>
      <w:r w:rsidRPr="00687E0D">
        <w:t xml:space="preserve">The Indication approved by the EMA is for the treatment of </w:t>
      </w:r>
      <w:r w:rsidRPr="00687E0D">
        <w:rPr>
          <w:i/>
        </w:rPr>
        <w:t>‘mild to moderate Idiopathic Pulmonary Fibrosis’</w:t>
      </w:r>
      <w:r w:rsidRPr="00687E0D">
        <w:t>.</w:t>
      </w:r>
    </w:p>
    <w:p w:rsidR="00687E0D" w:rsidRPr="00687E0D" w:rsidRDefault="00687E0D" w:rsidP="00687E0D">
      <w:pPr>
        <w:pStyle w:val="Numberbullet2"/>
      </w:pPr>
      <w:r w:rsidRPr="00687E0D">
        <w:t>Please provide the location of the justification for the widening the target population for the Australian submission to treatment of all stages of IPF severity.</w:t>
      </w:r>
    </w:p>
    <w:p w:rsidR="00687E0D" w:rsidRDefault="00687E0D" w:rsidP="00687E0D">
      <w:pPr>
        <w:pStyle w:val="Numberbullet2"/>
      </w:pPr>
      <w:r w:rsidRPr="00687E0D">
        <w:t xml:space="preserve">Please provide any available information on clinical efficacy outcomes in Australian patients provided with </w:t>
      </w:r>
      <w:proofErr w:type="spellStart"/>
      <w:r w:rsidRPr="00687E0D">
        <w:t>pirfeni</w:t>
      </w:r>
      <w:r>
        <w:t>done</w:t>
      </w:r>
      <w:proofErr w:type="spellEnd"/>
      <w:r>
        <w:t xml:space="preserve"> ‘Esbriet’ through the SAS.</w:t>
      </w:r>
      <w:bookmarkEnd w:id="125"/>
    </w:p>
    <w:p w:rsidR="00687E0D" w:rsidRPr="00687E0D" w:rsidRDefault="00687E0D" w:rsidP="00687E0D">
      <w:pPr>
        <w:pStyle w:val="Numberbullet0"/>
      </w:pPr>
      <w:r w:rsidRPr="00687E0D">
        <w:t xml:space="preserve">The proposed Indication does not specify </w:t>
      </w:r>
      <w:r w:rsidRPr="00687E0D">
        <w:rPr>
          <w:i/>
        </w:rPr>
        <w:t>‘mild to moderate IPF’</w:t>
      </w:r>
      <w:r w:rsidRPr="00687E0D">
        <w:t xml:space="preserve">. However, use of </w:t>
      </w:r>
      <w:proofErr w:type="spellStart"/>
      <w:r w:rsidRPr="00687E0D">
        <w:t>pirfenidone</w:t>
      </w:r>
      <w:proofErr w:type="spellEnd"/>
      <w:r w:rsidRPr="00687E0D">
        <w:t xml:space="preserve"> in severe stage IPF is described as ‘</w:t>
      </w:r>
      <w:r w:rsidRPr="00687E0D">
        <w:rPr>
          <w:i/>
        </w:rPr>
        <w:t>missing information’</w:t>
      </w:r>
      <w:r w:rsidRPr="00687E0D">
        <w:t xml:space="preserve"> in the Safety Specification in the draft RMP.</w:t>
      </w:r>
    </w:p>
    <w:p w:rsidR="00687E0D" w:rsidRPr="00687E0D" w:rsidRDefault="00687E0D" w:rsidP="00687E0D">
      <w:r w:rsidRPr="00687E0D">
        <w:t>Please clarify this inconsistency.</w:t>
      </w:r>
    </w:p>
    <w:p w:rsidR="00687E0D" w:rsidRPr="00687E0D" w:rsidRDefault="00687E0D" w:rsidP="00687E0D">
      <w:pPr>
        <w:pStyle w:val="Numberbullet0"/>
      </w:pPr>
      <w:r w:rsidRPr="00687E0D">
        <w:t>Please provide PSUR 8 which should be available, covering the period to August 2014 to February 2015.</w:t>
      </w:r>
    </w:p>
    <w:p w:rsidR="00687E0D" w:rsidRPr="00687E0D" w:rsidRDefault="00687E0D" w:rsidP="00687E0D">
      <w:pPr>
        <w:pStyle w:val="Numberbullet0"/>
      </w:pPr>
      <w:r w:rsidRPr="00687E0D">
        <w:t>Have there been regulatory actions with respect to thrombocytopenia or warfarin interaction signals?</w:t>
      </w:r>
    </w:p>
    <w:p w:rsidR="00605AD4" w:rsidRPr="00605AD4" w:rsidRDefault="00687E0D" w:rsidP="00605AD4">
      <w:pPr>
        <w:pStyle w:val="Numberbullet0"/>
      </w:pPr>
      <w:r w:rsidRPr="00687E0D">
        <w:t xml:space="preserve">Please provide any available information on safety in Australian patients provided with </w:t>
      </w:r>
      <w:proofErr w:type="spellStart"/>
      <w:r w:rsidRPr="00687E0D">
        <w:t>pirfeni</w:t>
      </w:r>
      <w:r>
        <w:t>done</w:t>
      </w:r>
      <w:proofErr w:type="spellEnd"/>
      <w:r>
        <w:t xml:space="preserve"> ‘Esbriet’ through the SAS.</w:t>
      </w:r>
    </w:p>
    <w:p w:rsidR="00605AD4" w:rsidRPr="00605AD4" w:rsidRDefault="00605AD4" w:rsidP="00605AD4">
      <w:pPr>
        <w:pStyle w:val="Heading3"/>
        <w:rPr>
          <w:rFonts w:eastAsia="Cambria"/>
        </w:rPr>
      </w:pPr>
      <w:bookmarkStart w:id="126" w:name="_Toc453068506"/>
      <w:r w:rsidRPr="00605AD4">
        <w:rPr>
          <w:rFonts w:eastAsia="Cambria"/>
        </w:rPr>
        <w:t>Second Round Evaluation of clinical data submitted in response to questions</w:t>
      </w:r>
      <w:bookmarkEnd w:id="126"/>
    </w:p>
    <w:p w:rsidR="00687E0D" w:rsidRPr="0022519B" w:rsidRDefault="0022519B" w:rsidP="0022519B">
      <w:pPr>
        <w:pStyle w:val="Heading4"/>
      </w:pPr>
      <w:r>
        <w:t>Inconsistencies between EMA and Australian proposed indication</w:t>
      </w:r>
    </w:p>
    <w:p w:rsidR="00687E0D" w:rsidRPr="0022519B" w:rsidRDefault="0022519B" w:rsidP="0022519B">
      <w:r>
        <w:t>The</w:t>
      </w:r>
      <w:r w:rsidR="00687E0D" w:rsidRPr="0022519B">
        <w:t xml:space="preserve"> sponsor confirmed that the widening of the indication to all stages of IPF severity is consistent with the data provided for FDA approval, due to the modification of the entry criteria in Study PIPF</w:t>
      </w:r>
      <w:r w:rsidR="00687E0D" w:rsidRPr="0022519B">
        <w:noBreakHyphen/>
        <w:t>016 to favour enrolment of patients with a greater likelihood of disease progression. These are the same data provided with this submission. This is acceptable.</w:t>
      </w:r>
    </w:p>
    <w:p w:rsidR="00687E0D" w:rsidRPr="0022519B" w:rsidRDefault="0022519B" w:rsidP="0022519B">
      <w:pPr>
        <w:pStyle w:val="Heading4"/>
      </w:pPr>
      <w:r w:rsidRPr="0022519B">
        <w:t xml:space="preserve">Australian clinical </w:t>
      </w:r>
      <w:r w:rsidR="00687E0D" w:rsidRPr="0022519B">
        <w:t>efficacy outcomes</w:t>
      </w:r>
    </w:p>
    <w:p w:rsidR="00687E0D" w:rsidRPr="00687E0D" w:rsidRDefault="0022519B" w:rsidP="0022519B">
      <w:r>
        <w:t>T</w:t>
      </w:r>
      <w:r w:rsidR="00687E0D" w:rsidRPr="00687E0D">
        <w:t xml:space="preserve">he </w:t>
      </w:r>
      <w:r w:rsidR="00E60988">
        <w:t>sponsor</w:t>
      </w:r>
      <w:r w:rsidR="00687E0D" w:rsidRPr="00687E0D">
        <w:t xml:space="preserve"> replied that information collected in association with supply under SAS does not include efficacy data. This is acceptable.</w:t>
      </w:r>
    </w:p>
    <w:p w:rsidR="00687E0D" w:rsidRPr="00687E0D" w:rsidRDefault="0022519B" w:rsidP="0022519B">
      <w:pPr>
        <w:pStyle w:val="Heading4"/>
      </w:pPr>
      <w:r>
        <w:lastRenderedPageBreak/>
        <w:t>Potential inconsistency in safety specification in the draft RMP</w:t>
      </w:r>
    </w:p>
    <w:p w:rsidR="00687E0D" w:rsidRPr="0022519B" w:rsidRDefault="00687E0D" w:rsidP="0022519B">
      <w:r w:rsidRPr="0022519B">
        <w:t>In response regarding inconsistency between the proposed indication RMP description of use in severe stage IPF as ‘missing information’, the sponsor explained further that this was due to the indication approved in EU. A post</w:t>
      </w:r>
      <w:r w:rsidRPr="0022519B">
        <w:noBreakHyphen/>
        <w:t>authorisation commitment to address the potential risk of missing data, approved by EMA CHMP, was undertaken by conducting the post-authorisation safety study, the registry study ‘PASSPORT’ (PIP</w:t>
      </w:r>
      <w:r w:rsidRPr="0022519B">
        <w:noBreakHyphen/>
        <w:t xml:space="preserve">025) to evaluate the long-term safety profile. The approximately </w:t>
      </w:r>
      <w:r w:rsidR="00B15BB5">
        <w:t>1,000</w:t>
      </w:r>
      <w:r w:rsidRPr="0022519B">
        <w:t xml:space="preserve"> patients already registered have a </w:t>
      </w:r>
      <w:r w:rsidR="00A96408" w:rsidRPr="0022519B">
        <w:t>Baseline</w:t>
      </w:r>
      <w:r w:rsidRPr="0022519B">
        <w:t xml:space="preserve"> FVC range from 21% to 121%, median 64.7% and 143 patients have </w:t>
      </w:r>
      <w:r w:rsidR="00A96408" w:rsidRPr="0022519B">
        <w:t>Baseline</w:t>
      </w:r>
      <w:r w:rsidRPr="0022519B">
        <w:t xml:space="preserve"> FVC &lt; 50%.</w:t>
      </w:r>
    </w:p>
    <w:p w:rsidR="00687E0D" w:rsidRPr="00687E0D" w:rsidRDefault="00687E0D" w:rsidP="0022519B">
      <w:pPr>
        <w:pStyle w:val="Heading4"/>
      </w:pPr>
      <w:r w:rsidRPr="00687E0D">
        <w:t xml:space="preserve">PSUR 8 </w:t>
      </w:r>
      <w:r w:rsidR="0022519B">
        <w:t>availability</w:t>
      </w:r>
    </w:p>
    <w:p w:rsidR="00687E0D" w:rsidRPr="00687E0D" w:rsidRDefault="00687E0D" w:rsidP="0022519B">
      <w:r w:rsidRPr="00687E0D">
        <w:t xml:space="preserve">As of this PSUR reporting period, estimated cumulative patient exposure to </w:t>
      </w:r>
      <w:proofErr w:type="spellStart"/>
      <w:r w:rsidRPr="00687E0D">
        <w:t>pirfenidone</w:t>
      </w:r>
      <w:proofErr w:type="spellEnd"/>
      <w:r w:rsidRPr="00687E0D">
        <w:t xml:space="preserve"> in clinical trials was 1574 patients. Cumulative post-marketing exposure was estimated to be 20,368 patient years. During this six month reporting period, the total worldwide post</w:t>
      </w:r>
      <w:r w:rsidRPr="00687E0D">
        <w:noBreakHyphen/>
        <w:t xml:space="preserve">marketing exposure to </w:t>
      </w:r>
      <w:proofErr w:type="spellStart"/>
      <w:r w:rsidRPr="00687E0D">
        <w:t>pirfenidone</w:t>
      </w:r>
      <w:proofErr w:type="spellEnd"/>
      <w:r w:rsidRPr="00687E0D">
        <w:t xml:space="preserve"> was estimated to be 3743 patient years. In this PSUR reporting period, 7651 suspected ADRs were received. A total of 591 (7.7%) were from spontaneous or literature reports, 47 (0.6%) were from clinical trials, and 7013 (91.7%) were from solicited reporting. The total (cumulative) number of ADRs has nearly doubled from 8185 in PSUR 7 to 15,827 in PSUR 8 largely due to solicited reporting from patient support programme reporting originating in the US.</w:t>
      </w:r>
    </w:p>
    <w:p w:rsidR="00687E0D" w:rsidRPr="00687E0D" w:rsidRDefault="00687E0D" w:rsidP="0022519B">
      <w:r w:rsidRPr="00687E0D">
        <w:t xml:space="preserve">In PASSPORT to December 2014 there were 670 of 1006 (66.6%) patients who experienced a total of 1790 ADRs of special interest. The safety profile was comparable to the label with the most frequent adverse reactions including gastrointestinal (34.4%) and skin (25.1%) </w:t>
      </w:r>
      <w:proofErr w:type="gramStart"/>
      <w:r w:rsidRPr="00687E0D">
        <w:t>SOCs.</w:t>
      </w:r>
      <w:proofErr w:type="gramEnd"/>
      <w:r w:rsidRPr="00687E0D">
        <w:t xml:space="preserve"> Also common was the category ‘other clinically significant ADR (28.9%) which included decreased appetite (11%) cough (2.5%) dyspnoea (2.2%) and headache (2.1%).</w:t>
      </w:r>
    </w:p>
    <w:p w:rsidR="00687E0D" w:rsidRPr="00687E0D" w:rsidRDefault="00687E0D" w:rsidP="0022519B">
      <w:r w:rsidRPr="00687E0D">
        <w:t>In PASSPORT there were 55 (5.5%) patients who experienced 77 SADRs. Fifteen of 55 patients (1.5 %) had gastrointestinal disorders, such as diarrhoea, nausea, or vomiting. Ten patients (1.0%) reported a skin or subcutaneous tissue disorder, such as photosensitivity, erythema, or rash; 5 reported weight decreased, 1 of which was fatal with no information to suggest cause of death other than IPF.</w:t>
      </w:r>
    </w:p>
    <w:p w:rsidR="00687E0D" w:rsidRPr="00687E0D" w:rsidRDefault="00687E0D" w:rsidP="0022519B">
      <w:r w:rsidRPr="00687E0D">
        <w:t>Abnormal LFTs. dizziness, fatigue and weight loss are addressed in the PI.</w:t>
      </w:r>
    </w:p>
    <w:p w:rsidR="00687E0D" w:rsidRPr="00687E0D" w:rsidRDefault="00687E0D" w:rsidP="0022519B">
      <w:r w:rsidRPr="00687E0D">
        <w:t xml:space="preserve">One 18 year old patient who was given Esbriet for lung fibrosis after a double lung transplant developed angioedema and </w:t>
      </w:r>
      <w:proofErr w:type="spellStart"/>
      <w:r w:rsidRPr="00687E0D">
        <w:t>pirfenidone</w:t>
      </w:r>
      <w:proofErr w:type="spellEnd"/>
      <w:r w:rsidRPr="00687E0D">
        <w:t xml:space="preserve"> was ceased.</w:t>
      </w:r>
    </w:p>
    <w:p w:rsidR="00687E0D" w:rsidRPr="00687E0D" w:rsidRDefault="0022519B" w:rsidP="0022519B">
      <w:pPr>
        <w:pStyle w:val="Heading4"/>
      </w:pPr>
      <w:r>
        <w:t>R</w:t>
      </w:r>
      <w:r w:rsidR="00687E0D" w:rsidRPr="00687E0D">
        <w:t xml:space="preserve">egulatory actions </w:t>
      </w:r>
      <w:r>
        <w:t xml:space="preserve">and </w:t>
      </w:r>
      <w:r w:rsidR="00687E0D" w:rsidRPr="00687E0D">
        <w:t>thrombocytopenia or warfarin interaction signals</w:t>
      </w:r>
    </w:p>
    <w:p w:rsidR="00687E0D" w:rsidRPr="00687E0D" w:rsidRDefault="00687E0D" w:rsidP="0022519B">
      <w:r w:rsidRPr="00687E0D">
        <w:t xml:space="preserve">The sponsor stated that these remain as open signals with continued monitoring. There has been no update to </w:t>
      </w:r>
      <w:r w:rsidR="003F2BD9">
        <w:t>the core data sheet (</w:t>
      </w:r>
      <w:r w:rsidRPr="003F2BD9">
        <w:t>CDS</w:t>
      </w:r>
      <w:r w:rsidR="003F2BD9">
        <w:t>)</w:t>
      </w:r>
      <w:r w:rsidRPr="005246D6">
        <w:t xml:space="preserve"> or EU</w:t>
      </w:r>
      <w:r w:rsidR="00B54A52">
        <w:t xml:space="preserve"> </w:t>
      </w:r>
      <w:proofErr w:type="spellStart"/>
      <w:r w:rsidRPr="005246D6">
        <w:t>SmPC</w:t>
      </w:r>
      <w:proofErr w:type="spellEnd"/>
      <w:r w:rsidRPr="005246D6">
        <w:t>. A summary of the PRAC</w:t>
      </w:r>
      <w:r w:rsidRPr="00687E0D">
        <w:t xml:space="preserve"> assessment was provided.</w:t>
      </w:r>
    </w:p>
    <w:p w:rsidR="00687E0D" w:rsidRPr="00687E0D" w:rsidRDefault="00687E0D" w:rsidP="0022519B">
      <w:r w:rsidRPr="00687E0D">
        <w:t>It noted 7 reports of thrombocytopenia, potentially confounded, and none in clinical studies.</w:t>
      </w:r>
    </w:p>
    <w:p w:rsidR="00687E0D" w:rsidRPr="00687E0D" w:rsidRDefault="00687E0D" w:rsidP="0022519B">
      <w:r w:rsidRPr="00687E0D">
        <w:t>For warfarin-</w:t>
      </w:r>
      <w:proofErr w:type="spellStart"/>
      <w:r w:rsidRPr="00687E0D">
        <w:t>pirfenidone</w:t>
      </w:r>
      <w:proofErr w:type="spellEnd"/>
      <w:r w:rsidRPr="00687E0D">
        <w:t xml:space="preserve"> interaction the EMA rapporteur assessment was no change in relative frequency, and ongoing monitoring was required. The FDA has also asked about this and the </w:t>
      </w:r>
      <w:r w:rsidR="00E60988">
        <w:t>sponsor</w:t>
      </w:r>
      <w:r w:rsidRPr="00687E0D">
        <w:t xml:space="preserve"> is preparing a draft report. A tabular overview of regulatory actions was provided.</w:t>
      </w:r>
    </w:p>
    <w:p w:rsidR="00687E0D" w:rsidRPr="00687E0D" w:rsidRDefault="00687E0D" w:rsidP="0022519B">
      <w:r w:rsidRPr="00687E0D">
        <w:t>A detailed response is provided in answer to the RMP evaluation.</w:t>
      </w:r>
    </w:p>
    <w:p w:rsidR="00687E0D" w:rsidRPr="00687E0D" w:rsidRDefault="0022519B" w:rsidP="0022519B">
      <w:pPr>
        <w:pStyle w:val="Heading4"/>
      </w:pPr>
      <w:r>
        <w:lastRenderedPageBreak/>
        <w:t>I</w:t>
      </w:r>
      <w:r w:rsidR="00687E0D" w:rsidRPr="00687E0D">
        <w:t xml:space="preserve">nformation on </w:t>
      </w:r>
      <w:proofErr w:type="spellStart"/>
      <w:r>
        <w:t>pirfenidone</w:t>
      </w:r>
      <w:proofErr w:type="spellEnd"/>
      <w:r>
        <w:t xml:space="preserve"> </w:t>
      </w:r>
      <w:r w:rsidR="00687E0D" w:rsidRPr="00687E0D">
        <w:t xml:space="preserve">safety in Australian </w:t>
      </w:r>
      <w:r>
        <w:t>SAS patients</w:t>
      </w:r>
    </w:p>
    <w:p w:rsidR="00687E0D" w:rsidRPr="0022519B" w:rsidRDefault="00687E0D" w:rsidP="0022519B">
      <w:r w:rsidRPr="0022519B">
        <w:t>The Roche SAS safety database identified 2 patients who received Esbriet and experienced adverse events.</w:t>
      </w:r>
    </w:p>
    <w:p w:rsidR="00687E0D" w:rsidRPr="0022519B" w:rsidRDefault="005473B1" w:rsidP="0022519B">
      <w:r w:rsidRPr="0022519B">
        <w:t>The first</w:t>
      </w:r>
      <w:r w:rsidR="00687E0D" w:rsidRPr="0022519B">
        <w:t xml:space="preserve"> concerned a female aged &gt; 80 years who developed nausea and vomiting after staring </w:t>
      </w:r>
      <w:proofErr w:type="spellStart"/>
      <w:r w:rsidR="00687E0D" w:rsidRPr="0022519B">
        <w:t>pirfenidone</w:t>
      </w:r>
      <w:proofErr w:type="spellEnd"/>
      <w:r w:rsidR="00687E0D" w:rsidRPr="0022519B">
        <w:t xml:space="preserve"> </w:t>
      </w:r>
      <w:r w:rsidR="00C6681F">
        <w:t>2,403</w:t>
      </w:r>
      <w:r w:rsidR="00687E0D" w:rsidRPr="0022519B">
        <w:t xml:space="preserve"> mg daily total in 3 separate doses. Vomiting ceased when she ceased the capsules and re-occurred after re-introduction. Nausea and vomiting are known AEs for </w:t>
      </w:r>
      <w:proofErr w:type="spellStart"/>
      <w:r w:rsidR="00687E0D" w:rsidRPr="0022519B">
        <w:t>Pirfenidone</w:t>
      </w:r>
      <w:proofErr w:type="spellEnd"/>
      <w:r w:rsidR="00687E0D" w:rsidRPr="0022519B">
        <w:t xml:space="preserve"> and listed in the proposed PI in Table 4 as ‘occurring in ≥ 10% </w:t>
      </w:r>
      <w:proofErr w:type="spellStart"/>
      <w:r w:rsidR="00687E0D" w:rsidRPr="0022519B">
        <w:t>Pirfenidone</w:t>
      </w:r>
      <w:proofErr w:type="spellEnd"/>
      <w:r w:rsidR="00687E0D" w:rsidRPr="0022519B">
        <w:t xml:space="preserve"> treated patients and more commonly than placebo’.</w:t>
      </w:r>
    </w:p>
    <w:p w:rsidR="00605AD4" w:rsidRPr="0022519B" w:rsidRDefault="005473B1" w:rsidP="0022519B">
      <w:r w:rsidRPr="0022519B">
        <w:t>The second</w:t>
      </w:r>
      <w:r w:rsidR="00687E0D" w:rsidRPr="0022519B">
        <w:t xml:space="preserve"> concerned a male aged &gt;</w:t>
      </w:r>
      <w:r w:rsidRPr="0022519B">
        <w:t> </w:t>
      </w:r>
      <w:r w:rsidR="00687E0D" w:rsidRPr="0022519B">
        <w:t xml:space="preserve">70 years who developed shingles 312 days after initiating treatment, with concurrent conditions including osteoarthritis, hypertension and prostatitis, with concomitant medications treating these conditions. The physician assessed the relationship as unrelated to </w:t>
      </w:r>
      <w:proofErr w:type="spellStart"/>
      <w:r w:rsidR="00687E0D" w:rsidRPr="0022519B">
        <w:t>pirfenidone</w:t>
      </w:r>
      <w:proofErr w:type="spellEnd"/>
      <w:r w:rsidR="00687E0D" w:rsidRPr="0022519B">
        <w:t>.</w:t>
      </w:r>
    </w:p>
    <w:p w:rsidR="00605AD4" w:rsidRPr="00605AD4" w:rsidRDefault="00605AD4" w:rsidP="00546154">
      <w:pPr>
        <w:pStyle w:val="Heading3"/>
        <w:rPr>
          <w:rFonts w:eastAsia="Cambria"/>
        </w:rPr>
      </w:pPr>
      <w:bookmarkStart w:id="127" w:name="_Toc453068507"/>
      <w:r w:rsidRPr="00605AD4">
        <w:rPr>
          <w:rFonts w:eastAsia="Cambria"/>
        </w:rPr>
        <w:t>Second Round Benefit-Risk Assessment</w:t>
      </w:r>
      <w:bookmarkEnd w:id="127"/>
    </w:p>
    <w:p w:rsidR="005473B1" w:rsidRDefault="005473B1" w:rsidP="005473B1">
      <w:pPr>
        <w:pStyle w:val="Heading4"/>
      </w:pPr>
      <w:bookmarkStart w:id="128" w:name="_Toc430785452"/>
      <w:bookmarkStart w:id="129" w:name="_Toc290846349"/>
      <w:bookmarkStart w:id="130" w:name="_Toc272414709"/>
      <w:r>
        <w:t>Second round assessment of benefits</w:t>
      </w:r>
      <w:bookmarkEnd w:id="128"/>
      <w:bookmarkEnd w:id="129"/>
      <w:bookmarkEnd w:id="130"/>
    </w:p>
    <w:p w:rsidR="005473B1" w:rsidRDefault="005473B1" w:rsidP="005473B1">
      <w:pPr>
        <w:autoSpaceDE w:val="0"/>
        <w:autoSpaceDN w:val="0"/>
        <w:adjustRightInd w:val="0"/>
      </w:pPr>
      <w:r>
        <w:t xml:space="preserve">The benefits of </w:t>
      </w:r>
      <w:proofErr w:type="spellStart"/>
      <w:r>
        <w:t>pirfenidone</w:t>
      </w:r>
      <w:proofErr w:type="spellEnd"/>
      <w:r>
        <w:t xml:space="preserve"> are unchanged from those identified in the First Round assessment of benefits.</w:t>
      </w:r>
    </w:p>
    <w:p w:rsidR="005473B1" w:rsidRDefault="005473B1" w:rsidP="005473B1">
      <w:pPr>
        <w:pStyle w:val="Heading4"/>
      </w:pPr>
      <w:bookmarkStart w:id="131" w:name="_Toc430785453"/>
      <w:bookmarkStart w:id="132" w:name="_Toc290846350"/>
      <w:bookmarkStart w:id="133" w:name="_Toc272414710"/>
      <w:r>
        <w:t>Second round assessment of risks</w:t>
      </w:r>
      <w:bookmarkEnd w:id="131"/>
      <w:bookmarkEnd w:id="132"/>
      <w:bookmarkEnd w:id="133"/>
    </w:p>
    <w:p w:rsidR="005473B1" w:rsidRDefault="005473B1" w:rsidP="005473B1">
      <w:pPr>
        <w:autoSpaceDE w:val="0"/>
        <w:autoSpaceDN w:val="0"/>
        <w:adjustRightInd w:val="0"/>
      </w:pPr>
      <w:r>
        <w:t xml:space="preserve">After consideration of the responses to clinical questions, the risks of </w:t>
      </w:r>
      <w:proofErr w:type="spellStart"/>
      <w:r>
        <w:t>pirfenidone</w:t>
      </w:r>
      <w:proofErr w:type="spellEnd"/>
      <w:r>
        <w:t xml:space="preserve"> are unchanged from those identified in the First Round assessment of risks.</w:t>
      </w:r>
    </w:p>
    <w:p w:rsidR="005473B1" w:rsidRDefault="005473B1" w:rsidP="005473B1">
      <w:pPr>
        <w:pStyle w:val="Heading4"/>
      </w:pPr>
      <w:bookmarkStart w:id="134" w:name="_Toc430785454"/>
      <w:bookmarkStart w:id="135" w:name="_Toc290846351"/>
      <w:bookmarkStart w:id="136" w:name="_Toc272414711"/>
      <w:r>
        <w:t>Second round assessment of benefit-risk balance</w:t>
      </w:r>
      <w:bookmarkEnd w:id="134"/>
      <w:bookmarkEnd w:id="135"/>
      <w:bookmarkEnd w:id="136"/>
    </w:p>
    <w:p w:rsidR="005473B1" w:rsidRDefault="005473B1" w:rsidP="005473B1">
      <w:r>
        <w:t xml:space="preserve">The clinical evaluator considers that based on the available data the benefit-risk balance of </w:t>
      </w:r>
      <w:proofErr w:type="spellStart"/>
      <w:r>
        <w:t>pirfenidone</w:t>
      </w:r>
      <w:proofErr w:type="spellEnd"/>
      <w:r>
        <w:t xml:space="preserve"> ‘Esbriet, given the proposed usage, is favourable.</w:t>
      </w:r>
      <w:r w:rsidR="00D612DA">
        <w:t>’</w:t>
      </w:r>
    </w:p>
    <w:p w:rsidR="005473B1" w:rsidRDefault="005473B1" w:rsidP="005473B1">
      <w:pPr>
        <w:pStyle w:val="Heading4"/>
      </w:pPr>
      <w:r>
        <w:t>Second round recommendation regarding authorisation</w:t>
      </w:r>
    </w:p>
    <w:p w:rsidR="005473B1" w:rsidRPr="00085A57" w:rsidRDefault="005473B1" w:rsidP="005473B1">
      <w:r w:rsidRPr="00085A57">
        <w:t xml:space="preserve">The clinical evaluator considers that the data provided support registration of </w:t>
      </w:r>
      <w:proofErr w:type="spellStart"/>
      <w:r w:rsidRPr="00085A57">
        <w:t>pirfenidone</w:t>
      </w:r>
      <w:proofErr w:type="spellEnd"/>
      <w:r w:rsidRPr="00085A57">
        <w:t xml:space="preserve"> for the proposed </w:t>
      </w:r>
      <w:r w:rsidR="004A4AB1">
        <w:t>i</w:t>
      </w:r>
      <w:r w:rsidRPr="00085A57">
        <w:t>ndication:</w:t>
      </w:r>
    </w:p>
    <w:p w:rsidR="00605AD4" w:rsidRPr="005473B1" w:rsidRDefault="005473B1" w:rsidP="005473B1">
      <w:pPr>
        <w:ind w:firstLine="567"/>
        <w:rPr>
          <w:i/>
        </w:rPr>
      </w:pPr>
      <w:r w:rsidRPr="00085A57">
        <w:rPr>
          <w:i/>
        </w:rPr>
        <w:t>‘Esbriet is indicated for the treatment of idiopa</w:t>
      </w:r>
      <w:r>
        <w:rPr>
          <w:i/>
        </w:rPr>
        <w:t>thic pulmonary fibrosis (IPF)’.</w:t>
      </w:r>
    </w:p>
    <w:p w:rsidR="008E7846" w:rsidRPr="00E41208" w:rsidRDefault="008E7846" w:rsidP="00546154">
      <w:pPr>
        <w:pStyle w:val="Heading2"/>
      </w:pPr>
      <w:bookmarkStart w:id="137" w:name="_Toc453068508"/>
      <w:r w:rsidRPr="00E41208">
        <w:t xml:space="preserve">V. Pharmacovigilance </w:t>
      </w:r>
      <w:r>
        <w:t>f</w:t>
      </w:r>
      <w:r w:rsidRPr="00E41208">
        <w:t>indings</w:t>
      </w:r>
      <w:bookmarkEnd w:id="97"/>
      <w:bookmarkEnd w:id="98"/>
      <w:bookmarkEnd w:id="137"/>
    </w:p>
    <w:p w:rsidR="008E7846" w:rsidRDefault="00386150" w:rsidP="008E7846">
      <w:pPr>
        <w:pStyle w:val="Heading3"/>
        <w:rPr>
          <w:lang w:eastAsia="en-AU"/>
        </w:rPr>
      </w:pPr>
      <w:bookmarkStart w:id="138" w:name="_Toc247691526"/>
      <w:bookmarkStart w:id="139" w:name="_Toc314842509"/>
      <w:bookmarkStart w:id="140" w:name="_Toc453068509"/>
      <w:r>
        <w:rPr>
          <w:lang w:eastAsia="en-AU"/>
        </w:rPr>
        <w:t>Risk m</w:t>
      </w:r>
      <w:r w:rsidR="008E7846">
        <w:rPr>
          <w:lang w:eastAsia="en-AU"/>
        </w:rPr>
        <w:t xml:space="preserve">anagement </w:t>
      </w:r>
      <w:r>
        <w:rPr>
          <w:lang w:eastAsia="en-AU"/>
        </w:rPr>
        <w:t>p</w:t>
      </w:r>
      <w:r w:rsidR="008E7846">
        <w:rPr>
          <w:lang w:eastAsia="en-AU"/>
        </w:rPr>
        <w:t>lan</w:t>
      </w:r>
      <w:bookmarkEnd w:id="138"/>
      <w:bookmarkEnd w:id="139"/>
      <w:bookmarkEnd w:id="140"/>
    </w:p>
    <w:p w:rsidR="008E7846" w:rsidRPr="00526DBA" w:rsidRDefault="008E7846" w:rsidP="00A30B91">
      <w:r w:rsidRPr="00526DBA">
        <w:t>The sponsor submitted a Risk Management Plan</w:t>
      </w:r>
      <w:r w:rsidR="006F25B8" w:rsidRPr="00526DBA">
        <w:t xml:space="preserve"> </w:t>
      </w:r>
      <w:r w:rsidR="00F200C3" w:rsidRPr="00A30B91">
        <w:t>EU-RMP Version 07 (dated 27 October 2014, DLP 27 August 2014) and Australian-specific annex (ASA) Version 1.0 (dated March 2015)</w:t>
      </w:r>
      <w:r w:rsidRPr="00A30B91">
        <w:t xml:space="preserve"> </w:t>
      </w:r>
      <w:r w:rsidRPr="00526DBA">
        <w:t xml:space="preserve">which was reviewed by the </w:t>
      </w:r>
      <w:r w:rsidR="00FC1FCA" w:rsidRPr="00526DBA">
        <w:t>RMP evaluator.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onc</w:t>
      </w:r>
      <w:r w:rsidR="00F200C3">
        <w:rPr>
          <w:lang w:eastAsia="en-AU"/>
        </w:rPr>
        <w:t xml:space="preserve">erns which are shown at Table </w:t>
      </w:r>
      <w:r w:rsidR="005842D3">
        <w:rPr>
          <w:lang w:eastAsia="en-AU"/>
        </w:rPr>
        <w:t>9.</w:t>
      </w:r>
    </w:p>
    <w:p w:rsidR="005246D6" w:rsidRDefault="005246D6" w:rsidP="005246D6">
      <w:pPr>
        <w:pStyle w:val="Tabletitle0"/>
        <w:rPr>
          <w:lang w:eastAsia="en-AU"/>
        </w:rPr>
      </w:pPr>
      <w:r>
        <w:rPr>
          <w:lang w:eastAsia="en-AU"/>
        </w:rPr>
        <w:lastRenderedPageBreak/>
        <w:t xml:space="preserve">Table </w:t>
      </w:r>
      <w:r w:rsidR="007A31D9">
        <w:rPr>
          <w:lang w:eastAsia="en-AU"/>
        </w:rPr>
        <w:t>9</w:t>
      </w:r>
      <w:r>
        <w:rPr>
          <w:lang w:eastAsia="en-AU"/>
        </w:rPr>
        <w:t xml:space="preserve">: Summary of safety </w:t>
      </w:r>
      <w:r w:rsidR="007A31D9">
        <w:rPr>
          <w:lang w:eastAsia="en-AU"/>
        </w:rPr>
        <w:t>concerns as provided by sponsor</w:t>
      </w:r>
    </w:p>
    <w:tbl>
      <w:tblPr>
        <w:tblStyle w:val="TableTGAblue"/>
        <w:tblW w:w="0" w:type="auto"/>
        <w:tblLook w:val="04A0" w:firstRow="1" w:lastRow="0" w:firstColumn="1" w:lastColumn="0" w:noHBand="0" w:noVBand="1"/>
        <w:tblCaption w:val="Table 9: Summary of safety concerns as provided by sponsor"/>
        <w:tblDescription w:val="Table 9: Summary of safety concerns as provided by sponsor"/>
      </w:tblPr>
      <w:tblGrid>
        <w:gridCol w:w="2376"/>
        <w:gridCol w:w="6344"/>
      </w:tblGrid>
      <w:tr w:rsidR="00F200C3" w:rsidRPr="005842D3" w:rsidTr="00F200C3">
        <w:trPr>
          <w:cnfStyle w:val="100000000000" w:firstRow="1" w:lastRow="0" w:firstColumn="0" w:lastColumn="0" w:oddVBand="0" w:evenVBand="0" w:oddHBand="0" w:evenHBand="0" w:firstRowFirstColumn="0" w:firstRowLastColumn="0" w:lastRowFirstColumn="0" w:lastRowLastColumn="0"/>
          <w:cantSplit/>
        </w:trPr>
        <w:tc>
          <w:tcPr>
            <w:tcW w:w="8720" w:type="dxa"/>
            <w:gridSpan w:val="2"/>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Summary of safety concerns</w:t>
            </w:r>
          </w:p>
        </w:tc>
      </w:tr>
      <w:tr w:rsidR="00F200C3" w:rsidRPr="005842D3" w:rsidTr="00B54A52">
        <w:trPr>
          <w:cantSplit/>
        </w:trPr>
        <w:tc>
          <w:tcPr>
            <w:tcW w:w="2376" w:type="dxa"/>
            <w:vMerge w:val="restart"/>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Important identified risks</w:t>
            </w:r>
          </w:p>
        </w:tc>
        <w:tc>
          <w:tcPr>
            <w:tcW w:w="6344" w:type="dxa"/>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Photosensitivity reaction and rash</w:t>
            </w:r>
          </w:p>
        </w:tc>
      </w:tr>
      <w:tr w:rsidR="00F200C3" w:rsidRPr="005842D3" w:rsidTr="00B54A52">
        <w:trPr>
          <w:cantSplit/>
        </w:trPr>
        <w:tc>
          <w:tcPr>
            <w:tcW w:w="2376" w:type="dxa"/>
            <w:vMerge/>
          </w:tcPr>
          <w:p w:rsidR="00F200C3" w:rsidRPr="00526DBA" w:rsidRDefault="00F200C3" w:rsidP="00A30B91">
            <w:pPr>
              <w:rPr>
                <w:rFonts w:asciiTheme="minorHAnsi" w:hAnsiTheme="minorHAnsi"/>
                <w:sz w:val="18"/>
                <w:szCs w:val="18"/>
              </w:rPr>
            </w:pPr>
          </w:p>
        </w:tc>
        <w:tc>
          <w:tcPr>
            <w:tcW w:w="6344" w:type="dxa"/>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Abnormal liver function tests, increased ALT and AST levels, total serum bilirubin increased in combination with increases in ALT and AST</w:t>
            </w:r>
          </w:p>
        </w:tc>
      </w:tr>
      <w:tr w:rsidR="00F200C3" w:rsidRPr="005842D3" w:rsidTr="00B54A52">
        <w:trPr>
          <w:cantSplit/>
        </w:trPr>
        <w:tc>
          <w:tcPr>
            <w:tcW w:w="2376" w:type="dxa"/>
            <w:vMerge/>
          </w:tcPr>
          <w:p w:rsidR="00F200C3" w:rsidRPr="00526DBA" w:rsidRDefault="00F200C3" w:rsidP="00A30B91">
            <w:pPr>
              <w:rPr>
                <w:rFonts w:asciiTheme="minorHAnsi" w:hAnsiTheme="minorHAnsi"/>
                <w:sz w:val="18"/>
                <w:szCs w:val="18"/>
              </w:rPr>
            </w:pPr>
          </w:p>
        </w:tc>
        <w:tc>
          <w:tcPr>
            <w:tcW w:w="6344" w:type="dxa"/>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Dizziness</w:t>
            </w:r>
          </w:p>
        </w:tc>
      </w:tr>
      <w:tr w:rsidR="00F200C3" w:rsidRPr="005842D3" w:rsidTr="00B54A52">
        <w:trPr>
          <w:cantSplit/>
        </w:trPr>
        <w:tc>
          <w:tcPr>
            <w:tcW w:w="2376" w:type="dxa"/>
            <w:vMerge/>
          </w:tcPr>
          <w:p w:rsidR="00F200C3" w:rsidRPr="00526DBA" w:rsidRDefault="00F200C3" w:rsidP="00A30B91">
            <w:pPr>
              <w:rPr>
                <w:rFonts w:asciiTheme="minorHAnsi" w:hAnsiTheme="minorHAnsi"/>
                <w:sz w:val="18"/>
                <w:szCs w:val="18"/>
              </w:rPr>
            </w:pPr>
          </w:p>
        </w:tc>
        <w:tc>
          <w:tcPr>
            <w:tcW w:w="6344" w:type="dxa"/>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Weight loss</w:t>
            </w:r>
          </w:p>
        </w:tc>
      </w:tr>
      <w:tr w:rsidR="00F200C3" w:rsidRPr="005842D3" w:rsidTr="00B54A52">
        <w:trPr>
          <w:cantSplit/>
        </w:trPr>
        <w:tc>
          <w:tcPr>
            <w:tcW w:w="2376" w:type="dxa"/>
            <w:vMerge/>
          </w:tcPr>
          <w:p w:rsidR="00F200C3" w:rsidRPr="00526DBA" w:rsidRDefault="00F200C3" w:rsidP="00A30B91">
            <w:pPr>
              <w:rPr>
                <w:rFonts w:asciiTheme="minorHAnsi" w:hAnsiTheme="minorHAnsi"/>
                <w:sz w:val="18"/>
                <w:szCs w:val="18"/>
              </w:rPr>
            </w:pPr>
          </w:p>
        </w:tc>
        <w:tc>
          <w:tcPr>
            <w:tcW w:w="6344" w:type="dxa"/>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GI symptoms</w:t>
            </w:r>
          </w:p>
        </w:tc>
      </w:tr>
      <w:tr w:rsidR="00F200C3" w:rsidRPr="005842D3" w:rsidTr="00B54A52">
        <w:trPr>
          <w:cantSplit/>
        </w:trPr>
        <w:tc>
          <w:tcPr>
            <w:tcW w:w="2376" w:type="dxa"/>
            <w:vMerge/>
          </w:tcPr>
          <w:p w:rsidR="00F200C3" w:rsidRPr="00526DBA" w:rsidRDefault="00F200C3" w:rsidP="00A30B91">
            <w:pPr>
              <w:rPr>
                <w:rFonts w:asciiTheme="minorHAnsi" w:hAnsiTheme="minorHAnsi"/>
                <w:sz w:val="18"/>
                <w:szCs w:val="18"/>
              </w:rPr>
            </w:pPr>
          </w:p>
        </w:tc>
        <w:tc>
          <w:tcPr>
            <w:tcW w:w="6344" w:type="dxa"/>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Fatigue</w:t>
            </w:r>
          </w:p>
        </w:tc>
      </w:tr>
      <w:tr w:rsidR="00F200C3" w:rsidRPr="005842D3" w:rsidTr="00B54A52">
        <w:trPr>
          <w:cantSplit/>
        </w:trPr>
        <w:tc>
          <w:tcPr>
            <w:tcW w:w="2376" w:type="dxa"/>
            <w:vMerge/>
          </w:tcPr>
          <w:p w:rsidR="00F200C3" w:rsidRPr="00526DBA" w:rsidRDefault="00F200C3" w:rsidP="00A30B91">
            <w:pPr>
              <w:rPr>
                <w:rFonts w:asciiTheme="minorHAnsi" w:hAnsiTheme="minorHAnsi"/>
                <w:sz w:val="18"/>
                <w:szCs w:val="18"/>
              </w:rPr>
            </w:pPr>
          </w:p>
        </w:tc>
        <w:tc>
          <w:tcPr>
            <w:tcW w:w="6344" w:type="dxa"/>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Angioedema</w:t>
            </w:r>
          </w:p>
        </w:tc>
      </w:tr>
      <w:tr w:rsidR="00F200C3" w:rsidRPr="005842D3" w:rsidTr="00B54A52">
        <w:trPr>
          <w:cantSplit/>
        </w:trPr>
        <w:tc>
          <w:tcPr>
            <w:tcW w:w="2376" w:type="dxa"/>
            <w:vMerge w:val="restart"/>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Important potential risks</w:t>
            </w:r>
          </w:p>
        </w:tc>
        <w:tc>
          <w:tcPr>
            <w:tcW w:w="6344" w:type="dxa"/>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Falls</w:t>
            </w:r>
          </w:p>
        </w:tc>
      </w:tr>
      <w:tr w:rsidR="00F200C3" w:rsidRPr="005842D3" w:rsidTr="00B54A52">
        <w:trPr>
          <w:cantSplit/>
        </w:trPr>
        <w:tc>
          <w:tcPr>
            <w:tcW w:w="2376" w:type="dxa"/>
            <w:vMerge/>
          </w:tcPr>
          <w:p w:rsidR="00F200C3" w:rsidRPr="00526DBA" w:rsidRDefault="00F200C3" w:rsidP="00A30B91">
            <w:pPr>
              <w:rPr>
                <w:rFonts w:asciiTheme="minorHAnsi" w:hAnsiTheme="minorHAnsi"/>
                <w:sz w:val="18"/>
                <w:szCs w:val="18"/>
              </w:rPr>
            </w:pPr>
          </w:p>
        </w:tc>
        <w:tc>
          <w:tcPr>
            <w:tcW w:w="6344" w:type="dxa"/>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Specific cardiac events (supraventricular tachyarrhythmia, atrioventricular block/sick sinus syndrome, ventricular arrhythmia, bundle branch block, aortic or pulmonic valvular incompetence</w:t>
            </w:r>
          </w:p>
        </w:tc>
      </w:tr>
      <w:tr w:rsidR="00F200C3" w:rsidRPr="005842D3" w:rsidTr="00B54A52">
        <w:trPr>
          <w:cantSplit/>
        </w:trPr>
        <w:tc>
          <w:tcPr>
            <w:tcW w:w="2376" w:type="dxa"/>
            <w:vMerge/>
          </w:tcPr>
          <w:p w:rsidR="00F200C3" w:rsidRPr="00526DBA" w:rsidRDefault="00F200C3" w:rsidP="00A30B91">
            <w:pPr>
              <w:rPr>
                <w:rFonts w:asciiTheme="minorHAnsi" w:hAnsiTheme="minorHAnsi"/>
                <w:sz w:val="18"/>
                <w:szCs w:val="18"/>
              </w:rPr>
            </w:pPr>
          </w:p>
        </w:tc>
        <w:tc>
          <w:tcPr>
            <w:tcW w:w="6344" w:type="dxa"/>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Increased platelet count</w:t>
            </w:r>
          </w:p>
        </w:tc>
      </w:tr>
      <w:tr w:rsidR="00F200C3" w:rsidRPr="005842D3" w:rsidTr="00B54A52">
        <w:trPr>
          <w:cantSplit/>
        </w:trPr>
        <w:tc>
          <w:tcPr>
            <w:tcW w:w="2376" w:type="dxa"/>
            <w:vMerge/>
          </w:tcPr>
          <w:p w:rsidR="00F200C3" w:rsidRPr="00526DBA" w:rsidRDefault="00F200C3" w:rsidP="00A30B91">
            <w:pPr>
              <w:rPr>
                <w:rFonts w:asciiTheme="minorHAnsi" w:hAnsiTheme="minorHAnsi"/>
                <w:sz w:val="18"/>
                <w:szCs w:val="18"/>
              </w:rPr>
            </w:pPr>
          </w:p>
        </w:tc>
        <w:tc>
          <w:tcPr>
            <w:tcW w:w="6344" w:type="dxa"/>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Off</w:t>
            </w:r>
            <w:r w:rsidRPr="00526DBA">
              <w:rPr>
                <w:rFonts w:asciiTheme="minorHAnsi" w:hAnsiTheme="minorHAnsi"/>
                <w:sz w:val="18"/>
                <w:szCs w:val="18"/>
              </w:rPr>
              <w:noBreakHyphen/>
              <w:t>label use</w:t>
            </w:r>
          </w:p>
        </w:tc>
      </w:tr>
      <w:tr w:rsidR="00F200C3" w:rsidRPr="005842D3" w:rsidTr="00B54A52">
        <w:trPr>
          <w:cantSplit/>
        </w:trPr>
        <w:tc>
          <w:tcPr>
            <w:tcW w:w="2376" w:type="dxa"/>
            <w:vMerge/>
          </w:tcPr>
          <w:p w:rsidR="00F200C3" w:rsidRPr="00526DBA" w:rsidRDefault="00F200C3" w:rsidP="00A30B91">
            <w:pPr>
              <w:rPr>
                <w:rFonts w:asciiTheme="minorHAnsi" w:hAnsiTheme="minorHAnsi"/>
                <w:sz w:val="18"/>
                <w:szCs w:val="18"/>
              </w:rPr>
            </w:pPr>
          </w:p>
        </w:tc>
        <w:tc>
          <w:tcPr>
            <w:tcW w:w="6344" w:type="dxa"/>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Potential drug interactions (including smoking, ciprofloxacin, warfarin)</w:t>
            </w:r>
          </w:p>
        </w:tc>
      </w:tr>
      <w:tr w:rsidR="00F200C3" w:rsidRPr="005842D3" w:rsidTr="00B54A52">
        <w:trPr>
          <w:cantSplit/>
        </w:trPr>
        <w:tc>
          <w:tcPr>
            <w:tcW w:w="2376" w:type="dxa"/>
            <w:vMerge/>
          </w:tcPr>
          <w:p w:rsidR="00F200C3" w:rsidRPr="00526DBA" w:rsidRDefault="00F200C3" w:rsidP="00A30B91">
            <w:pPr>
              <w:rPr>
                <w:rFonts w:asciiTheme="minorHAnsi" w:hAnsiTheme="minorHAnsi"/>
                <w:sz w:val="18"/>
                <w:szCs w:val="18"/>
              </w:rPr>
            </w:pPr>
          </w:p>
        </w:tc>
        <w:tc>
          <w:tcPr>
            <w:tcW w:w="6344" w:type="dxa"/>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 xml:space="preserve">Blood </w:t>
            </w:r>
            <w:proofErr w:type="spellStart"/>
            <w:r w:rsidRPr="00526DBA">
              <w:rPr>
                <w:rFonts w:asciiTheme="minorHAnsi" w:hAnsiTheme="minorHAnsi"/>
                <w:sz w:val="18"/>
                <w:szCs w:val="18"/>
              </w:rPr>
              <w:t>dyscrasias</w:t>
            </w:r>
            <w:proofErr w:type="spellEnd"/>
          </w:p>
        </w:tc>
      </w:tr>
      <w:tr w:rsidR="00F200C3" w:rsidRPr="005842D3" w:rsidTr="00B54A52">
        <w:trPr>
          <w:cantSplit/>
        </w:trPr>
        <w:tc>
          <w:tcPr>
            <w:tcW w:w="2376" w:type="dxa"/>
            <w:vMerge/>
          </w:tcPr>
          <w:p w:rsidR="00F200C3" w:rsidRPr="00526DBA" w:rsidRDefault="00F200C3" w:rsidP="00A30B91">
            <w:pPr>
              <w:rPr>
                <w:rFonts w:asciiTheme="minorHAnsi" w:hAnsiTheme="minorHAnsi"/>
                <w:sz w:val="18"/>
                <w:szCs w:val="18"/>
              </w:rPr>
            </w:pPr>
          </w:p>
        </w:tc>
        <w:tc>
          <w:tcPr>
            <w:tcW w:w="6344" w:type="dxa"/>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Severe skin reactions</w:t>
            </w:r>
          </w:p>
        </w:tc>
      </w:tr>
      <w:tr w:rsidR="00F200C3" w:rsidRPr="005842D3" w:rsidTr="00B54A52">
        <w:trPr>
          <w:cantSplit/>
        </w:trPr>
        <w:tc>
          <w:tcPr>
            <w:tcW w:w="2376" w:type="dxa"/>
            <w:vMerge w:val="restart"/>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Missing information</w:t>
            </w:r>
          </w:p>
        </w:tc>
        <w:tc>
          <w:tcPr>
            <w:tcW w:w="6344" w:type="dxa"/>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 xml:space="preserve">Patients being treated concomitantly with </w:t>
            </w:r>
            <w:proofErr w:type="spellStart"/>
            <w:r w:rsidRPr="00526DBA">
              <w:rPr>
                <w:rFonts w:asciiTheme="minorHAnsi" w:hAnsiTheme="minorHAnsi"/>
                <w:sz w:val="18"/>
                <w:szCs w:val="18"/>
              </w:rPr>
              <w:t>immunosuppressants</w:t>
            </w:r>
            <w:proofErr w:type="spellEnd"/>
          </w:p>
        </w:tc>
      </w:tr>
      <w:tr w:rsidR="00F200C3" w:rsidRPr="005842D3" w:rsidTr="00B54A52">
        <w:trPr>
          <w:cantSplit/>
        </w:trPr>
        <w:tc>
          <w:tcPr>
            <w:tcW w:w="2376" w:type="dxa"/>
            <w:vMerge/>
          </w:tcPr>
          <w:p w:rsidR="00F200C3" w:rsidRPr="00526DBA" w:rsidRDefault="00F200C3" w:rsidP="00A30B91">
            <w:pPr>
              <w:rPr>
                <w:rFonts w:asciiTheme="minorHAnsi" w:hAnsiTheme="minorHAnsi"/>
                <w:sz w:val="18"/>
                <w:szCs w:val="18"/>
              </w:rPr>
            </w:pPr>
          </w:p>
        </w:tc>
        <w:tc>
          <w:tcPr>
            <w:tcW w:w="6344" w:type="dxa"/>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Patients with secondary causes of pulmonary fibrosis</w:t>
            </w:r>
          </w:p>
        </w:tc>
      </w:tr>
      <w:tr w:rsidR="00F200C3" w:rsidRPr="005842D3" w:rsidTr="00B54A52">
        <w:trPr>
          <w:cantSplit/>
        </w:trPr>
        <w:tc>
          <w:tcPr>
            <w:tcW w:w="2376" w:type="dxa"/>
            <w:vMerge/>
          </w:tcPr>
          <w:p w:rsidR="00F200C3" w:rsidRPr="00526DBA" w:rsidRDefault="00F200C3" w:rsidP="00A30B91">
            <w:pPr>
              <w:rPr>
                <w:rFonts w:asciiTheme="minorHAnsi" w:hAnsiTheme="minorHAnsi"/>
                <w:sz w:val="18"/>
                <w:szCs w:val="18"/>
              </w:rPr>
            </w:pPr>
          </w:p>
        </w:tc>
        <w:tc>
          <w:tcPr>
            <w:tcW w:w="6344" w:type="dxa"/>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Patients with pre-existing risk factors for hepatic dysfunction such as alcohol abuse and diabetes</w:t>
            </w:r>
          </w:p>
        </w:tc>
      </w:tr>
      <w:tr w:rsidR="00F200C3" w:rsidRPr="005842D3" w:rsidTr="00B54A52">
        <w:trPr>
          <w:cantSplit/>
        </w:trPr>
        <w:tc>
          <w:tcPr>
            <w:tcW w:w="2376" w:type="dxa"/>
            <w:vMerge/>
          </w:tcPr>
          <w:p w:rsidR="00F200C3" w:rsidRPr="00526DBA" w:rsidRDefault="00F200C3" w:rsidP="00A30B91">
            <w:pPr>
              <w:rPr>
                <w:rFonts w:asciiTheme="minorHAnsi" w:hAnsiTheme="minorHAnsi"/>
                <w:sz w:val="18"/>
                <w:szCs w:val="18"/>
              </w:rPr>
            </w:pPr>
          </w:p>
        </w:tc>
        <w:tc>
          <w:tcPr>
            <w:tcW w:w="6344" w:type="dxa"/>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Patients with pre</w:t>
            </w:r>
            <w:r w:rsidRPr="00526DBA">
              <w:rPr>
                <w:rFonts w:asciiTheme="minorHAnsi" w:hAnsiTheme="minorHAnsi"/>
                <w:sz w:val="18"/>
                <w:szCs w:val="18"/>
              </w:rPr>
              <w:noBreakHyphen/>
              <w:t>existing prolonged QT</w:t>
            </w:r>
            <w:r w:rsidR="005842D3">
              <w:rPr>
                <w:rFonts w:asciiTheme="minorHAnsi" w:hAnsiTheme="minorHAnsi"/>
                <w:sz w:val="18"/>
                <w:szCs w:val="18"/>
              </w:rPr>
              <w:t xml:space="preserve"> </w:t>
            </w:r>
            <w:r w:rsidRPr="00526DBA">
              <w:rPr>
                <w:rFonts w:asciiTheme="minorHAnsi" w:hAnsiTheme="minorHAnsi"/>
                <w:sz w:val="18"/>
                <w:szCs w:val="18"/>
              </w:rPr>
              <w:t>interval</w:t>
            </w:r>
          </w:p>
        </w:tc>
      </w:tr>
      <w:tr w:rsidR="00F200C3" w:rsidRPr="005842D3" w:rsidTr="00B54A52">
        <w:trPr>
          <w:cantSplit/>
        </w:trPr>
        <w:tc>
          <w:tcPr>
            <w:tcW w:w="2376" w:type="dxa"/>
            <w:vMerge/>
          </w:tcPr>
          <w:p w:rsidR="00F200C3" w:rsidRPr="00526DBA" w:rsidRDefault="00F200C3" w:rsidP="00A30B91">
            <w:pPr>
              <w:rPr>
                <w:rFonts w:asciiTheme="minorHAnsi" w:hAnsiTheme="minorHAnsi"/>
                <w:sz w:val="18"/>
                <w:szCs w:val="18"/>
              </w:rPr>
            </w:pPr>
          </w:p>
        </w:tc>
        <w:tc>
          <w:tcPr>
            <w:tcW w:w="6344" w:type="dxa"/>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Patients with severe underlying cardiac, hepatic or any other form of pulmonary disease</w:t>
            </w:r>
          </w:p>
        </w:tc>
      </w:tr>
      <w:tr w:rsidR="00F200C3" w:rsidRPr="005842D3" w:rsidTr="00B54A52">
        <w:trPr>
          <w:cantSplit/>
        </w:trPr>
        <w:tc>
          <w:tcPr>
            <w:tcW w:w="2376" w:type="dxa"/>
            <w:vMerge/>
          </w:tcPr>
          <w:p w:rsidR="00F200C3" w:rsidRPr="00526DBA" w:rsidRDefault="00F200C3" w:rsidP="00A30B91">
            <w:pPr>
              <w:rPr>
                <w:rFonts w:asciiTheme="minorHAnsi" w:hAnsiTheme="minorHAnsi"/>
                <w:sz w:val="18"/>
                <w:szCs w:val="18"/>
              </w:rPr>
            </w:pPr>
          </w:p>
        </w:tc>
        <w:tc>
          <w:tcPr>
            <w:tcW w:w="6344" w:type="dxa"/>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Patient treated concomitantly with other IPF treatments</w:t>
            </w:r>
          </w:p>
        </w:tc>
      </w:tr>
      <w:tr w:rsidR="00F200C3" w:rsidRPr="005842D3" w:rsidTr="00B54A52">
        <w:trPr>
          <w:cantSplit/>
        </w:trPr>
        <w:tc>
          <w:tcPr>
            <w:tcW w:w="2376" w:type="dxa"/>
            <w:vMerge/>
          </w:tcPr>
          <w:p w:rsidR="00F200C3" w:rsidRPr="00526DBA" w:rsidRDefault="00F200C3" w:rsidP="00A30B91">
            <w:pPr>
              <w:rPr>
                <w:rFonts w:asciiTheme="minorHAnsi" w:hAnsiTheme="minorHAnsi"/>
                <w:sz w:val="18"/>
                <w:szCs w:val="18"/>
              </w:rPr>
            </w:pPr>
          </w:p>
        </w:tc>
        <w:tc>
          <w:tcPr>
            <w:tcW w:w="6344" w:type="dxa"/>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Patients suffering from severe stages of IPF</w:t>
            </w:r>
          </w:p>
        </w:tc>
      </w:tr>
      <w:tr w:rsidR="00F200C3" w:rsidRPr="005842D3" w:rsidTr="00B54A52">
        <w:trPr>
          <w:cantSplit/>
        </w:trPr>
        <w:tc>
          <w:tcPr>
            <w:tcW w:w="2376" w:type="dxa"/>
            <w:vMerge/>
          </w:tcPr>
          <w:p w:rsidR="00F200C3" w:rsidRPr="00526DBA" w:rsidRDefault="00F200C3" w:rsidP="00A30B91">
            <w:pPr>
              <w:rPr>
                <w:rFonts w:asciiTheme="minorHAnsi" w:hAnsiTheme="minorHAnsi"/>
                <w:sz w:val="18"/>
                <w:szCs w:val="18"/>
              </w:rPr>
            </w:pPr>
          </w:p>
        </w:tc>
        <w:tc>
          <w:tcPr>
            <w:tcW w:w="6344" w:type="dxa"/>
          </w:tcPr>
          <w:p w:rsidR="00F200C3" w:rsidRPr="00526DBA" w:rsidRDefault="00F200C3" w:rsidP="00A30B91">
            <w:pPr>
              <w:rPr>
                <w:rFonts w:asciiTheme="minorHAnsi" w:hAnsiTheme="minorHAnsi"/>
                <w:sz w:val="18"/>
                <w:szCs w:val="18"/>
              </w:rPr>
            </w:pPr>
            <w:r w:rsidRPr="00526DBA">
              <w:rPr>
                <w:rFonts w:asciiTheme="minorHAnsi" w:hAnsiTheme="minorHAnsi"/>
                <w:sz w:val="18"/>
                <w:szCs w:val="18"/>
              </w:rPr>
              <w:t>Exposure during pregnancy and lactation</w:t>
            </w:r>
          </w:p>
        </w:tc>
      </w:tr>
    </w:tbl>
    <w:p w:rsidR="00B54A52" w:rsidRPr="00B54A52" w:rsidRDefault="00B15856" w:rsidP="00B54A52">
      <w:pPr>
        <w:keepNext/>
        <w:rPr>
          <w:b/>
          <w:i/>
        </w:rPr>
      </w:pPr>
      <w:r w:rsidRPr="00B54A52">
        <w:rPr>
          <w:b/>
          <w:i/>
        </w:rPr>
        <w:lastRenderedPageBreak/>
        <w:t>RMP evaluator’s comment:</w:t>
      </w:r>
    </w:p>
    <w:p w:rsidR="00F200C3" w:rsidRDefault="00B15856" w:rsidP="00991B72">
      <w:r w:rsidRPr="00B15856">
        <w:t xml:space="preserve">Notwithstanding the evaluation of </w:t>
      </w:r>
      <w:r>
        <w:t xml:space="preserve">the clinical aspects of the </w:t>
      </w:r>
      <w:r w:rsidR="003F2BD9">
        <w:t>safety summary</w:t>
      </w:r>
      <w:r>
        <w:t xml:space="preserve">, </w:t>
      </w:r>
      <w:r w:rsidRPr="00B15856">
        <w:t>there are no definite objections to the list of safety concerns and missing information items provided in the context of this application.</w:t>
      </w:r>
    </w:p>
    <w:p w:rsidR="008E7846" w:rsidRPr="00526DBA" w:rsidRDefault="008E7846" w:rsidP="00A30B91">
      <w:pPr>
        <w:pStyle w:val="Heading4"/>
      </w:pPr>
      <w:r w:rsidRPr="00526DBA">
        <w:t xml:space="preserve">Pharmacovigilance </w:t>
      </w:r>
      <w:r w:rsidR="003A7F6C" w:rsidRPr="00526DBA">
        <w:t>p</w:t>
      </w:r>
      <w:r w:rsidRPr="00526DBA">
        <w:t>lan</w:t>
      </w:r>
    </w:p>
    <w:p w:rsidR="00B15856" w:rsidRPr="00A30B91" w:rsidRDefault="00E56D01" w:rsidP="00A30B91">
      <w:r w:rsidRPr="00A30B91">
        <w:t xml:space="preserve">The sponsor proposes routine pharmacovigilance activities for important identified and potential risks and missing information. These activities are summarised in Table </w:t>
      </w:r>
      <w:r w:rsidR="00525F30">
        <w:t>10</w:t>
      </w:r>
      <w:r w:rsidR="005842D3">
        <w:t>.</w:t>
      </w:r>
    </w:p>
    <w:p w:rsidR="00E56D01" w:rsidRPr="00A30B91" w:rsidRDefault="00E56D01" w:rsidP="00A30B91">
      <w:pPr>
        <w:pStyle w:val="Tabletitle0"/>
      </w:pPr>
      <w:r w:rsidRPr="00A30B91">
        <w:t xml:space="preserve">Table </w:t>
      </w:r>
      <w:r w:rsidR="007A31D9" w:rsidRPr="00A30B91">
        <w:t>10:</w:t>
      </w:r>
      <w:r w:rsidRPr="00A30B91">
        <w:t xml:space="preserve"> Additional pharmacovigilance activities planned by the sponsor</w:t>
      </w:r>
    </w:p>
    <w:tbl>
      <w:tblPr>
        <w:tblStyle w:val="TableTGAblue"/>
        <w:tblW w:w="0" w:type="auto"/>
        <w:tblLook w:val="04A0" w:firstRow="1" w:lastRow="0" w:firstColumn="1" w:lastColumn="0" w:noHBand="0" w:noVBand="1"/>
        <w:tblCaption w:val="Table 10: Additional pharmacovigilance activities planned by the sponsor"/>
        <w:tblDescription w:val="Table 10: Additional pharmacovigilance activities planned by the sponsor"/>
      </w:tblPr>
      <w:tblGrid>
        <w:gridCol w:w="2518"/>
        <w:gridCol w:w="1418"/>
        <w:gridCol w:w="2409"/>
        <w:gridCol w:w="2375"/>
      </w:tblGrid>
      <w:tr w:rsidR="00E56D01" w:rsidRPr="005842D3" w:rsidTr="00E56D01">
        <w:trPr>
          <w:cnfStyle w:val="100000000000" w:firstRow="1" w:lastRow="0" w:firstColumn="0" w:lastColumn="0" w:oddVBand="0" w:evenVBand="0" w:oddHBand="0" w:evenHBand="0" w:firstRowFirstColumn="0" w:firstRowLastColumn="0" w:lastRowFirstColumn="0" w:lastRowLastColumn="0"/>
        </w:trPr>
        <w:tc>
          <w:tcPr>
            <w:tcW w:w="2518" w:type="dxa"/>
          </w:tcPr>
          <w:p w:rsidR="00E56D01" w:rsidRPr="00526DBA" w:rsidRDefault="00E56D01" w:rsidP="00A30B91">
            <w:pPr>
              <w:rPr>
                <w:sz w:val="20"/>
                <w:szCs w:val="20"/>
              </w:rPr>
            </w:pPr>
            <w:r w:rsidRPr="00526DBA">
              <w:rPr>
                <w:sz w:val="20"/>
                <w:szCs w:val="20"/>
              </w:rPr>
              <w:t>Additional activity</w:t>
            </w:r>
          </w:p>
        </w:tc>
        <w:tc>
          <w:tcPr>
            <w:tcW w:w="1418" w:type="dxa"/>
          </w:tcPr>
          <w:p w:rsidR="00E56D01" w:rsidRPr="00526DBA" w:rsidRDefault="00E56D01" w:rsidP="00A30B91">
            <w:pPr>
              <w:rPr>
                <w:sz w:val="20"/>
                <w:szCs w:val="20"/>
              </w:rPr>
            </w:pPr>
            <w:r w:rsidRPr="00526DBA">
              <w:rPr>
                <w:sz w:val="20"/>
                <w:szCs w:val="20"/>
              </w:rPr>
              <w:t>Assigned safety concern</w:t>
            </w:r>
          </w:p>
        </w:tc>
        <w:tc>
          <w:tcPr>
            <w:tcW w:w="2409" w:type="dxa"/>
          </w:tcPr>
          <w:p w:rsidR="00E56D01" w:rsidRPr="00526DBA" w:rsidRDefault="00E56D01" w:rsidP="00A30B91">
            <w:pPr>
              <w:rPr>
                <w:sz w:val="20"/>
                <w:szCs w:val="20"/>
              </w:rPr>
            </w:pPr>
            <w:r w:rsidRPr="00526DBA">
              <w:rPr>
                <w:sz w:val="20"/>
                <w:szCs w:val="20"/>
              </w:rPr>
              <w:t>Actions/outcome proposed</w:t>
            </w:r>
          </w:p>
        </w:tc>
        <w:tc>
          <w:tcPr>
            <w:tcW w:w="2375" w:type="dxa"/>
          </w:tcPr>
          <w:p w:rsidR="00E56D01" w:rsidRPr="00526DBA" w:rsidRDefault="00E56D01" w:rsidP="00A30B91">
            <w:pPr>
              <w:rPr>
                <w:sz w:val="20"/>
                <w:szCs w:val="20"/>
              </w:rPr>
            </w:pPr>
            <w:r w:rsidRPr="00526DBA">
              <w:rPr>
                <w:sz w:val="20"/>
                <w:szCs w:val="20"/>
              </w:rPr>
              <w:t>Planned submission of final data</w:t>
            </w:r>
          </w:p>
        </w:tc>
      </w:tr>
      <w:tr w:rsidR="00E56D01" w:rsidRPr="005842D3" w:rsidTr="00E56D01">
        <w:tc>
          <w:tcPr>
            <w:tcW w:w="2518" w:type="dxa"/>
          </w:tcPr>
          <w:p w:rsidR="00E56D01" w:rsidRPr="00526DBA" w:rsidRDefault="00E56D01" w:rsidP="00A30B91">
            <w:pPr>
              <w:rPr>
                <w:sz w:val="20"/>
                <w:szCs w:val="20"/>
              </w:rPr>
            </w:pPr>
            <w:r w:rsidRPr="00526DBA">
              <w:rPr>
                <w:sz w:val="20"/>
                <w:szCs w:val="20"/>
              </w:rPr>
              <w:t>Post-Authorisation Safety Study (PASS) of Esbriet (</w:t>
            </w:r>
            <w:proofErr w:type="spellStart"/>
            <w:r w:rsidRPr="00526DBA">
              <w:rPr>
                <w:sz w:val="20"/>
                <w:szCs w:val="20"/>
              </w:rPr>
              <w:t>Pirfenidone</w:t>
            </w:r>
            <w:proofErr w:type="spellEnd"/>
            <w:r w:rsidRPr="00526DBA">
              <w:rPr>
                <w:sz w:val="20"/>
                <w:szCs w:val="20"/>
              </w:rPr>
              <w:t>): A Prospective Observational Registry to Evaluate Long Term Safety in a Real World Setting</w:t>
            </w:r>
          </w:p>
        </w:tc>
        <w:tc>
          <w:tcPr>
            <w:tcW w:w="1418" w:type="dxa"/>
          </w:tcPr>
          <w:p w:rsidR="00E56D01" w:rsidRPr="00526DBA" w:rsidRDefault="00E56D01" w:rsidP="00A30B91">
            <w:pPr>
              <w:rPr>
                <w:sz w:val="20"/>
                <w:szCs w:val="20"/>
              </w:rPr>
            </w:pPr>
            <w:r w:rsidRPr="00526DBA">
              <w:rPr>
                <w:sz w:val="20"/>
                <w:szCs w:val="20"/>
              </w:rPr>
              <w:t>All safety concerns.</w:t>
            </w:r>
          </w:p>
        </w:tc>
        <w:tc>
          <w:tcPr>
            <w:tcW w:w="2409" w:type="dxa"/>
          </w:tcPr>
          <w:p w:rsidR="00E56D01" w:rsidRPr="00526DBA" w:rsidRDefault="00E56D01" w:rsidP="00A30B91">
            <w:pPr>
              <w:rPr>
                <w:sz w:val="20"/>
                <w:szCs w:val="20"/>
              </w:rPr>
            </w:pPr>
            <w:r w:rsidRPr="00526DBA">
              <w:rPr>
                <w:sz w:val="20"/>
                <w:szCs w:val="20"/>
              </w:rPr>
              <w:t>The objective of this study is to evaluate the long-term safety profile of Esbriet in patients with IPF and to monitor for any unknown or potential risks of treatment with Esbriet.</w:t>
            </w:r>
          </w:p>
        </w:tc>
        <w:tc>
          <w:tcPr>
            <w:tcW w:w="2375" w:type="dxa"/>
          </w:tcPr>
          <w:p w:rsidR="00E56D01" w:rsidRPr="00526DBA" w:rsidRDefault="00E56D01" w:rsidP="00A30B91">
            <w:pPr>
              <w:rPr>
                <w:sz w:val="20"/>
                <w:szCs w:val="20"/>
              </w:rPr>
            </w:pPr>
            <w:r w:rsidRPr="00526DBA">
              <w:rPr>
                <w:sz w:val="20"/>
                <w:szCs w:val="20"/>
              </w:rPr>
              <w:t>Safety Updates to coincide with PSUR timetable (Final report planned Q3 2017)</w:t>
            </w:r>
          </w:p>
        </w:tc>
      </w:tr>
    </w:tbl>
    <w:p w:rsidR="00E56D01" w:rsidRPr="00A30B91" w:rsidRDefault="00E56D01" w:rsidP="00A30B91">
      <w:pPr>
        <w:pStyle w:val="Heading5"/>
      </w:pPr>
      <w:r w:rsidRPr="00A30B91">
        <w:t>RMP reviewer’s comments in regard to the pharmacovigilance plan and the appropriateness of milestones</w:t>
      </w:r>
    </w:p>
    <w:p w:rsidR="00E56D01" w:rsidRPr="00A30B91" w:rsidRDefault="00E56D01" w:rsidP="00A30B91">
      <w:r w:rsidRPr="00A30B91">
        <w:t>There is no definite objection to the pharmacovigilance plan proposed by the sponsor in the context of this application.</w:t>
      </w:r>
    </w:p>
    <w:p w:rsidR="008E7846" w:rsidRDefault="008E7846" w:rsidP="00E56D01">
      <w:pPr>
        <w:pStyle w:val="Heading4"/>
        <w:spacing w:before="0"/>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E56D01" w:rsidRDefault="00E56D01" w:rsidP="00E56D01">
      <w:bookmarkStart w:id="141" w:name="_Toc247691527"/>
      <w:r>
        <w:t xml:space="preserve">The sponsor proposes routine and additional risk minimisation activities for the </w:t>
      </w:r>
      <w:r w:rsidR="00525F30">
        <w:t>EU</w:t>
      </w:r>
      <w:r>
        <w:t>, but only routine risk minimisation activities for the Australian market. The sponsor has provided a justification for this as follows:</w:t>
      </w:r>
    </w:p>
    <w:p w:rsidR="00E56D01" w:rsidRDefault="00E56D01" w:rsidP="00E56D01">
      <w:pPr>
        <w:pStyle w:val="ListBullet"/>
      </w:pPr>
      <w:r>
        <w:t>Information in the EU communication and checklist reflects the EU</w:t>
      </w:r>
      <w:r w:rsidR="00525F30">
        <w:t xml:space="preserve"> </w:t>
      </w:r>
      <w:proofErr w:type="spellStart"/>
      <w:r>
        <w:t>SmPC</w:t>
      </w:r>
      <w:proofErr w:type="spellEnd"/>
      <w:r>
        <w:t xml:space="preserve"> however does not have additional information to aid the physician managing the risks of photosensitivity and abnormal liver function</w:t>
      </w:r>
    </w:p>
    <w:p w:rsidR="00E56D01" w:rsidRDefault="00E56D01" w:rsidP="00E56D01">
      <w:pPr>
        <w:pStyle w:val="ListBullet"/>
      </w:pPr>
      <w:r>
        <w:t xml:space="preserve">Educational material will be available at launch and will include direction to review the </w:t>
      </w:r>
      <w:r w:rsidR="00525F30">
        <w:t>PI</w:t>
      </w:r>
      <w:r>
        <w:t xml:space="preserve"> before prescribing. In this way the information regarding these risks is viewed in context.</w:t>
      </w:r>
    </w:p>
    <w:p w:rsidR="00E56D01" w:rsidRDefault="00E56D01" w:rsidP="00E56D01">
      <w:r>
        <w:t>The additional risk minimisation activities in the EU are for the following safety concerns:</w:t>
      </w:r>
    </w:p>
    <w:p w:rsidR="00E56D01" w:rsidRDefault="00E56D01" w:rsidP="00E56D01">
      <w:pPr>
        <w:pStyle w:val="ListBullet"/>
      </w:pPr>
      <w:r>
        <w:t>Photosensitivity reaction and Rash</w:t>
      </w:r>
    </w:p>
    <w:p w:rsidR="00E56D01" w:rsidRDefault="00E56D01" w:rsidP="00E56D01">
      <w:pPr>
        <w:pStyle w:val="ListBullet"/>
      </w:pPr>
      <w:r>
        <w:t>Abnormal liver function tests, increased ALT and AST levels, total serum bilirubin increased in combination with increases of ALT and AST</w:t>
      </w:r>
      <w:r w:rsidR="00525F30">
        <w:t>.</w:t>
      </w:r>
    </w:p>
    <w:p w:rsidR="00E56D01" w:rsidRDefault="00E56D01" w:rsidP="00E56D01">
      <w:r>
        <w:t>The additional risk minimisation activities in the EU consist of the following:</w:t>
      </w:r>
    </w:p>
    <w:p w:rsidR="00E56D01" w:rsidRDefault="00E56D01" w:rsidP="00E56D01">
      <w:pPr>
        <w:pStyle w:val="ListBullet"/>
      </w:pPr>
      <w:r>
        <w:t xml:space="preserve">A </w:t>
      </w:r>
      <w:r w:rsidR="00525F30">
        <w:t xml:space="preserve">safety checklist </w:t>
      </w:r>
      <w:r>
        <w:t>for all medical staff about monitoring and management of photosensitivity reaction and rash</w:t>
      </w:r>
    </w:p>
    <w:p w:rsidR="00E56D01" w:rsidRDefault="00E56D01" w:rsidP="00E56D01">
      <w:pPr>
        <w:pStyle w:val="ListBullet"/>
      </w:pPr>
      <w:r>
        <w:t xml:space="preserve">A </w:t>
      </w:r>
      <w:r w:rsidR="00525F30">
        <w:t xml:space="preserve">safety checklist </w:t>
      </w:r>
      <w:r>
        <w:t>for all medical staff about monitoring and management of hepatic related events including asymptomatic abnormal levels of ALT/AST.</w:t>
      </w:r>
    </w:p>
    <w:p w:rsidR="00E56D01" w:rsidRPr="00A30B91" w:rsidRDefault="00E60988" w:rsidP="00A30B91">
      <w:pPr>
        <w:pStyle w:val="Heading5"/>
      </w:pPr>
      <w:r w:rsidRPr="00A30B91">
        <w:lastRenderedPageBreak/>
        <w:t>RMP e</w:t>
      </w:r>
      <w:r w:rsidR="00E56D01" w:rsidRPr="00A30B91">
        <w:t>valuator comment</w:t>
      </w:r>
    </w:p>
    <w:p w:rsidR="00E56D01" w:rsidRPr="00A30B91" w:rsidRDefault="00E56D01" w:rsidP="00A30B91">
      <w:r w:rsidRPr="00A30B91">
        <w:t>It is desirable that the risk minimisation activities in Australia are equivalent to the risk minimisation activities in the EU. It is recommended that the sponsor provide a Dear Health Care Professional Letter (DHCPL) to the relevant group of prescribers. This DHCPL should include the same information as the activities in the EU.</w:t>
      </w:r>
    </w:p>
    <w:p w:rsidR="006F25B8" w:rsidRPr="00526DBA" w:rsidRDefault="006F25B8" w:rsidP="00A30B91">
      <w:pPr>
        <w:pStyle w:val="Heading4"/>
      </w:pPr>
      <w:r w:rsidRPr="00526DBA">
        <w:t>Reconciliation of issues outlined in the RMP report</w:t>
      </w:r>
    </w:p>
    <w:p w:rsidR="006F25B8" w:rsidRDefault="006F25B8" w:rsidP="006F25B8">
      <w:pPr>
        <w:rPr>
          <w:lang w:eastAsia="en-AU"/>
        </w:rPr>
      </w:pPr>
      <w:r>
        <w:rPr>
          <w:lang w:eastAsia="en-AU"/>
        </w:rPr>
        <w:t xml:space="preserve">Table </w:t>
      </w:r>
      <w:r w:rsidR="00525F30">
        <w:rPr>
          <w:lang w:eastAsia="en-AU"/>
        </w:rPr>
        <w:t>11</w:t>
      </w:r>
      <w:r>
        <w:rPr>
          <w:lang w:eastAsia="en-AU"/>
        </w:rPr>
        <w:t xml:space="preserve"> </w:t>
      </w:r>
      <w:r w:rsidR="00E15800">
        <w:rPr>
          <w:lang w:eastAsia="en-AU"/>
        </w:rPr>
        <w:t xml:space="preserve">below </w:t>
      </w:r>
      <w:r>
        <w:rPr>
          <w:lang w:eastAsia="en-AU"/>
        </w:rPr>
        <w:t>summarises the first round evaluation of the RMP, the sponsor’s responses to i</w:t>
      </w:r>
      <w:r w:rsidR="003A4870">
        <w:rPr>
          <w:lang w:eastAsia="en-AU"/>
        </w:rPr>
        <w:t xml:space="preserve">ssues raised and the RMP evaluator’s </w:t>
      </w:r>
      <w:r>
        <w:rPr>
          <w:lang w:eastAsia="en-AU"/>
        </w:rPr>
        <w:t>evaluat</w:t>
      </w:r>
      <w:r w:rsidR="0012722E">
        <w:rPr>
          <w:lang w:eastAsia="en-AU"/>
        </w:rPr>
        <w:t>ion of the sponsor’s responses.</w:t>
      </w:r>
    </w:p>
    <w:p w:rsidR="0012722E" w:rsidRDefault="0012722E" w:rsidP="0012722E">
      <w:pPr>
        <w:pStyle w:val="Tabletitle0"/>
        <w:rPr>
          <w:lang w:eastAsia="en-AU"/>
        </w:rPr>
      </w:pPr>
      <w:r>
        <w:rPr>
          <w:lang w:eastAsia="en-AU"/>
        </w:rPr>
        <w:t xml:space="preserve">Table </w:t>
      </w:r>
      <w:r w:rsidR="007A31D9">
        <w:rPr>
          <w:lang w:eastAsia="en-AU"/>
        </w:rPr>
        <w:t>11</w:t>
      </w:r>
      <w:r>
        <w:rPr>
          <w:lang w:eastAsia="en-AU"/>
        </w:rPr>
        <w:t>: Summary of RMP recommendations with sponsor’s respons</w:t>
      </w:r>
      <w:r w:rsidR="00E15800">
        <w:rPr>
          <w:lang w:eastAsia="en-AU"/>
        </w:rPr>
        <w:t>es and RMP evaluator’s comments</w:t>
      </w:r>
    </w:p>
    <w:tbl>
      <w:tblPr>
        <w:tblStyle w:val="TableTGAblue"/>
        <w:tblW w:w="5000" w:type="pct"/>
        <w:tblLayout w:type="fixed"/>
        <w:tblCellMar>
          <w:left w:w="0" w:type="dxa"/>
          <w:right w:w="0" w:type="dxa"/>
        </w:tblCellMar>
        <w:tblLook w:val="04A0" w:firstRow="1" w:lastRow="0" w:firstColumn="1" w:lastColumn="0" w:noHBand="0" w:noVBand="1"/>
        <w:tblCaption w:val="Table 11: Summary of RMP recommendations with sponsor’s responses and RMP evaluator’s comments"/>
        <w:tblDescription w:val="Table 11: Summary of RMP recommendations with sponsor’s responses and RMP evaluator’s comments"/>
      </w:tblPr>
      <w:tblGrid>
        <w:gridCol w:w="2562"/>
        <w:gridCol w:w="4252"/>
        <w:gridCol w:w="1710"/>
      </w:tblGrid>
      <w:tr w:rsidR="00B15856" w:rsidRPr="00525F30" w:rsidTr="00F90ADB">
        <w:trPr>
          <w:cnfStyle w:val="100000000000" w:firstRow="1" w:lastRow="0" w:firstColumn="0" w:lastColumn="0" w:oddVBand="0" w:evenVBand="0" w:oddHBand="0" w:evenHBand="0" w:firstRowFirstColumn="0" w:firstRowLastColumn="0" w:lastRowFirstColumn="0" w:lastRowLastColumn="0"/>
        </w:trPr>
        <w:tc>
          <w:tcPr>
            <w:tcW w:w="1503" w:type="pct"/>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t>Recommendation in RMP evaluation report</w:t>
            </w:r>
          </w:p>
        </w:tc>
        <w:tc>
          <w:tcPr>
            <w:tcW w:w="2494" w:type="pct"/>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t>Sponsor’s response (or summary of the response)</w:t>
            </w:r>
          </w:p>
        </w:tc>
        <w:tc>
          <w:tcPr>
            <w:tcW w:w="1003" w:type="pct"/>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t>RMP evaluator’s comment</w:t>
            </w:r>
          </w:p>
        </w:tc>
      </w:tr>
      <w:tr w:rsidR="00B15856" w:rsidRPr="00525F30" w:rsidTr="00F90ADB">
        <w:tc>
          <w:tcPr>
            <w:tcW w:w="15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t>Safety considerations may be raised by the nonclinical and clinical eval</w:t>
            </w:r>
            <w:r w:rsidR="00E15800" w:rsidRPr="00526DBA">
              <w:rPr>
                <w:rFonts w:asciiTheme="minorHAnsi" w:hAnsiTheme="minorHAnsi"/>
                <w:sz w:val="18"/>
                <w:szCs w:val="18"/>
              </w:rPr>
              <w:t xml:space="preserve">uators. </w:t>
            </w:r>
            <w:r w:rsidRPr="00526DBA">
              <w:rPr>
                <w:rFonts w:asciiTheme="minorHAnsi" w:hAnsiTheme="minorHAnsi"/>
                <w:sz w:val="18"/>
                <w:szCs w:val="18"/>
              </w:rPr>
              <w:t xml:space="preserve">It is important to ensure that the information provided in response to these includes a consideration of the relevance for the </w:t>
            </w:r>
            <w:r w:rsidR="00E15800" w:rsidRPr="00526DBA">
              <w:rPr>
                <w:rFonts w:asciiTheme="minorHAnsi" w:hAnsiTheme="minorHAnsi"/>
                <w:sz w:val="18"/>
                <w:szCs w:val="18"/>
              </w:rPr>
              <w:t>RMP</w:t>
            </w:r>
            <w:r w:rsidRPr="00526DBA">
              <w:rPr>
                <w:rFonts w:asciiTheme="minorHAnsi" w:hAnsiTheme="minorHAnsi"/>
                <w:sz w:val="18"/>
                <w:szCs w:val="18"/>
              </w:rPr>
              <w:t xml:space="preserve"> and any specific information needed to </w:t>
            </w:r>
            <w:r w:rsidR="00F90ADB" w:rsidRPr="00526DBA">
              <w:rPr>
                <w:rFonts w:asciiTheme="minorHAnsi" w:hAnsiTheme="minorHAnsi"/>
                <w:sz w:val="18"/>
                <w:szCs w:val="18"/>
              </w:rPr>
              <w:t xml:space="preserve">address this issue in the RMP. </w:t>
            </w:r>
            <w:r w:rsidRPr="00526DBA">
              <w:rPr>
                <w:rFonts w:asciiTheme="minorHAnsi" w:hAnsiTheme="minorHAnsi"/>
                <w:sz w:val="18"/>
                <w:szCs w:val="18"/>
              </w:rPr>
              <w:t>For any safety considerations so raised, please provide information that is relevant and necessary to address the issue in the RMP.</w:t>
            </w:r>
          </w:p>
        </w:tc>
        <w:tc>
          <w:tcPr>
            <w:tcW w:w="24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t xml:space="preserve">Safety considerations raised in the evaluation reports have been included as appropriate in updated </w:t>
            </w:r>
            <w:r w:rsidR="00E15800" w:rsidRPr="00526DBA">
              <w:rPr>
                <w:rFonts w:asciiTheme="minorHAnsi" w:hAnsiTheme="minorHAnsi"/>
                <w:sz w:val="18"/>
                <w:szCs w:val="18"/>
              </w:rPr>
              <w:t>RMP</w:t>
            </w:r>
            <w:r w:rsidRPr="00526DBA">
              <w:rPr>
                <w:rFonts w:asciiTheme="minorHAnsi" w:hAnsiTheme="minorHAnsi"/>
                <w:sz w:val="18"/>
                <w:szCs w:val="18"/>
              </w:rPr>
              <w:t>.</w:t>
            </w:r>
          </w:p>
        </w:tc>
        <w:tc>
          <w:tcPr>
            <w:tcW w:w="10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t>The sponsor’s response has been noted.</w:t>
            </w:r>
          </w:p>
        </w:tc>
      </w:tr>
      <w:tr w:rsidR="00B15856" w:rsidRPr="00525F30" w:rsidTr="00F90ADB">
        <w:tc>
          <w:tcPr>
            <w:tcW w:w="15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t>Any ASA updates should be provided in the current ASA format.</w:t>
            </w:r>
          </w:p>
        </w:tc>
        <w:tc>
          <w:tcPr>
            <w:tcW w:w="24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t>E</w:t>
            </w:r>
            <w:r w:rsidR="00E15800" w:rsidRPr="00526DBA">
              <w:rPr>
                <w:rFonts w:asciiTheme="minorHAnsi" w:hAnsiTheme="minorHAnsi"/>
                <w:sz w:val="18"/>
                <w:szCs w:val="18"/>
              </w:rPr>
              <w:t>sbriet</w:t>
            </w:r>
            <w:r w:rsidRPr="00526DBA">
              <w:rPr>
                <w:rFonts w:asciiTheme="minorHAnsi" w:hAnsiTheme="minorHAnsi"/>
                <w:sz w:val="18"/>
                <w:szCs w:val="18"/>
              </w:rPr>
              <w:t xml:space="preserve"> ASA v1.1 has been updated to the current TGA ASA format as requested.</w:t>
            </w:r>
          </w:p>
        </w:tc>
        <w:tc>
          <w:tcPr>
            <w:tcW w:w="10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t>The sponsor’s response has been noted.</w:t>
            </w:r>
          </w:p>
        </w:tc>
      </w:tr>
      <w:tr w:rsidR="00B15856" w:rsidRPr="00525F30" w:rsidTr="00F90ADB">
        <w:tc>
          <w:tcPr>
            <w:tcW w:w="15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t>The sponsor should provide a summary of the post-market experience with overdose.</w:t>
            </w:r>
          </w:p>
        </w:tc>
        <w:tc>
          <w:tcPr>
            <w:tcW w:w="24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t xml:space="preserve">Limited data are available on </w:t>
            </w:r>
            <w:r w:rsidR="00F90ADB" w:rsidRPr="00526DBA">
              <w:rPr>
                <w:rFonts w:asciiTheme="minorHAnsi" w:hAnsiTheme="minorHAnsi"/>
                <w:sz w:val="18"/>
                <w:szCs w:val="18"/>
              </w:rPr>
              <w:t>over dosage</w:t>
            </w:r>
            <w:r w:rsidRPr="00526DBA">
              <w:rPr>
                <w:rFonts w:asciiTheme="minorHAnsi" w:hAnsiTheme="minorHAnsi"/>
                <w:sz w:val="18"/>
                <w:szCs w:val="18"/>
              </w:rPr>
              <w:t xml:space="preserve"> in humans. The highest dose studied in healthy v</w:t>
            </w:r>
            <w:r w:rsidR="00E15800" w:rsidRPr="00526DBA">
              <w:rPr>
                <w:rFonts w:asciiTheme="minorHAnsi" w:hAnsiTheme="minorHAnsi"/>
                <w:sz w:val="18"/>
                <w:szCs w:val="18"/>
              </w:rPr>
              <w:t>olunteers was 4</w:t>
            </w:r>
            <w:r w:rsidR="00525F30">
              <w:rPr>
                <w:rFonts w:asciiTheme="minorHAnsi" w:hAnsiTheme="minorHAnsi"/>
                <w:sz w:val="18"/>
                <w:szCs w:val="18"/>
              </w:rPr>
              <w:t>,</w:t>
            </w:r>
            <w:r w:rsidR="00E15800" w:rsidRPr="00526DBA">
              <w:rPr>
                <w:rFonts w:asciiTheme="minorHAnsi" w:hAnsiTheme="minorHAnsi"/>
                <w:sz w:val="18"/>
                <w:szCs w:val="18"/>
              </w:rPr>
              <w:t>806</w:t>
            </w:r>
            <w:r w:rsidR="00525F30">
              <w:rPr>
                <w:rFonts w:asciiTheme="minorHAnsi" w:hAnsiTheme="minorHAnsi"/>
                <w:sz w:val="18"/>
                <w:szCs w:val="18"/>
              </w:rPr>
              <w:t xml:space="preserve"> </w:t>
            </w:r>
            <w:r w:rsidR="00E15800" w:rsidRPr="00526DBA">
              <w:rPr>
                <w:rFonts w:asciiTheme="minorHAnsi" w:hAnsiTheme="minorHAnsi"/>
                <w:sz w:val="18"/>
                <w:szCs w:val="18"/>
              </w:rPr>
              <w:t>mg/day (PIPF</w:t>
            </w:r>
            <w:r w:rsidR="00E15800" w:rsidRPr="00526DBA">
              <w:rPr>
                <w:rFonts w:asciiTheme="minorHAnsi" w:hAnsiTheme="minorHAnsi"/>
                <w:sz w:val="18"/>
                <w:szCs w:val="18"/>
              </w:rPr>
              <w:noBreakHyphen/>
            </w:r>
            <w:r w:rsidRPr="00526DBA">
              <w:rPr>
                <w:rFonts w:asciiTheme="minorHAnsi" w:hAnsiTheme="minorHAnsi"/>
                <w:sz w:val="18"/>
                <w:szCs w:val="18"/>
              </w:rPr>
              <w:t xml:space="preserve">008). Adverse reactions observed due to multiple doses of </w:t>
            </w:r>
            <w:proofErr w:type="spellStart"/>
            <w:r w:rsidRPr="00526DBA">
              <w:rPr>
                <w:rFonts w:asciiTheme="minorHAnsi" w:hAnsiTheme="minorHAnsi"/>
                <w:sz w:val="18"/>
                <w:szCs w:val="18"/>
              </w:rPr>
              <w:t>pirfenidone</w:t>
            </w:r>
            <w:proofErr w:type="spellEnd"/>
            <w:r w:rsidRPr="00526DBA">
              <w:rPr>
                <w:rFonts w:asciiTheme="minorHAnsi" w:hAnsiTheme="minorHAnsi"/>
                <w:sz w:val="18"/>
                <w:szCs w:val="18"/>
              </w:rPr>
              <w:t xml:space="preserve"> up to dose of 4</w:t>
            </w:r>
            <w:r w:rsidR="00525F30">
              <w:rPr>
                <w:rFonts w:asciiTheme="minorHAnsi" w:hAnsiTheme="minorHAnsi"/>
                <w:sz w:val="18"/>
                <w:szCs w:val="18"/>
              </w:rPr>
              <w:t>,</w:t>
            </w:r>
            <w:r w:rsidRPr="00526DBA">
              <w:rPr>
                <w:rFonts w:asciiTheme="minorHAnsi" w:hAnsiTheme="minorHAnsi"/>
                <w:sz w:val="18"/>
                <w:szCs w:val="18"/>
              </w:rPr>
              <w:t xml:space="preserve">806 mg/day were mild, transient, and consistent with the most frequently reported adverse reactions for </w:t>
            </w:r>
            <w:proofErr w:type="spellStart"/>
            <w:r w:rsidRPr="00526DBA">
              <w:rPr>
                <w:rFonts w:asciiTheme="minorHAnsi" w:hAnsiTheme="minorHAnsi"/>
                <w:sz w:val="18"/>
                <w:szCs w:val="18"/>
              </w:rPr>
              <w:t>pirfenidone</w:t>
            </w:r>
            <w:proofErr w:type="spellEnd"/>
            <w:r w:rsidRPr="00526DBA">
              <w:rPr>
                <w:rFonts w:asciiTheme="minorHAnsi" w:hAnsiTheme="minorHAnsi"/>
                <w:sz w:val="18"/>
                <w:szCs w:val="18"/>
              </w:rPr>
              <w:t>.</w:t>
            </w:r>
          </w:p>
          <w:p w:rsidR="00B15856" w:rsidRPr="00526DBA" w:rsidRDefault="00B15856" w:rsidP="00A30B91">
            <w:pPr>
              <w:rPr>
                <w:rFonts w:asciiTheme="minorHAnsi" w:hAnsiTheme="minorHAnsi"/>
                <w:sz w:val="18"/>
                <w:szCs w:val="18"/>
              </w:rPr>
            </w:pPr>
            <w:r w:rsidRPr="00526DBA">
              <w:rPr>
                <w:rFonts w:asciiTheme="minorHAnsi" w:hAnsiTheme="minorHAnsi"/>
                <w:sz w:val="18"/>
                <w:szCs w:val="18"/>
              </w:rPr>
              <w:t xml:space="preserve">An advice on providing supportive medical care has been included in reference safety information. Treatment of overdose with </w:t>
            </w:r>
            <w:proofErr w:type="spellStart"/>
            <w:r w:rsidRPr="00526DBA">
              <w:rPr>
                <w:rFonts w:asciiTheme="minorHAnsi" w:hAnsiTheme="minorHAnsi"/>
                <w:sz w:val="18"/>
                <w:szCs w:val="18"/>
              </w:rPr>
              <w:t>pirfenidone</w:t>
            </w:r>
            <w:proofErr w:type="spellEnd"/>
            <w:r w:rsidRPr="00526DBA">
              <w:rPr>
                <w:rFonts w:asciiTheme="minorHAnsi" w:hAnsiTheme="minorHAnsi"/>
                <w:sz w:val="18"/>
                <w:szCs w:val="18"/>
              </w:rPr>
              <w:t xml:space="preserve"> consists of general supportive measures including monitoring of vital signs and observation of the clinical status of the patient. It is unknown if </w:t>
            </w:r>
            <w:proofErr w:type="spellStart"/>
            <w:r w:rsidRPr="00526DBA">
              <w:rPr>
                <w:rFonts w:asciiTheme="minorHAnsi" w:hAnsiTheme="minorHAnsi"/>
                <w:sz w:val="18"/>
                <w:szCs w:val="18"/>
              </w:rPr>
              <w:t>pirfenidone</w:t>
            </w:r>
            <w:proofErr w:type="spellEnd"/>
            <w:r w:rsidRPr="00526DBA">
              <w:rPr>
                <w:rFonts w:asciiTheme="minorHAnsi" w:hAnsiTheme="minorHAnsi"/>
                <w:sz w:val="18"/>
                <w:szCs w:val="18"/>
              </w:rPr>
              <w:t xml:space="preserve"> is </w:t>
            </w:r>
            <w:proofErr w:type="spellStart"/>
            <w:r w:rsidRPr="00526DBA">
              <w:rPr>
                <w:rFonts w:asciiTheme="minorHAnsi" w:hAnsiTheme="minorHAnsi"/>
                <w:sz w:val="18"/>
                <w:szCs w:val="18"/>
              </w:rPr>
              <w:t>dialysable</w:t>
            </w:r>
            <w:proofErr w:type="spellEnd"/>
            <w:r w:rsidRPr="00526DBA">
              <w:rPr>
                <w:rFonts w:asciiTheme="minorHAnsi" w:hAnsiTheme="minorHAnsi"/>
                <w:sz w:val="18"/>
                <w:szCs w:val="18"/>
              </w:rPr>
              <w:t xml:space="preserve">. There is no specific antidote for overdose with </w:t>
            </w:r>
            <w:proofErr w:type="spellStart"/>
            <w:r w:rsidRPr="00526DBA">
              <w:rPr>
                <w:rFonts w:asciiTheme="minorHAnsi" w:hAnsiTheme="minorHAnsi"/>
                <w:sz w:val="18"/>
                <w:szCs w:val="18"/>
              </w:rPr>
              <w:t>pirfenidone</w:t>
            </w:r>
            <w:proofErr w:type="spellEnd"/>
            <w:r w:rsidRPr="00526DBA">
              <w:rPr>
                <w:rFonts w:asciiTheme="minorHAnsi" w:hAnsiTheme="minorHAnsi"/>
                <w:sz w:val="18"/>
                <w:szCs w:val="18"/>
              </w:rPr>
              <w:t>.</w:t>
            </w:r>
          </w:p>
          <w:p w:rsidR="00B15856" w:rsidRPr="00526DBA" w:rsidRDefault="00B15856" w:rsidP="00A30B91">
            <w:pPr>
              <w:rPr>
                <w:rFonts w:asciiTheme="minorHAnsi" w:hAnsiTheme="minorHAnsi"/>
                <w:sz w:val="18"/>
                <w:szCs w:val="18"/>
              </w:rPr>
            </w:pPr>
            <w:r w:rsidRPr="00526DBA">
              <w:rPr>
                <w:rFonts w:asciiTheme="minorHAnsi" w:hAnsiTheme="minorHAnsi"/>
                <w:sz w:val="18"/>
                <w:szCs w:val="18"/>
              </w:rPr>
              <w:t xml:space="preserve">Roche believes that because of the instructions about dosing in the </w:t>
            </w:r>
            <w:r w:rsidR="00525F30">
              <w:rPr>
                <w:rFonts w:asciiTheme="minorHAnsi" w:hAnsiTheme="minorHAnsi"/>
                <w:sz w:val="18"/>
                <w:szCs w:val="18"/>
              </w:rPr>
              <w:t>PI</w:t>
            </w:r>
            <w:r w:rsidRPr="00526DBA">
              <w:rPr>
                <w:rFonts w:asciiTheme="minorHAnsi" w:hAnsiTheme="minorHAnsi"/>
                <w:sz w:val="18"/>
                <w:szCs w:val="18"/>
              </w:rPr>
              <w:t xml:space="preserve"> the potential risk of either </w:t>
            </w:r>
            <w:r w:rsidRPr="00526DBA">
              <w:rPr>
                <w:rFonts w:asciiTheme="minorHAnsi" w:hAnsiTheme="minorHAnsi"/>
                <w:sz w:val="18"/>
                <w:szCs w:val="18"/>
              </w:rPr>
              <w:lastRenderedPageBreak/>
              <w:t>accidental or intentional overdose is very low.</w:t>
            </w:r>
          </w:p>
          <w:p w:rsidR="00B15856" w:rsidRPr="00526DBA" w:rsidRDefault="00B15856" w:rsidP="00A30B91">
            <w:pPr>
              <w:rPr>
                <w:rFonts w:asciiTheme="minorHAnsi" w:hAnsiTheme="minorHAnsi"/>
                <w:sz w:val="18"/>
                <w:szCs w:val="18"/>
              </w:rPr>
            </w:pPr>
            <w:r w:rsidRPr="00526DBA">
              <w:rPr>
                <w:rFonts w:asciiTheme="minorHAnsi" w:hAnsiTheme="minorHAnsi"/>
                <w:sz w:val="18"/>
                <w:szCs w:val="18"/>
              </w:rPr>
              <w:t>As part of Roche’s response, a cumulative review of the</w:t>
            </w:r>
            <w:r w:rsidR="00E15800" w:rsidRPr="00526DBA">
              <w:rPr>
                <w:rFonts w:asciiTheme="minorHAnsi" w:hAnsiTheme="minorHAnsi"/>
                <w:sz w:val="18"/>
                <w:szCs w:val="18"/>
              </w:rPr>
              <w:t xml:space="preserve"> safety database was performed.</w:t>
            </w:r>
          </w:p>
          <w:p w:rsidR="00B15856" w:rsidRPr="00526DBA" w:rsidRDefault="00B15856" w:rsidP="00A30B91">
            <w:pPr>
              <w:rPr>
                <w:rFonts w:asciiTheme="minorHAnsi" w:hAnsiTheme="minorHAnsi"/>
                <w:sz w:val="18"/>
                <w:szCs w:val="18"/>
              </w:rPr>
            </w:pPr>
            <w:r w:rsidRPr="00526DBA">
              <w:rPr>
                <w:rFonts w:asciiTheme="minorHAnsi" w:hAnsiTheme="minorHAnsi"/>
                <w:sz w:val="18"/>
                <w:szCs w:val="18"/>
              </w:rPr>
              <w:t>Cumulatively, 214 patients were identified using these broad search criteria.</w:t>
            </w:r>
            <w:r w:rsidR="00F90ADB" w:rsidRPr="00526DBA">
              <w:rPr>
                <w:rFonts w:asciiTheme="minorHAnsi" w:hAnsiTheme="minorHAnsi"/>
                <w:sz w:val="18"/>
                <w:szCs w:val="18"/>
              </w:rPr>
              <w:t xml:space="preserve"> </w:t>
            </w:r>
            <w:r w:rsidRPr="00526DBA">
              <w:rPr>
                <w:rFonts w:asciiTheme="minorHAnsi" w:hAnsiTheme="minorHAnsi"/>
                <w:sz w:val="18"/>
                <w:szCs w:val="18"/>
              </w:rPr>
              <w:t>Of the 214 cases:</w:t>
            </w:r>
          </w:p>
          <w:p w:rsidR="00B15856" w:rsidRPr="00526DBA" w:rsidRDefault="00B15856" w:rsidP="00A30B91">
            <w:pPr>
              <w:rPr>
                <w:rFonts w:asciiTheme="minorHAnsi" w:hAnsiTheme="minorHAnsi"/>
                <w:sz w:val="18"/>
                <w:szCs w:val="18"/>
              </w:rPr>
            </w:pPr>
            <w:r w:rsidRPr="00526DBA">
              <w:rPr>
                <w:rFonts w:asciiTheme="minorHAnsi" w:hAnsiTheme="minorHAnsi"/>
                <w:sz w:val="18"/>
                <w:szCs w:val="18"/>
              </w:rPr>
              <w:t xml:space="preserve">134 Cases </w:t>
            </w:r>
            <w:r w:rsidR="009F47D6">
              <w:rPr>
                <w:rFonts w:asciiTheme="minorHAnsi" w:hAnsiTheme="minorHAnsi"/>
                <w:sz w:val="18"/>
                <w:szCs w:val="18"/>
              </w:rPr>
              <w:t>involved</w:t>
            </w:r>
            <w:r w:rsidR="009F47D6" w:rsidRPr="00526DBA">
              <w:rPr>
                <w:rFonts w:asciiTheme="minorHAnsi" w:hAnsiTheme="minorHAnsi"/>
                <w:sz w:val="18"/>
                <w:szCs w:val="18"/>
              </w:rPr>
              <w:t xml:space="preserve"> </w:t>
            </w:r>
            <w:r w:rsidR="009F47D6">
              <w:rPr>
                <w:rFonts w:asciiTheme="minorHAnsi" w:hAnsiTheme="minorHAnsi"/>
                <w:sz w:val="18"/>
                <w:szCs w:val="18"/>
              </w:rPr>
              <w:t>patients</w:t>
            </w:r>
            <w:r w:rsidR="009F47D6" w:rsidRPr="00526DBA">
              <w:rPr>
                <w:rFonts w:asciiTheme="minorHAnsi" w:hAnsiTheme="minorHAnsi"/>
                <w:sz w:val="18"/>
                <w:szCs w:val="18"/>
              </w:rPr>
              <w:t xml:space="preserve"> </w:t>
            </w:r>
            <w:r w:rsidRPr="00526DBA">
              <w:rPr>
                <w:rFonts w:asciiTheme="minorHAnsi" w:hAnsiTheme="minorHAnsi"/>
                <w:sz w:val="18"/>
                <w:szCs w:val="18"/>
              </w:rPr>
              <w:t xml:space="preserve">not consistent with medical concept of overdose </w:t>
            </w:r>
            <w:r w:rsidR="00525F30" w:rsidRPr="00A30B91">
              <w:rPr>
                <w:rFonts w:asciiTheme="minorHAnsi" w:hAnsiTheme="minorHAnsi"/>
                <w:sz w:val="18"/>
                <w:szCs w:val="18"/>
              </w:rPr>
              <w:t xml:space="preserve">including drug dose </w:t>
            </w:r>
            <w:r w:rsidRPr="00526DBA">
              <w:rPr>
                <w:rFonts w:asciiTheme="minorHAnsi" w:hAnsiTheme="minorHAnsi"/>
                <w:sz w:val="18"/>
                <w:szCs w:val="18"/>
              </w:rPr>
              <w:t>omission,</w:t>
            </w:r>
            <w:r w:rsidR="00525F30">
              <w:rPr>
                <w:rFonts w:asciiTheme="minorHAnsi" w:hAnsiTheme="minorHAnsi"/>
                <w:sz w:val="18"/>
                <w:szCs w:val="18"/>
              </w:rPr>
              <w:t xml:space="preserve"> i</w:t>
            </w:r>
            <w:r w:rsidRPr="00526DBA">
              <w:rPr>
                <w:rFonts w:asciiTheme="minorHAnsi" w:hAnsiTheme="minorHAnsi"/>
                <w:sz w:val="18"/>
                <w:szCs w:val="18"/>
              </w:rPr>
              <w:t>ntentional under</w:t>
            </w:r>
            <w:r w:rsidR="00B54A52">
              <w:rPr>
                <w:rFonts w:asciiTheme="minorHAnsi" w:hAnsiTheme="minorHAnsi"/>
                <w:sz w:val="18"/>
                <w:szCs w:val="18"/>
              </w:rPr>
              <w:t xml:space="preserve"> </w:t>
            </w:r>
            <w:r w:rsidRPr="00526DBA">
              <w:rPr>
                <w:rFonts w:asciiTheme="minorHAnsi" w:hAnsiTheme="minorHAnsi"/>
                <w:sz w:val="18"/>
                <w:szCs w:val="18"/>
              </w:rPr>
              <w:t>do</w:t>
            </w:r>
            <w:r w:rsidR="00E15800" w:rsidRPr="00526DBA">
              <w:rPr>
                <w:rFonts w:asciiTheme="minorHAnsi" w:hAnsiTheme="minorHAnsi"/>
                <w:sz w:val="18"/>
                <w:szCs w:val="18"/>
              </w:rPr>
              <w:t>se</w:t>
            </w:r>
            <w:r w:rsidRPr="00526DBA">
              <w:rPr>
                <w:rFonts w:asciiTheme="minorHAnsi" w:hAnsiTheme="minorHAnsi"/>
                <w:sz w:val="18"/>
                <w:szCs w:val="18"/>
              </w:rPr>
              <w:t>s and were excluded from further analysis of the medical concept of overdose.</w:t>
            </w:r>
          </w:p>
          <w:p w:rsidR="00B15856" w:rsidRPr="00526DBA" w:rsidRDefault="00B15856" w:rsidP="00A30B91">
            <w:pPr>
              <w:rPr>
                <w:rFonts w:asciiTheme="minorHAnsi" w:hAnsiTheme="minorHAnsi"/>
                <w:sz w:val="18"/>
                <w:szCs w:val="18"/>
              </w:rPr>
            </w:pPr>
            <w:r w:rsidRPr="00526DBA">
              <w:rPr>
                <w:rFonts w:asciiTheme="minorHAnsi" w:hAnsiTheme="minorHAnsi"/>
                <w:sz w:val="18"/>
                <w:szCs w:val="18"/>
              </w:rPr>
              <w:t xml:space="preserve">The remaining 80 cases were then reviewed to identify cases consistent with the medical concept of </w:t>
            </w:r>
            <w:proofErr w:type="spellStart"/>
            <w:r w:rsidRPr="00526DBA">
              <w:rPr>
                <w:rFonts w:asciiTheme="minorHAnsi" w:hAnsiTheme="minorHAnsi"/>
                <w:sz w:val="18"/>
                <w:szCs w:val="18"/>
              </w:rPr>
              <w:t>pirfenidone</w:t>
            </w:r>
            <w:proofErr w:type="spellEnd"/>
            <w:r w:rsidRPr="00526DBA">
              <w:rPr>
                <w:rFonts w:asciiTheme="minorHAnsi" w:hAnsiTheme="minorHAnsi"/>
                <w:sz w:val="18"/>
                <w:szCs w:val="18"/>
              </w:rPr>
              <w:t xml:space="preserve"> overdose:</w:t>
            </w:r>
          </w:p>
          <w:p w:rsidR="00B15856" w:rsidRPr="00526DBA" w:rsidRDefault="00B15856" w:rsidP="00A30B91">
            <w:pPr>
              <w:rPr>
                <w:rFonts w:asciiTheme="minorHAnsi" w:hAnsiTheme="minorHAnsi"/>
                <w:sz w:val="18"/>
                <w:szCs w:val="18"/>
              </w:rPr>
            </w:pPr>
            <w:r w:rsidRPr="00526DBA">
              <w:rPr>
                <w:rFonts w:asciiTheme="minorHAnsi" w:hAnsiTheme="minorHAnsi"/>
                <w:sz w:val="18"/>
                <w:szCs w:val="18"/>
              </w:rPr>
              <w:t xml:space="preserve">Of these 80 cases, 55 were reviewed and assessed as not being consistent with the medical concept of </w:t>
            </w:r>
            <w:proofErr w:type="spellStart"/>
            <w:r w:rsidRPr="00526DBA">
              <w:rPr>
                <w:rFonts w:asciiTheme="minorHAnsi" w:hAnsiTheme="minorHAnsi"/>
                <w:sz w:val="18"/>
                <w:szCs w:val="18"/>
              </w:rPr>
              <w:t>pirfenidone</w:t>
            </w:r>
            <w:proofErr w:type="spellEnd"/>
            <w:r w:rsidRPr="00526DBA">
              <w:rPr>
                <w:rFonts w:asciiTheme="minorHAnsi" w:hAnsiTheme="minorHAnsi"/>
                <w:sz w:val="18"/>
                <w:szCs w:val="18"/>
              </w:rPr>
              <w:t xml:space="preserve"> overdose. Events in this group included experiencing issues related to dose escalation, skipping doses and overdose with use of </w:t>
            </w:r>
            <w:r w:rsidR="00E15800" w:rsidRPr="00526DBA">
              <w:rPr>
                <w:rFonts w:asciiTheme="minorHAnsi" w:hAnsiTheme="minorHAnsi"/>
                <w:sz w:val="18"/>
                <w:szCs w:val="18"/>
              </w:rPr>
              <w:t>n</w:t>
            </w:r>
            <w:r w:rsidRPr="00526DBA">
              <w:rPr>
                <w:rFonts w:asciiTheme="minorHAnsi" w:hAnsiTheme="minorHAnsi"/>
                <w:sz w:val="18"/>
                <w:szCs w:val="18"/>
              </w:rPr>
              <w:t xml:space="preserve">arcotics, </w:t>
            </w:r>
            <w:r w:rsidR="00E15800" w:rsidRPr="00526DBA">
              <w:rPr>
                <w:rFonts w:asciiTheme="minorHAnsi" w:hAnsiTheme="minorHAnsi"/>
                <w:sz w:val="18"/>
                <w:szCs w:val="18"/>
              </w:rPr>
              <w:t>d</w:t>
            </w:r>
            <w:r w:rsidRPr="00526DBA">
              <w:rPr>
                <w:rFonts w:asciiTheme="minorHAnsi" w:hAnsiTheme="minorHAnsi"/>
                <w:sz w:val="18"/>
                <w:szCs w:val="18"/>
              </w:rPr>
              <w:t>igoxin.</w:t>
            </w:r>
          </w:p>
          <w:p w:rsidR="00B15856" w:rsidRPr="00526DBA" w:rsidRDefault="00B15856" w:rsidP="00A30B91">
            <w:pPr>
              <w:rPr>
                <w:rFonts w:asciiTheme="minorHAnsi" w:hAnsiTheme="minorHAnsi"/>
                <w:sz w:val="18"/>
                <w:szCs w:val="18"/>
              </w:rPr>
            </w:pPr>
            <w:r w:rsidRPr="00526DBA">
              <w:rPr>
                <w:rFonts w:asciiTheme="minorHAnsi" w:hAnsiTheme="minorHAnsi"/>
                <w:sz w:val="18"/>
                <w:szCs w:val="18"/>
              </w:rPr>
              <w:t>Of the 80 cases, the remaining 24 cases were then reviewed:</w:t>
            </w:r>
          </w:p>
          <w:p w:rsidR="00B15856" w:rsidRPr="00A30B91" w:rsidRDefault="00B15856" w:rsidP="00526DBA">
            <w:pPr>
              <w:pStyle w:val="ListBullet"/>
              <w:rPr>
                <w:sz w:val="18"/>
                <w:szCs w:val="18"/>
              </w:rPr>
            </w:pPr>
            <w:r w:rsidRPr="00A30B91">
              <w:rPr>
                <w:sz w:val="18"/>
                <w:szCs w:val="18"/>
              </w:rPr>
              <w:t>Of these 24 cases, 13 had very limited clinical information with which to fully assess. In these 13 cases, the sequence of events is unknown and there is no additional available information to assess</w:t>
            </w:r>
          </w:p>
          <w:p w:rsidR="00B15856" w:rsidRPr="00A30B91" w:rsidRDefault="00B15856" w:rsidP="00526DBA">
            <w:pPr>
              <w:pStyle w:val="ListBullet"/>
              <w:rPr>
                <w:sz w:val="18"/>
                <w:szCs w:val="18"/>
              </w:rPr>
            </w:pPr>
            <w:r w:rsidRPr="00A30B91">
              <w:rPr>
                <w:sz w:val="18"/>
                <w:szCs w:val="18"/>
              </w:rPr>
              <w:t>Of these 24 cases, 11 cases had some clinical information and had events consistent with the medical c</w:t>
            </w:r>
            <w:r w:rsidR="00E15800" w:rsidRPr="00A30B91">
              <w:rPr>
                <w:sz w:val="18"/>
                <w:szCs w:val="18"/>
              </w:rPr>
              <w:t xml:space="preserve">oncept of </w:t>
            </w:r>
            <w:proofErr w:type="spellStart"/>
            <w:r w:rsidR="00E15800" w:rsidRPr="00A30B91">
              <w:rPr>
                <w:sz w:val="18"/>
                <w:szCs w:val="18"/>
              </w:rPr>
              <w:t>pirfenidone</w:t>
            </w:r>
            <w:proofErr w:type="spellEnd"/>
            <w:r w:rsidR="00E15800" w:rsidRPr="00A30B91">
              <w:rPr>
                <w:sz w:val="18"/>
                <w:szCs w:val="18"/>
              </w:rPr>
              <w:t xml:space="preserve"> overdose.</w:t>
            </w:r>
          </w:p>
          <w:p w:rsidR="00B15856" w:rsidRPr="00A30B91" w:rsidRDefault="00B15856" w:rsidP="00526DBA">
            <w:pPr>
              <w:pStyle w:val="ListBullet"/>
              <w:rPr>
                <w:sz w:val="18"/>
                <w:szCs w:val="18"/>
              </w:rPr>
            </w:pPr>
            <w:r w:rsidRPr="00A30B91">
              <w:rPr>
                <w:sz w:val="18"/>
                <w:szCs w:val="18"/>
              </w:rPr>
              <w:t xml:space="preserve">Eleven cases had some clinical information and had events potentially consistent with the medical concept of </w:t>
            </w:r>
            <w:proofErr w:type="spellStart"/>
            <w:r w:rsidRPr="00A30B91">
              <w:rPr>
                <w:sz w:val="18"/>
                <w:szCs w:val="18"/>
              </w:rPr>
              <w:t>pirfenidone</w:t>
            </w:r>
            <w:proofErr w:type="spellEnd"/>
            <w:r w:rsidRPr="00A30B91">
              <w:rPr>
                <w:sz w:val="18"/>
                <w:szCs w:val="18"/>
              </w:rPr>
              <w:t xml:space="preserve"> overdose. The reporting sources for these 11 cases were clinical study (1), spontaneous (5), and Non-Interventional Study/Program reports (5). Of the 11 cases, 5 were medically confirmed and 6 were not medically confirmed. The gender reported was female in 4 cases and male in 7 cases. The reported age of the patients ranged from 64 to 82 years. The indication, in all 11 cases included IPF. The PTs for the events consistent with the medical concept of </w:t>
            </w:r>
            <w:proofErr w:type="spellStart"/>
            <w:r w:rsidRPr="00A30B91">
              <w:rPr>
                <w:sz w:val="18"/>
                <w:szCs w:val="18"/>
              </w:rPr>
              <w:t>pirfenidone</w:t>
            </w:r>
            <w:proofErr w:type="spellEnd"/>
            <w:r w:rsidRPr="00A30B91">
              <w:rPr>
                <w:sz w:val="18"/>
                <w:szCs w:val="18"/>
              </w:rPr>
              <w:t xml:space="preserve"> overdose included the PTs Overdose (4), Accidental overdose (3), Intentional product misuse (1), Extra dose administered (1), Intentional overdose (1), Intercepted medication error (1).</w:t>
            </w:r>
          </w:p>
          <w:p w:rsidR="00A30B91" w:rsidRDefault="00B15856" w:rsidP="00A30B91">
            <w:pPr>
              <w:rPr>
                <w:rFonts w:asciiTheme="minorHAnsi" w:hAnsiTheme="minorHAnsi"/>
                <w:sz w:val="18"/>
                <w:szCs w:val="18"/>
              </w:rPr>
            </w:pPr>
            <w:r w:rsidRPr="00526DBA">
              <w:rPr>
                <w:rFonts w:asciiTheme="minorHAnsi" w:hAnsiTheme="minorHAnsi"/>
                <w:sz w:val="18"/>
                <w:szCs w:val="18"/>
              </w:rPr>
              <w:t>Of these 11 cases:</w:t>
            </w:r>
          </w:p>
          <w:p w:rsidR="00B15856" w:rsidRPr="00A30B91" w:rsidRDefault="00B15856" w:rsidP="00526DBA">
            <w:pPr>
              <w:pStyle w:val="ListBullet"/>
              <w:rPr>
                <w:sz w:val="18"/>
                <w:szCs w:val="18"/>
              </w:rPr>
            </w:pPr>
            <w:r w:rsidRPr="00A30B91">
              <w:rPr>
                <w:sz w:val="18"/>
                <w:szCs w:val="18"/>
              </w:rPr>
              <w:t xml:space="preserve">Nine cases describe taking outside the prescribed dosing frequency posology or a </w:t>
            </w:r>
            <w:r w:rsidRPr="00A30B91">
              <w:rPr>
                <w:sz w:val="18"/>
                <w:szCs w:val="18"/>
              </w:rPr>
              <w:lastRenderedPageBreak/>
              <w:t>nonspecific re</w:t>
            </w:r>
            <w:r w:rsidR="00F90ADB" w:rsidRPr="00A30B91">
              <w:rPr>
                <w:sz w:val="18"/>
                <w:szCs w:val="18"/>
              </w:rPr>
              <w:t>port of overdose (dose unknown).</w:t>
            </w:r>
          </w:p>
          <w:p w:rsidR="00B15856" w:rsidRPr="00A30B91" w:rsidRDefault="00B15856" w:rsidP="00526DBA">
            <w:pPr>
              <w:pStyle w:val="ListBullet"/>
              <w:rPr>
                <w:sz w:val="18"/>
                <w:szCs w:val="18"/>
              </w:rPr>
            </w:pPr>
            <w:r w:rsidRPr="00A30B91">
              <w:rPr>
                <w:sz w:val="18"/>
                <w:szCs w:val="18"/>
              </w:rPr>
              <w:t>Reported symptoms in the cases include - no adverse event, dizziness, headache, no appetite, bruises easily, sluggishness, and heartburn. All were managed with supportive care.</w:t>
            </w:r>
          </w:p>
          <w:p w:rsidR="00B15856" w:rsidRPr="00A30B91" w:rsidRDefault="000255BA" w:rsidP="00526DBA">
            <w:pPr>
              <w:pStyle w:val="ListBullet"/>
              <w:rPr>
                <w:sz w:val="18"/>
                <w:szCs w:val="18"/>
              </w:rPr>
            </w:pPr>
            <w:r w:rsidRPr="00A30B91">
              <w:rPr>
                <w:sz w:val="18"/>
                <w:szCs w:val="18"/>
              </w:rPr>
              <w:t xml:space="preserve">Only two cases </w:t>
            </w:r>
            <w:r w:rsidR="00B15856" w:rsidRPr="00A30B91">
              <w:rPr>
                <w:sz w:val="18"/>
                <w:szCs w:val="18"/>
              </w:rPr>
              <w:t>involved taking a daily dose above a total of 9 capsules /day (</w:t>
            </w:r>
            <w:r w:rsidR="00C6681F" w:rsidRPr="00A30B91">
              <w:rPr>
                <w:sz w:val="18"/>
                <w:szCs w:val="18"/>
              </w:rPr>
              <w:t>2,403</w:t>
            </w:r>
            <w:r w:rsidR="00B15856" w:rsidRPr="00A30B91">
              <w:rPr>
                <w:sz w:val="18"/>
                <w:szCs w:val="18"/>
              </w:rPr>
              <w:t xml:space="preserve"> mg/day):</w:t>
            </w:r>
          </w:p>
          <w:p w:rsidR="00A30B91" w:rsidRPr="00526DBA" w:rsidRDefault="00A30B91" w:rsidP="00A30B91">
            <w:pPr>
              <w:rPr>
                <w:sz w:val="18"/>
                <w:szCs w:val="18"/>
              </w:rPr>
            </w:pPr>
            <w:r w:rsidRPr="00526DBA">
              <w:rPr>
                <w:sz w:val="18"/>
                <w:szCs w:val="18"/>
              </w:rPr>
              <w:t xml:space="preserve">In </w:t>
            </w:r>
            <w:r>
              <w:rPr>
                <w:sz w:val="18"/>
                <w:szCs w:val="18"/>
              </w:rPr>
              <w:t>[information redacted]</w:t>
            </w:r>
            <w:r w:rsidRPr="00526DBA">
              <w:rPr>
                <w:sz w:val="18"/>
                <w:szCs w:val="18"/>
              </w:rPr>
              <w:t xml:space="preserve"> the event of Intentional overdose occurred when the patient argued with his wife and afterwards took 57 tablets of </w:t>
            </w:r>
            <w:proofErr w:type="spellStart"/>
            <w:r w:rsidRPr="00526DBA">
              <w:rPr>
                <w:sz w:val="18"/>
                <w:szCs w:val="18"/>
              </w:rPr>
              <w:t>Pirespa</w:t>
            </w:r>
            <w:proofErr w:type="spellEnd"/>
            <w:r w:rsidRPr="00526DBA">
              <w:rPr>
                <w:sz w:val="18"/>
                <w:szCs w:val="18"/>
              </w:rPr>
              <w:t xml:space="preserve"> and 45 tablets of </w:t>
            </w:r>
            <w:proofErr w:type="spellStart"/>
            <w:r w:rsidRPr="00526DBA">
              <w:rPr>
                <w:sz w:val="18"/>
                <w:szCs w:val="18"/>
              </w:rPr>
              <w:t>cilostazol</w:t>
            </w:r>
            <w:proofErr w:type="spellEnd"/>
            <w:r w:rsidRPr="00526DBA">
              <w:rPr>
                <w:sz w:val="18"/>
                <w:szCs w:val="18"/>
              </w:rPr>
              <w:t xml:space="preserve">. The patient’s concurrent medical conditions included arteriosclerosis obliterans, benign prostatic hypertrophy, and a current tobacco user. Concomitant medications included </w:t>
            </w:r>
            <w:proofErr w:type="spellStart"/>
            <w:r w:rsidRPr="00526DBA">
              <w:rPr>
                <w:sz w:val="18"/>
                <w:szCs w:val="18"/>
              </w:rPr>
              <w:t>cilostazol</w:t>
            </w:r>
            <w:proofErr w:type="spellEnd"/>
            <w:r w:rsidRPr="00526DBA">
              <w:rPr>
                <w:sz w:val="18"/>
                <w:szCs w:val="18"/>
              </w:rPr>
              <w:t xml:space="preserve">, silodosin, and </w:t>
            </w:r>
            <w:proofErr w:type="spellStart"/>
            <w:r w:rsidRPr="00526DBA">
              <w:rPr>
                <w:sz w:val="18"/>
                <w:szCs w:val="18"/>
              </w:rPr>
              <w:t>tamsulosin</w:t>
            </w:r>
            <w:proofErr w:type="spellEnd"/>
            <w:r w:rsidRPr="00526DBA">
              <w:rPr>
                <w:sz w:val="18"/>
                <w:szCs w:val="18"/>
              </w:rPr>
              <w:t xml:space="preserve"> hydrochloride. The patient was also started on lansoprazole. The patient was on oxygen therapy. The patient developed mild disturbed consciousness and was admitted to the hospital. Approximately 13 days later, the patient recovered from the event of psychiatric symptom (excessive dose administration). On an unknown date, the event of disturbed consciousness resolved without sequelae </w:t>
            </w:r>
            <w:r w:rsidR="003B0AD8">
              <w:rPr>
                <w:sz w:val="18"/>
                <w:szCs w:val="18"/>
              </w:rPr>
              <w:t>‘</w:t>
            </w:r>
            <w:r w:rsidRPr="00526DBA">
              <w:rPr>
                <w:sz w:val="18"/>
                <w:szCs w:val="18"/>
              </w:rPr>
              <w:t>with only infusion solution</w:t>
            </w:r>
            <w:r w:rsidR="003B0AD8">
              <w:rPr>
                <w:sz w:val="18"/>
                <w:szCs w:val="18"/>
              </w:rPr>
              <w:t>’</w:t>
            </w:r>
            <w:r w:rsidRPr="00526DBA">
              <w:rPr>
                <w:sz w:val="18"/>
                <w:szCs w:val="18"/>
              </w:rPr>
              <w:t xml:space="preserve"> and the patient was discharged from the hospital.</w:t>
            </w:r>
          </w:p>
          <w:p w:rsidR="00B15856" w:rsidRPr="00526DBA" w:rsidRDefault="003B0AD8" w:rsidP="00A30B91">
            <w:pPr>
              <w:rPr>
                <w:rFonts w:asciiTheme="minorHAnsi" w:hAnsiTheme="minorHAnsi"/>
                <w:sz w:val="18"/>
                <w:szCs w:val="18"/>
              </w:rPr>
            </w:pPr>
            <w:r w:rsidRPr="003B0AD8">
              <w:rPr>
                <w:rFonts w:asciiTheme="minorHAnsi" w:hAnsiTheme="minorHAnsi"/>
                <w:sz w:val="18"/>
                <w:szCs w:val="18"/>
              </w:rPr>
              <w:t>[</w:t>
            </w:r>
            <w:r w:rsidR="00B54A52" w:rsidRPr="003B0AD8">
              <w:rPr>
                <w:rFonts w:asciiTheme="minorHAnsi" w:hAnsiTheme="minorHAnsi"/>
                <w:sz w:val="18"/>
                <w:szCs w:val="18"/>
              </w:rPr>
              <w:t>Information</w:t>
            </w:r>
            <w:r w:rsidRPr="003B0AD8">
              <w:rPr>
                <w:rFonts w:asciiTheme="minorHAnsi" w:hAnsiTheme="minorHAnsi"/>
                <w:sz w:val="18"/>
                <w:szCs w:val="18"/>
              </w:rPr>
              <w:t xml:space="preserve"> redacted] </w:t>
            </w:r>
            <w:r w:rsidR="00B15856" w:rsidRPr="00526DBA">
              <w:rPr>
                <w:rFonts w:asciiTheme="minorHAnsi" w:hAnsiTheme="minorHAnsi"/>
                <w:sz w:val="18"/>
                <w:szCs w:val="18"/>
              </w:rPr>
              <w:t xml:space="preserve">concerns a female patient of unknown age patient who was confused by prescription label and took 9 capsules in each morning, midday and evening. </w:t>
            </w:r>
            <w:r>
              <w:rPr>
                <w:rFonts w:asciiTheme="minorHAnsi" w:hAnsiTheme="minorHAnsi"/>
                <w:sz w:val="18"/>
                <w:szCs w:val="18"/>
              </w:rPr>
              <w:t>On an unknown date, s</w:t>
            </w:r>
            <w:r w:rsidR="00B15856" w:rsidRPr="00526DBA">
              <w:rPr>
                <w:rFonts w:asciiTheme="minorHAnsi" w:hAnsiTheme="minorHAnsi"/>
                <w:sz w:val="18"/>
                <w:szCs w:val="18"/>
              </w:rPr>
              <w:t xml:space="preserve">he experienced a sharp pain in the stomach. It was stated that, it was happened before or while she was moving around. Later, sharp pain in stomach resolved. Later, she had skin issues which aggravated on exposure to sun. She used the aloe that came with her prescription but cannot find the sunscreen. On an unspecified date, she experienced rash that she believed to be associated with sun exposure, on the top of her hands and ankles where she hasn't been putting SPF 50 sunscreen (photosensitivity rash) and itching that woke her up at night. The outcome of skin issues, photosensitivity rash and itching was not reported and it was not known whether the therapy with </w:t>
            </w:r>
            <w:proofErr w:type="spellStart"/>
            <w:r w:rsidR="00B15856" w:rsidRPr="00526DBA">
              <w:rPr>
                <w:rFonts w:asciiTheme="minorHAnsi" w:hAnsiTheme="minorHAnsi"/>
                <w:sz w:val="18"/>
                <w:szCs w:val="18"/>
              </w:rPr>
              <w:t>pirfenidone</w:t>
            </w:r>
            <w:proofErr w:type="spellEnd"/>
            <w:r w:rsidR="00B15856" w:rsidRPr="00526DBA">
              <w:rPr>
                <w:rFonts w:asciiTheme="minorHAnsi" w:hAnsiTheme="minorHAnsi"/>
                <w:sz w:val="18"/>
                <w:szCs w:val="18"/>
              </w:rPr>
              <w:t xml:space="preserve"> ongoing or not.</w:t>
            </w:r>
          </w:p>
          <w:p w:rsidR="00B15856" w:rsidRPr="00526DBA" w:rsidRDefault="00B15856" w:rsidP="00A30B91">
            <w:pPr>
              <w:rPr>
                <w:rFonts w:asciiTheme="minorHAnsi" w:hAnsiTheme="minorHAnsi"/>
                <w:sz w:val="18"/>
                <w:szCs w:val="18"/>
              </w:rPr>
            </w:pPr>
            <w:r w:rsidRPr="00526DBA">
              <w:rPr>
                <w:rFonts w:asciiTheme="minorHAnsi" w:hAnsiTheme="minorHAnsi"/>
                <w:sz w:val="18"/>
                <w:szCs w:val="18"/>
              </w:rPr>
              <w:t xml:space="preserve">The cumulative patient–year exposure to </w:t>
            </w:r>
            <w:proofErr w:type="spellStart"/>
            <w:r w:rsidRPr="00526DBA">
              <w:rPr>
                <w:rFonts w:asciiTheme="minorHAnsi" w:hAnsiTheme="minorHAnsi"/>
                <w:sz w:val="18"/>
                <w:szCs w:val="18"/>
              </w:rPr>
              <w:t>pirfenidone</w:t>
            </w:r>
            <w:proofErr w:type="spellEnd"/>
            <w:r w:rsidRPr="00526DBA">
              <w:rPr>
                <w:rFonts w:asciiTheme="minorHAnsi" w:hAnsiTheme="minorHAnsi"/>
                <w:sz w:val="18"/>
                <w:szCs w:val="18"/>
              </w:rPr>
              <w:t xml:space="preserve"> is, as of PSUR 8, 20,368 patient–years. A cumulative review of the Esbriet safety database to identify overdose events was performed. This review only identified a limited number of patients identified as having experienced overdose with </w:t>
            </w:r>
            <w:proofErr w:type="spellStart"/>
            <w:r w:rsidRPr="00526DBA">
              <w:rPr>
                <w:rFonts w:asciiTheme="minorHAnsi" w:hAnsiTheme="minorHAnsi"/>
                <w:sz w:val="18"/>
                <w:szCs w:val="18"/>
              </w:rPr>
              <w:t>pirfenidone</w:t>
            </w:r>
            <w:proofErr w:type="spellEnd"/>
            <w:r w:rsidRPr="00526DBA">
              <w:rPr>
                <w:rFonts w:asciiTheme="minorHAnsi" w:hAnsiTheme="minorHAnsi"/>
                <w:sz w:val="18"/>
                <w:szCs w:val="18"/>
              </w:rPr>
              <w:t xml:space="preserve">. Most of those patients </w:t>
            </w:r>
            <w:r w:rsidRPr="00526DBA">
              <w:rPr>
                <w:rFonts w:asciiTheme="minorHAnsi" w:hAnsiTheme="minorHAnsi"/>
                <w:sz w:val="18"/>
                <w:szCs w:val="18"/>
              </w:rPr>
              <w:lastRenderedPageBreak/>
              <w:t>received doses at a schedule outside prescribed and were managed with supportive care. Only two patients were identified who had a daily dose above 9 capsules /day (</w:t>
            </w:r>
            <w:r w:rsidR="00C6681F" w:rsidRPr="00526DBA">
              <w:rPr>
                <w:rFonts w:asciiTheme="minorHAnsi" w:hAnsiTheme="minorHAnsi"/>
                <w:sz w:val="18"/>
                <w:szCs w:val="18"/>
              </w:rPr>
              <w:t>2,403</w:t>
            </w:r>
            <w:r w:rsidRPr="00526DBA">
              <w:rPr>
                <w:rFonts w:asciiTheme="minorHAnsi" w:hAnsiTheme="minorHAnsi"/>
                <w:sz w:val="18"/>
                <w:szCs w:val="18"/>
              </w:rPr>
              <w:t xml:space="preserve"> mg/day). In both cases the overdose was able to be managed with general supportive measures.</w:t>
            </w:r>
          </w:p>
          <w:p w:rsidR="00B15856" w:rsidRPr="00526DBA" w:rsidRDefault="00B15856" w:rsidP="00A30B91">
            <w:pPr>
              <w:rPr>
                <w:rFonts w:asciiTheme="minorHAnsi" w:hAnsiTheme="minorHAnsi"/>
                <w:sz w:val="18"/>
                <w:szCs w:val="18"/>
              </w:rPr>
            </w:pPr>
            <w:r w:rsidRPr="00526DBA">
              <w:rPr>
                <w:rFonts w:asciiTheme="minorHAnsi" w:hAnsiTheme="minorHAnsi"/>
                <w:sz w:val="18"/>
                <w:szCs w:val="18"/>
              </w:rPr>
              <w:t xml:space="preserve">Roche considers that this cumulative review of </w:t>
            </w:r>
            <w:proofErr w:type="spellStart"/>
            <w:r w:rsidRPr="00526DBA">
              <w:rPr>
                <w:rFonts w:asciiTheme="minorHAnsi" w:hAnsiTheme="minorHAnsi"/>
                <w:sz w:val="18"/>
                <w:szCs w:val="18"/>
              </w:rPr>
              <w:t>pirfenidone</w:t>
            </w:r>
            <w:proofErr w:type="spellEnd"/>
            <w:r w:rsidRPr="00526DBA">
              <w:rPr>
                <w:rFonts w:asciiTheme="minorHAnsi" w:hAnsiTheme="minorHAnsi"/>
                <w:sz w:val="18"/>
                <w:szCs w:val="18"/>
              </w:rPr>
              <w:t xml:space="preserve"> overdose is consistent with the current </w:t>
            </w:r>
            <w:r w:rsidR="003B0AD8" w:rsidRPr="003B0AD8">
              <w:rPr>
                <w:rFonts w:asciiTheme="minorHAnsi" w:hAnsiTheme="minorHAnsi"/>
                <w:sz w:val="18"/>
                <w:szCs w:val="18"/>
              </w:rPr>
              <w:t>labelling</w:t>
            </w:r>
            <w:r w:rsidRPr="00526DBA">
              <w:rPr>
                <w:rFonts w:asciiTheme="minorHAnsi" w:hAnsiTheme="minorHAnsi"/>
                <w:sz w:val="18"/>
                <w:szCs w:val="18"/>
              </w:rPr>
              <w:t xml:space="preserve"> and the information in the RMP.</w:t>
            </w:r>
          </w:p>
        </w:tc>
        <w:tc>
          <w:tcPr>
            <w:tcW w:w="10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lastRenderedPageBreak/>
              <w:t>The sponsor’s response has been noted.</w:t>
            </w:r>
          </w:p>
        </w:tc>
      </w:tr>
      <w:tr w:rsidR="00B15856" w:rsidRPr="00525F30" w:rsidTr="00F90ADB">
        <w:tc>
          <w:tcPr>
            <w:tcW w:w="15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3B0AD8">
            <w:pPr>
              <w:rPr>
                <w:rFonts w:asciiTheme="minorHAnsi" w:hAnsiTheme="minorHAnsi"/>
                <w:sz w:val="18"/>
                <w:szCs w:val="18"/>
              </w:rPr>
            </w:pPr>
            <w:r w:rsidRPr="00526DBA">
              <w:rPr>
                <w:rFonts w:asciiTheme="minorHAnsi" w:hAnsiTheme="minorHAnsi"/>
                <w:sz w:val="18"/>
                <w:szCs w:val="18"/>
              </w:rPr>
              <w:lastRenderedPageBreak/>
              <w:t xml:space="preserve">It is desirable that the risk </w:t>
            </w:r>
            <w:r w:rsidRPr="009F47D6">
              <w:rPr>
                <w:rFonts w:asciiTheme="minorHAnsi" w:hAnsiTheme="minorHAnsi"/>
                <w:sz w:val="18"/>
                <w:szCs w:val="18"/>
              </w:rPr>
              <w:t>minimisation activities in Australia are equivalent to the risk minimisation activities in the EU. It is recommended that the sponsor provide</w:t>
            </w:r>
            <w:r w:rsidRPr="00526DBA">
              <w:rPr>
                <w:rFonts w:asciiTheme="minorHAnsi" w:hAnsiTheme="minorHAnsi"/>
                <w:sz w:val="18"/>
                <w:szCs w:val="18"/>
              </w:rPr>
              <w:t xml:space="preserve"> a DHCPL to the relevant group of prescribers. This DHCPL should include the same information as the activities in the EU.</w:t>
            </w:r>
          </w:p>
        </w:tc>
        <w:tc>
          <w:tcPr>
            <w:tcW w:w="24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t xml:space="preserve">Roche acknowledges this request and will implement equivalent risk minimisation activities in Australia as those implemented in Europe </w:t>
            </w:r>
            <w:r w:rsidR="00E15800" w:rsidRPr="00526DBA">
              <w:rPr>
                <w:rFonts w:asciiTheme="minorHAnsi" w:hAnsiTheme="minorHAnsi"/>
                <w:sz w:val="18"/>
                <w:szCs w:val="18"/>
              </w:rPr>
              <w:t>that is,</w:t>
            </w:r>
            <w:r w:rsidRPr="00526DBA">
              <w:rPr>
                <w:rFonts w:asciiTheme="minorHAnsi" w:hAnsiTheme="minorHAnsi"/>
                <w:sz w:val="18"/>
                <w:szCs w:val="18"/>
              </w:rPr>
              <w:t xml:space="preserve"> provide a DHCPL at launch.</w:t>
            </w:r>
          </w:p>
        </w:tc>
        <w:tc>
          <w:tcPr>
            <w:tcW w:w="10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t>The sponsor’s response has been noted. The draft materials should be provided to TGA before approval/launch.</w:t>
            </w:r>
          </w:p>
        </w:tc>
      </w:tr>
      <w:tr w:rsidR="00B15856" w:rsidRPr="00525F30" w:rsidTr="00F90ADB">
        <w:tc>
          <w:tcPr>
            <w:tcW w:w="15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t>The sponsor should provide a report of the measures to assess the effectiveness of the currently undertaken risk minimisation activities in the EU.</w:t>
            </w:r>
          </w:p>
        </w:tc>
        <w:tc>
          <w:tcPr>
            <w:tcW w:w="24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t xml:space="preserve">The additional risk minimization measures (educational materials) included in Annex 11 of the RMP </w:t>
            </w:r>
            <w:proofErr w:type="gramStart"/>
            <w:r w:rsidRPr="00526DBA">
              <w:rPr>
                <w:rFonts w:asciiTheme="minorHAnsi" w:hAnsiTheme="minorHAnsi"/>
                <w:sz w:val="18"/>
                <w:szCs w:val="18"/>
              </w:rPr>
              <w:t>are</w:t>
            </w:r>
            <w:proofErr w:type="gramEnd"/>
            <w:r w:rsidRPr="00526DBA">
              <w:rPr>
                <w:rFonts w:asciiTheme="minorHAnsi" w:hAnsiTheme="minorHAnsi"/>
                <w:sz w:val="18"/>
                <w:szCs w:val="18"/>
              </w:rPr>
              <w:t xml:space="preserve"> required to be distributed at the time of launch in each EU country. Roche can confirm that studies to measure the effectiveness of the currently distributed educational materials in the EU have not been undertaken either by Roche or by the former </w:t>
            </w:r>
            <w:r w:rsidR="00991B72" w:rsidRPr="00526DBA">
              <w:rPr>
                <w:rFonts w:asciiTheme="minorHAnsi" w:hAnsiTheme="minorHAnsi"/>
                <w:sz w:val="18"/>
                <w:szCs w:val="18"/>
              </w:rPr>
              <w:t>MAH.</w:t>
            </w:r>
          </w:p>
        </w:tc>
        <w:tc>
          <w:tcPr>
            <w:tcW w:w="10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t>The recommendation remains. The sponsor should provide relevant reports of the measures to assess the effectiveness of the currently undertaken risk minimisation activities in the EU, once they become available.</w:t>
            </w:r>
          </w:p>
        </w:tc>
      </w:tr>
      <w:tr w:rsidR="00B15856" w:rsidRPr="00525F30" w:rsidTr="00F90ADB">
        <w:tc>
          <w:tcPr>
            <w:tcW w:w="15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3B0AD8">
            <w:pPr>
              <w:rPr>
                <w:rFonts w:asciiTheme="minorHAnsi" w:hAnsiTheme="minorHAnsi"/>
                <w:sz w:val="18"/>
                <w:szCs w:val="18"/>
              </w:rPr>
            </w:pPr>
            <w:r w:rsidRPr="00526DBA">
              <w:rPr>
                <w:rFonts w:asciiTheme="minorHAnsi" w:hAnsiTheme="minorHAnsi"/>
                <w:sz w:val="18"/>
                <w:szCs w:val="18"/>
              </w:rPr>
              <w:t>In the ‘Precautions’ section, the PI should include information on cardiovascular events observed with Esbriet and a recommendations to monitor for them.</w:t>
            </w:r>
          </w:p>
        </w:tc>
        <w:tc>
          <w:tcPr>
            <w:tcW w:w="24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t>The occurrence of cardiac TEAEs in the categories of arrhythmia, conduction disorders, or valvular abnormalities is to be expected in an older patient population with pulmonary disease and a high prevalence of underlying cardiovascular disease.</w:t>
            </w:r>
          </w:p>
          <w:p w:rsidR="00B15856" w:rsidRPr="00526DBA" w:rsidRDefault="00B15856" w:rsidP="00A30B91">
            <w:pPr>
              <w:rPr>
                <w:rFonts w:asciiTheme="minorHAnsi" w:hAnsiTheme="minorHAnsi"/>
                <w:sz w:val="18"/>
                <w:szCs w:val="18"/>
              </w:rPr>
            </w:pPr>
            <w:r w:rsidRPr="00526DBA">
              <w:rPr>
                <w:rFonts w:asciiTheme="minorHAnsi" w:hAnsiTheme="minorHAnsi"/>
                <w:sz w:val="18"/>
                <w:szCs w:val="18"/>
              </w:rPr>
              <w:t xml:space="preserve">For cardiac TEAEs of interest, </w:t>
            </w:r>
            <w:r w:rsidR="003B0AD8" w:rsidRPr="003B0AD8">
              <w:rPr>
                <w:rFonts w:asciiTheme="minorHAnsi" w:hAnsiTheme="minorHAnsi"/>
                <w:sz w:val="18"/>
                <w:szCs w:val="18"/>
              </w:rPr>
              <w:t xml:space="preserve">the cumulative data </w:t>
            </w:r>
            <w:r w:rsidRPr="00526DBA">
              <w:rPr>
                <w:rFonts w:asciiTheme="minorHAnsi" w:hAnsiTheme="minorHAnsi"/>
                <w:sz w:val="18"/>
                <w:szCs w:val="18"/>
              </w:rPr>
              <w:t xml:space="preserve">are generally consistent with those of the 2009 Integrated Summary of Safety. In the 2014 </w:t>
            </w:r>
            <w:r w:rsidR="00986F7A" w:rsidRPr="00986F7A">
              <w:rPr>
                <w:rFonts w:asciiTheme="minorHAnsi" w:hAnsiTheme="minorHAnsi"/>
                <w:sz w:val="18"/>
                <w:szCs w:val="18"/>
              </w:rPr>
              <w:t>cumulative d</w:t>
            </w:r>
            <w:r w:rsidRPr="00526DBA">
              <w:rPr>
                <w:rFonts w:asciiTheme="minorHAnsi" w:hAnsiTheme="minorHAnsi"/>
                <w:sz w:val="18"/>
                <w:szCs w:val="18"/>
              </w:rPr>
              <w:t xml:space="preserve">ata, a larger proportion of </w:t>
            </w:r>
            <w:proofErr w:type="spellStart"/>
            <w:r w:rsidRPr="00526DBA">
              <w:rPr>
                <w:rFonts w:asciiTheme="minorHAnsi" w:hAnsiTheme="minorHAnsi"/>
                <w:sz w:val="18"/>
                <w:szCs w:val="18"/>
              </w:rPr>
              <w:t>pirfenidone</w:t>
            </w:r>
            <w:proofErr w:type="spellEnd"/>
            <w:r w:rsidRPr="00526DBA">
              <w:rPr>
                <w:rFonts w:asciiTheme="minorHAnsi" w:hAnsiTheme="minorHAnsi"/>
                <w:sz w:val="18"/>
                <w:szCs w:val="18"/>
              </w:rPr>
              <w:t xml:space="preserve"> patients than placebo patients had a TEAE in the cardiac arrhythmia SMQ (14.4% </w:t>
            </w:r>
            <w:proofErr w:type="spellStart"/>
            <w:r w:rsidRPr="00526DBA">
              <w:rPr>
                <w:rFonts w:asciiTheme="minorHAnsi" w:hAnsiTheme="minorHAnsi"/>
                <w:sz w:val="18"/>
                <w:szCs w:val="18"/>
              </w:rPr>
              <w:t>pirfenidone</w:t>
            </w:r>
            <w:proofErr w:type="spellEnd"/>
            <w:r w:rsidRPr="00526DBA">
              <w:rPr>
                <w:rFonts w:asciiTheme="minorHAnsi" w:hAnsiTheme="minorHAnsi"/>
                <w:sz w:val="18"/>
                <w:szCs w:val="18"/>
              </w:rPr>
              <w:t xml:space="preserve"> v</w:t>
            </w:r>
            <w:r w:rsidR="0091077F">
              <w:rPr>
                <w:rFonts w:asciiTheme="minorHAnsi" w:hAnsiTheme="minorHAnsi"/>
                <w:sz w:val="18"/>
                <w:szCs w:val="18"/>
              </w:rPr>
              <w:t>ersu</w:t>
            </w:r>
            <w:r w:rsidRPr="00526DBA">
              <w:rPr>
                <w:rFonts w:asciiTheme="minorHAnsi" w:hAnsiTheme="minorHAnsi"/>
                <w:sz w:val="18"/>
                <w:szCs w:val="18"/>
              </w:rPr>
              <w:t xml:space="preserve">s 8.0% placebo). However, the types of events were diverse, and no type of </w:t>
            </w:r>
            <w:r w:rsidRPr="00526DBA">
              <w:rPr>
                <w:rFonts w:asciiTheme="minorHAnsi" w:hAnsiTheme="minorHAnsi"/>
                <w:sz w:val="18"/>
                <w:szCs w:val="18"/>
              </w:rPr>
              <w:lastRenderedPageBreak/>
              <w:t>arrhythmia predominated.</w:t>
            </w:r>
          </w:p>
          <w:p w:rsidR="00B15856" w:rsidRPr="00526DBA" w:rsidRDefault="00B15856" w:rsidP="00A30B91">
            <w:pPr>
              <w:rPr>
                <w:rFonts w:asciiTheme="minorHAnsi" w:hAnsiTheme="minorHAnsi"/>
                <w:sz w:val="18"/>
                <w:szCs w:val="18"/>
              </w:rPr>
            </w:pPr>
            <w:r w:rsidRPr="00526DBA">
              <w:rPr>
                <w:rFonts w:asciiTheme="minorHAnsi" w:hAnsiTheme="minorHAnsi"/>
                <w:sz w:val="18"/>
                <w:szCs w:val="18"/>
              </w:rPr>
              <w:t xml:space="preserve">Reviews of the data by two independent, external experts concluded that there is no clear evidence of an effect of </w:t>
            </w:r>
            <w:proofErr w:type="spellStart"/>
            <w:r w:rsidRPr="00526DBA">
              <w:rPr>
                <w:rFonts w:asciiTheme="minorHAnsi" w:hAnsiTheme="minorHAnsi"/>
                <w:sz w:val="18"/>
                <w:szCs w:val="18"/>
              </w:rPr>
              <w:t>pirfenidone</w:t>
            </w:r>
            <w:proofErr w:type="spellEnd"/>
            <w:r w:rsidRPr="00526DBA">
              <w:rPr>
                <w:rFonts w:asciiTheme="minorHAnsi" w:hAnsiTheme="minorHAnsi"/>
                <w:sz w:val="18"/>
                <w:szCs w:val="18"/>
              </w:rPr>
              <w:t xml:space="preserve"> on heart rate, cardiac depolarization, QT prolongation, or electrocardiographic morphology, and that the profile of events is inconsistent with the effect of a drug on cardiac rhythm. Furthermore, the ECG study (PIPF-007) and the findings of nonclinical studies of </w:t>
            </w:r>
            <w:proofErr w:type="spellStart"/>
            <w:r w:rsidRPr="00526DBA">
              <w:rPr>
                <w:rFonts w:asciiTheme="minorHAnsi" w:hAnsiTheme="minorHAnsi"/>
                <w:sz w:val="18"/>
                <w:szCs w:val="18"/>
              </w:rPr>
              <w:t>pirfenidone</w:t>
            </w:r>
            <w:proofErr w:type="spellEnd"/>
            <w:r w:rsidRPr="00526DBA">
              <w:rPr>
                <w:rFonts w:asciiTheme="minorHAnsi" w:hAnsiTheme="minorHAnsi"/>
                <w:sz w:val="18"/>
                <w:szCs w:val="18"/>
              </w:rPr>
              <w:t xml:space="preserve"> do not suggest an effect on cardiac rhythm.</w:t>
            </w:r>
          </w:p>
          <w:p w:rsidR="00B15856" w:rsidRPr="00526DBA" w:rsidRDefault="00B15856" w:rsidP="00A30B91">
            <w:pPr>
              <w:rPr>
                <w:rFonts w:asciiTheme="minorHAnsi" w:hAnsiTheme="minorHAnsi"/>
                <w:sz w:val="18"/>
                <w:szCs w:val="18"/>
              </w:rPr>
            </w:pPr>
            <w:r w:rsidRPr="00526DBA">
              <w:rPr>
                <w:rFonts w:asciiTheme="minorHAnsi" w:hAnsiTheme="minorHAnsi"/>
                <w:sz w:val="18"/>
                <w:szCs w:val="18"/>
              </w:rPr>
              <w:t>Therefore Roche do not propose to include any statements in the E</w:t>
            </w:r>
            <w:r w:rsidR="00986F7A" w:rsidRPr="00986F7A">
              <w:rPr>
                <w:rFonts w:asciiTheme="minorHAnsi" w:hAnsiTheme="minorHAnsi"/>
                <w:sz w:val="18"/>
                <w:szCs w:val="18"/>
              </w:rPr>
              <w:t>sbriet</w:t>
            </w:r>
            <w:r w:rsidRPr="00526DBA">
              <w:rPr>
                <w:rFonts w:asciiTheme="minorHAnsi" w:hAnsiTheme="minorHAnsi"/>
                <w:sz w:val="18"/>
                <w:szCs w:val="18"/>
              </w:rPr>
              <w:t xml:space="preserve"> PI, this is in line with the EU </w:t>
            </w:r>
            <w:proofErr w:type="spellStart"/>
            <w:r w:rsidRPr="00526DBA">
              <w:rPr>
                <w:rFonts w:asciiTheme="minorHAnsi" w:hAnsiTheme="minorHAnsi"/>
                <w:sz w:val="18"/>
                <w:szCs w:val="18"/>
              </w:rPr>
              <w:t>SmPC</w:t>
            </w:r>
            <w:proofErr w:type="spellEnd"/>
            <w:r w:rsidRPr="00526DBA">
              <w:rPr>
                <w:rFonts w:asciiTheme="minorHAnsi" w:hAnsiTheme="minorHAnsi"/>
                <w:sz w:val="18"/>
                <w:szCs w:val="18"/>
              </w:rPr>
              <w:t xml:space="preserve"> and the US PI</w:t>
            </w:r>
            <w:r w:rsidR="00F90ADB" w:rsidRPr="00526DBA">
              <w:rPr>
                <w:rFonts w:asciiTheme="minorHAnsi" w:hAnsiTheme="minorHAnsi"/>
                <w:sz w:val="18"/>
                <w:szCs w:val="18"/>
              </w:rPr>
              <w:t>.</w:t>
            </w:r>
          </w:p>
        </w:tc>
        <w:tc>
          <w:tcPr>
            <w:tcW w:w="10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lastRenderedPageBreak/>
              <w:t>This is considered acceptable at this stage in the context of this application for RMP purposes, subject to Delegate approval.</w:t>
            </w:r>
          </w:p>
        </w:tc>
      </w:tr>
      <w:tr w:rsidR="00B15856" w:rsidRPr="00525F30" w:rsidTr="00F90ADB">
        <w:tc>
          <w:tcPr>
            <w:tcW w:w="15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lastRenderedPageBreak/>
              <w:t xml:space="preserve">In the ‘Precautions’ (or ‘Adverse Events’) section, the PI should, under separate headings include information on angioedema, fatigue, dizziness (with reference to a potential risk of falls), and weight loss (with reference to monitoring of weight). This is recommended to align the Australian PI with the list Important Identified Risks in the Safety Specification and also the EU </w:t>
            </w:r>
            <w:proofErr w:type="spellStart"/>
            <w:r w:rsidRPr="00526DBA">
              <w:rPr>
                <w:rFonts w:asciiTheme="minorHAnsi" w:hAnsiTheme="minorHAnsi"/>
                <w:sz w:val="18"/>
                <w:szCs w:val="18"/>
              </w:rPr>
              <w:t>SmPC</w:t>
            </w:r>
            <w:proofErr w:type="spellEnd"/>
            <w:r w:rsidRPr="00526DBA">
              <w:rPr>
                <w:rFonts w:asciiTheme="minorHAnsi" w:hAnsiTheme="minorHAnsi"/>
                <w:sz w:val="18"/>
                <w:szCs w:val="18"/>
              </w:rPr>
              <w:t>.</w:t>
            </w:r>
          </w:p>
        </w:tc>
        <w:tc>
          <w:tcPr>
            <w:tcW w:w="24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986F7A">
            <w:pPr>
              <w:rPr>
                <w:rFonts w:asciiTheme="minorHAnsi" w:hAnsiTheme="minorHAnsi"/>
                <w:sz w:val="18"/>
                <w:szCs w:val="18"/>
              </w:rPr>
            </w:pPr>
            <w:r w:rsidRPr="00526DBA">
              <w:rPr>
                <w:rFonts w:asciiTheme="minorHAnsi" w:hAnsiTheme="minorHAnsi"/>
                <w:sz w:val="18"/>
                <w:szCs w:val="18"/>
              </w:rPr>
              <w:t>Text has been proposed for the E</w:t>
            </w:r>
            <w:r w:rsidR="00986F7A" w:rsidRPr="00986F7A">
              <w:rPr>
                <w:rFonts w:asciiTheme="minorHAnsi" w:hAnsiTheme="minorHAnsi"/>
                <w:sz w:val="18"/>
                <w:szCs w:val="18"/>
              </w:rPr>
              <w:t>sbriet</w:t>
            </w:r>
            <w:r w:rsidRPr="00526DBA">
              <w:rPr>
                <w:rFonts w:asciiTheme="minorHAnsi" w:hAnsiTheme="minorHAnsi"/>
                <w:sz w:val="18"/>
                <w:szCs w:val="18"/>
              </w:rPr>
              <w:t xml:space="preserve"> </w:t>
            </w:r>
            <w:r w:rsidR="00986F7A">
              <w:rPr>
                <w:rFonts w:asciiTheme="minorHAnsi" w:hAnsiTheme="minorHAnsi"/>
                <w:sz w:val="18"/>
                <w:szCs w:val="18"/>
              </w:rPr>
              <w:t>PI</w:t>
            </w:r>
            <w:r w:rsidRPr="00526DBA">
              <w:rPr>
                <w:rFonts w:asciiTheme="minorHAnsi" w:hAnsiTheme="minorHAnsi"/>
                <w:sz w:val="18"/>
                <w:szCs w:val="18"/>
              </w:rPr>
              <w:t xml:space="preserve"> to align with the EU </w:t>
            </w:r>
            <w:proofErr w:type="spellStart"/>
            <w:r w:rsidRPr="00526DBA">
              <w:rPr>
                <w:rFonts w:asciiTheme="minorHAnsi" w:hAnsiTheme="minorHAnsi"/>
                <w:sz w:val="18"/>
                <w:szCs w:val="18"/>
              </w:rPr>
              <w:t>SmPC</w:t>
            </w:r>
            <w:proofErr w:type="spellEnd"/>
            <w:r w:rsidRPr="00526DBA">
              <w:rPr>
                <w:rFonts w:asciiTheme="minorHAnsi" w:hAnsiTheme="minorHAnsi"/>
                <w:sz w:val="18"/>
                <w:szCs w:val="18"/>
              </w:rPr>
              <w:t xml:space="preserve"> as requested.</w:t>
            </w:r>
          </w:p>
        </w:tc>
        <w:tc>
          <w:tcPr>
            <w:tcW w:w="10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t>This is considered acceptable at this stage in the context of this application for RMP purposes, subject to Delegate approval.</w:t>
            </w:r>
          </w:p>
        </w:tc>
      </w:tr>
      <w:tr w:rsidR="00B15856" w:rsidRPr="00525F30" w:rsidTr="00F90ADB">
        <w:tc>
          <w:tcPr>
            <w:tcW w:w="15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t>In the ‘Contraindications’ section, the PI should include severe hepatic impairment/end stage liver disease and severe renal impairment/end stage renal disease as contraindications.</w:t>
            </w:r>
          </w:p>
        </w:tc>
        <w:tc>
          <w:tcPr>
            <w:tcW w:w="24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t>Text has been proposed for the E</w:t>
            </w:r>
            <w:r w:rsidR="00986F7A" w:rsidRPr="00986F7A">
              <w:rPr>
                <w:rFonts w:asciiTheme="minorHAnsi" w:hAnsiTheme="minorHAnsi"/>
                <w:sz w:val="18"/>
                <w:szCs w:val="18"/>
              </w:rPr>
              <w:t>sbriet</w:t>
            </w:r>
            <w:r w:rsidRPr="00526DBA">
              <w:rPr>
                <w:rFonts w:asciiTheme="minorHAnsi" w:hAnsiTheme="minorHAnsi"/>
                <w:sz w:val="18"/>
                <w:szCs w:val="18"/>
              </w:rPr>
              <w:t xml:space="preserve"> Product Information as requested.</w:t>
            </w:r>
          </w:p>
        </w:tc>
        <w:tc>
          <w:tcPr>
            <w:tcW w:w="10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t>This is considered acceptable at this stage in the context of this application for RMP purposes, subject to Delegate approval.</w:t>
            </w:r>
          </w:p>
        </w:tc>
      </w:tr>
      <w:tr w:rsidR="00B15856" w:rsidRPr="00525F30" w:rsidTr="00F90ADB">
        <w:tc>
          <w:tcPr>
            <w:tcW w:w="15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t>In the ‘Interactions with other medicines’ section, the PI should include the known information on the interaction with warfarin.</w:t>
            </w:r>
          </w:p>
        </w:tc>
        <w:tc>
          <w:tcPr>
            <w:tcW w:w="24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t>[Further text from sponsor</w:t>
            </w:r>
            <w:r w:rsidR="00A00A00" w:rsidRPr="00526DBA">
              <w:rPr>
                <w:rFonts w:asciiTheme="minorHAnsi" w:hAnsiTheme="minorHAnsi"/>
                <w:sz w:val="18"/>
                <w:szCs w:val="18"/>
              </w:rPr>
              <w:t>’s response not reproduced here</w:t>
            </w:r>
            <w:r w:rsidRPr="00526DBA">
              <w:rPr>
                <w:rFonts w:asciiTheme="minorHAnsi" w:hAnsiTheme="minorHAnsi"/>
                <w:sz w:val="18"/>
                <w:szCs w:val="18"/>
              </w:rPr>
              <w:t>]</w:t>
            </w:r>
          </w:p>
          <w:p w:rsidR="00B15856" w:rsidRPr="00526DBA" w:rsidRDefault="00B15856" w:rsidP="00A30B91">
            <w:pPr>
              <w:rPr>
                <w:rFonts w:asciiTheme="minorHAnsi" w:hAnsiTheme="minorHAnsi"/>
                <w:sz w:val="18"/>
                <w:szCs w:val="18"/>
              </w:rPr>
            </w:pPr>
            <w:r w:rsidRPr="00526DBA">
              <w:rPr>
                <w:rFonts w:asciiTheme="minorHAnsi" w:hAnsiTheme="minorHAnsi"/>
                <w:sz w:val="18"/>
                <w:szCs w:val="18"/>
              </w:rPr>
              <w:t xml:space="preserve">In summary, the issue of INR variability in both the general patient populations on </w:t>
            </w:r>
            <w:r w:rsidR="00D07603">
              <w:rPr>
                <w:rFonts w:asciiTheme="minorHAnsi" w:hAnsiTheme="minorHAnsi"/>
                <w:sz w:val="18"/>
                <w:szCs w:val="18"/>
              </w:rPr>
              <w:t>w</w:t>
            </w:r>
            <w:r w:rsidRPr="00526DBA">
              <w:rPr>
                <w:rFonts w:asciiTheme="minorHAnsi" w:hAnsiTheme="minorHAnsi"/>
                <w:sz w:val="18"/>
                <w:szCs w:val="18"/>
              </w:rPr>
              <w:t>arfarin and in the INR test itself is well documented over many years in the scientific literature.</w:t>
            </w:r>
          </w:p>
          <w:p w:rsidR="00B15856" w:rsidRPr="00526DBA" w:rsidRDefault="00B15856" w:rsidP="00A30B91">
            <w:pPr>
              <w:rPr>
                <w:rFonts w:asciiTheme="minorHAnsi" w:hAnsiTheme="minorHAnsi"/>
                <w:sz w:val="18"/>
                <w:szCs w:val="18"/>
              </w:rPr>
            </w:pPr>
            <w:r w:rsidRPr="00526DBA">
              <w:rPr>
                <w:rFonts w:asciiTheme="minorHAnsi" w:hAnsiTheme="minorHAnsi"/>
                <w:sz w:val="18"/>
                <w:szCs w:val="18"/>
              </w:rPr>
              <w:t>Conclusion</w:t>
            </w:r>
          </w:p>
          <w:p w:rsidR="00B15856" w:rsidRPr="00526DBA" w:rsidRDefault="00B15856" w:rsidP="00526DBA">
            <w:pPr>
              <w:rPr>
                <w:rFonts w:asciiTheme="minorHAnsi" w:hAnsiTheme="minorHAnsi"/>
                <w:sz w:val="18"/>
                <w:szCs w:val="18"/>
              </w:rPr>
            </w:pPr>
            <w:r w:rsidRPr="00526DBA">
              <w:rPr>
                <w:rFonts w:asciiTheme="minorHAnsi" w:hAnsiTheme="minorHAnsi"/>
                <w:sz w:val="18"/>
                <w:szCs w:val="18"/>
              </w:rPr>
              <w:t xml:space="preserve">Given the inconsistency of change in INR in the safety database, the clinical information, in the scientific literature, regarding the issue of INR </w:t>
            </w:r>
            <w:r w:rsidRPr="00526DBA">
              <w:rPr>
                <w:rFonts w:asciiTheme="minorHAnsi" w:hAnsiTheme="minorHAnsi"/>
                <w:sz w:val="18"/>
                <w:szCs w:val="18"/>
              </w:rPr>
              <w:lastRenderedPageBreak/>
              <w:t>variability in both the general patient populations on warfarin and in the INR test, Roche has confirmed that there is no need at this time to amend the CDS, the RMP, or the prescribing information.</w:t>
            </w:r>
          </w:p>
        </w:tc>
        <w:tc>
          <w:tcPr>
            <w:tcW w:w="10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lastRenderedPageBreak/>
              <w:t>This is considered acceptable at this stage in the context of this application for RMP purposes, subject to Delegate approval.</w:t>
            </w:r>
          </w:p>
        </w:tc>
      </w:tr>
      <w:tr w:rsidR="00B15856" w:rsidRPr="00525F30" w:rsidTr="00F90ADB">
        <w:tc>
          <w:tcPr>
            <w:tcW w:w="15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lastRenderedPageBreak/>
              <w:t>In the ‘Overdose’ section, the PI should include the known information with overdose.</w:t>
            </w:r>
          </w:p>
        </w:tc>
        <w:tc>
          <w:tcPr>
            <w:tcW w:w="24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D07603">
            <w:pPr>
              <w:rPr>
                <w:rFonts w:asciiTheme="minorHAnsi" w:hAnsiTheme="minorHAnsi"/>
                <w:sz w:val="18"/>
                <w:szCs w:val="18"/>
              </w:rPr>
            </w:pPr>
            <w:r w:rsidRPr="00526DBA">
              <w:rPr>
                <w:rFonts w:asciiTheme="minorHAnsi" w:hAnsiTheme="minorHAnsi"/>
                <w:sz w:val="18"/>
                <w:szCs w:val="18"/>
              </w:rPr>
              <w:t>Text has been proposed for the E</w:t>
            </w:r>
            <w:r w:rsidR="00E15800" w:rsidRPr="00526DBA">
              <w:rPr>
                <w:rFonts w:asciiTheme="minorHAnsi" w:hAnsiTheme="minorHAnsi"/>
                <w:sz w:val="18"/>
                <w:szCs w:val="18"/>
              </w:rPr>
              <w:t>sbriet</w:t>
            </w:r>
            <w:r w:rsidRPr="00526DBA">
              <w:rPr>
                <w:rFonts w:asciiTheme="minorHAnsi" w:hAnsiTheme="minorHAnsi"/>
                <w:sz w:val="18"/>
                <w:szCs w:val="18"/>
              </w:rPr>
              <w:t xml:space="preserve"> </w:t>
            </w:r>
            <w:r w:rsidR="00D07603">
              <w:rPr>
                <w:rFonts w:asciiTheme="minorHAnsi" w:hAnsiTheme="minorHAnsi"/>
                <w:sz w:val="18"/>
                <w:szCs w:val="18"/>
              </w:rPr>
              <w:t>PI</w:t>
            </w:r>
            <w:r w:rsidRPr="00526DBA">
              <w:rPr>
                <w:rFonts w:asciiTheme="minorHAnsi" w:hAnsiTheme="minorHAnsi"/>
                <w:sz w:val="18"/>
                <w:szCs w:val="18"/>
              </w:rPr>
              <w:t xml:space="preserve"> as requested.</w:t>
            </w:r>
          </w:p>
        </w:tc>
        <w:tc>
          <w:tcPr>
            <w:tcW w:w="10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t>This is considered acceptable at this stage in the context of this application for RMP purposes, subject to Delegate approval.</w:t>
            </w:r>
          </w:p>
        </w:tc>
      </w:tr>
      <w:tr w:rsidR="00B15856" w:rsidRPr="00525F30" w:rsidTr="00F90ADB">
        <w:tc>
          <w:tcPr>
            <w:tcW w:w="15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D07603">
            <w:pPr>
              <w:rPr>
                <w:rFonts w:asciiTheme="minorHAnsi" w:hAnsiTheme="minorHAnsi"/>
                <w:sz w:val="18"/>
                <w:szCs w:val="18"/>
              </w:rPr>
            </w:pPr>
            <w:r w:rsidRPr="00526DBA">
              <w:rPr>
                <w:rFonts w:asciiTheme="minorHAnsi" w:hAnsiTheme="minorHAnsi"/>
                <w:sz w:val="18"/>
                <w:szCs w:val="18"/>
              </w:rPr>
              <w:t xml:space="preserve">It is recommended to the Delegate that the draft </w:t>
            </w:r>
            <w:r w:rsidR="00D07603">
              <w:rPr>
                <w:rFonts w:asciiTheme="minorHAnsi" w:hAnsiTheme="minorHAnsi"/>
                <w:sz w:val="18"/>
                <w:szCs w:val="18"/>
              </w:rPr>
              <w:t>CMI</w:t>
            </w:r>
            <w:r w:rsidRPr="00526DBA">
              <w:rPr>
                <w:rFonts w:asciiTheme="minorHAnsi" w:hAnsiTheme="minorHAnsi"/>
                <w:sz w:val="18"/>
                <w:szCs w:val="18"/>
              </w:rPr>
              <w:t xml:space="preserve"> document be revised to accommodate the changes made to the </w:t>
            </w:r>
            <w:r w:rsidR="00D07603">
              <w:rPr>
                <w:rFonts w:asciiTheme="minorHAnsi" w:hAnsiTheme="minorHAnsi"/>
                <w:sz w:val="18"/>
                <w:szCs w:val="18"/>
              </w:rPr>
              <w:t xml:space="preserve">PI </w:t>
            </w:r>
            <w:r w:rsidRPr="00526DBA">
              <w:rPr>
                <w:rFonts w:asciiTheme="minorHAnsi" w:hAnsiTheme="minorHAnsi"/>
                <w:sz w:val="18"/>
                <w:szCs w:val="18"/>
              </w:rPr>
              <w:t>document.</w:t>
            </w:r>
          </w:p>
        </w:tc>
        <w:tc>
          <w:tcPr>
            <w:tcW w:w="2494"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D07603">
            <w:pPr>
              <w:rPr>
                <w:rFonts w:asciiTheme="minorHAnsi" w:hAnsiTheme="minorHAnsi"/>
                <w:sz w:val="18"/>
                <w:szCs w:val="18"/>
              </w:rPr>
            </w:pPr>
            <w:r w:rsidRPr="00526DBA">
              <w:rPr>
                <w:rFonts w:asciiTheme="minorHAnsi" w:hAnsiTheme="minorHAnsi"/>
                <w:sz w:val="18"/>
                <w:szCs w:val="18"/>
              </w:rPr>
              <w:t>Text has been proposed for the E</w:t>
            </w:r>
            <w:r w:rsidR="00E15800" w:rsidRPr="00526DBA">
              <w:rPr>
                <w:rFonts w:asciiTheme="minorHAnsi" w:hAnsiTheme="minorHAnsi"/>
                <w:sz w:val="18"/>
                <w:szCs w:val="18"/>
              </w:rPr>
              <w:t>sbriet</w:t>
            </w:r>
            <w:r w:rsidRPr="00526DBA">
              <w:rPr>
                <w:rFonts w:asciiTheme="minorHAnsi" w:hAnsiTheme="minorHAnsi"/>
                <w:sz w:val="18"/>
                <w:szCs w:val="18"/>
              </w:rPr>
              <w:t xml:space="preserve"> CMI to reflect the proposed changes to the E</w:t>
            </w:r>
            <w:r w:rsidR="00E15800" w:rsidRPr="00526DBA">
              <w:rPr>
                <w:rFonts w:asciiTheme="minorHAnsi" w:hAnsiTheme="minorHAnsi"/>
                <w:sz w:val="18"/>
                <w:szCs w:val="18"/>
              </w:rPr>
              <w:t>sbriet</w:t>
            </w:r>
            <w:r w:rsidRPr="00526DBA">
              <w:rPr>
                <w:rFonts w:asciiTheme="minorHAnsi" w:hAnsiTheme="minorHAnsi"/>
                <w:sz w:val="18"/>
                <w:szCs w:val="18"/>
              </w:rPr>
              <w:t xml:space="preserve"> PI.</w:t>
            </w:r>
          </w:p>
        </w:tc>
        <w:tc>
          <w:tcPr>
            <w:tcW w:w="100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B15856" w:rsidRPr="00526DBA" w:rsidRDefault="00B15856" w:rsidP="00A30B91">
            <w:pPr>
              <w:rPr>
                <w:rFonts w:asciiTheme="minorHAnsi" w:hAnsiTheme="minorHAnsi"/>
                <w:sz w:val="18"/>
                <w:szCs w:val="18"/>
              </w:rPr>
            </w:pPr>
            <w:r w:rsidRPr="00526DBA">
              <w:rPr>
                <w:rFonts w:asciiTheme="minorHAnsi" w:hAnsiTheme="minorHAnsi"/>
                <w:sz w:val="18"/>
                <w:szCs w:val="18"/>
              </w:rPr>
              <w:t>This is considered acceptable at this stage in the context of this application for RMP purposes, subject to Delegate approval.</w:t>
            </w:r>
          </w:p>
        </w:tc>
      </w:tr>
    </w:tbl>
    <w:p w:rsidR="008E7846" w:rsidRPr="00F90ADB" w:rsidRDefault="008E7846" w:rsidP="00F90ADB">
      <w:pPr>
        <w:pStyle w:val="Heading4"/>
      </w:pPr>
      <w:r w:rsidRPr="00F90ADB">
        <w:t xml:space="preserve">Summary of </w:t>
      </w:r>
      <w:r w:rsidR="003A7F6C" w:rsidRPr="00F90ADB">
        <w:t>r</w:t>
      </w:r>
      <w:r w:rsidRPr="00F90ADB">
        <w:t>ecommendations</w:t>
      </w:r>
    </w:p>
    <w:p w:rsidR="00F90ADB" w:rsidRPr="00F90ADB" w:rsidRDefault="00F90ADB" w:rsidP="00F90ADB">
      <w:pPr>
        <w:pStyle w:val="Heading5"/>
      </w:pPr>
      <w:r w:rsidRPr="00F90ADB">
        <w:t>Outstanding RMP issues</w:t>
      </w:r>
    </w:p>
    <w:p w:rsidR="00F90ADB" w:rsidRPr="00F90ADB" w:rsidRDefault="00F90ADB" w:rsidP="00381256">
      <w:pPr>
        <w:pStyle w:val="Numberbullet0"/>
        <w:numPr>
          <w:ilvl w:val="0"/>
          <w:numId w:val="5"/>
        </w:numPr>
      </w:pPr>
      <w:r w:rsidRPr="00F90ADB">
        <w:t>The draft education materials should be provide</w:t>
      </w:r>
      <w:r>
        <w:t>d to TGA before approval/launch.</w:t>
      </w:r>
    </w:p>
    <w:p w:rsidR="00F90ADB" w:rsidRPr="00F90ADB" w:rsidRDefault="00F90ADB" w:rsidP="00381256">
      <w:pPr>
        <w:pStyle w:val="Numberbullet0"/>
        <w:numPr>
          <w:ilvl w:val="0"/>
          <w:numId w:val="5"/>
        </w:numPr>
      </w:pPr>
      <w:r w:rsidRPr="00F90ADB">
        <w:t>The sponsor should provide relevant reports of the measures to assess the effectiveness of the currently undertaken risk minimisation activities in the</w:t>
      </w:r>
      <w:r>
        <w:t xml:space="preserve"> EU, once they become available.</w:t>
      </w:r>
    </w:p>
    <w:p w:rsidR="00F90ADB" w:rsidRPr="00F90ADB" w:rsidRDefault="00F90ADB" w:rsidP="00381256">
      <w:pPr>
        <w:pStyle w:val="Numberbullet0"/>
        <w:numPr>
          <w:ilvl w:val="0"/>
          <w:numId w:val="5"/>
        </w:numPr>
      </w:pPr>
      <w:r w:rsidRPr="00F90ADB">
        <w:t>The educational material for Australia should adapt the warning with regard to photosensitivity to the Australian context (</w:t>
      </w:r>
      <w:r w:rsidR="00A00A00">
        <w:t>specifically</w:t>
      </w:r>
      <w:r w:rsidRPr="00F90ADB">
        <w:t xml:space="preserve"> in relation</w:t>
      </w:r>
      <w:r>
        <w:t xml:space="preserve"> to the increased sun exposure).</w:t>
      </w:r>
    </w:p>
    <w:p w:rsidR="00F90ADB" w:rsidRDefault="00F90ADB" w:rsidP="00381256">
      <w:pPr>
        <w:pStyle w:val="Numberbullet0"/>
        <w:numPr>
          <w:ilvl w:val="0"/>
          <w:numId w:val="5"/>
        </w:numPr>
      </w:pPr>
      <w:r w:rsidRPr="00F90ADB">
        <w:t xml:space="preserve">It would be desirable to include Australian patients in the conducted registry study to obtain photosensitivity </w:t>
      </w:r>
      <w:r>
        <w:t>data in the Australian context.</w:t>
      </w:r>
    </w:p>
    <w:p w:rsidR="00383375" w:rsidRPr="00383375" w:rsidRDefault="00383375" w:rsidP="00383375">
      <w:pPr>
        <w:pStyle w:val="Heading5"/>
        <w:rPr>
          <w:rStyle w:val="st1"/>
        </w:rPr>
      </w:pPr>
      <w:r w:rsidRPr="00383375">
        <w:t xml:space="preserve">Advice from the </w:t>
      </w:r>
      <w:r w:rsidRPr="00383375">
        <w:rPr>
          <w:rStyle w:val="st1"/>
        </w:rPr>
        <w:t>Advisory Committee on the Safety of Medicines (ACSOM)</w:t>
      </w:r>
      <w:bookmarkStart w:id="142" w:name="_Toc410136301"/>
      <w:bookmarkStart w:id="143" w:name="_Toc410136456"/>
      <w:bookmarkStart w:id="144" w:name="_Toc411932748"/>
      <w:bookmarkStart w:id="145" w:name="_Toc412039074"/>
      <w:bookmarkStart w:id="146" w:name="_Toc415233765"/>
      <w:bookmarkStart w:id="147" w:name="_Toc417918429"/>
      <w:bookmarkStart w:id="148" w:name="_Toc418171546"/>
      <w:bookmarkStart w:id="149" w:name="_Toc422831024"/>
      <w:bookmarkStart w:id="150" w:name="_Toc422918053"/>
      <w:bookmarkStart w:id="151" w:name="_Toc422919605"/>
      <w:bookmarkStart w:id="152" w:name="_Toc423947233"/>
      <w:bookmarkStart w:id="153" w:name="_Toc428542317"/>
    </w:p>
    <w:bookmarkEnd w:id="142"/>
    <w:bookmarkEnd w:id="143"/>
    <w:bookmarkEnd w:id="144"/>
    <w:bookmarkEnd w:id="145"/>
    <w:bookmarkEnd w:id="146"/>
    <w:bookmarkEnd w:id="147"/>
    <w:bookmarkEnd w:id="148"/>
    <w:bookmarkEnd w:id="149"/>
    <w:bookmarkEnd w:id="150"/>
    <w:bookmarkEnd w:id="151"/>
    <w:bookmarkEnd w:id="152"/>
    <w:bookmarkEnd w:id="153"/>
    <w:p w:rsidR="00383375" w:rsidRPr="00383375" w:rsidRDefault="00383375" w:rsidP="00383375">
      <w:r w:rsidRPr="00383375">
        <w:t>The committee noted the following safety concerns:</w:t>
      </w:r>
    </w:p>
    <w:p w:rsidR="00383375" w:rsidRPr="00D07603" w:rsidRDefault="00383375" w:rsidP="00526DBA">
      <w:pPr>
        <w:pStyle w:val="ListBullet"/>
      </w:pPr>
      <w:r w:rsidRPr="00526DBA">
        <w:t>Important identified risks</w:t>
      </w:r>
      <w:r w:rsidRPr="00D07603">
        <w:t>: photosensitivity reaction and rash; abnormal liver function tests, increased ALT and AST levels, total serum bilirubin increased in combination with increases of ALT and AST; dizziness; weight loss; gastrointestinal symptoms; fatigue; angioedema</w:t>
      </w:r>
    </w:p>
    <w:p w:rsidR="00383375" w:rsidRPr="00D07603" w:rsidRDefault="00383375" w:rsidP="00526DBA">
      <w:pPr>
        <w:pStyle w:val="ListBullet"/>
      </w:pPr>
      <w:r w:rsidRPr="00526DBA">
        <w:t>Important potential risks</w:t>
      </w:r>
      <w:r w:rsidRPr="00D07603">
        <w:t xml:space="preserve">: falls; specific cardiac events (supraventricular tachyarrhythmia, atrioventricular block/sick sinus syndrome, ventricular arrhythmia, bundle branch block, aortic or pulmonic valvular incompetence); increased platelet </w:t>
      </w:r>
      <w:r w:rsidRPr="00D07603">
        <w:lastRenderedPageBreak/>
        <w:t xml:space="preserve">count; off-label use; potential drug interactions (including smoking, ciprofloxacin, warfarin); blood </w:t>
      </w:r>
      <w:proofErr w:type="spellStart"/>
      <w:r w:rsidRPr="00D07603">
        <w:t>dyscrasias</w:t>
      </w:r>
      <w:proofErr w:type="spellEnd"/>
      <w:r w:rsidRPr="00D07603">
        <w:t>; severe skin reactions</w:t>
      </w:r>
    </w:p>
    <w:p w:rsidR="00383375" w:rsidRPr="00D07603" w:rsidRDefault="00383375" w:rsidP="00526DBA">
      <w:pPr>
        <w:pStyle w:val="ListBullet"/>
      </w:pPr>
      <w:r w:rsidRPr="00526DBA">
        <w:t>Missing information</w:t>
      </w:r>
      <w:r w:rsidRPr="00D07603">
        <w:t xml:space="preserve">: patients being treated concomitantly with </w:t>
      </w:r>
      <w:proofErr w:type="spellStart"/>
      <w:r w:rsidRPr="00D07603">
        <w:t>immunosuppressants</w:t>
      </w:r>
      <w:proofErr w:type="spellEnd"/>
      <w:r w:rsidRPr="00D07603">
        <w:t>; patients with secondary causes of pulmonary fibrosis; patients with pre-existing risk factors for hepatic dysfunction such as alcohol abuse and diabetes; patients with pre-existing prolonged QT interval; patients with severe underlying cardiac, hepatic or any other form of pulmonary disease; patients treated concomitantly with other IPF treatments; patients suffering from severe stages of IPF; exposure during pregnancy and lactation.</w:t>
      </w:r>
    </w:p>
    <w:p w:rsidR="00383375" w:rsidRPr="00383375" w:rsidRDefault="00383375" w:rsidP="00383375">
      <w:pPr>
        <w:rPr>
          <w:vertAlign w:val="superscript"/>
        </w:rPr>
      </w:pPr>
      <w:r w:rsidRPr="00383375">
        <w:t>In addition to the information presented in the agenda papers, the committee referred to a paper by Noble et al</w:t>
      </w:r>
      <w:r>
        <w:t>.</w:t>
      </w:r>
      <w:r w:rsidRPr="00383375">
        <w:rPr>
          <w:vertAlign w:val="superscript"/>
        </w:rPr>
        <w:footnoteReference w:id="32"/>
      </w:r>
    </w:p>
    <w:p w:rsidR="00383375" w:rsidRPr="00383375" w:rsidRDefault="00383375" w:rsidP="00383375">
      <w:r w:rsidRPr="00383375">
        <w:t>The committee provided advice on specific questions relating to the RMP.</w:t>
      </w:r>
    </w:p>
    <w:p w:rsidR="00383375" w:rsidRPr="00526DBA" w:rsidRDefault="00383375" w:rsidP="00381256">
      <w:pPr>
        <w:pStyle w:val="Numberbullet0"/>
        <w:numPr>
          <w:ilvl w:val="0"/>
          <w:numId w:val="9"/>
        </w:numPr>
        <w:rPr>
          <w:i/>
        </w:rPr>
      </w:pPr>
      <w:r w:rsidRPr="00526DBA">
        <w:rPr>
          <w:i/>
        </w:rPr>
        <w:t>Can the committee comment on the adequacy of the proposed risk minimisation plan for Australia which does not contain the same activities</w:t>
      </w:r>
      <w:r w:rsidR="009F47D6">
        <w:rPr>
          <w:i/>
        </w:rPr>
        <w:t xml:space="preserve"> (such as</w:t>
      </w:r>
      <w:r w:rsidRPr="00526DBA">
        <w:rPr>
          <w:i/>
        </w:rPr>
        <w:t xml:space="preserve"> prescriber checklists) as conducted in the European Union (EU)</w:t>
      </w:r>
      <w:proofErr w:type="gramStart"/>
      <w:r w:rsidRPr="00526DBA">
        <w:rPr>
          <w:i/>
        </w:rPr>
        <w:t>.</w:t>
      </w:r>
      <w:proofErr w:type="gramEnd"/>
      <w:r w:rsidRPr="00526DBA">
        <w:rPr>
          <w:i/>
        </w:rPr>
        <w:t xml:space="preserve"> If not considered adequate, can the committee advise which additional activities might be required?</w:t>
      </w:r>
    </w:p>
    <w:p w:rsidR="004D472C" w:rsidRDefault="00383375" w:rsidP="00383375">
      <w:r w:rsidRPr="00383375">
        <w:t xml:space="preserve">The additional risk minimisation activity required in the EU is that the sponsor is required to provide an educational programme for physicians, prior to launch, aiming to provide educational material on the correct prescription of </w:t>
      </w:r>
      <w:proofErr w:type="spellStart"/>
      <w:r w:rsidRPr="00383375">
        <w:t>pirfenidone</w:t>
      </w:r>
      <w:proofErr w:type="spellEnd"/>
      <w:r w:rsidRPr="00383375">
        <w:t xml:space="preserve">. The education is to include a </w:t>
      </w:r>
      <w:r w:rsidR="004D472C" w:rsidRPr="00383375">
        <w:t>safety c</w:t>
      </w:r>
      <w:r w:rsidRPr="00383375">
        <w:t>hecklist for all medical staff about:</w:t>
      </w:r>
    </w:p>
    <w:p w:rsidR="004D472C" w:rsidRDefault="00383375" w:rsidP="00526DBA">
      <w:pPr>
        <w:pStyle w:val="ListBullet"/>
      </w:pPr>
      <w:r w:rsidRPr="00383375">
        <w:t>monitoring and management of photosensitivity reaction and rashes</w:t>
      </w:r>
      <w:r>
        <w:t xml:space="preserve"> </w:t>
      </w:r>
      <w:r w:rsidRPr="00383375">
        <w:t>monitoring</w:t>
      </w:r>
    </w:p>
    <w:p w:rsidR="00383375" w:rsidRPr="00383375" w:rsidRDefault="00383375" w:rsidP="00526DBA">
      <w:pPr>
        <w:pStyle w:val="ListBullet"/>
      </w:pPr>
      <w:proofErr w:type="gramStart"/>
      <w:r w:rsidRPr="00383375">
        <w:t>management</w:t>
      </w:r>
      <w:proofErr w:type="gramEnd"/>
      <w:r w:rsidRPr="00383375">
        <w:t xml:space="preserve"> of hepatic related events including asymptomatic abnormal levels of ALT /AST.</w:t>
      </w:r>
    </w:p>
    <w:p w:rsidR="00383375" w:rsidRPr="00383375" w:rsidRDefault="00383375" w:rsidP="00383375">
      <w:r w:rsidRPr="00383375">
        <w:t xml:space="preserve">Photosensitivity reaction was reported for 9.3% of </w:t>
      </w:r>
      <w:proofErr w:type="spellStart"/>
      <w:r w:rsidRPr="00383375">
        <w:t>pirfenidone</w:t>
      </w:r>
      <w:proofErr w:type="spellEnd"/>
      <w:r w:rsidRPr="00383375">
        <w:t xml:space="preserve"> patients and 1.1% of placebo patients. The committee noted that medicines causing photosensitivity of a similar order of magnitude </w:t>
      </w:r>
      <w:r w:rsidR="009F47D6">
        <w:t>(for example</w:t>
      </w:r>
      <w:r w:rsidRPr="00383375">
        <w:t xml:space="preserve"> ciprofloxacin) are in use without a prescriber’s safety checklist specific to this adverse event.</w:t>
      </w:r>
    </w:p>
    <w:p w:rsidR="00383375" w:rsidRPr="00383375" w:rsidRDefault="00383375" w:rsidP="00383375">
      <w:r w:rsidRPr="00383375">
        <w:t>Overall, the committee advised that there is no obvious reason that strategies to be implemented in the EU, including mail</w:t>
      </w:r>
      <w:r w:rsidR="004D472C">
        <w:t xml:space="preserve"> </w:t>
      </w:r>
      <w:r w:rsidRPr="00383375">
        <w:t xml:space="preserve">outs to healthcare practitioners, would not also be appropriate in Australia. The use of </w:t>
      </w:r>
      <w:r w:rsidR="004D472C" w:rsidRPr="00383375">
        <w:t xml:space="preserve">safety checklists </w:t>
      </w:r>
      <w:r w:rsidRPr="00383375">
        <w:t>would be a useful contribution to the safety profile of the medicine, particularly where the patient is not being managed by a specialist respiratory physician.</w:t>
      </w:r>
    </w:p>
    <w:p w:rsidR="00383375" w:rsidRPr="00383375" w:rsidRDefault="00383375" w:rsidP="00383375">
      <w:r w:rsidRPr="00383375">
        <w:t>Given the tropical latitudes and sun exposure common in Australia, it will be useful to monitor photosensitivity and rash in the Australian context. It would also be useful to extract from the clinical trials data information on the experience of Australian patients regarding photosensitivity and rashes. The committee noted that the prospective observational registry study to evaluate long-term safety is being conducted only in the EU.</w:t>
      </w:r>
    </w:p>
    <w:p w:rsidR="00383375" w:rsidRPr="00383375" w:rsidRDefault="00383375" w:rsidP="00383375">
      <w:r w:rsidRPr="00383375">
        <w:t xml:space="preserve">IPF is confined to the lungs. The committee proposed that consideration be given to mandating that only respiratory physicians can initiate the prescribing of </w:t>
      </w:r>
      <w:proofErr w:type="spellStart"/>
      <w:r w:rsidRPr="00383375">
        <w:t>pirfenidone</w:t>
      </w:r>
      <w:proofErr w:type="spellEnd"/>
      <w:r w:rsidRPr="00383375">
        <w:t>. While this proposal is not to address a particular safety concern, it would ensure that patients with IPF are treated by highly specialised healthcare practitioners who can consider the widest range of therapeutic options.</w:t>
      </w:r>
    </w:p>
    <w:p w:rsidR="00383375" w:rsidRPr="00526DBA" w:rsidRDefault="00383375" w:rsidP="00526DBA">
      <w:pPr>
        <w:rPr>
          <w:i/>
        </w:rPr>
      </w:pPr>
      <w:r w:rsidRPr="00526DBA">
        <w:rPr>
          <w:i/>
        </w:rPr>
        <w:t>Other comments:</w:t>
      </w:r>
    </w:p>
    <w:p w:rsidR="00383375" w:rsidRPr="00383375" w:rsidRDefault="00383375" w:rsidP="00383375">
      <w:r w:rsidRPr="00383375">
        <w:lastRenderedPageBreak/>
        <w:t xml:space="preserve">The committee noted that the proposed indication for </w:t>
      </w:r>
      <w:proofErr w:type="spellStart"/>
      <w:r w:rsidRPr="00383375">
        <w:t>pirfenidone</w:t>
      </w:r>
      <w:proofErr w:type="spellEnd"/>
      <w:r w:rsidRPr="00383375">
        <w:t xml:space="preserve"> is ‘treatment of idiopathic pulmonary </w:t>
      </w:r>
      <w:proofErr w:type="gramStart"/>
      <w:r w:rsidRPr="00383375">
        <w:t>fibrosis’</w:t>
      </w:r>
      <w:proofErr w:type="gramEnd"/>
      <w:r w:rsidRPr="00383375">
        <w:t xml:space="preserve"> whereas the EU approved indication is ‘treatment of mild to moderate idiopathic pulmonary fibrosis’.</w:t>
      </w:r>
    </w:p>
    <w:p w:rsidR="00383375" w:rsidRDefault="00383375" w:rsidP="00383375">
      <w:r w:rsidRPr="00383375">
        <w:t>The committee noted the safety summary of the medicine and the Post Authorisation Safety Study (PASS) proposed to address the safety concerns and missing information. Inclusion of ‘patients treated concomitantly with other IPF treatments’ as ‘missing information’ was notional, as at this time IPF is treated by supportive care only.</w:t>
      </w:r>
    </w:p>
    <w:p w:rsidR="00E56D01" w:rsidRPr="00E56D01" w:rsidRDefault="00E56D01" w:rsidP="00383375">
      <w:pPr>
        <w:pStyle w:val="Heading5"/>
      </w:pPr>
      <w:r w:rsidRPr="00E56D01">
        <w:t xml:space="preserve">Suggested wording for </w:t>
      </w:r>
      <w:r w:rsidR="00383375">
        <w:t>conditions of registration</w:t>
      </w:r>
    </w:p>
    <w:p w:rsidR="00E56D01" w:rsidRPr="00502C09" w:rsidRDefault="00E56D01" w:rsidP="00383375">
      <w:pPr>
        <w:rPr>
          <w:kern w:val="2"/>
        </w:rPr>
      </w:pPr>
      <w:r w:rsidRPr="00502C09">
        <w:rPr>
          <w:kern w:val="2"/>
        </w:rPr>
        <w:t>Any changes to which the sponsor agreed become part of the risk management system, whether they are included in the currently available version of the RMP document, or not included, inadvertently or otherwise.</w:t>
      </w:r>
    </w:p>
    <w:p w:rsidR="00E56D01" w:rsidRPr="00383375" w:rsidRDefault="00E56D01" w:rsidP="00383375">
      <w:pPr>
        <w:rPr>
          <w:kern w:val="2"/>
        </w:rPr>
      </w:pPr>
      <w:r w:rsidRPr="00383375">
        <w:rPr>
          <w:kern w:val="2"/>
        </w:rPr>
        <w:t>Implement EU-RMP Version 7.2 (dated 27 July 2015, DLP 27 February 2015) and Australian-specific annex (ASA) Version 1.1 (dated 30 October 2015) and any future updates, where TGA approved, as a condition of registration.</w:t>
      </w:r>
    </w:p>
    <w:p w:rsidR="008E7846" w:rsidRPr="00824157" w:rsidRDefault="008E7846" w:rsidP="008E7846">
      <w:pPr>
        <w:pStyle w:val="Heading2"/>
      </w:pPr>
      <w:bookmarkStart w:id="154" w:name="_Toc314842510"/>
      <w:bookmarkStart w:id="155" w:name="_Toc453068510"/>
      <w:r w:rsidRPr="00824157">
        <w:t>VI. Overall conclusion and risk/benefit assessment</w:t>
      </w:r>
      <w:bookmarkEnd w:id="99"/>
      <w:bookmarkEnd w:id="141"/>
      <w:bookmarkEnd w:id="154"/>
      <w:bookmarkEnd w:id="155"/>
    </w:p>
    <w:p w:rsidR="008E7846" w:rsidRDefault="008E7846" w:rsidP="008E7846">
      <w:bookmarkStart w:id="156" w:name="_Toc247691528"/>
      <w:r w:rsidRPr="00824157">
        <w:t xml:space="preserve">The submission was </w:t>
      </w:r>
      <w:r w:rsidR="00441F6B">
        <w:t xml:space="preserve">considered and </w:t>
      </w:r>
      <w:r w:rsidRPr="00824157">
        <w:t xml:space="preserve">summarised </w:t>
      </w:r>
      <w:r w:rsidR="00441F6B">
        <w:t>by the Delegate as follows:</w:t>
      </w:r>
    </w:p>
    <w:p w:rsidR="00EE305D" w:rsidRDefault="00EE305D" w:rsidP="00EE305D">
      <w:pPr>
        <w:pStyle w:val="Heading3"/>
      </w:pPr>
      <w:bookmarkStart w:id="157" w:name="_Toc453068511"/>
      <w:r>
        <w:t>Background</w:t>
      </w:r>
      <w:bookmarkEnd w:id="157"/>
    </w:p>
    <w:p w:rsidR="00EE305D" w:rsidRPr="00EE305D" w:rsidRDefault="00EE305D" w:rsidP="00EE305D">
      <w:proofErr w:type="spellStart"/>
      <w:r w:rsidRPr="00EE305D">
        <w:t>Pirfenidone</w:t>
      </w:r>
      <w:proofErr w:type="spellEnd"/>
      <w:r w:rsidRPr="00EE305D">
        <w:t xml:space="preserve"> is an immunosuppressant; the mechanism of action has not been fully established. However, the sponsor proposes its anti-inflamma</w:t>
      </w:r>
      <w:r w:rsidR="008A49CC">
        <w:t xml:space="preserve">tory and anti-fibrotic effects </w:t>
      </w:r>
      <w:r w:rsidRPr="00EE305D">
        <w:t xml:space="preserve">as the mechanism of action for </w:t>
      </w:r>
      <w:proofErr w:type="spellStart"/>
      <w:r w:rsidRPr="00EE305D">
        <w:t>pirfenidone</w:t>
      </w:r>
      <w:proofErr w:type="spellEnd"/>
      <w:r w:rsidRPr="00EE305D">
        <w:t>. It is approved for treatment of IPF in other countries including the EU, USA and Canad</w:t>
      </w:r>
      <w:r w:rsidR="008A49CC">
        <w:t xml:space="preserve">a. It is available through SAS </w:t>
      </w:r>
      <w:r w:rsidRPr="00EE305D">
        <w:t>(for experimental drugs) in Australia.</w:t>
      </w:r>
    </w:p>
    <w:p w:rsidR="00EE305D" w:rsidRPr="00EE305D" w:rsidRDefault="008A49CC" w:rsidP="00EE305D">
      <w:proofErr w:type="spellStart"/>
      <w:r>
        <w:t>Ninte</w:t>
      </w:r>
      <w:r w:rsidR="006D5266">
        <w:t>danib</w:t>
      </w:r>
      <w:proofErr w:type="spellEnd"/>
      <w:r w:rsidR="006D5266">
        <w:t xml:space="preserve"> </w:t>
      </w:r>
      <w:r w:rsidR="00EE305D" w:rsidRPr="00EE305D">
        <w:t xml:space="preserve">was recently approved </w:t>
      </w:r>
      <w:r>
        <w:t xml:space="preserve">by the TGA </w:t>
      </w:r>
      <w:r w:rsidR="00EE305D" w:rsidRPr="00EE305D">
        <w:t>for treatment of IPF in Australia is also approved in the USA.</w:t>
      </w:r>
    </w:p>
    <w:p w:rsidR="008E7846" w:rsidRDefault="008E7846" w:rsidP="008E7846">
      <w:pPr>
        <w:pStyle w:val="Heading3"/>
      </w:pPr>
      <w:bookmarkStart w:id="158" w:name="_Toc314842511"/>
      <w:bookmarkStart w:id="159" w:name="_Toc453068512"/>
      <w:r w:rsidRPr="00824157">
        <w:t>Quality</w:t>
      </w:r>
      <w:bookmarkEnd w:id="156"/>
      <w:bookmarkEnd w:id="158"/>
      <w:bookmarkEnd w:id="159"/>
    </w:p>
    <w:p w:rsidR="006C4B0C" w:rsidRDefault="006C4B0C" w:rsidP="006C4B0C">
      <w:bookmarkStart w:id="160" w:name="_Toc314842512"/>
      <w:r w:rsidRPr="00824157">
        <w:t xml:space="preserve">The </w:t>
      </w:r>
      <w:r w:rsidR="0087496F">
        <w:t>quality evaluator recommended</w:t>
      </w:r>
      <w:r w:rsidR="000F3405">
        <w:t xml:space="preserve"> against registration because: </w:t>
      </w:r>
      <w:r w:rsidR="003A4870">
        <w:t>‘</w:t>
      </w:r>
      <w:r w:rsidR="005C4FA3" w:rsidRPr="00526DBA">
        <w:rPr>
          <w:i/>
        </w:rPr>
        <w:t>the</w:t>
      </w:r>
      <w:r w:rsidRPr="00526DBA">
        <w:rPr>
          <w:i/>
        </w:rPr>
        <w:t xml:space="preserve"> proposed limit of NMT 0.05% for </w:t>
      </w:r>
      <w:r w:rsidR="00824157" w:rsidRPr="00526DBA">
        <w:rPr>
          <w:i/>
        </w:rPr>
        <w:t xml:space="preserve">the </w:t>
      </w:r>
      <w:r w:rsidRPr="00526DBA">
        <w:rPr>
          <w:i/>
        </w:rPr>
        <w:t>impurity</w:t>
      </w:r>
      <w:r w:rsidR="000F783A">
        <w:rPr>
          <w:i/>
        </w:rPr>
        <w:t xml:space="preserve"> D</w:t>
      </w:r>
      <w:r w:rsidRPr="00526DBA">
        <w:rPr>
          <w:i/>
        </w:rPr>
        <w:t xml:space="preserve"> in the drug substance has not been qualified</w:t>
      </w:r>
      <w:r w:rsidR="000F783A">
        <w:rPr>
          <w:i/>
        </w:rPr>
        <w:t>.</w:t>
      </w:r>
      <w:r w:rsidR="000F783A" w:rsidRPr="00FB02BB">
        <w:rPr>
          <w:i/>
          <w:vertAlign w:val="superscript"/>
        </w:rPr>
        <w:fldChar w:fldCharType="begin"/>
      </w:r>
      <w:r w:rsidR="000F783A" w:rsidRPr="00FB02BB">
        <w:rPr>
          <w:i/>
          <w:vertAlign w:val="superscript"/>
        </w:rPr>
        <w:instrText xml:space="preserve"> NOTEREF _Ref455588256 \h </w:instrText>
      </w:r>
      <w:r w:rsidR="000F783A">
        <w:rPr>
          <w:i/>
          <w:vertAlign w:val="superscript"/>
        </w:rPr>
        <w:instrText xml:space="preserve"> \* MERGEFORMAT </w:instrText>
      </w:r>
      <w:r w:rsidR="000F783A" w:rsidRPr="00FB02BB">
        <w:rPr>
          <w:i/>
          <w:vertAlign w:val="superscript"/>
        </w:rPr>
      </w:r>
      <w:r w:rsidR="000F783A" w:rsidRPr="00FB02BB">
        <w:rPr>
          <w:i/>
          <w:vertAlign w:val="superscript"/>
        </w:rPr>
        <w:fldChar w:fldCharType="separate"/>
      </w:r>
      <w:r w:rsidR="007A22E8">
        <w:rPr>
          <w:i/>
          <w:vertAlign w:val="superscript"/>
        </w:rPr>
        <w:t>3</w:t>
      </w:r>
      <w:r w:rsidR="000F783A" w:rsidRPr="00FB02BB">
        <w:rPr>
          <w:i/>
          <w:vertAlign w:val="superscript"/>
        </w:rPr>
        <w:fldChar w:fldCharType="end"/>
      </w:r>
      <w:r w:rsidRPr="00526DBA">
        <w:rPr>
          <w:i/>
        </w:rPr>
        <w:t xml:space="preserve"> </w:t>
      </w:r>
      <w:r w:rsidR="000F783A">
        <w:rPr>
          <w:i/>
        </w:rPr>
        <w:t xml:space="preserve">The </w:t>
      </w:r>
      <w:r w:rsidR="00812C76">
        <w:rPr>
          <w:i/>
        </w:rPr>
        <w:t>specified impurity</w:t>
      </w:r>
      <w:r w:rsidRPr="00526DBA">
        <w:rPr>
          <w:i/>
        </w:rPr>
        <w:t xml:space="preserve"> is a </w:t>
      </w:r>
      <w:proofErr w:type="spellStart"/>
      <w:r w:rsidRPr="00526DBA">
        <w:rPr>
          <w:i/>
        </w:rPr>
        <w:t>clastogenic</w:t>
      </w:r>
      <w:proofErr w:type="spellEnd"/>
      <w:r w:rsidRPr="00526DBA">
        <w:rPr>
          <w:i/>
        </w:rPr>
        <w:t xml:space="preserve"> impurity and considered to pose a carcinogenic risk above that normally considered acceptable for human pharmaceuticals. On the basis of the </w:t>
      </w:r>
      <w:r w:rsidR="00824157" w:rsidRPr="00526DBA">
        <w:rPr>
          <w:i/>
        </w:rPr>
        <w:t>t</w:t>
      </w:r>
      <w:r w:rsidRPr="00526DBA">
        <w:rPr>
          <w:i/>
        </w:rPr>
        <w:t xml:space="preserve">oxicological advice, the permitted daily exposure limit for </w:t>
      </w:r>
      <w:r w:rsidR="000F783A">
        <w:rPr>
          <w:i/>
        </w:rPr>
        <w:t>the specified impurity</w:t>
      </w:r>
      <w:r w:rsidR="007B714C">
        <w:rPr>
          <w:i/>
        </w:rPr>
        <w:t xml:space="preserve"> </w:t>
      </w:r>
      <w:r w:rsidRPr="00526DBA">
        <w:rPr>
          <w:i/>
        </w:rPr>
        <w:t xml:space="preserve">in </w:t>
      </w:r>
      <w:proofErr w:type="spellStart"/>
      <w:r w:rsidRPr="00526DBA">
        <w:rPr>
          <w:i/>
        </w:rPr>
        <w:t>pirfenidone</w:t>
      </w:r>
      <w:proofErr w:type="spellEnd"/>
      <w:r w:rsidRPr="00526DBA">
        <w:rPr>
          <w:i/>
        </w:rPr>
        <w:t xml:space="preserve"> drug substance is </w:t>
      </w:r>
      <w:proofErr w:type="gramStart"/>
      <w:r w:rsidRPr="00526DBA">
        <w:rPr>
          <w:i/>
        </w:rPr>
        <w:t>133 µg/day for the maxi</w:t>
      </w:r>
      <w:r w:rsidR="00824157" w:rsidRPr="00526DBA">
        <w:rPr>
          <w:i/>
        </w:rPr>
        <w:t xml:space="preserve">mum recommended dose of </w:t>
      </w:r>
      <w:r w:rsidR="00C6681F" w:rsidRPr="00526DBA">
        <w:rPr>
          <w:i/>
        </w:rPr>
        <w:t>2,403</w:t>
      </w:r>
      <w:r w:rsidR="00824157" w:rsidRPr="00526DBA">
        <w:rPr>
          <w:i/>
        </w:rPr>
        <w:t xml:space="preserve"> mg of </w:t>
      </w:r>
      <w:proofErr w:type="spellStart"/>
      <w:r w:rsidR="00824157" w:rsidRPr="00526DBA">
        <w:rPr>
          <w:i/>
        </w:rPr>
        <w:t>pirfenidone</w:t>
      </w:r>
      <w:proofErr w:type="spellEnd"/>
      <w:proofErr w:type="gramEnd"/>
      <w:r w:rsidR="00824157" w:rsidRPr="00526DBA">
        <w:rPr>
          <w:i/>
        </w:rPr>
        <w:t xml:space="preserve"> </w:t>
      </w:r>
      <w:r w:rsidRPr="00526DBA">
        <w:rPr>
          <w:i/>
        </w:rPr>
        <w:t>da</w:t>
      </w:r>
      <w:r w:rsidR="00824157" w:rsidRPr="00526DBA">
        <w:rPr>
          <w:i/>
        </w:rPr>
        <w:t>il</w:t>
      </w:r>
      <w:r w:rsidRPr="00526DBA">
        <w:rPr>
          <w:i/>
        </w:rPr>
        <w:t xml:space="preserve">y. This corresponds to a maximum limit of 0.0055% of </w:t>
      </w:r>
      <w:r w:rsidR="000F783A">
        <w:rPr>
          <w:i/>
        </w:rPr>
        <w:t>the specified impurity</w:t>
      </w:r>
      <w:r w:rsidRPr="00526DBA">
        <w:rPr>
          <w:i/>
        </w:rPr>
        <w:t xml:space="preserve"> in the drug substance</w:t>
      </w:r>
      <w:r w:rsidRPr="00824157">
        <w:t>.’</w:t>
      </w:r>
      <w:r w:rsidR="005C4FA3">
        <w:t xml:space="preserve"> </w:t>
      </w:r>
      <w:r w:rsidRPr="00824157">
        <w:t xml:space="preserve">No data has been provided to demonstrate that the qualified limit of NMT 0.0055% for </w:t>
      </w:r>
      <w:r w:rsidR="000F783A">
        <w:t xml:space="preserve">the </w:t>
      </w:r>
      <w:r w:rsidR="00812C76">
        <w:t>specified impurity</w:t>
      </w:r>
      <w:r w:rsidRPr="00824157">
        <w:t xml:space="preserve"> in the drug substance can be met. The evaluator states that the sponsor has been informed of ways to address these issues.</w:t>
      </w:r>
    </w:p>
    <w:p w:rsidR="006C4B0C" w:rsidRPr="00824157" w:rsidRDefault="006C4B0C" w:rsidP="00824157">
      <w:r w:rsidRPr="00824157">
        <w:t>A food effect study, PIPF</w:t>
      </w:r>
      <w:r w:rsidRPr="00824157">
        <w:noBreakHyphen/>
        <w:t>005 is discussed. This was a single dose and multi</w:t>
      </w:r>
      <w:r w:rsidR="005C4FA3">
        <w:t xml:space="preserve"> </w:t>
      </w:r>
      <w:r w:rsidRPr="00824157">
        <w:t>dose bioavailability study. Only the single dose aspect is evaluated by the quality evaluator. The evaluator states that food significantly reduced the rate of absorption. Though the multi</w:t>
      </w:r>
      <w:r w:rsidR="005C4FA3">
        <w:t xml:space="preserve"> </w:t>
      </w:r>
      <w:r w:rsidRPr="00824157">
        <w:t>dose aspect of the study has not been evaluated</w:t>
      </w:r>
      <w:r w:rsidR="005C4FA3">
        <w:t xml:space="preserve"> by the quality evaluator</w:t>
      </w:r>
      <w:r w:rsidR="000F3405">
        <w:t>, an observation is made</w:t>
      </w:r>
      <w:r w:rsidR="005C4FA3">
        <w:t xml:space="preserve">, </w:t>
      </w:r>
      <w:r w:rsidR="00D612DA" w:rsidRPr="00526DBA">
        <w:rPr>
          <w:i/>
        </w:rPr>
        <w:t>'</w:t>
      </w:r>
      <w:r w:rsidR="005C4FA3" w:rsidRPr="00526DBA">
        <w:rPr>
          <w:i/>
        </w:rPr>
        <w:t>t</w:t>
      </w:r>
      <w:r w:rsidRPr="00526DBA">
        <w:rPr>
          <w:i/>
        </w:rPr>
        <w:t>hat the study indicated t</w:t>
      </w:r>
      <w:r w:rsidR="00824157" w:rsidRPr="00526DBA">
        <w:rPr>
          <w:i/>
        </w:rPr>
        <w:t xml:space="preserve">hat both </w:t>
      </w:r>
      <w:proofErr w:type="spellStart"/>
      <w:r w:rsidR="00824157" w:rsidRPr="00526DBA">
        <w:rPr>
          <w:i/>
        </w:rPr>
        <w:t>pirfenidone</w:t>
      </w:r>
      <w:proofErr w:type="spellEnd"/>
      <w:r w:rsidR="00824157" w:rsidRPr="00526DBA">
        <w:rPr>
          <w:i/>
        </w:rPr>
        <w:t xml:space="preserve"> and the 5</w:t>
      </w:r>
      <w:r w:rsidR="00824157" w:rsidRPr="00526DBA">
        <w:rPr>
          <w:i/>
        </w:rPr>
        <w:noBreakHyphen/>
        <w:t>CA</w:t>
      </w:r>
      <w:r w:rsidR="00824157" w:rsidRPr="00526DBA">
        <w:rPr>
          <w:i/>
        </w:rPr>
        <w:noBreakHyphen/>
      </w:r>
      <w:r w:rsidRPr="00526DBA">
        <w:rPr>
          <w:i/>
        </w:rPr>
        <w:t xml:space="preserve">pirfenidone metabolite showed decreased clearance with increasing dose given. Oral clearance is saturable with increasing dose, particularly at above </w:t>
      </w:r>
      <w:r w:rsidR="00C6681F" w:rsidRPr="00526DBA">
        <w:rPr>
          <w:i/>
        </w:rPr>
        <w:t>2,403</w:t>
      </w:r>
      <w:r w:rsidRPr="00526DBA">
        <w:rPr>
          <w:i/>
        </w:rPr>
        <w:t xml:space="preserve"> mg/day, which has been set as the maximum recommended daily dose</w:t>
      </w:r>
      <w:r w:rsidRPr="00824157">
        <w:t>.’</w:t>
      </w:r>
      <w:r w:rsidR="005C4FA3">
        <w:t xml:space="preserve"> </w:t>
      </w:r>
      <w:r w:rsidRPr="00824157">
        <w:t xml:space="preserve">The </w:t>
      </w:r>
      <w:r w:rsidR="005C4FA3">
        <w:t xml:space="preserve">quality </w:t>
      </w:r>
      <w:r w:rsidRPr="00824157">
        <w:t>evaluator questions whether the maximum daily dose is acceptable.</w:t>
      </w:r>
    </w:p>
    <w:p w:rsidR="006C4B0C" w:rsidRPr="00824157" w:rsidRDefault="006C4B0C" w:rsidP="00824157">
      <w:r w:rsidRPr="00824157">
        <w:lastRenderedPageBreak/>
        <w:t>All other outstanding chemistry and quality control issues ha</w:t>
      </w:r>
      <w:r w:rsidR="003A4870">
        <w:t>d</w:t>
      </w:r>
      <w:r w:rsidRPr="00824157">
        <w:t xml:space="preserve"> been satisfactorily addressed. This submission has not been considered by PSC.</w:t>
      </w:r>
    </w:p>
    <w:p w:rsidR="008E7846" w:rsidRPr="00824157" w:rsidRDefault="008E7846" w:rsidP="008E7846">
      <w:pPr>
        <w:pStyle w:val="Heading3"/>
      </w:pPr>
      <w:bookmarkStart w:id="161" w:name="_Toc453068513"/>
      <w:r w:rsidRPr="00824157">
        <w:t>Nonclinical</w:t>
      </w:r>
      <w:bookmarkEnd w:id="160"/>
      <w:bookmarkEnd w:id="161"/>
    </w:p>
    <w:p w:rsidR="006C4B0C" w:rsidRPr="00824157" w:rsidRDefault="006C4B0C" w:rsidP="006C4B0C">
      <w:r w:rsidRPr="00824157">
        <w:t xml:space="preserve">The </w:t>
      </w:r>
      <w:r w:rsidR="0087496F">
        <w:t xml:space="preserve">nonclinical </w:t>
      </w:r>
      <w:r w:rsidRPr="00824157">
        <w:t>evaluator mention</w:t>
      </w:r>
      <w:r w:rsidR="003A4870">
        <w:t>ed</w:t>
      </w:r>
      <w:r w:rsidRPr="00824157">
        <w:t xml:space="preserve"> that though the mechanism of action has not been fully established, the primary pharmacology data indicate anti</w:t>
      </w:r>
      <w:r w:rsidRPr="00824157">
        <w:noBreakHyphen/>
        <w:t>inflammatory and anti</w:t>
      </w:r>
      <w:r w:rsidRPr="00824157">
        <w:noBreakHyphen/>
        <w:t xml:space="preserve">fibrotic activity. </w:t>
      </w:r>
      <w:proofErr w:type="spellStart"/>
      <w:r w:rsidRPr="00824157">
        <w:t>Pirfenidone</w:t>
      </w:r>
      <w:proofErr w:type="spellEnd"/>
      <w:r w:rsidRPr="00824157">
        <w:t xml:space="preserve"> attenuated and/or arrested fibrosis development in an animal model of pulmonary fibrosis, but did not reverse established fibrosis.</w:t>
      </w:r>
    </w:p>
    <w:p w:rsidR="006C4B0C" w:rsidRPr="00824157" w:rsidRDefault="006C4B0C" w:rsidP="006C4B0C">
      <w:r w:rsidRPr="00824157">
        <w:t xml:space="preserve">Safety pharmacology studies revealed adverse CNS effects in mice with subclinical doses of </w:t>
      </w:r>
      <w:proofErr w:type="spellStart"/>
      <w:r w:rsidRPr="00824157">
        <w:t>pirfenidone</w:t>
      </w:r>
      <w:proofErr w:type="spellEnd"/>
      <w:r w:rsidRPr="00824157">
        <w:t>. Convulsions, respiratory inhibition and mortality were seen at doses of around twice the MRHD based on mg/m</w:t>
      </w:r>
      <w:r w:rsidRPr="00824157">
        <w:rPr>
          <w:vertAlign w:val="superscript"/>
        </w:rPr>
        <w:t>2</w:t>
      </w:r>
      <w:r w:rsidRPr="00824157">
        <w:t xml:space="preserve"> body surface area. The evaluator states that, ‘</w:t>
      </w:r>
      <w:r w:rsidRPr="00526DBA">
        <w:rPr>
          <w:i/>
        </w:rPr>
        <w:t>reduced blood pressure and increased heart rate occurred in anaesthetised rats and dogs, but only increased heart rate was observed in conscious dogs and at higher doses (14</w:t>
      </w:r>
      <w:r w:rsidR="004500A7" w:rsidRPr="00526DBA">
        <w:rPr>
          <w:i/>
        </w:rPr>
        <w:t> </w:t>
      </w:r>
      <w:r w:rsidR="003A4870" w:rsidRPr="00526DBA">
        <w:rPr>
          <w:i/>
        </w:rPr>
        <w:t>x</w:t>
      </w:r>
      <w:r w:rsidRPr="00526DBA">
        <w:rPr>
          <w:i/>
        </w:rPr>
        <w:t> </w:t>
      </w:r>
      <w:proofErr w:type="spellStart"/>
      <w:r w:rsidRPr="00526DBA">
        <w:rPr>
          <w:i/>
        </w:rPr>
        <w:t>C</w:t>
      </w:r>
      <w:r w:rsidRPr="00526DBA">
        <w:rPr>
          <w:i/>
          <w:vertAlign w:val="subscript"/>
        </w:rPr>
        <w:t>max</w:t>
      </w:r>
      <w:proofErr w:type="spellEnd"/>
      <w:r w:rsidRPr="00526DBA">
        <w:rPr>
          <w:i/>
        </w:rPr>
        <w:t>). There were no adverse respiratory effects in conscious dogs at doses yielding up to 4</w:t>
      </w:r>
      <w:r w:rsidR="004500A7" w:rsidRPr="00526DBA">
        <w:rPr>
          <w:i/>
        </w:rPr>
        <w:t> </w:t>
      </w:r>
      <w:r w:rsidR="003A4870" w:rsidRPr="00526DBA">
        <w:rPr>
          <w:i/>
        </w:rPr>
        <w:t>x</w:t>
      </w:r>
      <w:r w:rsidRPr="00526DBA">
        <w:rPr>
          <w:i/>
        </w:rPr>
        <w:t xml:space="preserve"> the expected </w:t>
      </w:r>
      <w:proofErr w:type="spellStart"/>
      <w:r w:rsidRPr="00526DBA">
        <w:rPr>
          <w:i/>
        </w:rPr>
        <w:t>C</w:t>
      </w:r>
      <w:r w:rsidRPr="00526DBA">
        <w:rPr>
          <w:i/>
          <w:vertAlign w:val="subscript"/>
        </w:rPr>
        <w:t>max</w:t>
      </w:r>
      <w:proofErr w:type="spellEnd"/>
      <w:r w:rsidRPr="00526DBA">
        <w:rPr>
          <w:i/>
        </w:rPr>
        <w:t>. In vitro and in vivo studies indicated that delayed gastric emptying and reduced rate of intestinal transit are likely to occur clinically’</w:t>
      </w:r>
      <w:r w:rsidRPr="00824157">
        <w:t>.</w:t>
      </w:r>
    </w:p>
    <w:p w:rsidR="006C4B0C" w:rsidRPr="00824157" w:rsidRDefault="006C4B0C" w:rsidP="006C4B0C">
      <w:r w:rsidRPr="00824157">
        <w:t xml:space="preserve">The pharmacokinetic profile of </w:t>
      </w:r>
      <w:proofErr w:type="spellStart"/>
      <w:r w:rsidRPr="00824157">
        <w:t>pirfenidone</w:t>
      </w:r>
      <w:proofErr w:type="spellEnd"/>
      <w:r w:rsidRPr="00824157">
        <w:t xml:space="preserve"> was simi</w:t>
      </w:r>
      <w:r w:rsidR="004500A7" w:rsidRPr="00824157">
        <w:t>lar between animals and humans.</w:t>
      </w:r>
    </w:p>
    <w:p w:rsidR="006C4B0C" w:rsidRPr="00824157" w:rsidRDefault="006C4B0C" w:rsidP="006C4B0C">
      <w:r w:rsidRPr="00824157">
        <w:t xml:space="preserve">In vitro, protein binding at a concentration of </w:t>
      </w:r>
      <w:r w:rsidRPr="009F47D6">
        <w:t xml:space="preserve">100 </w:t>
      </w:r>
      <w:proofErr w:type="spellStart"/>
      <w:r w:rsidR="009F47D6" w:rsidRPr="009F47D6">
        <w:t>μ</w:t>
      </w:r>
      <w:r w:rsidRPr="009F47D6">
        <w:t>g</w:t>
      </w:r>
      <w:proofErr w:type="spellEnd"/>
      <w:r w:rsidRPr="009F47D6">
        <w:t>/mL</w:t>
      </w:r>
      <w:r w:rsidRPr="00824157">
        <w:t xml:space="preserve"> approximated 30% in the mouse and the rat while in the dog and human it approximated 50%. Tissue distribution studies provided little evidence to suggest accumulation of </w:t>
      </w:r>
      <w:proofErr w:type="spellStart"/>
      <w:r w:rsidRPr="00824157">
        <w:t>pirfenidone</w:t>
      </w:r>
      <w:proofErr w:type="spellEnd"/>
      <w:r w:rsidRPr="00824157">
        <w:t xml:space="preserve"> and its metabolites in any tissues; adequate exposure was shown in the presumptive target organ, the lung. CYP1A2 was the predominant CYP isoform responsible for metabolism, involving formation</w:t>
      </w:r>
      <w:r w:rsidR="00A96408" w:rsidRPr="00824157">
        <w:t xml:space="preserve"> of the one major metabolite, 5</w:t>
      </w:r>
      <w:r w:rsidR="00A96408" w:rsidRPr="00824157">
        <w:noBreakHyphen/>
        <w:t>CA</w:t>
      </w:r>
      <w:r w:rsidR="00A96408" w:rsidRPr="00824157">
        <w:noBreakHyphen/>
      </w:r>
      <w:r w:rsidRPr="00824157">
        <w:t xml:space="preserve">pirfenidone. The metabolite profile of </w:t>
      </w:r>
      <w:proofErr w:type="spellStart"/>
      <w:r w:rsidRPr="00824157">
        <w:t>pirfenidone</w:t>
      </w:r>
      <w:proofErr w:type="spellEnd"/>
      <w:r w:rsidRPr="00824157">
        <w:t xml:space="preserve"> was qualitatively similar between laboratory species and humans with the major circulating metabol</w:t>
      </w:r>
      <w:r w:rsidR="00A96408" w:rsidRPr="00824157">
        <w:t>ite being 5</w:t>
      </w:r>
      <w:r w:rsidR="00A96408" w:rsidRPr="00824157">
        <w:noBreakHyphen/>
      </w:r>
      <w:r w:rsidRPr="00824157">
        <w:t>CA</w:t>
      </w:r>
      <w:r w:rsidR="00A96408" w:rsidRPr="00824157">
        <w:noBreakHyphen/>
      </w:r>
      <w:r w:rsidRPr="00824157">
        <w:t>pirfenidone. Excretion was predominantly via the</w:t>
      </w:r>
      <w:r w:rsidR="00A96408" w:rsidRPr="00824157">
        <w:t xml:space="preserve"> urine, almost exclusively as 5</w:t>
      </w:r>
      <w:r w:rsidR="00A96408" w:rsidRPr="00824157">
        <w:noBreakHyphen/>
        <w:t>CA</w:t>
      </w:r>
      <w:r w:rsidR="00A96408" w:rsidRPr="00824157">
        <w:noBreakHyphen/>
      </w:r>
      <w:r w:rsidRPr="00824157">
        <w:t>pirfenidone.</w:t>
      </w:r>
    </w:p>
    <w:p w:rsidR="006C4B0C" w:rsidRPr="00DA6AC9" w:rsidRDefault="006C4B0C" w:rsidP="006C4B0C">
      <w:r w:rsidRPr="00824157">
        <w:t>Single</w:t>
      </w:r>
      <w:r w:rsidR="005C4FA3">
        <w:t xml:space="preserve"> </w:t>
      </w:r>
      <w:r w:rsidRPr="00824157">
        <w:t xml:space="preserve">dose toxicity studies in mice, rats and dogs indicated a relatively low order of acute </w:t>
      </w:r>
      <w:r w:rsidRPr="00DA6AC9">
        <w:t xml:space="preserve">toxicity for </w:t>
      </w:r>
      <w:proofErr w:type="spellStart"/>
      <w:r w:rsidRPr="00DA6AC9">
        <w:t>pirfenidone</w:t>
      </w:r>
      <w:proofErr w:type="spellEnd"/>
      <w:r w:rsidRPr="00DA6AC9">
        <w:t xml:space="preserve"> by the oral route.</w:t>
      </w:r>
    </w:p>
    <w:p w:rsidR="006C4B0C" w:rsidRPr="00DA6AC9" w:rsidRDefault="00B15BB5" w:rsidP="006C4B0C">
      <w:r>
        <w:t>Repeat dose</w:t>
      </w:r>
      <w:r w:rsidR="006C4B0C" w:rsidRPr="00DA6AC9">
        <w:t xml:space="preserve"> toxicity studies were conducted in mice (3 months, PO), rats (up to 6 months, PO and IV) and dogs (up to 9 months, PO). These toxicities were observed at low or subclinical exposures (relative exposures, ≤</w:t>
      </w:r>
      <w:r w:rsidR="004500A7" w:rsidRPr="00DA6AC9">
        <w:t> </w:t>
      </w:r>
      <w:r w:rsidR="006C4B0C" w:rsidRPr="00DA6AC9">
        <w:t>3</w:t>
      </w:r>
      <w:r w:rsidR="00A96408" w:rsidRPr="00DA6AC9">
        <w:t> </w:t>
      </w:r>
      <w:r w:rsidR="003A4870">
        <w:t>x</w:t>
      </w:r>
      <w:r w:rsidR="006C4B0C" w:rsidRPr="00DA6AC9">
        <w:t xml:space="preserve"> base</w:t>
      </w:r>
      <w:r w:rsidR="004500A7" w:rsidRPr="00DA6AC9">
        <w:t>d on AUC), but were reversible.</w:t>
      </w:r>
    </w:p>
    <w:p w:rsidR="006C4B0C" w:rsidRPr="00DA6AC9" w:rsidRDefault="006C4B0C" w:rsidP="006C4B0C">
      <w:r w:rsidRPr="00DA6AC9">
        <w:t xml:space="preserve">All the genetic toxicology studies were negative and neither </w:t>
      </w:r>
      <w:proofErr w:type="spellStart"/>
      <w:r w:rsidRPr="00DA6AC9">
        <w:t>pirfenidone</w:t>
      </w:r>
      <w:proofErr w:type="spellEnd"/>
      <w:r w:rsidRPr="00DA6AC9">
        <w:t xml:space="preserve"> nor the 5</w:t>
      </w:r>
      <w:r w:rsidR="00A96408" w:rsidRPr="00DA6AC9">
        <w:noBreakHyphen/>
      </w:r>
      <w:r w:rsidRPr="00DA6AC9">
        <w:t>CA metabolite is genotoxic.</w:t>
      </w:r>
    </w:p>
    <w:p w:rsidR="006C4B0C" w:rsidRPr="00DA6AC9" w:rsidRDefault="006C4B0C" w:rsidP="006C4B0C">
      <w:r w:rsidRPr="00DA6AC9">
        <w:t xml:space="preserve">Fertility was not significantly affected in rats. </w:t>
      </w:r>
      <w:proofErr w:type="spellStart"/>
      <w:r w:rsidRPr="00DA6AC9">
        <w:t>P</w:t>
      </w:r>
      <w:r w:rsidR="004500A7" w:rsidRPr="00DA6AC9">
        <w:t>i</w:t>
      </w:r>
      <w:r w:rsidR="00DA6AC9" w:rsidRPr="00DA6AC9">
        <w:t>rfenidone</w:t>
      </w:r>
      <w:proofErr w:type="spellEnd"/>
      <w:r w:rsidR="00DA6AC9" w:rsidRPr="00DA6AC9">
        <w:t xml:space="preserve"> and its </w:t>
      </w:r>
      <w:r w:rsidRPr="00DA6AC9">
        <w:t xml:space="preserve">metabolites were excreted in the milk of lactating rats. </w:t>
      </w:r>
      <w:proofErr w:type="spellStart"/>
      <w:r w:rsidRPr="00DA6AC9">
        <w:t>P</w:t>
      </w:r>
      <w:r w:rsidR="004500A7" w:rsidRPr="00DA6AC9">
        <w:t>i</w:t>
      </w:r>
      <w:r w:rsidRPr="00DA6AC9">
        <w:t>rfenidone</w:t>
      </w:r>
      <w:proofErr w:type="spellEnd"/>
      <w:r w:rsidRPr="00DA6AC9">
        <w:t xml:space="preserve"> was not found to be teratogenic in rats or rabbits. However, abortion, maternal death, prolonged gestation, reduced pup numbers and viability were observed at estimated relative doses of less than 4</w:t>
      </w:r>
      <w:r w:rsidR="004500A7" w:rsidRPr="00DA6AC9">
        <w:t> </w:t>
      </w:r>
      <w:r w:rsidR="00E60988">
        <w:t>x</w:t>
      </w:r>
      <w:r w:rsidRPr="00DA6AC9">
        <w:t xml:space="preserve"> the MRHD (mg/m</w:t>
      </w:r>
      <w:r w:rsidRPr="00DA6AC9">
        <w:rPr>
          <w:vertAlign w:val="superscript"/>
        </w:rPr>
        <w:t>2</w:t>
      </w:r>
      <w:r w:rsidRPr="00DA6AC9">
        <w:t>).</w:t>
      </w:r>
    </w:p>
    <w:p w:rsidR="006C4B0C" w:rsidRPr="00DA6AC9" w:rsidRDefault="006C4B0C" w:rsidP="006C4B0C">
      <w:proofErr w:type="spellStart"/>
      <w:r w:rsidRPr="00DA6AC9">
        <w:t>Pirfenidone</w:t>
      </w:r>
      <w:proofErr w:type="spellEnd"/>
      <w:r w:rsidRPr="00DA6AC9">
        <w:t xml:space="preserve"> was phototoxic in hairless mice and Hartley guinea pigs. </w:t>
      </w:r>
      <w:proofErr w:type="spellStart"/>
      <w:r w:rsidRPr="00DA6AC9">
        <w:t>Pirfenidone</w:t>
      </w:r>
      <w:proofErr w:type="spellEnd"/>
      <w:r w:rsidRPr="00DA6AC9">
        <w:t xml:space="preserve"> potentiated the development of erythema in response to UV exposure at subclinical exposures (</w:t>
      </w:r>
      <w:proofErr w:type="spellStart"/>
      <w:r w:rsidRPr="00DA6AC9">
        <w:t>C</w:t>
      </w:r>
      <w:r w:rsidRPr="00DA6AC9">
        <w:rPr>
          <w:vertAlign w:val="subscript"/>
        </w:rPr>
        <w:t>max</w:t>
      </w:r>
      <w:proofErr w:type="spellEnd"/>
      <w:r w:rsidR="004500A7" w:rsidRPr="00DA6AC9">
        <w:t>).</w:t>
      </w:r>
    </w:p>
    <w:p w:rsidR="006C4B0C" w:rsidRPr="00DA6AC9" w:rsidRDefault="006C4B0C" w:rsidP="006C4B0C">
      <w:r w:rsidRPr="00DA6AC9">
        <w:t>Long</w:t>
      </w:r>
      <w:r w:rsidR="00DA6AC9" w:rsidRPr="00DA6AC9">
        <w:noBreakHyphen/>
      </w:r>
      <w:r w:rsidRPr="00DA6AC9">
        <w:t xml:space="preserve">term carcinogenicity studies were conducted in mice and rats. </w:t>
      </w:r>
      <w:proofErr w:type="spellStart"/>
      <w:r w:rsidRPr="00DA6AC9">
        <w:t>Pirfenidone</w:t>
      </w:r>
      <w:proofErr w:type="spellEnd"/>
      <w:r w:rsidRPr="00DA6AC9">
        <w:t xml:space="preserve"> induced </w:t>
      </w:r>
      <w:proofErr w:type="spellStart"/>
      <w:r w:rsidR="009F47D6" w:rsidRPr="00DA6AC9">
        <w:t>hepato</w:t>
      </w:r>
      <w:proofErr w:type="spellEnd"/>
      <w:r w:rsidR="009F47D6">
        <w:noBreakHyphen/>
      </w:r>
      <w:r w:rsidRPr="00DA6AC9">
        <w:t>carcinogenesis in both mice and rats, as well as thyroid tumours in rats. These appeared to be secondary to liver enzyme induction. Treatment</w:t>
      </w:r>
      <w:r w:rsidR="00471255">
        <w:t xml:space="preserve"> </w:t>
      </w:r>
      <w:r w:rsidRPr="00DA6AC9">
        <w:t>related uterine tumours also occurred in rats. The evaluator states that the sponsor proposed a rodent</w:t>
      </w:r>
      <w:r w:rsidR="004500A7" w:rsidRPr="00DA6AC9">
        <w:t xml:space="preserve"> </w:t>
      </w:r>
      <w:r w:rsidRPr="00DA6AC9">
        <w:t>specific prolactin</w:t>
      </w:r>
      <w:r w:rsidR="004500A7" w:rsidRPr="00DA6AC9">
        <w:t xml:space="preserve"> </w:t>
      </w:r>
      <w:r w:rsidRPr="00DA6AC9">
        <w:t xml:space="preserve">mediated mechanism for uterine tumour development, but the mechanistic data provided were insufficient to conclusively support this hypothesis. However, the </w:t>
      </w:r>
      <w:r w:rsidR="004500A7" w:rsidRPr="00DA6AC9">
        <w:t>European Public Assessment Report (</w:t>
      </w:r>
      <w:r w:rsidRPr="00DA6AC9">
        <w:t>EPAR</w:t>
      </w:r>
      <w:r w:rsidR="004500A7" w:rsidRPr="00DA6AC9">
        <w:t>) states that, ‘</w:t>
      </w:r>
      <w:r w:rsidRPr="00526DBA">
        <w:rPr>
          <w:i/>
        </w:rPr>
        <w:t xml:space="preserve">the </w:t>
      </w:r>
      <w:proofErr w:type="spellStart"/>
      <w:r w:rsidRPr="00526DBA">
        <w:rPr>
          <w:i/>
        </w:rPr>
        <w:t>pirfenidone</w:t>
      </w:r>
      <w:proofErr w:type="spellEnd"/>
      <w:r w:rsidR="00471255" w:rsidRPr="00526DBA">
        <w:rPr>
          <w:i/>
        </w:rPr>
        <w:t xml:space="preserve"> </w:t>
      </w:r>
      <w:r w:rsidRPr="00526DBA">
        <w:rPr>
          <w:i/>
        </w:rPr>
        <w:t>related liver tumours in rats and mice, and uterine tumou</w:t>
      </w:r>
      <w:r w:rsidR="004500A7" w:rsidRPr="00526DBA">
        <w:rPr>
          <w:i/>
        </w:rPr>
        <w:t xml:space="preserve">rs in rats, appear to be rodent and species </w:t>
      </w:r>
      <w:r w:rsidRPr="00526DBA">
        <w:rPr>
          <w:i/>
        </w:rPr>
        <w:lastRenderedPageBreak/>
        <w:t>specific and of questionable clinical relevance</w:t>
      </w:r>
      <w:r w:rsidR="004500A7" w:rsidRPr="00526DBA">
        <w:rPr>
          <w:i/>
        </w:rPr>
        <w:t>’</w:t>
      </w:r>
      <w:r w:rsidR="004500A7" w:rsidRPr="00DA6AC9">
        <w:t xml:space="preserve">. </w:t>
      </w:r>
      <w:r w:rsidRPr="00DA6AC9">
        <w:t>These uncertainties are adequa</w:t>
      </w:r>
      <w:r w:rsidR="004500A7" w:rsidRPr="00DA6AC9">
        <w:t>tely addressed in the draft PI.</w:t>
      </w:r>
    </w:p>
    <w:p w:rsidR="004500A7" w:rsidRPr="00DA6AC9" w:rsidRDefault="004500A7" w:rsidP="004500A7">
      <w:r w:rsidRPr="00DA6AC9">
        <w:t>The evaluator expressed concern abo</w:t>
      </w:r>
      <w:r w:rsidR="006E7E9F">
        <w:t xml:space="preserve">ut the presence </w:t>
      </w:r>
      <w:proofErr w:type="gramStart"/>
      <w:r w:rsidR="006E7E9F">
        <w:t xml:space="preserve">of </w:t>
      </w:r>
      <w:r w:rsidR="00471255">
        <w:t xml:space="preserve"> </w:t>
      </w:r>
      <w:r w:rsidRPr="00DA6AC9">
        <w:t>a</w:t>
      </w:r>
      <w:proofErr w:type="gramEnd"/>
      <w:r w:rsidRPr="00DA6AC9">
        <w:t xml:space="preserve"> specified impurity in the drug substance, which is genotoxic (</w:t>
      </w:r>
      <w:proofErr w:type="spellStart"/>
      <w:r w:rsidRPr="00DA6AC9">
        <w:t>clastogenic</w:t>
      </w:r>
      <w:proofErr w:type="spellEnd"/>
      <w:r w:rsidRPr="00DA6AC9">
        <w:t>) and is considered to pose a carcinogenic risk above that normally considered acceptable for human pharmaceuticals. It is recommended that the limit be lowered to acceptable levels so as to not expose patients to unnecessary risks.</w:t>
      </w:r>
    </w:p>
    <w:p w:rsidR="004500A7" w:rsidRPr="00DA6AC9" w:rsidRDefault="004500A7" w:rsidP="006C4B0C">
      <w:r w:rsidRPr="00DA6AC9">
        <w:t xml:space="preserve">Overall, the </w:t>
      </w:r>
      <w:r w:rsidR="003A4870">
        <w:t>nonclinical evaluator recommended</w:t>
      </w:r>
      <w:r w:rsidRPr="00DA6AC9">
        <w:t xml:space="preserve"> approval from a </w:t>
      </w:r>
      <w:r w:rsidR="003A4870">
        <w:t>toxicological</w:t>
      </w:r>
      <w:r w:rsidRPr="00DA6AC9">
        <w:t xml:space="preserve"> point of view, provided that the concern regarding the imp</w:t>
      </w:r>
      <w:r w:rsidR="003A4870">
        <w:t>urity is addressed. Several PI amendments were also</w:t>
      </w:r>
      <w:r w:rsidRPr="00DA6AC9">
        <w:t xml:space="preserve"> made.</w:t>
      </w:r>
    </w:p>
    <w:p w:rsidR="008E7846" w:rsidRPr="00DA6AC9" w:rsidRDefault="008E7846" w:rsidP="008E7846">
      <w:pPr>
        <w:pStyle w:val="Heading3"/>
      </w:pPr>
      <w:bookmarkStart w:id="162" w:name="_Toc247691530"/>
      <w:bookmarkStart w:id="163" w:name="_Toc314842513"/>
      <w:bookmarkStart w:id="164" w:name="_Toc453068514"/>
      <w:r w:rsidRPr="00DA6AC9">
        <w:t>Clinical</w:t>
      </w:r>
      <w:bookmarkEnd w:id="162"/>
      <w:bookmarkEnd w:id="163"/>
      <w:bookmarkEnd w:id="164"/>
    </w:p>
    <w:p w:rsidR="004500A7" w:rsidRPr="00DA6AC9" w:rsidRDefault="004500A7" w:rsidP="004500A7">
      <w:pPr>
        <w:pStyle w:val="Heading4"/>
      </w:pPr>
      <w:bookmarkStart w:id="165" w:name="_Toc314842514"/>
      <w:r w:rsidRPr="00DA6AC9">
        <w:t>Pharmacology</w:t>
      </w:r>
    </w:p>
    <w:p w:rsidR="004500A7" w:rsidRPr="00DA6AC9" w:rsidRDefault="00BA20D0" w:rsidP="004500A7">
      <w:r>
        <w:t>In total there were</w:t>
      </w:r>
      <w:r w:rsidR="004500A7" w:rsidRPr="00DA6AC9">
        <w:t xml:space="preserve"> 6 clinical pharmacology studies</w:t>
      </w:r>
      <w:r>
        <w:t xml:space="preserve"> available</w:t>
      </w:r>
      <w:r w:rsidR="004500A7" w:rsidRPr="00DA6AC9">
        <w:t>, including 5 that provided pharmacokinetic data and a PD study and one population pharmacokinetic analysis.</w:t>
      </w:r>
    </w:p>
    <w:p w:rsidR="004500A7" w:rsidRPr="00DA6AC9" w:rsidRDefault="004500A7" w:rsidP="004500A7">
      <w:pPr>
        <w:pStyle w:val="Heading4"/>
      </w:pPr>
      <w:r w:rsidRPr="00DA6AC9">
        <w:t>Pharmacokinetics</w:t>
      </w:r>
    </w:p>
    <w:p w:rsidR="004500A7" w:rsidRPr="00DA6AC9" w:rsidRDefault="00BA20D0" w:rsidP="004500A7">
      <w:r>
        <w:t>T</w:t>
      </w:r>
      <w:r w:rsidR="004500A7" w:rsidRPr="00DA6AC9">
        <w:t>he</w:t>
      </w:r>
      <w:r>
        <w:t xml:space="preserve"> pharmacokinetic data for </w:t>
      </w:r>
      <w:proofErr w:type="spellStart"/>
      <w:r>
        <w:t>pirfenidone</w:t>
      </w:r>
      <w:proofErr w:type="spellEnd"/>
      <w:r w:rsidR="004500A7" w:rsidRPr="00DA6AC9">
        <w:t xml:space="preserve"> in healthy subjects </w:t>
      </w:r>
      <w:r>
        <w:t>was</w:t>
      </w:r>
      <w:r w:rsidR="004500A7" w:rsidRPr="00DA6AC9">
        <w:t xml:space="preserve"> </w:t>
      </w:r>
      <w:r>
        <w:t>available</w:t>
      </w:r>
      <w:r w:rsidR="004500A7" w:rsidRPr="00DA6AC9">
        <w:t xml:space="preserve"> from Study PIPF</w:t>
      </w:r>
      <w:r w:rsidR="00DA6AC9" w:rsidRPr="00DA6AC9">
        <w:noBreakHyphen/>
      </w:r>
      <w:r>
        <w:t>005, with t</w:t>
      </w:r>
      <w:r w:rsidR="004500A7" w:rsidRPr="00DA6AC9">
        <w:t>he following pharmacokinetics endpoints obtained:</w:t>
      </w:r>
    </w:p>
    <w:p w:rsidR="004500A7" w:rsidRPr="00DA6AC9" w:rsidRDefault="004500A7" w:rsidP="004500A7">
      <w:pPr>
        <w:pStyle w:val="ListBullet"/>
      </w:pPr>
      <w:r w:rsidRPr="00DA6AC9">
        <w:t xml:space="preserve">After ingestion of single dose of 801 mg (n = 16 with food) </w:t>
      </w:r>
      <w:proofErr w:type="spellStart"/>
      <w:r w:rsidRPr="00DA6AC9">
        <w:t>pirfenidone</w:t>
      </w:r>
      <w:proofErr w:type="spellEnd"/>
      <w:r w:rsidRPr="00DA6AC9">
        <w:t xml:space="preserve"> had mean peak plasma concentration of 7.8 µg/mL about 3 to 4 hours following administration</w:t>
      </w:r>
    </w:p>
    <w:p w:rsidR="004500A7" w:rsidRPr="00DA6AC9" w:rsidRDefault="004500A7" w:rsidP="004500A7">
      <w:pPr>
        <w:pStyle w:val="ListBullet"/>
      </w:pPr>
      <w:r w:rsidRPr="00DA6AC9">
        <w:t>For the 801 mg TDS (</w:t>
      </w:r>
      <w:r w:rsidR="00C6681F">
        <w:t>2,403</w:t>
      </w:r>
      <w:r w:rsidRPr="00DA6AC9">
        <w:t xml:space="preserve"> mg/day) dose level, </w:t>
      </w:r>
      <w:proofErr w:type="spellStart"/>
      <w:r w:rsidRPr="00DA6AC9">
        <w:t>C</w:t>
      </w:r>
      <w:r w:rsidRPr="00DA6AC9">
        <w:rPr>
          <w:vertAlign w:val="subscript"/>
        </w:rPr>
        <w:t>max</w:t>
      </w:r>
      <w:proofErr w:type="spellEnd"/>
      <w:r w:rsidRPr="00DA6AC9">
        <w:t xml:space="preserve"> was 11.85 µg/mL using data from the multiple dose cohort in PIPF</w:t>
      </w:r>
      <w:r w:rsidRPr="00DA6AC9">
        <w:noBreakHyphen/>
        <w:t xml:space="preserve">005; </w:t>
      </w:r>
      <w:proofErr w:type="spellStart"/>
      <w:r w:rsidRPr="00DA6AC9">
        <w:t>T</w:t>
      </w:r>
      <w:r w:rsidRPr="00DA6AC9">
        <w:rPr>
          <w:vertAlign w:val="subscript"/>
        </w:rPr>
        <w:t>max</w:t>
      </w:r>
      <w:proofErr w:type="spellEnd"/>
      <w:r w:rsidR="00585C2F">
        <w:t xml:space="preserve"> (median) was at about 2 hours, </w:t>
      </w:r>
      <w:r w:rsidR="00471255">
        <w:t>t</w:t>
      </w:r>
      <w:r w:rsidR="00585C2F">
        <w:t>½ was 1.5 h (mean) and</w:t>
      </w:r>
      <w:r w:rsidRPr="00DA6AC9">
        <w:t xml:space="preserve"> the apparent terminal half</w:t>
      </w:r>
      <w:r w:rsidR="00DA6AC9" w:rsidRPr="00DA6AC9">
        <w:noBreakHyphen/>
      </w:r>
      <w:r w:rsidRPr="00DA6AC9">
        <w:t>life was mean 2.39 h</w:t>
      </w:r>
    </w:p>
    <w:p w:rsidR="004500A7" w:rsidRPr="00DA6AC9" w:rsidRDefault="004500A7" w:rsidP="004500A7">
      <w:pPr>
        <w:pStyle w:val="ListBullet"/>
      </w:pPr>
      <w:r w:rsidRPr="00DA6AC9">
        <w:t>Bioavailability w</w:t>
      </w:r>
      <w:r w:rsidR="00585C2F">
        <w:t xml:space="preserve">as high being approximately 80%. </w:t>
      </w:r>
      <w:r w:rsidRPr="00DA6AC9">
        <w:t>Absolute bioavailability was not determined.</w:t>
      </w:r>
    </w:p>
    <w:p w:rsidR="004500A7" w:rsidRPr="00DA6AC9" w:rsidRDefault="00585C2F" w:rsidP="004500A7">
      <w:pPr>
        <w:pStyle w:val="ListBullet"/>
      </w:pPr>
      <w:r>
        <w:t>Food</w:t>
      </w:r>
      <w:r w:rsidR="004500A7" w:rsidRPr="00DA6AC9">
        <w:t xml:space="preserve"> reduced the rate and extent of absorption (</w:t>
      </w:r>
      <w:proofErr w:type="spellStart"/>
      <w:r w:rsidR="004500A7" w:rsidRPr="00DA6AC9">
        <w:t>C</w:t>
      </w:r>
      <w:r w:rsidR="004500A7" w:rsidRPr="00DA6AC9">
        <w:rPr>
          <w:vertAlign w:val="subscript"/>
        </w:rPr>
        <w:t>max</w:t>
      </w:r>
      <w:proofErr w:type="spellEnd"/>
      <w:r w:rsidR="004500A7" w:rsidRPr="00DA6AC9">
        <w:t xml:space="preserve"> reduced by 50%, AUC</w:t>
      </w:r>
      <w:r w:rsidR="004500A7" w:rsidRPr="00DA6AC9">
        <w:rPr>
          <w:vertAlign w:val="subscript"/>
        </w:rPr>
        <w:t>(0-72)</w:t>
      </w:r>
      <w:r w:rsidR="004500A7" w:rsidRPr="00DA6AC9">
        <w:t xml:space="preserve"> by 15 to 20%) compared to fasting state, with subjects less likely to experience adverse events when </w:t>
      </w:r>
      <w:proofErr w:type="spellStart"/>
      <w:r w:rsidR="004500A7" w:rsidRPr="00DA6AC9">
        <w:t>pirfenidone</w:t>
      </w:r>
      <w:proofErr w:type="spellEnd"/>
      <w:r w:rsidR="004500A7" w:rsidRPr="00DA6AC9">
        <w:t xml:space="preserve"> was administered with food</w:t>
      </w:r>
    </w:p>
    <w:p w:rsidR="004500A7" w:rsidRPr="00DA6AC9" w:rsidRDefault="004500A7" w:rsidP="003851AE">
      <w:pPr>
        <w:pStyle w:val="ListBullet"/>
      </w:pPr>
      <w:r w:rsidRPr="00DA6AC9">
        <w:t>No significant dose</w:t>
      </w:r>
      <w:r w:rsidR="003851AE">
        <w:t xml:space="preserve"> </w:t>
      </w:r>
      <w:r w:rsidRPr="00DA6AC9">
        <w:t xml:space="preserve">dependency was identified suggesting linear pharmacokinetics up to a dose of 600 mg </w:t>
      </w:r>
      <w:r w:rsidR="00DA6AC9" w:rsidRPr="00DA6AC9">
        <w:t>TDS</w:t>
      </w:r>
    </w:p>
    <w:p w:rsidR="003851AE" w:rsidRDefault="003851AE" w:rsidP="00526DBA">
      <w:pPr>
        <w:pStyle w:val="ListBullet"/>
      </w:pPr>
      <w:r>
        <w:t>M</w:t>
      </w:r>
      <w:r w:rsidR="004500A7" w:rsidRPr="00DA6AC9">
        <w:t xml:space="preserve">ean apparent oral steady-state volume of distribution was </w:t>
      </w:r>
      <w:r w:rsidR="00585C2F">
        <w:t>approximately 70 L in subjects</w:t>
      </w:r>
      <w:r>
        <w:t xml:space="preserve"> from Study PIPF-004 (PIPF-ORD1)</w:t>
      </w:r>
    </w:p>
    <w:p w:rsidR="004500A7" w:rsidRPr="00DA6AC9" w:rsidRDefault="004500A7" w:rsidP="00526DBA">
      <w:pPr>
        <w:pStyle w:val="ListBullet"/>
      </w:pPr>
      <w:proofErr w:type="spellStart"/>
      <w:r w:rsidRPr="00DA6AC9">
        <w:t>Pirfenidone</w:t>
      </w:r>
      <w:proofErr w:type="spellEnd"/>
      <w:r w:rsidRPr="00DA6AC9">
        <w:t xml:space="preserve"> binds to human plasma proteins, primarily to serum albumin</w:t>
      </w:r>
      <w:r w:rsidR="003851AE">
        <w:t>.</w:t>
      </w:r>
      <w:r w:rsidR="00585C2F">
        <w:t xml:space="preserve"> </w:t>
      </w:r>
      <w:r w:rsidR="003851AE">
        <w:t>T</w:t>
      </w:r>
      <w:r w:rsidRPr="00DA6AC9">
        <w:t xml:space="preserve">he overall mean binding ranged from 50% to 58% at concentrations observed in clinical studies (1 to </w:t>
      </w:r>
      <w:r w:rsidRPr="009F47D6">
        <w:t xml:space="preserve">100 </w:t>
      </w:r>
      <w:proofErr w:type="spellStart"/>
      <w:r w:rsidRPr="009F47D6">
        <w:t>μg</w:t>
      </w:r>
      <w:proofErr w:type="spellEnd"/>
      <w:r w:rsidRPr="00DA6AC9">
        <w:t>/mL)</w:t>
      </w:r>
    </w:p>
    <w:p w:rsidR="003851AE" w:rsidRDefault="00585C2F" w:rsidP="00526DBA">
      <w:pPr>
        <w:pStyle w:val="ListBullet"/>
      </w:pPr>
      <w:r w:rsidRPr="00DA6AC9">
        <w:t>There were three metabolites identified in the human studies</w:t>
      </w:r>
      <w:r>
        <w:t>. None were found to be active.</w:t>
      </w:r>
    </w:p>
    <w:p w:rsidR="00585C2F" w:rsidRDefault="003851AE" w:rsidP="00526DBA">
      <w:pPr>
        <w:pStyle w:val="ListBullet"/>
      </w:pPr>
      <w:r>
        <w:t>T</w:t>
      </w:r>
      <w:r w:rsidR="004500A7" w:rsidRPr="00DA6AC9">
        <w:t xml:space="preserve">he EPAR </w:t>
      </w:r>
      <w:r w:rsidR="005E0687">
        <w:t>(</w:t>
      </w:r>
      <w:r w:rsidR="00585C2F">
        <w:t xml:space="preserve">for </w:t>
      </w:r>
      <w:proofErr w:type="spellStart"/>
      <w:r w:rsidR="00585C2F">
        <w:t>pirfenidone</w:t>
      </w:r>
      <w:proofErr w:type="spellEnd"/>
      <w:r w:rsidR="005E0687">
        <w:t>)</w:t>
      </w:r>
      <w:r w:rsidR="00585C2F">
        <w:t xml:space="preserve"> states that:</w:t>
      </w:r>
    </w:p>
    <w:p w:rsidR="004500A7" w:rsidRPr="00585C2F" w:rsidRDefault="004500A7" w:rsidP="00585C2F">
      <w:pPr>
        <w:ind w:left="720"/>
        <w:rPr>
          <w:i/>
        </w:rPr>
      </w:pPr>
      <w:r w:rsidRPr="00585C2F">
        <w:rPr>
          <w:i/>
        </w:rPr>
        <w:t>‘</w:t>
      </w:r>
      <w:r w:rsidR="00585C2F">
        <w:rPr>
          <w:i/>
        </w:rPr>
        <w:t>F</w:t>
      </w:r>
      <w:r w:rsidR="00DA6AC9" w:rsidRPr="00585C2F">
        <w:rPr>
          <w:i/>
        </w:rPr>
        <w:t xml:space="preserve">ollowing single </w:t>
      </w:r>
      <w:r w:rsidRPr="00585C2F">
        <w:rPr>
          <w:i/>
        </w:rPr>
        <w:t xml:space="preserve">dose administration of </w:t>
      </w:r>
      <w:proofErr w:type="spellStart"/>
      <w:r w:rsidRPr="00585C2F">
        <w:rPr>
          <w:i/>
        </w:rPr>
        <w:t>pirfenidone</w:t>
      </w:r>
      <w:proofErr w:type="spellEnd"/>
      <w:r w:rsidRPr="00585C2F">
        <w:rPr>
          <w:i/>
        </w:rPr>
        <w:t xml:space="preserve"> in healthy older (50 to 66 years) adults, the mean apparent terminal elimination half-life was 2.4 hours (PIPF</w:t>
      </w:r>
      <w:r w:rsidRPr="00585C2F">
        <w:rPr>
          <w:i/>
        </w:rPr>
        <w:noBreakHyphen/>
        <w:t xml:space="preserve">005). </w:t>
      </w:r>
      <w:proofErr w:type="spellStart"/>
      <w:r w:rsidRPr="00585C2F">
        <w:rPr>
          <w:i/>
        </w:rPr>
        <w:t>Pirfenidone</w:t>
      </w:r>
      <w:proofErr w:type="spellEnd"/>
      <w:r w:rsidRPr="00585C2F">
        <w:rPr>
          <w:i/>
        </w:rPr>
        <w:t xml:space="preserve"> is predominantly (80 to 85%) excreted via the urine with 9</w:t>
      </w:r>
      <w:r w:rsidR="00A96408" w:rsidRPr="00585C2F">
        <w:rPr>
          <w:i/>
        </w:rPr>
        <w:t>5% as the primary metabolite, 5</w:t>
      </w:r>
      <w:r w:rsidR="00A96408" w:rsidRPr="00585C2F">
        <w:rPr>
          <w:i/>
        </w:rPr>
        <w:noBreakHyphen/>
        <w:t>CA</w:t>
      </w:r>
      <w:r w:rsidR="00A96408" w:rsidRPr="00585C2F">
        <w:rPr>
          <w:i/>
        </w:rPr>
        <w:noBreakHyphen/>
      </w:r>
      <w:r w:rsidRPr="00585C2F">
        <w:rPr>
          <w:i/>
        </w:rPr>
        <w:t>pirfenidone</w:t>
      </w:r>
      <w:r w:rsidR="005E0687">
        <w:rPr>
          <w:i/>
        </w:rPr>
        <w:t xml:space="preserve"> (PIPF-005)</w:t>
      </w:r>
      <w:r w:rsidRPr="00585C2F">
        <w:rPr>
          <w:i/>
        </w:rPr>
        <w:t>’.</w:t>
      </w:r>
    </w:p>
    <w:p w:rsidR="004500A7" w:rsidRPr="005E0687" w:rsidRDefault="004500A7" w:rsidP="005E0687">
      <w:r w:rsidRPr="005E0687">
        <w:lastRenderedPageBreak/>
        <w:t xml:space="preserve">The pharmacokinetics in the </w:t>
      </w:r>
      <w:r w:rsidR="00B71083" w:rsidRPr="005E0687">
        <w:t>targeted population was discussed</w:t>
      </w:r>
      <w:r w:rsidRPr="005E0687">
        <w:t>. The evaluator states that hepatic impairment was likely t</w:t>
      </w:r>
      <w:r w:rsidR="00B71083" w:rsidRPr="005E0687">
        <w:t xml:space="preserve">o be of clinical significance. </w:t>
      </w:r>
      <w:r w:rsidRPr="005E0687">
        <w:t>Study PIPF</w:t>
      </w:r>
      <w:r w:rsidR="00B71083" w:rsidRPr="005E0687">
        <w:noBreakHyphen/>
      </w:r>
      <w:r w:rsidRPr="005E0687">
        <w:t>011 demonstrated that the AUC between normal subjects and those with hepatic impairment were statistically significantly different. Monitoring of LFTs and recommendations for dose adjustment or treatment discontinuation for elevated LFTs and/or hepatic sympto</w:t>
      </w:r>
      <w:r w:rsidR="00B71083" w:rsidRPr="005E0687">
        <w:t>ms is given in the proposed PI.</w:t>
      </w:r>
    </w:p>
    <w:p w:rsidR="005E0687" w:rsidRDefault="00A96408" w:rsidP="004500A7">
      <w:r w:rsidRPr="00DA6AC9">
        <w:t xml:space="preserve">Study </w:t>
      </w:r>
      <w:r w:rsidR="004500A7" w:rsidRPr="00DA6AC9">
        <w:t>PIPF</w:t>
      </w:r>
      <w:r w:rsidRPr="00DA6AC9">
        <w:noBreakHyphen/>
      </w:r>
      <w:r w:rsidR="004500A7" w:rsidRPr="00DA6AC9">
        <w:t>009 examined the pharmacokinetics in renal impairment.</w:t>
      </w:r>
    </w:p>
    <w:p w:rsidR="004500A7" w:rsidRPr="00DA6AC9" w:rsidRDefault="00B71083" w:rsidP="004500A7">
      <w:r w:rsidRPr="00DA6AC9">
        <w:t xml:space="preserve">Although </w:t>
      </w:r>
      <w:proofErr w:type="spellStart"/>
      <w:r w:rsidR="00A96408" w:rsidRPr="00DA6AC9">
        <w:t>p</w:t>
      </w:r>
      <w:r w:rsidRPr="00DA6AC9">
        <w:t>irfenidone</w:t>
      </w:r>
      <w:proofErr w:type="spellEnd"/>
      <w:r w:rsidRPr="00DA6AC9">
        <w:t xml:space="preserve"> clearance </w:t>
      </w:r>
      <w:r w:rsidR="004500A7" w:rsidRPr="00DA6AC9">
        <w:t xml:space="preserve">was not primarily renal, a metabolite </w:t>
      </w:r>
      <w:r w:rsidR="004500A7" w:rsidRPr="009F47D6">
        <w:t>5</w:t>
      </w:r>
      <w:r w:rsidR="009F47D6" w:rsidRPr="009F47D6">
        <w:noBreakHyphen/>
      </w:r>
      <w:r w:rsidR="004500A7" w:rsidRPr="009F47D6">
        <w:t>CO</w:t>
      </w:r>
      <w:r w:rsidR="009F47D6" w:rsidRPr="009F47D6">
        <w:noBreakHyphen/>
      </w:r>
      <w:r w:rsidR="004500A7" w:rsidRPr="009F47D6">
        <w:t>pirfenidone</w:t>
      </w:r>
      <w:r w:rsidR="004500A7" w:rsidRPr="00DA6AC9">
        <w:t xml:space="preserve"> was eliminated through the renal pathway. Based on this, the statement, </w:t>
      </w:r>
      <w:r w:rsidRPr="00DA6AC9">
        <w:t>‘</w:t>
      </w:r>
      <w:r w:rsidR="004500A7" w:rsidRPr="00DA6AC9">
        <w:t>use with caution for mild, moderate or severe renal impairmen</w:t>
      </w:r>
      <w:r w:rsidRPr="00DA6AC9">
        <w:t>t, and not recommended for ESRD’</w:t>
      </w:r>
      <w:r w:rsidR="004500A7" w:rsidRPr="00DA6AC9">
        <w:t xml:space="preserve"> is proposed in the PI.</w:t>
      </w:r>
    </w:p>
    <w:p w:rsidR="004500A7" w:rsidRPr="00DA6AC9" w:rsidRDefault="004500A7" w:rsidP="004500A7">
      <w:r w:rsidRPr="00DA6AC9">
        <w:t>Population pharmacokinetic analysis did not reveal clinically signi</w:t>
      </w:r>
      <w:r w:rsidR="00B71083" w:rsidRPr="00DA6AC9">
        <w:t>ficant age related differences.</w:t>
      </w:r>
    </w:p>
    <w:p w:rsidR="00585C2F" w:rsidRDefault="004500A7" w:rsidP="004500A7">
      <w:r w:rsidRPr="00DA6AC9">
        <w:t xml:space="preserve">The </w:t>
      </w:r>
      <w:r w:rsidR="005E0687">
        <w:t xml:space="preserve">clinical </w:t>
      </w:r>
      <w:r w:rsidRPr="00DA6AC9">
        <w:t xml:space="preserve">evaluator states that </w:t>
      </w:r>
      <w:r w:rsidR="00585C2F">
        <w:t>S</w:t>
      </w:r>
      <w:r w:rsidRPr="00DA6AC9">
        <w:t>tud</w:t>
      </w:r>
      <w:r w:rsidR="00585C2F">
        <w:t>y</w:t>
      </w:r>
      <w:r w:rsidRPr="00DA6AC9">
        <w:t xml:space="preserve"> PIPF</w:t>
      </w:r>
      <w:r w:rsidR="00B54731">
        <w:noBreakHyphen/>
      </w:r>
      <w:r w:rsidRPr="00DA6AC9">
        <w:t xml:space="preserve">101 and </w:t>
      </w:r>
      <w:r w:rsidR="00585C2F">
        <w:t xml:space="preserve">Study </w:t>
      </w:r>
      <w:r w:rsidR="00B71083" w:rsidRPr="00DA6AC9">
        <w:t>PIPF</w:t>
      </w:r>
      <w:r w:rsidR="00B54731">
        <w:noBreakHyphen/>
      </w:r>
      <w:r w:rsidRPr="00DA6AC9">
        <w:t>017 assessed pharmacokinetic interactions. The following were observed:</w:t>
      </w:r>
    </w:p>
    <w:p w:rsidR="004500A7" w:rsidRPr="00585C2F" w:rsidRDefault="00B71083" w:rsidP="00585C2F">
      <w:pPr>
        <w:ind w:left="720"/>
        <w:rPr>
          <w:i/>
        </w:rPr>
      </w:pPr>
      <w:r w:rsidRPr="00585C2F">
        <w:rPr>
          <w:i/>
        </w:rPr>
        <w:t>‘</w:t>
      </w:r>
      <w:r w:rsidR="004500A7" w:rsidRPr="00585C2F">
        <w:rPr>
          <w:i/>
        </w:rPr>
        <w:t>Co</w:t>
      </w:r>
      <w:r w:rsidRPr="00585C2F">
        <w:rPr>
          <w:i/>
        </w:rPr>
        <w:noBreakHyphen/>
      </w:r>
      <w:r w:rsidR="004500A7" w:rsidRPr="00585C2F">
        <w:rPr>
          <w:i/>
        </w:rPr>
        <w:t xml:space="preserve">administration of </w:t>
      </w:r>
      <w:proofErr w:type="spellStart"/>
      <w:r w:rsidR="004500A7" w:rsidRPr="00585C2F">
        <w:rPr>
          <w:i/>
        </w:rPr>
        <w:t>pirfenidone</w:t>
      </w:r>
      <w:proofErr w:type="spellEnd"/>
      <w:r w:rsidR="004500A7" w:rsidRPr="00585C2F">
        <w:rPr>
          <w:i/>
        </w:rPr>
        <w:t xml:space="preserve"> and fluvoxamine (a strong inhibitor of CYP1A2 with inhibitory effects on other CYP isoenzymes </w:t>
      </w:r>
      <w:r w:rsidRPr="00585C2F">
        <w:rPr>
          <w:i/>
        </w:rPr>
        <w:t>(CYP2C9, 2C19, and 2D6)) resulted in a 4</w:t>
      </w:r>
      <w:r w:rsidRPr="00585C2F">
        <w:rPr>
          <w:i/>
        </w:rPr>
        <w:noBreakHyphen/>
      </w:r>
      <w:r w:rsidR="004500A7" w:rsidRPr="00585C2F">
        <w:rPr>
          <w:i/>
        </w:rPr>
        <w:t xml:space="preserve">fold increase in exposure to </w:t>
      </w:r>
      <w:proofErr w:type="spellStart"/>
      <w:r w:rsidR="004500A7" w:rsidRPr="00585C2F">
        <w:rPr>
          <w:i/>
        </w:rPr>
        <w:t>pirfenidone</w:t>
      </w:r>
      <w:proofErr w:type="spellEnd"/>
      <w:r w:rsidR="004500A7" w:rsidRPr="00585C2F">
        <w:rPr>
          <w:i/>
        </w:rPr>
        <w:t xml:space="preserve"> in non</w:t>
      </w:r>
      <w:r w:rsidRPr="00585C2F">
        <w:rPr>
          <w:i/>
        </w:rPr>
        <w:noBreakHyphen/>
      </w:r>
      <w:r w:rsidR="004500A7" w:rsidRPr="00585C2F">
        <w:rPr>
          <w:i/>
        </w:rPr>
        <w:t xml:space="preserve">smokers. The exposure to </w:t>
      </w:r>
      <w:proofErr w:type="spellStart"/>
      <w:r w:rsidR="004500A7" w:rsidRPr="00585C2F">
        <w:rPr>
          <w:i/>
        </w:rPr>
        <w:t>pirfenidone</w:t>
      </w:r>
      <w:proofErr w:type="spellEnd"/>
      <w:r w:rsidR="004500A7" w:rsidRPr="00585C2F">
        <w:rPr>
          <w:i/>
        </w:rPr>
        <w:t xml:space="preserve"> in smokers was 50% of that observed in non</w:t>
      </w:r>
      <w:r w:rsidRPr="00585C2F">
        <w:rPr>
          <w:i/>
        </w:rPr>
        <w:noBreakHyphen/>
      </w:r>
      <w:r w:rsidR="004500A7" w:rsidRPr="00585C2F">
        <w:rPr>
          <w:i/>
        </w:rPr>
        <w:t xml:space="preserve">smokers. Smoking has the potential to induce hepatic enzyme production and thus increase </w:t>
      </w:r>
      <w:r w:rsidRPr="00585C2F">
        <w:rPr>
          <w:i/>
        </w:rPr>
        <w:t xml:space="preserve">clearance and decrease exposure. </w:t>
      </w:r>
      <w:r w:rsidR="004500A7" w:rsidRPr="00585C2F">
        <w:rPr>
          <w:i/>
        </w:rPr>
        <w:t>Co</w:t>
      </w:r>
      <w:r w:rsidRPr="00585C2F">
        <w:rPr>
          <w:i/>
        </w:rPr>
        <w:noBreakHyphen/>
      </w:r>
      <w:r w:rsidR="004500A7" w:rsidRPr="00585C2F">
        <w:rPr>
          <w:i/>
        </w:rPr>
        <w:t xml:space="preserve">administration of </w:t>
      </w:r>
      <w:proofErr w:type="spellStart"/>
      <w:r w:rsidR="004500A7" w:rsidRPr="00585C2F">
        <w:rPr>
          <w:i/>
        </w:rPr>
        <w:t>pirfenidone</w:t>
      </w:r>
      <w:proofErr w:type="spellEnd"/>
      <w:r w:rsidR="004500A7" w:rsidRPr="00585C2F">
        <w:rPr>
          <w:i/>
        </w:rPr>
        <w:t xml:space="preserve"> and 750 mg of ciprofloxacin (a moderate and selective inhibitor of CYP1A2) increased the exposure to </w:t>
      </w:r>
      <w:proofErr w:type="spellStart"/>
      <w:r w:rsidR="004500A7" w:rsidRPr="00585C2F">
        <w:rPr>
          <w:i/>
        </w:rPr>
        <w:t>pirfenidone</w:t>
      </w:r>
      <w:proofErr w:type="spellEnd"/>
      <w:r w:rsidR="004500A7" w:rsidRPr="00585C2F">
        <w:rPr>
          <w:i/>
        </w:rPr>
        <w:t xml:space="preserve"> by 81%</w:t>
      </w:r>
      <w:r w:rsidRPr="00585C2F">
        <w:rPr>
          <w:i/>
        </w:rPr>
        <w:t>’.</w:t>
      </w:r>
    </w:p>
    <w:p w:rsidR="004500A7" w:rsidRPr="00DA6AC9" w:rsidRDefault="004500A7" w:rsidP="004500A7">
      <w:r w:rsidRPr="00DA6AC9">
        <w:t xml:space="preserve">Overall, the </w:t>
      </w:r>
      <w:r w:rsidR="005E0687">
        <w:t xml:space="preserve">clinical </w:t>
      </w:r>
      <w:r w:rsidRPr="00DA6AC9">
        <w:t>evaluator states that the pharmacokinetics have been well characterised with sufficient information to inform the re</w:t>
      </w:r>
      <w:r w:rsidR="00B71083" w:rsidRPr="00DA6AC9">
        <w:t>levant section in the draft PI.</w:t>
      </w:r>
    </w:p>
    <w:p w:rsidR="004500A7" w:rsidRPr="00DA6AC9" w:rsidRDefault="00B71083" w:rsidP="00B71083">
      <w:pPr>
        <w:pStyle w:val="Heading4"/>
      </w:pPr>
      <w:r w:rsidRPr="00DA6AC9">
        <w:t>Pharmacodynamics</w:t>
      </w:r>
    </w:p>
    <w:p w:rsidR="004500A7" w:rsidRPr="00DA6AC9" w:rsidRDefault="004500A7" w:rsidP="004500A7">
      <w:r w:rsidRPr="00DA6AC9">
        <w:t xml:space="preserve">The </w:t>
      </w:r>
      <w:r w:rsidR="005E0687">
        <w:t xml:space="preserve">clinical </w:t>
      </w:r>
      <w:r w:rsidRPr="00DA6AC9">
        <w:t xml:space="preserve">evaluator mentions that a </w:t>
      </w:r>
      <w:r w:rsidR="00585C2F">
        <w:t xml:space="preserve">PK/PD evaluation in a subset from Study </w:t>
      </w:r>
      <w:r w:rsidRPr="00DA6AC9">
        <w:t>PIPF</w:t>
      </w:r>
      <w:r w:rsidR="00B71083" w:rsidRPr="00DA6AC9">
        <w:noBreakHyphen/>
      </w:r>
      <w:r w:rsidRPr="00DA6AC9">
        <w:t>004 (n</w:t>
      </w:r>
      <w:r w:rsidR="00B71083" w:rsidRPr="00DA6AC9">
        <w:t> </w:t>
      </w:r>
      <w:r w:rsidRPr="00DA6AC9">
        <w:t>=</w:t>
      </w:r>
      <w:r w:rsidR="00B71083" w:rsidRPr="00DA6AC9">
        <w:t> </w:t>
      </w:r>
      <w:r w:rsidRPr="00DA6AC9">
        <w:t xml:space="preserve">88) showed a weak positive relationship between exposure and the primary endpoint of change from </w:t>
      </w:r>
      <w:r w:rsidR="00A96408" w:rsidRPr="00DA6AC9">
        <w:t>Baseline</w:t>
      </w:r>
      <w:r w:rsidRPr="00DA6AC9">
        <w:t xml:space="preserve"> in </w:t>
      </w:r>
      <w:r w:rsidR="00585C2F">
        <w:t xml:space="preserve">terms of </w:t>
      </w:r>
      <w:r w:rsidRPr="00DA6AC9">
        <w:t xml:space="preserve">percent predicted </w:t>
      </w:r>
      <w:r w:rsidR="00585C2F">
        <w:t>FVC</w:t>
      </w:r>
      <w:r w:rsidR="00B71083" w:rsidRPr="00DA6AC9">
        <w:t>.</w:t>
      </w:r>
    </w:p>
    <w:p w:rsidR="004500A7" w:rsidRPr="00DA6AC9" w:rsidRDefault="004500A7" w:rsidP="004500A7">
      <w:r w:rsidRPr="00DA6AC9">
        <w:t>Study PIPF</w:t>
      </w:r>
      <w:r w:rsidR="00B71083" w:rsidRPr="00DA6AC9">
        <w:noBreakHyphen/>
      </w:r>
      <w:r w:rsidRPr="00DA6AC9">
        <w:t xml:space="preserve">005 showed that higher </w:t>
      </w:r>
      <w:proofErr w:type="spellStart"/>
      <w:r w:rsidRPr="00DA6AC9">
        <w:t>C</w:t>
      </w:r>
      <w:r w:rsidRPr="00DA6AC9">
        <w:rPr>
          <w:vertAlign w:val="subscript"/>
        </w:rPr>
        <w:t>max</w:t>
      </w:r>
      <w:proofErr w:type="spellEnd"/>
      <w:r w:rsidRPr="00DA6AC9">
        <w:t xml:space="preserve"> values increased the odds of exposure to a GI adverse event. </w:t>
      </w:r>
      <w:r w:rsidR="00585C2F">
        <w:t xml:space="preserve">Study </w:t>
      </w:r>
      <w:r w:rsidRPr="00DA6AC9">
        <w:t>PPF</w:t>
      </w:r>
      <w:r w:rsidR="00B71083" w:rsidRPr="00DA6AC9">
        <w:noBreakHyphen/>
      </w:r>
      <w:r w:rsidRPr="00DA6AC9">
        <w:t xml:space="preserve">007 examined the </w:t>
      </w:r>
      <w:proofErr w:type="spellStart"/>
      <w:r w:rsidRPr="00DA6AC9">
        <w:t>QTc</w:t>
      </w:r>
      <w:proofErr w:type="spellEnd"/>
      <w:r w:rsidRPr="00DA6AC9">
        <w:t xml:space="preserve"> </w:t>
      </w:r>
      <w:proofErr w:type="spellStart"/>
      <w:r w:rsidRPr="00DA6AC9">
        <w:t>pharmacodynamic</w:t>
      </w:r>
      <w:proofErr w:type="spellEnd"/>
      <w:r w:rsidRPr="00DA6AC9">
        <w:t xml:space="preserve"> potential of </w:t>
      </w:r>
      <w:proofErr w:type="spellStart"/>
      <w:r w:rsidRPr="00DA6AC9">
        <w:t>pirfenidone</w:t>
      </w:r>
      <w:proofErr w:type="spellEnd"/>
      <w:r w:rsidRPr="00DA6AC9">
        <w:t xml:space="preserve"> in healthy subjects; no significant effect on the card</w:t>
      </w:r>
      <w:r w:rsidR="00B71083" w:rsidRPr="00DA6AC9">
        <w:t>iac conduction system was seen.</w:t>
      </w:r>
    </w:p>
    <w:p w:rsidR="004500A7" w:rsidRPr="00445B4E" w:rsidRDefault="004500A7" w:rsidP="004500A7">
      <w:r w:rsidRPr="00445B4E">
        <w:t>Overall, the evaluator states that PK/PD correlation was demonstrated for common adverse effects including GI a</w:t>
      </w:r>
      <w:r w:rsidR="00B71083" w:rsidRPr="00445B4E">
        <w:t>nd dermatologic adverse events.</w:t>
      </w:r>
    </w:p>
    <w:p w:rsidR="005E0687" w:rsidRPr="005E0687" w:rsidRDefault="005E0687" w:rsidP="00526DBA">
      <w:pPr>
        <w:pStyle w:val="Heading4"/>
      </w:pPr>
      <w:r w:rsidRPr="005E0687">
        <w:t>Dose ranging studies</w:t>
      </w:r>
    </w:p>
    <w:p w:rsidR="004500A7" w:rsidRPr="00A96408" w:rsidRDefault="004500A7" w:rsidP="004500A7">
      <w:pPr>
        <w:rPr>
          <w:highlight w:val="lightGray"/>
        </w:rPr>
      </w:pPr>
      <w:r w:rsidRPr="00445B4E">
        <w:t xml:space="preserve">There </w:t>
      </w:r>
      <w:proofErr w:type="gramStart"/>
      <w:r w:rsidRPr="00445B4E">
        <w:t xml:space="preserve">were no formal </w:t>
      </w:r>
      <w:r w:rsidR="005D0687">
        <w:t>dose</w:t>
      </w:r>
      <w:proofErr w:type="gramEnd"/>
      <w:r w:rsidR="005E0687">
        <w:t xml:space="preserve"> </w:t>
      </w:r>
      <w:r w:rsidR="00B71083" w:rsidRPr="00445B4E">
        <w:t>ranging studies</w:t>
      </w:r>
      <w:r w:rsidR="00A96408" w:rsidRPr="00445B4E">
        <w:t xml:space="preserve"> </w:t>
      </w:r>
      <w:r w:rsidRPr="00445B4E">
        <w:t xml:space="preserve">conducted. The </w:t>
      </w:r>
      <w:r w:rsidR="005E0687">
        <w:t xml:space="preserve">clinical </w:t>
      </w:r>
      <w:r w:rsidRPr="00445B4E">
        <w:t>evaluator states that</w:t>
      </w:r>
      <w:r w:rsidR="00445B4E" w:rsidRPr="00445B4E">
        <w:t xml:space="preserve"> the </w:t>
      </w:r>
      <w:r w:rsidR="00B71083" w:rsidRPr="00445B4E">
        <w:t>‘</w:t>
      </w:r>
      <w:r w:rsidRPr="00445B4E">
        <w:t xml:space="preserve">selection of doses and frequency of administration was based on a published Phase </w:t>
      </w:r>
      <w:r w:rsidR="005D0687">
        <w:t>II</w:t>
      </w:r>
      <w:r w:rsidRPr="00445B4E">
        <w:t xml:space="preserve"> study in IPF patients</w:t>
      </w:r>
      <w:r w:rsidR="00445B4E">
        <w:t xml:space="preserve"> </w:t>
      </w:r>
      <w:r w:rsidRPr="00445B4E">
        <w:t xml:space="preserve">that used a maximum dose of </w:t>
      </w:r>
      <w:proofErr w:type="spellStart"/>
      <w:r w:rsidRPr="00445B4E">
        <w:t>pirfenidone</w:t>
      </w:r>
      <w:proofErr w:type="spellEnd"/>
      <w:r w:rsidRPr="00445B4E">
        <w:t xml:space="preserve"> 600 mg </w:t>
      </w:r>
      <w:r w:rsidR="005D0687">
        <w:t>TDS</w:t>
      </w:r>
      <w:r w:rsidRPr="00445B4E">
        <w:t>, and empirical experience generated by investigators in the USA since 1995</w:t>
      </w:r>
      <w:r w:rsidR="00445B4E" w:rsidRPr="00445B4E">
        <w:t>’.</w:t>
      </w:r>
      <w:r w:rsidR="00445B4E" w:rsidRPr="00445B4E">
        <w:rPr>
          <w:rStyle w:val="FootnoteReference"/>
        </w:rPr>
        <w:footnoteReference w:id="33"/>
      </w:r>
    </w:p>
    <w:p w:rsidR="005E0687" w:rsidRDefault="005E0687" w:rsidP="00526DBA">
      <w:pPr>
        <w:pStyle w:val="Heading4"/>
      </w:pPr>
      <w:r>
        <w:lastRenderedPageBreak/>
        <w:t>Efficacy studies</w:t>
      </w:r>
    </w:p>
    <w:p w:rsidR="004500A7" w:rsidRPr="00445B4E" w:rsidRDefault="0004358A" w:rsidP="004500A7">
      <w:r>
        <w:t>Three</w:t>
      </w:r>
      <w:r w:rsidR="004500A7" w:rsidRPr="00445B4E">
        <w:t xml:space="preserve"> pivotal </w:t>
      </w:r>
      <w:r w:rsidR="005D0687">
        <w:t xml:space="preserve">Studies </w:t>
      </w:r>
      <w:r w:rsidR="004500A7" w:rsidRPr="00445B4E">
        <w:t>PIPF</w:t>
      </w:r>
      <w:r w:rsidR="00B71083" w:rsidRPr="00445B4E">
        <w:noBreakHyphen/>
      </w:r>
      <w:r w:rsidR="004500A7" w:rsidRPr="00445B4E">
        <w:t xml:space="preserve">004, </w:t>
      </w:r>
      <w:r w:rsidR="00B71083" w:rsidRPr="00445B4E">
        <w:t>PIPF</w:t>
      </w:r>
      <w:r w:rsidR="00B71083" w:rsidRPr="00445B4E">
        <w:noBreakHyphen/>
      </w:r>
      <w:r w:rsidR="004500A7" w:rsidRPr="00445B4E">
        <w:t>006 and PIPF</w:t>
      </w:r>
      <w:r w:rsidR="00B71083" w:rsidRPr="00445B4E">
        <w:noBreakHyphen/>
      </w:r>
      <w:r w:rsidR="005D0687">
        <w:t>016</w:t>
      </w:r>
      <w:r w:rsidR="004500A7" w:rsidRPr="00445B4E">
        <w:t xml:space="preserve"> </w:t>
      </w:r>
      <w:r w:rsidR="00B71083" w:rsidRPr="00445B4E">
        <w:t xml:space="preserve">were </w:t>
      </w:r>
      <w:r w:rsidR="004500A7" w:rsidRPr="00445B4E">
        <w:t>submitted. PIPF</w:t>
      </w:r>
      <w:r w:rsidR="00B71083" w:rsidRPr="00445B4E">
        <w:noBreakHyphen/>
      </w:r>
      <w:r w:rsidR="004500A7" w:rsidRPr="00445B4E">
        <w:t xml:space="preserve">004 and </w:t>
      </w:r>
      <w:r w:rsidR="00445B4E" w:rsidRPr="00445B4E">
        <w:t>PIPF</w:t>
      </w:r>
      <w:r w:rsidR="00445B4E" w:rsidRPr="00445B4E">
        <w:noBreakHyphen/>
      </w:r>
      <w:r w:rsidR="004500A7" w:rsidRPr="00445B4E">
        <w:t>006 were similar in design and were the basis of approval in the EMA. Study PIPF</w:t>
      </w:r>
      <w:r w:rsidR="00B71083" w:rsidRPr="00445B4E">
        <w:noBreakHyphen/>
      </w:r>
      <w:r w:rsidR="004500A7" w:rsidRPr="00445B4E">
        <w:t>016 was conducted to support the registration in USA, as the former 2 studies were considered inadequate.</w:t>
      </w:r>
    </w:p>
    <w:p w:rsidR="0004358A" w:rsidRDefault="0004358A" w:rsidP="00526DBA">
      <w:pPr>
        <w:pStyle w:val="Heading5"/>
      </w:pPr>
      <w:r w:rsidRPr="0004358A">
        <w:t>Study PIPF-004</w:t>
      </w:r>
    </w:p>
    <w:p w:rsidR="004500A7" w:rsidRPr="00445B4E" w:rsidRDefault="004500A7" w:rsidP="004500A7">
      <w:r w:rsidRPr="008A49CC">
        <w:t>Study PIPF-004</w:t>
      </w:r>
      <w:r w:rsidR="00B71083" w:rsidRPr="00445B4E">
        <w:t xml:space="preserve"> </w:t>
      </w:r>
      <w:r w:rsidRPr="00445B4E">
        <w:t>was a randomised double blind placebo</w:t>
      </w:r>
      <w:r w:rsidR="0004358A">
        <w:t xml:space="preserve"> </w:t>
      </w:r>
      <w:r w:rsidRPr="00445B4E">
        <w:t xml:space="preserve">controlled, three arm study of safety and efficacy of </w:t>
      </w:r>
      <w:proofErr w:type="spellStart"/>
      <w:r w:rsidRPr="00445B4E">
        <w:t>pirfenidone</w:t>
      </w:r>
      <w:proofErr w:type="spellEnd"/>
      <w:r w:rsidRPr="00445B4E">
        <w:t xml:space="preserve"> in patients with IPF. The objectives were to assess safety and efficacy of treatment with </w:t>
      </w:r>
      <w:proofErr w:type="spellStart"/>
      <w:r w:rsidRPr="00445B4E">
        <w:t>pirfenidone</w:t>
      </w:r>
      <w:proofErr w:type="spellEnd"/>
      <w:r w:rsidRPr="00445B4E">
        <w:t xml:space="preserve"> daily</w:t>
      </w:r>
      <w:r w:rsidR="00B71083" w:rsidRPr="00445B4E">
        <w:t xml:space="preserve"> doses of </w:t>
      </w:r>
      <w:r w:rsidR="00C6681F">
        <w:t>1,197</w:t>
      </w:r>
      <w:r w:rsidR="00B71083" w:rsidRPr="00445B4E">
        <w:t xml:space="preserve"> mg and </w:t>
      </w:r>
      <w:r w:rsidR="00C6681F">
        <w:t>2,403</w:t>
      </w:r>
      <w:r w:rsidR="00B71083" w:rsidRPr="00445B4E">
        <w:t xml:space="preserve"> mg.</w:t>
      </w:r>
    </w:p>
    <w:p w:rsidR="004500A7" w:rsidRPr="00445B4E" w:rsidRDefault="004500A7" w:rsidP="004500A7">
      <w:r w:rsidRPr="00445B4E">
        <w:t>Eligible male and female patients aged 40</w:t>
      </w:r>
      <w:r w:rsidR="00A96408" w:rsidRPr="00445B4E">
        <w:t> to </w:t>
      </w:r>
      <w:r w:rsidRPr="00445B4E">
        <w:t>80 years with a confident clinical and radiographic diagnosis of IPF without evidence or suspicion of an alternative diagnosis that may have contributed to the patients’ interstitial lung disease, and with evidence of IPF disease progression were eligi</w:t>
      </w:r>
      <w:r w:rsidR="00B71083" w:rsidRPr="00445B4E">
        <w:t>ble for inclusion.</w:t>
      </w:r>
    </w:p>
    <w:p w:rsidR="004500A7" w:rsidRPr="00445B4E" w:rsidRDefault="004500A7" w:rsidP="004500A7">
      <w:r w:rsidRPr="00445B4E">
        <w:t>All patients were to receive study treatment from randomisation until approximately 72</w:t>
      </w:r>
      <w:r w:rsidR="0004358A">
        <w:t> </w:t>
      </w:r>
      <w:r w:rsidRPr="00445B4E">
        <w:t>weeks after the last patient had been randomised in the study. The treatment dose was to be escalated over 15 days till a full maintenance dose is achieved.</w:t>
      </w:r>
    </w:p>
    <w:p w:rsidR="004500A7" w:rsidRPr="00445B4E" w:rsidRDefault="004500A7" w:rsidP="004500A7">
      <w:r w:rsidRPr="00445B4E">
        <w:t xml:space="preserve">The primary efficacy outcome was absolute change in percent predicted FVC from </w:t>
      </w:r>
      <w:r w:rsidR="00A96408" w:rsidRPr="00445B4E">
        <w:t>Baseline</w:t>
      </w:r>
      <w:r w:rsidRPr="00445B4E">
        <w:t xml:space="preserve"> to Week 72. </w:t>
      </w:r>
      <w:r w:rsidR="005D0687">
        <w:t>PFS was included as a secondary outcome</w:t>
      </w:r>
      <w:r w:rsidRPr="00445B4E">
        <w:t>.</w:t>
      </w:r>
    </w:p>
    <w:p w:rsidR="004500A7" w:rsidRPr="00445B4E" w:rsidRDefault="004500A7" w:rsidP="004500A7">
      <w:r w:rsidRPr="00445B4E">
        <w:t>Treatments:</w:t>
      </w:r>
    </w:p>
    <w:p w:rsidR="004500A7" w:rsidRPr="00445B4E" w:rsidRDefault="00C6681F" w:rsidP="00381256">
      <w:pPr>
        <w:pStyle w:val="Numberbullet0"/>
        <w:numPr>
          <w:ilvl w:val="0"/>
          <w:numId w:val="6"/>
        </w:numPr>
      </w:pPr>
      <w:r>
        <w:t>1,197</w:t>
      </w:r>
      <w:r w:rsidR="004500A7" w:rsidRPr="00445B4E">
        <w:t xml:space="preserve"> mg/day of </w:t>
      </w:r>
      <w:proofErr w:type="spellStart"/>
      <w:r w:rsidR="004500A7" w:rsidRPr="00445B4E">
        <w:t>pirfenidone</w:t>
      </w:r>
      <w:proofErr w:type="spellEnd"/>
      <w:r w:rsidR="004500A7" w:rsidRPr="00445B4E">
        <w:t xml:space="preserve"> administered orally in 3 divided doses (three 133</w:t>
      </w:r>
      <w:r w:rsidR="00B71083" w:rsidRPr="00445B4E">
        <w:t> </w:t>
      </w:r>
      <w:r w:rsidR="00445B4E" w:rsidRPr="00445B4E">
        <w:t>mg capsules PO TDS</w:t>
      </w:r>
      <w:r w:rsidR="004500A7" w:rsidRPr="00445B4E">
        <w:t xml:space="preserve"> for a total of 9 capsules per day) with food.</w:t>
      </w:r>
    </w:p>
    <w:p w:rsidR="004500A7" w:rsidRPr="00445B4E" w:rsidRDefault="00C6681F" w:rsidP="00381256">
      <w:pPr>
        <w:pStyle w:val="Numberbullet0"/>
        <w:numPr>
          <w:ilvl w:val="0"/>
          <w:numId w:val="6"/>
        </w:numPr>
      </w:pPr>
      <w:r>
        <w:t>2,403</w:t>
      </w:r>
      <w:r w:rsidR="004500A7" w:rsidRPr="00445B4E">
        <w:t xml:space="preserve"> mg/day of </w:t>
      </w:r>
      <w:proofErr w:type="spellStart"/>
      <w:r w:rsidR="004500A7" w:rsidRPr="00445B4E">
        <w:t>pirfenidone</w:t>
      </w:r>
      <w:proofErr w:type="spellEnd"/>
      <w:r w:rsidR="004500A7" w:rsidRPr="00445B4E">
        <w:t xml:space="preserve"> administered orally in 3 divided doses (three 267</w:t>
      </w:r>
      <w:r w:rsidR="005D0687">
        <w:t xml:space="preserve"> </w:t>
      </w:r>
      <w:r w:rsidR="004500A7" w:rsidRPr="00445B4E">
        <w:t>mg capsules PO TD</w:t>
      </w:r>
      <w:r w:rsidR="00445B4E" w:rsidRPr="00445B4E">
        <w:t>S</w:t>
      </w:r>
      <w:r w:rsidR="004500A7" w:rsidRPr="00445B4E">
        <w:t xml:space="preserve"> for a total of 9 capsules per day) with food.</w:t>
      </w:r>
    </w:p>
    <w:p w:rsidR="004500A7" w:rsidRPr="00445B4E" w:rsidRDefault="004500A7" w:rsidP="00381256">
      <w:pPr>
        <w:pStyle w:val="Numberbullet0"/>
        <w:numPr>
          <w:ilvl w:val="0"/>
          <w:numId w:val="6"/>
        </w:numPr>
      </w:pPr>
      <w:r w:rsidRPr="00445B4E">
        <w:t xml:space="preserve">Placebo capsules administered orally in 3 divided doses (3 placebo capsules </w:t>
      </w:r>
      <w:r w:rsidR="00445B4E" w:rsidRPr="00445B4E">
        <w:t>PO TDS</w:t>
      </w:r>
      <w:r w:rsidRPr="00445B4E">
        <w:t xml:space="preserve"> for a total of 9 capsules per day) with food.</w:t>
      </w:r>
    </w:p>
    <w:p w:rsidR="004500A7" w:rsidRPr="00445B4E" w:rsidRDefault="004500A7" w:rsidP="004500A7">
      <w:r w:rsidRPr="00445B4E">
        <w:t xml:space="preserve">Sample size calculations are </w:t>
      </w:r>
      <w:r w:rsidR="00B71083" w:rsidRPr="00445B4E">
        <w:t xml:space="preserve">discussed and considered </w:t>
      </w:r>
      <w:r w:rsidRPr="00445B4E">
        <w:t xml:space="preserve">adequate. </w:t>
      </w:r>
      <w:r w:rsidR="0004358A">
        <w:t>S</w:t>
      </w:r>
      <w:r w:rsidR="00B71083" w:rsidRPr="00445B4E">
        <w:t>tatistical testing</w:t>
      </w:r>
      <w:r w:rsidR="0004358A">
        <w:t xml:space="preserve"> is discussed, </w:t>
      </w:r>
      <w:r w:rsidR="00B71083" w:rsidRPr="00445B4E">
        <w:t xml:space="preserve">it is noted </w:t>
      </w:r>
      <w:r w:rsidRPr="00445B4E">
        <w:t>that differences between the treatment groups and placebo were analysed using rank analysis of covariance (the Mantel-</w:t>
      </w:r>
      <w:proofErr w:type="spellStart"/>
      <w:r w:rsidRPr="00445B4E">
        <w:t>Haenszel</w:t>
      </w:r>
      <w:proofErr w:type="spellEnd"/>
      <w:r w:rsidRPr="00445B4E">
        <w:t xml:space="preserve"> mean score chi-square test).</w:t>
      </w:r>
    </w:p>
    <w:p w:rsidR="004500A7" w:rsidRPr="00445B4E" w:rsidRDefault="0004358A" w:rsidP="004500A7">
      <w:r>
        <w:t>Results;</w:t>
      </w:r>
      <w:r w:rsidR="00B71083" w:rsidRPr="00445B4E">
        <w:t xml:space="preserve"> p</w:t>
      </w:r>
      <w:r w:rsidR="004500A7" w:rsidRPr="00445B4E">
        <w:t>atients (n = 435) were randomised 2:</w:t>
      </w:r>
      <w:r>
        <w:t xml:space="preserve"> </w:t>
      </w:r>
      <w:r w:rsidR="004500A7" w:rsidRPr="00445B4E">
        <w:t>2:</w:t>
      </w:r>
      <w:r>
        <w:t xml:space="preserve"> </w:t>
      </w:r>
      <w:r w:rsidR="004500A7" w:rsidRPr="00445B4E">
        <w:t xml:space="preserve">1 to receive </w:t>
      </w:r>
      <w:proofErr w:type="spellStart"/>
      <w:r w:rsidR="004500A7" w:rsidRPr="00445B4E">
        <w:t>pirfenidone</w:t>
      </w:r>
      <w:proofErr w:type="spellEnd"/>
      <w:r w:rsidR="004500A7" w:rsidRPr="00445B4E">
        <w:t xml:space="preserve"> </w:t>
      </w:r>
      <w:r w:rsidR="00C6681F">
        <w:t>2,403</w:t>
      </w:r>
      <w:r w:rsidR="004500A7" w:rsidRPr="00445B4E">
        <w:t xml:space="preserve"> mg/day (n</w:t>
      </w:r>
      <w:r w:rsidR="00B71083" w:rsidRPr="00445B4E">
        <w:t> = </w:t>
      </w:r>
      <w:r w:rsidR="004500A7" w:rsidRPr="00445B4E">
        <w:t xml:space="preserve">174), placebo (n = 174), or </w:t>
      </w:r>
      <w:proofErr w:type="spellStart"/>
      <w:r w:rsidR="004500A7" w:rsidRPr="00445B4E">
        <w:t>pirfenidone</w:t>
      </w:r>
      <w:proofErr w:type="spellEnd"/>
      <w:r w:rsidR="004500A7" w:rsidRPr="00445B4E">
        <w:t xml:space="preserve"> </w:t>
      </w:r>
      <w:r w:rsidR="00C6681F">
        <w:t>1,197</w:t>
      </w:r>
      <w:r w:rsidR="00B71083" w:rsidRPr="00445B4E">
        <w:t xml:space="preserve"> mg/day (n = 87) respectively. </w:t>
      </w:r>
      <w:r w:rsidR="004500A7" w:rsidRPr="00445B4E">
        <w:t>Approximately 83% in each group completed the study</w:t>
      </w:r>
      <w:r w:rsidRPr="00255928">
        <w:t xml:space="preserve">, (see Table </w:t>
      </w:r>
      <w:r w:rsidR="00255928" w:rsidRPr="00255928">
        <w:t xml:space="preserve">7 </w:t>
      </w:r>
      <w:r w:rsidRPr="00255928">
        <w:t>in Attachment 2).</w:t>
      </w:r>
      <w:r w:rsidR="00B71083" w:rsidRPr="00445B4E">
        <w:t xml:space="preserve"> </w:t>
      </w:r>
      <w:r w:rsidR="004500A7" w:rsidRPr="00445B4E">
        <w:t xml:space="preserve">In relation to demographics, the </w:t>
      </w:r>
      <w:r>
        <w:t xml:space="preserve">clinical </w:t>
      </w:r>
      <w:r w:rsidR="004500A7" w:rsidRPr="00445B4E">
        <w:t xml:space="preserve">evaluator states that, </w:t>
      </w:r>
      <w:r w:rsidR="00B71083" w:rsidRPr="00445B4E">
        <w:t>‘</w:t>
      </w:r>
      <w:r w:rsidR="004500A7" w:rsidRPr="00445B4E">
        <w:t>mean age was around 66 years in all groups (range 40</w:t>
      </w:r>
      <w:r w:rsidR="00B71083" w:rsidRPr="00445B4E">
        <w:t> to </w:t>
      </w:r>
      <w:r w:rsidR="004500A7" w:rsidRPr="00445B4E">
        <w:t xml:space="preserve">81); approximately 70% were male, at least 95% were </w:t>
      </w:r>
      <w:r>
        <w:t>W</w:t>
      </w:r>
      <w:r w:rsidR="004500A7" w:rsidRPr="00445B4E">
        <w:t>hite, and mean BMI was approximately 30 kg/m</w:t>
      </w:r>
      <w:r w:rsidR="004500A7" w:rsidRPr="00445B4E">
        <w:rPr>
          <w:vertAlign w:val="superscript"/>
        </w:rPr>
        <w:t>2</w:t>
      </w:r>
      <w:r w:rsidR="004500A7" w:rsidRPr="00445B4E">
        <w:t xml:space="preserve"> in all groups. Approximately 66% were enrolled in USA. Other </w:t>
      </w:r>
      <w:r w:rsidR="00A96408" w:rsidRPr="00445B4E">
        <w:t>Baseline</w:t>
      </w:r>
      <w:r w:rsidR="004500A7" w:rsidRPr="00445B4E">
        <w:t xml:space="preserve"> characteristics </w:t>
      </w:r>
      <w:r w:rsidR="00B71083" w:rsidRPr="00445B4E">
        <w:t>were comparable across groups’.</w:t>
      </w:r>
    </w:p>
    <w:p w:rsidR="004500A7" w:rsidRPr="00445B4E" w:rsidRDefault="004500A7" w:rsidP="004500A7">
      <w:r w:rsidRPr="00445B4E">
        <w:t>The primary efficacy variable</w:t>
      </w:r>
      <w:r w:rsidR="00B71083" w:rsidRPr="00445B4E">
        <w:t>, t</w:t>
      </w:r>
      <w:r w:rsidRPr="00445B4E">
        <w:t xml:space="preserve">he difference in percent predicted FVC was statistically significant and reached a maximum absolute difference of 4.8% in favour of </w:t>
      </w:r>
      <w:proofErr w:type="spellStart"/>
      <w:r w:rsidRPr="00445B4E">
        <w:t>pirfenidone</w:t>
      </w:r>
      <w:proofErr w:type="spellEnd"/>
      <w:r w:rsidRPr="00445B4E">
        <w:t xml:space="preserve"> at 48 weeks.</w:t>
      </w:r>
    </w:p>
    <w:p w:rsidR="004500A7" w:rsidRPr="00C87716" w:rsidRDefault="004500A7" w:rsidP="004500A7">
      <w:r w:rsidRPr="00C87716">
        <w:t>The mean change in percent predicted FVC</w:t>
      </w:r>
      <w:r w:rsidR="00445B4E" w:rsidRPr="00C87716">
        <w:t xml:space="preserve"> is shown below in Table </w:t>
      </w:r>
      <w:r w:rsidR="0004358A" w:rsidRPr="00C87716">
        <w:t>1</w:t>
      </w:r>
      <w:r w:rsidR="0004358A">
        <w:t>2.</w:t>
      </w:r>
    </w:p>
    <w:p w:rsidR="00C87716" w:rsidRPr="00C87716" w:rsidRDefault="00C87716" w:rsidP="009C37EE">
      <w:pPr>
        <w:pStyle w:val="Tabletitle0"/>
      </w:pPr>
      <w:proofErr w:type="gramStart"/>
      <w:r w:rsidRPr="00C87716">
        <w:lastRenderedPageBreak/>
        <w:t>Table 1</w:t>
      </w:r>
      <w:r w:rsidR="007A31D9">
        <w:t>2</w:t>
      </w:r>
      <w:r w:rsidR="0004358A">
        <w:t>.</w:t>
      </w:r>
      <w:proofErr w:type="gramEnd"/>
      <w:r w:rsidRPr="00C87716">
        <w:t xml:space="preserve"> Comparison of mean change in predicted FVC (percentage) from Baseline at 12 week intervals in </w:t>
      </w:r>
      <w:proofErr w:type="spellStart"/>
      <w:r w:rsidRPr="00C87716">
        <w:t>pirfenidone</w:t>
      </w:r>
      <w:proofErr w:type="spellEnd"/>
      <w:r w:rsidRPr="00C87716">
        <w:t xml:space="preserve"> and placebo treated cohorts</w:t>
      </w:r>
    </w:p>
    <w:p w:rsidR="00B71083" w:rsidRPr="00A96408" w:rsidRDefault="00B71083" w:rsidP="004500A7">
      <w:pPr>
        <w:rPr>
          <w:highlight w:val="lightGray"/>
        </w:rPr>
      </w:pPr>
      <w:r w:rsidRPr="00A96408">
        <w:rPr>
          <w:noProof/>
          <w:highlight w:val="lightGray"/>
          <w:lang w:eastAsia="en-AU"/>
        </w:rPr>
        <w:drawing>
          <wp:inline distT="0" distB="0" distL="0" distR="0" wp14:anchorId="35DEDDD2" wp14:editId="41F08A58">
            <wp:extent cx="4806086" cy="2458194"/>
            <wp:effectExtent l="0" t="0" r="0" b="0"/>
            <wp:docPr id="4" name="Picture 4" descr="Table 12: Comparison of mean change in predicted FVC (percentage) from Baseline at 12 week intervals in pirfenidone and placebo treated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grayscl/>
                      <a:lum bright="1000" contrast="-12000"/>
                      <a:extLst>
                        <a:ext uri="{28A0092B-C50C-407E-A947-70E740481C1C}">
                          <a14:useLocalDpi xmlns:a14="http://schemas.microsoft.com/office/drawing/2010/main" val="0"/>
                        </a:ext>
                      </a:extLst>
                    </a:blip>
                    <a:srcRect/>
                    <a:stretch>
                      <a:fillRect/>
                    </a:stretch>
                  </pic:blipFill>
                  <pic:spPr bwMode="auto">
                    <a:xfrm>
                      <a:off x="0" y="0"/>
                      <a:ext cx="4812359" cy="2461402"/>
                    </a:xfrm>
                    <a:prstGeom prst="rect">
                      <a:avLst/>
                    </a:prstGeom>
                    <a:noFill/>
                    <a:ln>
                      <a:noFill/>
                    </a:ln>
                  </pic:spPr>
                </pic:pic>
              </a:graphicData>
            </a:graphic>
          </wp:inline>
        </w:drawing>
      </w:r>
    </w:p>
    <w:p w:rsidR="00B71083" w:rsidRPr="00445B4E" w:rsidRDefault="004216AF" w:rsidP="004500A7">
      <w:r>
        <w:t>S</w:t>
      </w:r>
      <w:r w:rsidR="00B71083" w:rsidRPr="00445B4E">
        <w:t>econdary efficacy endpoints</w:t>
      </w:r>
      <w:r>
        <w:t>;</w:t>
      </w:r>
      <w:r w:rsidR="00B71083" w:rsidRPr="00445B4E">
        <w:t xml:space="preserve"> the categorical assessment of absolute change in percent predicted FVC reflected the primary variable in showin</w:t>
      </w:r>
      <w:r w:rsidR="00EC16A6" w:rsidRPr="00445B4E">
        <w:t xml:space="preserve">g evidence of treatment effect. </w:t>
      </w:r>
      <w:r w:rsidR="00B71083" w:rsidRPr="00445B4E">
        <w:t xml:space="preserve">Other endpoints did not show statistically significant difference (worsening IPF, </w:t>
      </w:r>
      <w:r w:rsidR="005D0687">
        <w:t>PFS</w:t>
      </w:r>
      <w:r w:rsidR="00EC16A6" w:rsidRPr="00445B4E">
        <w:t xml:space="preserve"> rate or </w:t>
      </w:r>
      <w:r w:rsidR="00B71083" w:rsidRPr="00445B4E">
        <w:t>6MWT)</w:t>
      </w:r>
      <w:r w:rsidR="00EC16A6" w:rsidRPr="00445B4E">
        <w:t>.</w:t>
      </w:r>
    </w:p>
    <w:p w:rsidR="004216AF" w:rsidRDefault="004216AF" w:rsidP="00526DBA">
      <w:pPr>
        <w:pStyle w:val="Heading5"/>
      </w:pPr>
      <w:r w:rsidRPr="004216AF">
        <w:t>Study PIPF</w:t>
      </w:r>
      <w:r w:rsidRPr="004216AF">
        <w:noBreakHyphen/>
        <w:t>006</w:t>
      </w:r>
    </w:p>
    <w:p w:rsidR="00EC16A6" w:rsidRPr="00445B4E" w:rsidRDefault="00EC16A6" w:rsidP="00EC16A6">
      <w:r w:rsidRPr="0062097E">
        <w:t>Study PIPF</w:t>
      </w:r>
      <w:r w:rsidRPr="0062097E">
        <w:noBreakHyphen/>
        <w:t>006</w:t>
      </w:r>
      <w:r w:rsidR="0062097E">
        <w:t xml:space="preserve"> </w:t>
      </w:r>
      <w:r w:rsidRPr="00445B4E">
        <w:t xml:space="preserve">was similar in design and conduct to the previous </w:t>
      </w:r>
      <w:proofErr w:type="gramStart"/>
      <w:r w:rsidRPr="00445B4E">
        <w:t>study,</w:t>
      </w:r>
      <w:proofErr w:type="gramEnd"/>
      <w:r w:rsidRPr="00445B4E">
        <w:t xml:space="preserve"> however, it was a two arm study. Patients were randomised 1:</w:t>
      </w:r>
      <w:r w:rsidR="004216AF">
        <w:t xml:space="preserve"> </w:t>
      </w:r>
      <w:r w:rsidRPr="00445B4E">
        <w:t xml:space="preserve">1 to receive </w:t>
      </w:r>
      <w:proofErr w:type="spellStart"/>
      <w:r w:rsidRPr="00445B4E">
        <w:t>pirfenidone</w:t>
      </w:r>
      <w:proofErr w:type="spellEnd"/>
      <w:r w:rsidRPr="00445B4E">
        <w:t xml:space="preserve"> </w:t>
      </w:r>
      <w:r w:rsidR="00C6681F">
        <w:t>2,403</w:t>
      </w:r>
      <w:r w:rsidRPr="00445B4E">
        <w:t xml:space="preserve"> mg/day or placebo, and were to remain on blinded study treatment from randomisation until approximately 72 weeks after the last patient had been randomised in the study.</w:t>
      </w:r>
    </w:p>
    <w:p w:rsidR="00EC16A6" w:rsidRPr="00445B4E" w:rsidRDefault="00EC16A6" w:rsidP="00EC16A6">
      <w:r w:rsidRPr="00445B4E">
        <w:t xml:space="preserve">Sample size calculations and statistical methods were discussed. The data on FVC were analysed using a rank analysis of covariance (ANCOVA) model with a standardised rank change in FVC as the outcome variable and standardised rank </w:t>
      </w:r>
      <w:r w:rsidR="00A96408" w:rsidRPr="00445B4E">
        <w:t>Baseline</w:t>
      </w:r>
      <w:r w:rsidRPr="00445B4E">
        <w:t xml:space="preserve"> FVC as a covariate.</w:t>
      </w:r>
    </w:p>
    <w:p w:rsidR="00EC16A6" w:rsidRPr="00445B4E" w:rsidRDefault="004216AF" w:rsidP="00EC16A6">
      <w:r>
        <w:t xml:space="preserve">Results: Some </w:t>
      </w:r>
      <w:r w:rsidR="00EC16A6" w:rsidRPr="00445B4E">
        <w:t xml:space="preserve">171 were randomised to </w:t>
      </w:r>
      <w:proofErr w:type="spellStart"/>
      <w:r w:rsidR="00EC16A6" w:rsidRPr="00445B4E">
        <w:t>p</w:t>
      </w:r>
      <w:r w:rsidR="00445B4E" w:rsidRPr="00445B4E">
        <w:t>i</w:t>
      </w:r>
      <w:r w:rsidR="00EC16A6" w:rsidRPr="00445B4E">
        <w:t>rfenidone</w:t>
      </w:r>
      <w:proofErr w:type="spellEnd"/>
      <w:r w:rsidR="00EC16A6" w:rsidRPr="00445B4E">
        <w:t xml:space="preserve"> and 173 to placebo. 81% in the </w:t>
      </w:r>
      <w:proofErr w:type="spellStart"/>
      <w:r w:rsidR="00EC16A6" w:rsidRPr="00445B4E">
        <w:t>p</w:t>
      </w:r>
      <w:r w:rsidR="00445B4E" w:rsidRPr="00445B4E">
        <w:t>i</w:t>
      </w:r>
      <w:r w:rsidR="00EC16A6" w:rsidRPr="00445B4E">
        <w:t>rfenidone</w:t>
      </w:r>
      <w:proofErr w:type="spellEnd"/>
      <w:r w:rsidR="00EC16A6" w:rsidRPr="00445B4E">
        <w:t xml:space="preserve"> group and 85% in the pla</w:t>
      </w:r>
      <w:r w:rsidR="003A4870">
        <w:t>cebo group completed the study</w:t>
      </w:r>
      <w:r>
        <w:t xml:space="preserve"> (</w:t>
      </w:r>
      <w:r w:rsidRPr="00255928">
        <w:t xml:space="preserve">see </w:t>
      </w:r>
      <w:r w:rsidR="00255928" w:rsidRPr="00255928">
        <w:t>Table 10 in</w:t>
      </w:r>
      <w:r w:rsidRPr="00255928">
        <w:t xml:space="preserve"> Attachment 2</w:t>
      </w:r>
      <w:r>
        <w:t>)</w:t>
      </w:r>
      <w:r w:rsidR="003A4870">
        <w:t xml:space="preserve">. </w:t>
      </w:r>
      <w:r w:rsidR="00EC16A6" w:rsidRPr="00445B4E">
        <w:t xml:space="preserve">Most patients were </w:t>
      </w:r>
      <w:r>
        <w:t>W</w:t>
      </w:r>
      <w:r w:rsidR="00EC16A6" w:rsidRPr="00445B4E">
        <w:t>hite (98.8% and 98.8%), male (71.9%, 71.7%), and ≥ 65 years of age (59.0%, 64.8%).</w:t>
      </w:r>
    </w:p>
    <w:p w:rsidR="00EC16A6" w:rsidRDefault="00EC16A6" w:rsidP="00EC16A6">
      <w:r w:rsidRPr="00445B4E">
        <w:t xml:space="preserve">The primary efficacy variable was the mean change from </w:t>
      </w:r>
      <w:r w:rsidR="00A96408" w:rsidRPr="00445B4E">
        <w:t>Baseline</w:t>
      </w:r>
      <w:r w:rsidRPr="00445B4E">
        <w:t xml:space="preserve"> in percentage predicted FVC</w:t>
      </w:r>
      <w:r w:rsidR="00445B4E">
        <w:t xml:space="preserve"> </w:t>
      </w:r>
      <w:r w:rsidR="004216AF">
        <w:t>(</w:t>
      </w:r>
      <w:r w:rsidR="00445B4E">
        <w:t xml:space="preserve">shown below in Figure </w:t>
      </w:r>
      <w:r w:rsidR="009C37EE">
        <w:t>2</w:t>
      </w:r>
      <w:r w:rsidR="004216AF">
        <w:t>).</w:t>
      </w:r>
    </w:p>
    <w:p w:rsidR="009C37EE" w:rsidRPr="00445B4E" w:rsidRDefault="009C37EE" w:rsidP="004216AF">
      <w:pPr>
        <w:pStyle w:val="FigureTitle"/>
      </w:pPr>
      <w:r>
        <w:lastRenderedPageBreak/>
        <w:t>Figure 2: Mean Change from Baseline FVC in Study PIPF</w:t>
      </w:r>
      <w:r>
        <w:noBreakHyphen/>
        <w:t xml:space="preserve">006 from 0 to 72 weeks in </w:t>
      </w:r>
      <w:proofErr w:type="spellStart"/>
      <w:r>
        <w:t>pirfenidone</w:t>
      </w:r>
      <w:proofErr w:type="spellEnd"/>
      <w:r>
        <w:t xml:space="preserve"> (</w:t>
      </w:r>
      <w:r w:rsidR="00C6681F">
        <w:t>2,403</w:t>
      </w:r>
      <w:r>
        <w:t xml:space="preserve"> mg/day) versus placebo group</w:t>
      </w:r>
    </w:p>
    <w:p w:rsidR="00EC16A6" w:rsidRPr="00A96408" w:rsidRDefault="00EC16A6" w:rsidP="00EC16A6">
      <w:pPr>
        <w:rPr>
          <w:highlight w:val="lightGray"/>
        </w:rPr>
      </w:pPr>
      <w:r w:rsidRPr="00A96408">
        <w:rPr>
          <w:noProof/>
          <w:highlight w:val="lightGray"/>
          <w:lang w:eastAsia="en-AU"/>
        </w:rPr>
        <w:drawing>
          <wp:inline distT="0" distB="0" distL="0" distR="0" wp14:anchorId="43F82FA1" wp14:editId="23480F47">
            <wp:extent cx="4217670" cy="2727325"/>
            <wp:effectExtent l="0" t="0" r="0" b="0"/>
            <wp:docPr id="7" name="Picture 7" descr="Figure 2: Mean Change from Baseline FVC in Study PIPF 006 from 0 to 72 weeks in pirfenidone (2403 mg/day) versus placebo group" title="Figure 2: Mean Change from Baseline FVC in Study PIPF 006 from 0 to 72 weeks in pirfenidone (2403 mg/day) versus placebo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7670" cy="2727325"/>
                    </a:xfrm>
                    <a:prstGeom prst="rect">
                      <a:avLst/>
                    </a:prstGeom>
                    <a:noFill/>
                    <a:ln>
                      <a:noFill/>
                    </a:ln>
                  </pic:spPr>
                </pic:pic>
              </a:graphicData>
            </a:graphic>
          </wp:inline>
        </w:drawing>
      </w:r>
    </w:p>
    <w:p w:rsidR="00EC16A6" w:rsidRPr="00445B4E" w:rsidRDefault="00EC16A6" w:rsidP="00EC16A6">
      <w:r w:rsidRPr="00445B4E">
        <w:t xml:space="preserve">This showed no significant difference between groups at </w:t>
      </w:r>
      <w:r w:rsidR="00445B4E" w:rsidRPr="00445B4E">
        <w:t>Week 72</w:t>
      </w:r>
      <w:r w:rsidRPr="00445B4E">
        <w:t xml:space="preserve">. Between </w:t>
      </w:r>
      <w:r w:rsidR="00445B4E" w:rsidRPr="00445B4E">
        <w:t xml:space="preserve">Week </w:t>
      </w:r>
      <w:r w:rsidRPr="00445B4E">
        <w:t xml:space="preserve">12 and </w:t>
      </w:r>
      <w:r w:rsidR="00445B4E" w:rsidRPr="00445B4E">
        <w:t>Week 48</w:t>
      </w:r>
      <w:r w:rsidRPr="00445B4E">
        <w:t xml:space="preserve"> there was a difference between groups for this outcome variable.</w:t>
      </w:r>
    </w:p>
    <w:p w:rsidR="009A58FD" w:rsidRDefault="00EC16A6" w:rsidP="00EC16A6">
      <w:r w:rsidRPr="00445B4E">
        <w:t xml:space="preserve">Other efficacy results reported by the evaluator were that, ‘for the categorical assessment of change in % predicted FVC, a lower proportion of patients receiving </w:t>
      </w:r>
      <w:proofErr w:type="spellStart"/>
      <w:r w:rsidRPr="00445B4E">
        <w:t>pirfenidone</w:t>
      </w:r>
      <w:proofErr w:type="spellEnd"/>
      <w:r w:rsidRPr="00445B4E">
        <w:t xml:space="preserve"> had a moderate or severe decline (specifically, a decline of ≥ 10%) in percent predicted FVC at week 72 (22.8%, 39</w:t>
      </w:r>
      <w:r w:rsidR="00C771E9">
        <w:t xml:space="preserve"> out of </w:t>
      </w:r>
      <w:r w:rsidRPr="00445B4E">
        <w:t xml:space="preserve">171 </w:t>
      </w:r>
      <w:proofErr w:type="spellStart"/>
      <w:r w:rsidRPr="00445B4E">
        <w:t>pirfenidone</w:t>
      </w:r>
      <w:proofErr w:type="spellEnd"/>
      <w:r w:rsidRPr="00445B4E">
        <w:t xml:space="preserve"> versus 26.6%, 46</w:t>
      </w:r>
      <w:r w:rsidR="00C771E9">
        <w:t xml:space="preserve"> out of </w:t>
      </w:r>
      <w:r w:rsidRPr="00445B4E">
        <w:t>173 placebo) and a slightly higher proportion had mild or moderate improvement (25.8%; 44</w:t>
      </w:r>
      <w:r w:rsidR="00C771E9">
        <w:t xml:space="preserve"> out of </w:t>
      </w:r>
      <w:r w:rsidRPr="00445B4E">
        <w:t>171 versus 22.0%, 38</w:t>
      </w:r>
      <w:r w:rsidR="00C771E9">
        <w:t xml:space="preserve"> out of </w:t>
      </w:r>
      <w:r w:rsidRPr="00445B4E">
        <w:t>173), but differences were</w:t>
      </w:r>
      <w:r w:rsidR="003A4870">
        <w:t xml:space="preserve"> not statistically significant</w:t>
      </w:r>
      <w:r w:rsidR="009A58FD">
        <w:t>.</w:t>
      </w:r>
    </w:p>
    <w:p w:rsidR="00EC16A6" w:rsidRPr="00445B4E" w:rsidRDefault="00EC16A6" w:rsidP="00EC16A6">
      <w:r w:rsidRPr="00445B4E">
        <w:t xml:space="preserve">There were similar </w:t>
      </w:r>
      <w:r w:rsidR="003A4870">
        <w:t>PFS</w:t>
      </w:r>
      <w:r w:rsidRPr="00445B4E">
        <w:t xml:space="preserve"> rates (68.2%, 116</w:t>
      </w:r>
      <w:r w:rsidR="00C771E9">
        <w:t xml:space="preserve"> out of </w:t>
      </w:r>
      <w:r w:rsidRPr="00445B4E">
        <w:t>170 versus 65.1%, 112</w:t>
      </w:r>
      <w:r w:rsidR="00C771E9">
        <w:t xml:space="preserve"> out of </w:t>
      </w:r>
      <w:r w:rsidRPr="00445B4E">
        <w:t xml:space="preserve">172 for </w:t>
      </w:r>
      <w:proofErr w:type="spellStart"/>
      <w:r w:rsidRPr="00445B4E">
        <w:t>pirfeni</w:t>
      </w:r>
      <w:r w:rsidR="00445B4E" w:rsidRPr="00445B4E">
        <w:t>done</w:t>
      </w:r>
      <w:proofErr w:type="spellEnd"/>
      <w:r w:rsidR="00445B4E" w:rsidRPr="00445B4E">
        <w:t xml:space="preserve"> or placebo respectively)</w:t>
      </w:r>
      <w:r w:rsidRPr="00445B4E">
        <w:t>.</w:t>
      </w:r>
    </w:p>
    <w:p w:rsidR="00C771E9" w:rsidRDefault="00C771E9" w:rsidP="00526DBA">
      <w:pPr>
        <w:pStyle w:val="Heading5"/>
      </w:pPr>
      <w:r w:rsidRPr="00C771E9">
        <w:t>Study PIPF</w:t>
      </w:r>
      <w:r w:rsidRPr="00C771E9">
        <w:noBreakHyphen/>
        <w:t>016</w:t>
      </w:r>
    </w:p>
    <w:p w:rsidR="00EC16A6" w:rsidRPr="00445B4E" w:rsidRDefault="00EC16A6" w:rsidP="00EC16A6">
      <w:r w:rsidRPr="0062097E">
        <w:t>Study PIPF</w:t>
      </w:r>
      <w:r w:rsidRPr="0062097E">
        <w:noBreakHyphen/>
        <w:t>016</w:t>
      </w:r>
      <w:r w:rsidR="0062097E">
        <w:t xml:space="preserve"> </w:t>
      </w:r>
      <w:r w:rsidRPr="00445B4E">
        <w:t>was submitted to the FDA. It was a randomised, double blind, placebo</w:t>
      </w:r>
      <w:r w:rsidR="005D0687">
        <w:t xml:space="preserve"> </w:t>
      </w:r>
      <w:r w:rsidRPr="00445B4E">
        <w:t xml:space="preserve">controlled, multinational study to evaluate efficacy and safety of </w:t>
      </w:r>
      <w:proofErr w:type="spellStart"/>
      <w:r w:rsidRPr="00445B4E">
        <w:t>pirfenidone</w:t>
      </w:r>
      <w:proofErr w:type="spellEnd"/>
      <w:r w:rsidRPr="00445B4E">
        <w:t xml:space="preserve"> in patients with IPF over 52 weeks. The evaluator mentions the inclusion criteria in the evaluation and states that ‘the eligibility criteria included patients with a greater risk of disease progression compared to PIPF</w:t>
      </w:r>
      <w:r w:rsidRPr="00445B4E">
        <w:noBreakHyphen/>
        <w:t>004 and PIPF</w:t>
      </w:r>
      <w:r w:rsidRPr="00445B4E">
        <w:noBreakHyphen/>
        <w:t>006</w:t>
      </w:r>
      <w:r w:rsidR="005D0687">
        <w:t>’</w:t>
      </w:r>
      <w:r w:rsidRPr="00445B4E">
        <w:t xml:space="preserve">. This included lower percent predicted </w:t>
      </w:r>
      <w:r w:rsidR="00FC64A7">
        <w:t xml:space="preserve">carbon monoxide diffusing </w:t>
      </w:r>
      <w:r w:rsidR="00FC64A7" w:rsidRPr="00FC64A7">
        <w:t>capacity of the lung (</w:t>
      </w:r>
      <w:proofErr w:type="spellStart"/>
      <w:r w:rsidRPr="00FC64A7">
        <w:t>DL</w:t>
      </w:r>
      <w:r w:rsidRPr="00FC64A7">
        <w:rPr>
          <w:vertAlign w:val="subscript"/>
        </w:rPr>
        <w:t>co</w:t>
      </w:r>
      <w:proofErr w:type="spellEnd"/>
      <w:r w:rsidR="00FC64A7" w:rsidRPr="00FC64A7">
        <w:t>)</w:t>
      </w:r>
      <w:r w:rsidRPr="00FC64A7">
        <w:t>, higher FEV</w:t>
      </w:r>
      <w:r w:rsidRPr="00FC64A7">
        <w:rPr>
          <w:vertAlign w:val="subscript"/>
        </w:rPr>
        <w:t>1</w:t>
      </w:r>
      <w:r w:rsidRPr="00445B4E">
        <w:t>/FVC ratio, and longer time since IPF diagnosis.</w:t>
      </w:r>
    </w:p>
    <w:p w:rsidR="00EC16A6" w:rsidRPr="00445B4E" w:rsidRDefault="00EC16A6" w:rsidP="00EC16A6">
      <w:r w:rsidRPr="00445B4E">
        <w:t>IPF patients were randomised 1:</w:t>
      </w:r>
      <w:r w:rsidR="00C771E9">
        <w:t xml:space="preserve"> </w:t>
      </w:r>
      <w:r w:rsidRPr="00445B4E">
        <w:t xml:space="preserve">1 to either </w:t>
      </w:r>
      <w:proofErr w:type="spellStart"/>
      <w:r w:rsidRPr="00445B4E">
        <w:t>pirfenidone</w:t>
      </w:r>
      <w:proofErr w:type="spellEnd"/>
      <w:r w:rsidRPr="00445B4E">
        <w:t xml:space="preserve"> </w:t>
      </w:r>
      <w:r w:rsidR="00C6681F">
        <w:t>2,403</w:t>
      </w:r>
      <w:r w:rsidRPr="00445B4E">
        <w:t xml:space="preserve"> mg /day (n = 278) or matching placebo (n = 277) treatment for 52 weeks, with dose escalation over the first 14 days.</w:t>
      </w:r>
    </w:p>
    <w:p w:rsidR="00EC16A6" w:rsidRPr="00445B4E" w:rsidRDefault="00EC16A6" w:rsidP="00EC16A6">
      <w:r w:rsidRPr="00445B4E">
        <w:t xml:space="preserve">The primary efficacy outcome was the change in % predicted FVC from </w:t>
      </w:r>
      <w:r w:rsidR="00A96408" w:rsidRPr="00445B4E">
        <w:t>Baseline</w:t>
      </w:r>
      <w:r w:rsidRPr="00445B4E">
        <w:t xml:space="preserve"> to </w:t>
      </w:r>
      <w:r w:rsidR="00445B4E" w:rsidRPr="00445B4E">
        <w:t>W</w:t>
      </w:r>
      <w:r w:rsidRPr="00445B4E">
        <w:t>eek 52.</w:t>
      </w:r>
    </w:p>
    <w:p w:rsidR="00EC16A6" w:rsidRPr="00A01360" w:rsidRDefault="00EC16A6" w:rsidP="00EC16A6">
      <w:r w:rsidRPr="00445B4E">
        <w:t xml:space="preserve">The secondary efficacy endpoints were change in 6MWT distance from </w:t>
      </w:r>
      <w:r w:rsidR="00A96408" w:rsidRPr="00445B4E">
        <w:t>Baseline</w:t>
      </w:r>
      <w:r w:rsidRPr="00445B4E">
        <w:t xml:space="preserve"> to </w:t>
      </w:r>
      <w:r w:rsidR="00445B4E" w:rsidRPr="00445B4E">
        <w:t>W</w:t>
      </w:r>
      <w:r w:rsidRPr="00445B4E">
        <w:t>eek 52; progression free survival defined as time to first occurrence of any of the following: death, confirmed</w:t>
      </w:r>
      <w:r w:rsidR="00445B4E" w:rsidRPr="00445B4E">
        <w:t> </w:t>
      </w:r>
      <w:r w:rsidRPr="00445B4E">
        <w:t>≥</w:t>
      </w:r>
      <w:r w:rsidR="00445B4E" w:rsidRPr="00445B4E">
        <w:t> </w:t>
      </w:r>
      <w:r w:rsidRPr="00445B4E">
        <w:t xml:space="preserve">10% absolute decline from </w:t>
      </w:r>
      <w:r w:rsidR="00A96408" w:rsidRPr="00445B4E">
        <w:t>Baseline</w:t>
      </w:r>
      <w:r w:rsidRPr="00445B4E">
        <w:t xml:space="preserve"> in % predicted FVC, or confirmed ≥ 50 m decline from </w:t>
      </w:r>
      <w:r w:rsidR="00A96408" w:rsidRPr="00445B4E">
        <w:t>Baseline</w:t>
      </w:r>
      <w:r w:rsidRPr="00445B4E">
        <w:t xml:space="preserve"> in 6MWT distance. These were different to the secondary end</w:t>
      </w:r>
      <w:r w:rsidR="005D0687">
        <w:t xml:space="preserve">points of the previous studies. </w:t>
      </w:r>
      <w:r w:rsidRPr="00A01360">
        <w:t>An additional endpoint was mortality including all</w:t>
      </w:r>
      <w:r w:rsidR="00A01360" w:rsidRPr="00A01360">
        <w:noBreakHyphen/>
        <w:t xml:space="preserve">cause and treatment emergent IPF </w:t>
      </w:r>
      <w:r w:rsidRPr="00A01360">
        <w:t>related mortality.</w:t>
      </w:r>
    </w:p>
    <w:p w:rsidR="00EC16A6" w:rsidRPr="00A01360" w:rsidRDefault="00EC16A6" w:rsidP="00EC16A6">
      <w:r w:rsidRPr="00A01360">
        <w:t>Statistical testing methodology was discussed and is acceptable.</w:t>
      </w:r>
    </w:p>
    <w:p w:rsidR="000D6CE8" w:rsidRPr="00FA60A1" w:rsidRDefault="00C771E9" w:rsidP="00EC16A6">
      <w:r>
        <w:lastRenderedPageBreak/>
        <w:t xml:space="preserve">Some </w:t>
      </w:r>
      <w:r w:rsidR="00EC16A6" w:rsidRPr="00A01360">
        <w:t xml:space="preserve">278 patients were randomised to </w:t>
      </w:r>
      <w:proofErr w:type="spellStart"/>
      <w:r w:rsidR="00EC16A6" w:rsidRPr="00A01360">
        <w:t>p</w:t>
      </w:r>
      <w:r w:rsidR="00A01360" w:rsidRPr="00A01360">
        <w:t>i</w:t>
      </w:r>
      <w:r w:rsidR="00EC16A6" w:rsidRPr="00A01360">
        <w:t>rfenidone</w:t>
      </w:r>
      <w:proofErr w:type="spellEnd"/>
      <w:r w:rsidR="00EC16A6" w:rsidRPr="00A01360">
        <w:t xml:space="preserve"> and 277 to placebo. 80% in the </w:t>
      </w:r>
      <w:proofErr w:type="spellStart"/>
      <w:r w:rsidR="00EC16A6" w:rsidRPr="00A01360">
        <w:t>p</w:t>
      </w:r>
      <w:r w:rsidR="005D0687">
        <w:t>i</w:t>
      </w:r>
      <w:r w:rsidR="00EC16A6" w:rsidRPr="00A01360">
        <w:t>rfenidone</w:t>
      </w:r>
      <w:proofErr w:type="spellEnd"/>
      <w:r w:rsidR="00EC16A6" w:rsidRPr="00A01360">
        <w:t xml:space="preserve"> group and 85.9% in the pla</w:t>
      </w:r>
      <w:r w:rsidR="005D0687">
        <w:t xml:space="preserve">cebo group completed the study. </w:t>
      </w:r>
      <w:r w:rsidR="000168E8" w:rsidRPr="000D6CE8">
        <w:t>Fo</w:t>
      </w:r>
      <w:r w:rsidR="000D6CE8" w:rsidRPr="000D6CE8">
        <w:t>r subject disposition see Figure 5 in Attachment 2</w:t>
      </w:r>
      <w:r w:rsidR="000D6CE8" w:rsidRPr="00FA60A1">
        <w:t>.</w:t>
      </w:r>
    </w:p>
    <w:p w:rsidR="00EC16A6" w:rsidRPr="00FA60A1" w:rsidRDefault="00A96408" w:rsidP="00EC16A6">
      <w:r w:rsidRPr="00A01360">
        <w:t>Baseline</w:t>
      </w:r>
      <w:r w:rsidR="00EC16A6" w:rsidRPr="00A01360">
        <w:t xml:space="preserve"> demographic characteristics were comparable between the treatment groups; most study patients were </w:t>
      </w:r>
      <w:r w:rsidR="00E72395">
        <w:t>W</w:t>
      </w:r>
      <w:r w:rsidR="00EC16A6" w:rsidRPr="00A01360">
        <w:t xml:space="preserve">hite (91.2%), male (78.4%), and </w:t>
      </w:r>
      <w:r w:rsidR="00EC16A6" w:rsidRPr="00A01360">
        <w:rPr>
          <w:rFonts w:hint="eastAsia"/>
        </w:rPr>
        <w:t>≥</w:t>
      </w:r>
      <w:r w:rsidR="00EC16A6" w:rsidRPr="00A01360">
        <w:t xml:space="preserve"> 65 years of age (71.0%; overall mean 68.1 years). Prior medications were generally comparable; systemic corticosteroids were used by a total of 2.2% and 0.7% of patients in </w:t>
      </w:r>
      <w:proofErr w:type="spellStart"/>
      <w:r w:rsidR="00EC16A6" w:rsidRPr="00A01360">
        <w:t>pirfenidone</w:t>
      </w:r>
      <w:proofErr w:type="spellEnd"/>
      <w:r w:rsidR="00EC16A6" w:rsidRPr="00A01360">
        <w:t xml:space="preserve"> and placebo groups, </w:t>
      </w:r>
      <w:r w:rsidR="00EC16A6" w:rsidRPr="00FA60A1">
        <w:t>respectively.</w:t>
      </w:r>
    </w:p>
    <w:p w:rsidR="00EC16A6" w:rsidRDefault="00EC16A6" w:rsidP="00EC16A6">
      <w:r w:rsidRPr="00A01360">
        <w:t xml:space="preserve">The primary efficacy analysis of the change in the percent predicted FVC from </w:t>
      </w:r>
      <w:r w:rsidR="00A96408" w:rsidRPr="00A01360">
        <w:t>Baseline</w:t>
      </w:r>
      <w:r w:rsidR="00A01360" w:rsidRPr="00A01360">
        <w:t xml:space="preserve"> at W</w:t>
      </w:r>
      <w:r w:rsidRPr="00A01360">
        <w:t xml:space="preserve">eek 52 demonstrated a statistically significant treatment effect of </w:t>
      </w:r>
      <w:proofErr w:type="spellStart"/>
      <w:r w:rsidRPr="00A01360">
        <w:t>pirfenidone</w:t>
      </w:r>
      <w:proofErr w:type="spellEnd"/>
      <w:r w:rsidRPr="00A01360">
        <w:t xml:space="preserve"> compared with placebo (p &lt; 0.000001, rank ANCOVA).</w:t>
      </w:r>
    </w:p>
    <w:p w:rsidR="00C87716" w:rsidRPr="00A01360" w:rsidRDefault="00C87716" w:rsidP="00C87716">
      <w:pPr>
        <w:pStyle w:val="Tabletitle0"/>
      </w:pPr>
      <w:proofErr w:type="gramStart"/>
      <w:r>
        <w:t>Table 1</w:t>
      </w:r>
      <w:r w:rsidR="009C37EE">
        <w:t>3</w:t>
      </w:r>
      <w:r>
        <w:t>.</w:t>
      </w:r>
      <w:proofErr w:type="gramEnd"/>
      <w:r>
        <w:t xml:space="preserve"> Change in percent predicted FVC between Baseline and Week 52 in </w:t>
      </w:r>
      <w:proofErr w:type="spellStart"/>
      <w:r>
        <w:t>pirfenidone</w:t>
      </w:r>
      <w:proofErr w:type="spellEnd"/>
      <w:r w:rsidR="009C37EE">
        <w:t xml:space="preserve"> versus placebo treated cohorts</w:t>
      </w:r>
    </w:p>
    <w:p w:rsidR="00EC16A6" w:rsidRPr="00A96408" w:rsidRDefault="00EC16A6" w:rsidP="00EC16A6">
      <w:pPr>
        <w:rPr>
          <w:highlight w:val="lightGray"/>
        </w:rPr>
      </w:pPr>
      <w:r w:rsidRPr="00A96408">
        <w:rPr>
          <w:noProof/>
          <w:highlight w:val="lightGray"/>
          <w:lang w:eastAsia="en-AU"/>
        </w:rPr>
        <w:drawing>
          <wp:inline distT="0" distB="0" distL="0" distR="0" wp14:anchorId="1E7EDDD4" wp14:editId="0410C8FD">
            <wp:extent cx="5925185" cy="1294765"/>
            <wp:effectExtent l="0" t="0" r="0" b="635"/>
            <wp:docPr id="6" name="Picture 6" descr="Table 13. Change in percent predicted FVC between Baseline and Week 52 in pirfenidone versus placebo treated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5185" cy="1294765"/>
                    </a:xfrm>
                    <a:prstGeom prst="rect">
                      <a:avLst/>
                    </a:prstGeom>
                    <a:noFill/>
                    <a:ln>
                      <a:noFill/>
                    </a:ln>
                  </pic:spPr>
                </pic:pic>
              </a:graphicData>
            </a:graphic>
          </wp:inline>
        </w:drawing>
      </w:r>
    </w:p>
    <w:p w:rsidR="00E72395" w:rsidRDefault="00996C0C" w:rsidP="00EC16A6">
      <w:r w:rsidRPr="00996C0C">
        <w:t xml:space="preserve">Change from </w:t>
      </w:r>
      <w:r w:rsidR="00E72395">
        <w:t>B</w:t>
      </w:r>
      <w:r w:rsidRPr="00996C0C">
        <w:t xml:space="preserve">aseline to week 52 in 6MWT distance: </w:t>
      </w:r>
      <w:r w:rsidR="00EC16A6" w:rsidRPr="00A01360">
        <w:t xml:space="preserve">The proportion of patients having an absolute decline ≥ 50m at </w:t>
      </w:r>
      <w:r w:rsidR="00A01360" w:rsidRPr="00A01360">
        <w:t>W</w:t>
      </w:r>
      <w:r w:rsidR="00EC16A6" w:rsidRPr="00A01360">
        <w:t xml:space="preserve">eek 52 was 25.9% </w:t>
      </w:r>
      <w:proofErr w:type="spellStart"/>
      <w:r w:rsidR="00EC16A6" w:rsidRPr="00A01360">
        <w:t>pirfenidone</w:t>
      </w:r>
      <w:proofErr w:type="spellEnd"/>
      <w:r w:rsidR="00EC16A6" w:rsidRPr="00A01360">
        <w:t xml:space="preserve"> versus 35.7% </w:t>
      </w:r>
      <w:proofErr w:type="spellStart"/>
      <w:r w:rsidR="00EC16A6" w:rsidRPr="00A01360">
        <w:t>placebo</w:t>
      </w:r>
      <w:r w:rsidR="00E72395">
        <w:t>.</w:t>
      </w:r>
      <w:r w:rsidR="003A4870">
        <w:t>e</w:t>
      </w:r>
      <w:proofErr w:type="spellEnd"/>
      <w:r w:rsidR="003A4870">
        <w:t>.</w:t>
      </w:r>
    </w:p>
    <w:p w:rsidR="00EC16A6" w:rsidRPr="00A01360" w:rsidRDefault="00E72395" w:rsidP="00EC16A6">
      <w:r>
        <w:t>P</w:t>
      </w:r>
      <w:r w:rsidRPr="00E72395">
        <w:t>rogression free survival</w:t>
      </w:r>
      <w:r>
        <w:t>:</w:t>
      </w:r>
      <w:r w:rsidRPr="00E72395">
        <w:t xml:space="preserve"> </w:t>
      </w:r>
      <w:proofErr w:type="spellStart"/>
      <w:r w:rsidR="00EC16A6" w:rsidRPr="00A01360">
        <w:t>Pirfenidone</w:t>
      </w:r>
      <w:proofErr w:type="spellEnd"/>
      <w:r w:rsidR="00EC16A6" w:rsidRPr="00A01360">
        <w:t xml:space="preserve"> was associated with significant risk </w:t>
      </w:r>
      <w:proofErr w:type="spellStart"/>
      <w:r w:rsidR="00EC16A6" w:rsidRPr="00A01360">
        <w:t>reduction</w:t>
      </w:r>
      <w:proofErr w:type="gramStart"/>
      <w:r>
        <w:t>;</w:t>
      </w:r>
      <w:r w:rsidR="00EC16A6" w:rsidRPr="00A01360">
        <w:t>HR</w:t>
      </w:r>
      <w:proofErr w:type="spellEnd"/>
      <w:proofErr w:type="gramEnd"/>
      <w:r w:rsidR="00EC16A6" w:rsidRPr="00A01360">
        <w:t xml:space="preserve"> 0.57, 95% CI 0.43 to 0.77.</w:t>
      </w:r>
    </w:p>
    <w:p w:rsidR="00EC16A6" w:rsidRPr="00A01360" w:rsidRDefault="00E72395" w:rsidP="00EC16A6">
      <w:r>
        <w:t xml:space="preserve">Mortality: </w:t>
      </w:r>
      <w:r w:rsidR="00EC16A6" w:rsidRPr="00A01360">
        <w:t xml:space="preserve">A smaller proportion of patients died in the </w:t>
      </w:r>
      <w:proofErr w:type="spellStart"/>
      <w:r w:rsidR="00EC16A6" w:rsidRPr="00A01360">
        <w:t>pirfenidone</w:t>
      </w:r>
      <w:proofErr w:type="spellEnd"/>
      <w:r w:rsidR="00EC16A6" w:rsidRPr="00A01360">
        <w:t xml:space="preserve"> group (4.0%) than the placebo group (7.2%). Analyses suggested a non</w:t>
      </w:r>
      <w:r w:rsidR="00EC16A6" w:rsidRPr="00A01360">
        <w:noBreakHyphen/>
        <w:t>significant reduced risk of all</w:t>
      </w:r>
      <w:r w:rsidR="00EC16A6" w:rsidRPr="00A01360">
        <w:noBreakHyphen/>
        <w:t xml:space="preserve">cause mortality through the Week 52 time point for </w:t>
      </w:r>
      <w:proofErr w:type="spellStart"/>
      <w:r w:rsidR="00EC16A6" w:rsidRPr="00A01360">
        <w:t>pirfenidone</w:t>
      </w:r>
      <w:proofErr w:type="spellEnd"/>
      <w:r w:rsidR="00EC16A6" w:rsidRPr="00A01360">
        <w:t xml:space="preserve"> compared with placebo</w:t>
      </w:r>
      <w:r>
        <w:t>,</w:t>
      </w:r>
      <w:r w:rsidR="00EC16A6" w:rsidRPr="00A01360">
        <w:t xml:space="preserve"> HR 0.55; 95% CI, 0.26 to 1.15; p = 0.1045, log rank test. The </w:t>
      </w:r>
      <w:r>
        <w:t xml:space="preserve">clinical </w:t>
      </w:r>
      <w:r w:rsidR="00EC16A6" w:rsidRPr="00A01360">
        <w:t>evaluator mentions that the study was not powered for this or other mortality endpoints.</w:t>
      </w:r>
    </w:p>
    <w:p w:rsidR="00EC16A6" w:rsidRPr="00A01360" w:rsidRDefault="00EC16A6" w:rsidP="00EC16A6">
      <w:r w:rsidRPr="00A01360">
        <w:t>Overall efficacy conclusions</w:t>
      </w:r>
      <w:r w:rsidR="00E72395">
        <w:t xml:space="preserve">: </w:t>
      </w:r>
      <w:r w:rsidRPr="00A01360">
        <w:t xml:space="preserve">the </w:t>
      </w:r>
      <w:r w:rsidR="00E72395">
        <w:t xml:space="preserve">clinical </w:t>
      </w:r>
      <w:r w:rsidRPr="00A01360">
        <w:t>evaluator mention</w:t>
      </w:r>
      <w:r w:rsidR="00E72395">
        <w:t>ed</w:t>
      </w:r>
      <w:r w:rsidRPr="00A01360">
        <w:t xml:space="preserve"> that the primary efficacy endpoint used in these studies was relevant to the indication. However, the absolute treatment effect observed was small. The primary efficacy variable was statistically significant favouring </w:t>
      </w:r>
      <w:proofErr w:type="spellStart"/>
      <w:r w:rsidRPr="00A01360">
        <w:t>pirfenidone</w:t>
      </w:r>
      <w:proofErr w:type="spellEnd"/>
      <w:r w:rsidRPr="00A01360">
        <w:t xml:space="preserve"> in Studies PIPF</w:t>
      </w:r>
      <w:r w:rsidRPr="00A01360">
        <w:noBreakHyphen/>
        <w:t>004 and PIPF</w:t>
      </w:r>
      <w:r w:rsidRPr="00A01360">
        <w:noBreakHyphen/>
        <w:t>016. This was not statistically significant in Study PIPF</w:t>
      </w:r>
      <w:r w:rsidRPr="00A01360">
        <w:noBreakHyphen/>
        <w:t>006 and may have partly been due to the ‘placebo group in PIPF</w:t>
      </w:r>
      <w:r w:rsidRPr="00A01360">
        <w:noBreakHyphen/>
        <w:t>006 demonstrated a smaller decline in % predicted FVC than placebo group in PIPF</w:t>
      </w:r>
      <w:r w:rsidR="00A01360" w:rsidRPr="00A01360">
        <w:noBreakHyphen/>
      </w:r>
      <w:r w:rsidRPr="00A01360">
        <w:t>004, consistent with variability in disease progression.’</w:t>
      </w:r>
    </w:p>
    <w:p w:rsidR="00EC16A6" w:rsidRPr="00A01360" w:rsidRDefault="00EC16A6" w:rsidP="00EC16A6">
      <w:r w:rsidRPr="00A01360">
        <w:t xml:space="preserve">The </w:t>
      </w:r>
      <w:r w:rsidR="00E72395">
        <w:t xml:space="preserve">clinical </w:t>
      </w:r>
      <w:r w:rsidRPr="00A01360">
        <w:t>evaluator mention</w:t>
      </w:r>
      <w:r w:rsidR="00E72395">
        <w:t>ed</w:t>
      </w:r>
      <w:r w:rsidRPr="00A01360">
        <w:t xml:space="preserve"> that, ‘due to apparent heterogeneity of the IPF study population in the earlier studies, changes in study population selection in PIPF</w:t>
      </w:r>
      <w:r w:rsidRPr="00A01360">
        <w:noBreakHyphen/>
        <w:t>016 were directed towards increasing the proportion at risk of progression from IPF (increased duration of diagnosis, reduction in lower limit of D</w:t>
      </w:r>
      <w:r w:rsidRPr="00526DBA">
        <w:t>L</w:t>
      </w:r>
      <w:r w:rsidRPr="00A01360">
        <w:rPr>
          <w:vertAlign w:val="subscript"/>
        </w:rPr>
        <w:t>CO</w:t>
      </w:r>
      <w:r w:rsidRPr="00A01360">
        <w:t>), and reducing the proportion of subjects with significant co</w:t>
      </w:r>
      <w:r w:rsidR="00A01360" w:rsidRPr="00A01360">
        <w:noBreakHyphen/>
      </w:r>
      <w:r w:rsidRPr="00A01360">
        <w:t>existing COPD (FEV</w:t>
      </w:r>
      <w:r w:rsidRPr="00A01360">
        <w:rPr>
          <w:vertAlign w:val="subscript"/>
        </w:rPr>
        <w:t>1</w:t>
      </w:r>
      <w:r w:rsidRPr="00A01360">
        <w:t>/FVC ratio &lt; 0.8 after administration of bronchodilator at screening, confirmed by central review) while enlarging the sample size’. This study showed statistically significant superiority of the active treatment v</w:t>
      </w:r>
      <w:r w:rsidR="006D23D3" w:rsidRPr="00A01360">
        <w:t>ersus</w:t>
      </w:r>
      <w:r w:rsidRPr="00A01360">
        <w:t xml:space="preserve"> placebo in relation to </w:t>
      </w:r>
      <w:r w:rsidR="006D23D3" w:rsidRPr="00A01360">
        <w:t>the primary efficacy endpoint.</w:t>
      </w:r>
    </w:p>
    <w:p w:rsidR="00EC16A6" w:rsidRPr="00A01360" w:rsidRDefault="00EC16A6" w:rsidP="00EC16A6">
      <w:r w:rsidRPr="00A01360">
        <w:t>Overall, efficacy was demonstrated in the studies submitted.</w:t>
      </w:r>
    </w:p>
    <w:p w:rsidR="00C26F2A" w:rsidRPr="00A01360" w:rsidRDefault="00C26F2A" w:rsidP="00C26F2A">
      <w:pPr>
        <w:pStyle w:val="Heading4"/>
      </w:pPr>
      <w:r w:rsidRPr="00A01360">
        <w:lastRenderedPageBreak/>
        <w:t>Safety</w:t>
      </w:r>
    </w:p>
    <w:p w:rsidR="00C26F2A" w:rsidRPr="00A01360" w:rsidRDefault="00C26F2A" w:rsidP="00C26F2A">
      <w:r w:rsidRPr="00A01360">
        <w:t xml:space="preserve">The </w:t>
      </w:r>
      <w:r w:rsidR="002C7E0F">
        <w:t xml:space="preserve">clinical </w:t>
      </w:r>
      <w:r w:rsidRPr="00A01360">
        <w:t xml:space="preserve">evaluator tabulated the numbers involved in the Phase </w:t>
      </w:r>
      <w:r w:rsidR="00512591">
        <w:t>I, Phase II</w:t>
      </w:r>
      <w:r w:rsidRPr="00A01360">
        <w:t xml:space="preserve"> and </w:t>
      </w:r>
      <w:r w:rsidR="00512591">
        <w:t>Phase III</w:t>
      </w:r>
      <w:r w:rsidRPr="00A01360">
        <w:t xml:space="preserve"> studies.</w:t>
      </w:r>
    </w:p>
    <w:p w:rsidR="00C26F2A" w:rsidRPr="00A01360" w:rsidRDefault="00C26F2A" w:rsidP="00C26F2A">
      <w:r w:rsidRPr="00A01360">
        <w:t>The ‘randomised patient subset’ w</w:t>
      </w:r>
      <w:r w:rsidR="00702FA5">
        <w:t>as</w:t>
      </w:r>
      <w:r w:rsidRPr="00A01360">
        <w:t xml:space="preserve"> the </w:t>
      </w:r>
      <w:r w:rsidR="00C6681F">
        <w:t>2,403</w:t>
      </w:r>
      <w:r w:rsidRPr="00A01360">
        <w:t xml:space="preserve"> mg/day </w:t>
      </w:r>
      <w:proofErr w:type="spellStart"/>
      <w:r w:rsidRPr="00A01360">
        <w:t>pirfenidone</w:t>
      </w:r>
      <w:proofErr w:type="spellEnd"/>
      <w:r w:rsidRPr="00A01360">
        <w:t xml:space="preserve"> (n = 623) and the placebo groups (n = 624) from PIPF</w:t>
      </w:r>
      <w:r w:rsidRPr="00A01360">
        <w:noBreakHyphen/>
        <w:t>004, PIPF</w:t>
      </w:r>
      <w:r w:rsidRPr="00A01360">
        <w:noBreakHyphen/>
        <w:t>006, and PIPF</w:t>
      </w:r>
      <w:r w:rsidRPr="00A01360">
        <w:noBreakHyphen/>
        <w:t>016. Overall the demographics across treatment groups were well balanced. Most of the information below focuses on information from this subset.</w:t>
      </w:r>
    </w:p>
    <w:p w:rsidR="00C26F2A" w:rsidRPr="00A01360" w:rsidRDefault="00C26F2A" w:rsidP="00C26F2A">
      <w:r w:rsidRPr="00A01360">
        <w:t>The ‘</w:t>
      </w:r>
      <w:proofErr w:type="spellStart"/>
      <w:r w:rsidRPr="00A01360">
        <w:t>pirfenidone</w:t>
      </w:r>
      <w:proofErr w:type="spellEnd"/>
      <w:r w:rsidRPr="00A01360">
        <w:t xml:space="preserve"> patient subset’ additionally included patients from PIPF</w:t>
      </w:r>
      <w:r w:rsidRPr="00A01360">
        <w:noBreakHyphen/>
        <w:t>002 and PIPF</w:t>
      </w:r>
      <w:r w:rsidRPr="00A01360">
        <w:noBreakHyphen/>
        <w:t xml:space="preserve">012, and those treated with </w:t>
      </w:r>
      <w:proofErr w:type="spellStart"/>
      <w:r w:rsidRPr="00A01360">
        <w:t>pirfenidone</w:t>
      </w:r>
      <w:proofErr w:type="spellEnd"/>
      <w:r w:rsidRPr="00A01360">
        <w:t xml:space="preserve"> </w:t>
      </w:r>
      <w:r w:rsidR="00C6681F">
        <w:t>1,197</w:t>
      </w:r>
      <w:r w:rsidRPr="00A01360">
        <w:t xml:space="preserve"> mg/day in PIPF</w:t>
      </w:r>
      <w:r w:rsidRPr="00A01360">
        <w:noBreakHyphen/>
        <w:t xml:space="preserve">004 (total </w:t>
      </w:r>
      <w:r w:rsidR="00702FA5">
        <w:t>patients, n = 1</w:t>
      </w:r>
      <w:r w:rsidR="002C7E0F">
        <w:t>,</w:t>
      </w:r>
      <w:r w:rsidR="00702FA5">
        <w:t xml:space="preserve">067; patients treated with the maximum dose of </w:t>
      </w:r>
      <w:r w:rsidR="00C6681F">
        <w:t>2,403</w:t>
      </w:r>
      <w:r w:rsidR="00702FA5">
        <w:t xml:space="preserve"> mg/day of </w:t>
      </w:r>
      <w:proofErr w:type="spellStart"/>
      <w:r w:rsidR="00702FA5">
        <w:t>pirfenidone</w:t>
      </w:r>
      <w:proofErr w:type="spellEnd"/>
      <w:r w:rsidR="00702FA5">
        <w:t>, n = 980).</w:t>
      </w:r>
    </w:p>
    <w:p w:rsidR="00C26F2A" w:rsidRPr="00A01360" w:rsidRDefault="00A01360" w:rsidP="00C26F2A">
      <w:r w:rsidRPr="00A01360">
        <w:t xml:space="preserve">Long </w:t>
      </w:r>
      <w:r w:rsidR="00C26F2A" w:rsidRPr="00A01360">
        <w:t>term exposure in clinical studies included 172 patients treated for at least five years.</w:t>
      </w:r>
    </w:p>
    <w:p w:rsidR="00C26F2A" w:rsidRPr="00A01360" w:rsidRDefault="00C26F2A" w:rsidP="00C26F2A">
      <w:r w:rsidRPr="00A01360">
        <w:t xml:space="preserve">All AEs in the randomised subset: The most frequently reported events with incidence greater for </w:t>
      </w:r>
      <w:proofErr w:type="spellStart"/>
      <w:r w:rsidRPr="00A01360">
        <w:t>pirfenidone</w:t>
      </w:r>
      <w:proofErr w:type="spellEnd"/>
      <w:r w:rsidRPr="00A01360">
        <w:t xml:space="preserve"> </w:t>
      </w:r>
      <w:r w:rsidR="004E0886">
        <w:t xml:space="preserve">compared to placebo </w:t>
      </w:r>
      <w:r w:rsidRPr="00A01360">
        <w:t>were GI disorders (</w:t>
      </w:r>
      <w:proofErr w:type="spellStart"/>
      <w:r w:rsidR="002C7E0F">
        <w:t>pirfenidone</w:t>
      </w:r>
      <w:proofErr w:type="spellEnd"/>
      <w:r w:rsidR="002C7E0F">
        <w:t xml:space="preserve"> </w:t>
      </w:r>
      <w:r w:rsidRPr="00A01360">
        <w:t xml:space="preserve">72% versus </w:t>
      </w:r>
      <w:r w:rsidR="002C7E0F">
        <w:t xml:space="preserve">placebo </w:t>
      </w:r>
      <w:r w:rsidRPr="00A01360">
        <w:t>52%</w:t>
      </w:r>
      <w:r w:rsidR="004E0886">
        <w:t xml:space="preserve">) </w:t>
      </w:r>
      <w:r w:rsidR="002C7E0F">
        <w:t>for example,</w:t>
      </w:r>
      <w:r w:rsidR="004E0886">
        <w:t xml:space="preserve"> </w:t>
      </w:r>
      <w:r w:rsidRPr="00A01360">
        <w:t xml:space="preserve">nausea </w:t>
      </w:r>
      <w:r w:rsidR="00D44D38" w:rsidRPr="00A01360">
        <w:t>(</w:t>
      </w:r>
      <w:r w:rsidRPr="00A01360">
        <w:t>36% versus 15%</w:t>
      </w:r>
      <w:r w:rsidR="00D44D38" w:rsidRPr="00A01360">
        <w:t>)</w:t>
      </w:r>
      <w:r w:rsidRPr="00A01360">
        <w:t xml:space="preserve">, diarrhoea </w:t>
      </w:r>
      <w:r w:rsidR="00D44D38" w:rsidRPr="00A01360">
        <w:t>(</w:t>
      </w:r>
      <w:r w:rsidRPr="00A01360">
        <w:t>26% versus 20%</w:t>
      </w:r>
      <w:r w:rsidR="00D44D38" w:rsidRPr="00A01360">
        <w:t>)</w:t>
      </w:r>
      <w:r w:rsidRPr="00A01360">
        <w:t xml:space="preserve">, dyspepsia </w:t>
      </w:r>
      <w:r w:rsidR="00D44D38" w:rsidRPr="00A01360">
        <w:t>(</w:t>
      </w:r>
      <w:r w:rsidRPr="00A01360">
        <w:t>18% versus</w:t>
      </w:r>
      <w:r w:rsidR="00D44D38" w:rsidRPr="00A01360">
        <w:t xml:space="preserve"> 7%) and </w:t>
      </w:r>
      <w:r w:rsidRPr="00A01360">
        <w:t xml:space="preserve">vomiting </w:t>
      </w:r>
      <w:r w:rsidR="00D44D38" w:rsidRPr="00A01360">
        <w:t>(</w:t>
      </w:r>
      <w:r w:rsidRPr="00A01360">
        <w:t>13% versus</w:t>
      </w:r>
      <w:r w:rsidR="00D44D38" w:rsidRPr="00A01360">
        <w:t xml:space="preserve"> 6%). </w:t>
      </w:r>
      <w:r w:rsidRPr="00A01360">
        <w:t>This was followed by skin disorders (41% versus 15%)</w:t>
      </w:r>
      <w:r w:rsidR="004E0886">
        <w:t>,</w:t>
      </w:r>
      <w:r w:rsidRPr="00A01360">
        <w:t xml:space="preserve"> rash (30% versus 10%), photosensitivity (9% versus 1%), and pruritus (8% versus 5%). In other SOCs differences were seen in fatigue (26% versus 19%), dizziness (18% versus</w:t>
      </w:r>
      <w:r w:rsidR="00D44D38" w:rsidRPr="00A01360">
        <w:t xml:space="preserve"> </w:t>
      </w:r>
      <w:r w:rsidRPr="00A01360">
        <w:t>11%), anorexia (13% versus 5%), insomnia (10% versus 7%), decreased</w:t>
      </w:r>
      <w:r w:rsidR="00A01360" w:rsidRPr="00A01360">
        <w:t xml:space="preserve"> body weight</w:t>
      </w:r>
      <w:r w:rsidRPr="00A01360">
        <w:t xml:space="preserve"> (10% versus 5%) and hot flush (4% versus</w:t>
      </w:r>
      <w:r w:rsidR="004E0886">
        <w:t xml:space="preserve"> </w:t>
      </w:r>
      <w:r w:rsidR="00D44D38" w:rsidRPr="00A01360">
        <w:t>2%).</w:t>
      </w:r>
    </w:p>
    <w:p w:rsidR="00C26F2A" w:rsidRPr="00A01360" w:rsidRDefault="00C26F2A" w:rsidP="00C26F2A">
      <w:r w:rsidRPr="00A01360">
        <w:t xml:space="preserve">The most commonly reported </w:t>
      </w:r>
      <w:r w:rsidR="00D44D38" w:rsidRPr="00A01360">
        <w:t>ADRs</w:t>
      </w:r>
      <w:r w:rsidRPr="00A01360">
        <w:t xml:space="preserve"> in the randomised patient subset </w:t>
      </w:r>
      <w:r w:rsidR="00C301FF" w:rsidRPr="00C301FF">
        <w:t>(based on investigator assessment)</w:t>
      </w:r>
      <w:r w:rsidR="00C301FF">
        <w:t xml:space="preserve"> </w:t>
      </w:r>
      <w:r w:rsidRPr="00A01360">
        <w:t xml:space="preserve">in patients treated with </w:t>
      </w:r>
      <w:proofErr w:type="spellStart"/>
      <w:r w:rsidRPr="00A01360">
        <w:t>pirfenidone</w:t>
      </w:r>
      <w:proofErr w:type="spellEnd"/>
      <w:r w:rsidRPr="00A01360">
        <w:t xml:space="preserve"> compared to placebo respectively, were: nausea (32.4% versus 12.2%), rash (26.2% versus</w:t>
      </w:r>
      <w:r w:rsidR="00A01360" w:rsidRPr="00A01360">
        <w:t xml:space="preserve"> </w:t>
      </w:r>
      <w:r w:rsidRPr="00A01360">
        <w:t>7.7%), diarrhoea (18.8% versus 14.4%), fatigue (18.5% versus 10.4%), dyspepsia (16.1% versus 5.0%), anorexia (11.4% versus 3.5%), headache (10.1% versus 7.7%), and photosensitivity reaction (9.3% versus</w:t>
      </w:r>
      <w:r w:rsidR="00D44D38" w:rsidRPr="00A01360">
        <w:t xml:space="preserve"> 1.1%).</w:t>
      </w:r>
    </w:p>
    <w:p w:rsidR="00C26F2A" w:rsidRPr="00A01360" w:rsidRDefault="00C301FF" w:rsidP="00C26F2A">
      <w:r>
        <w:t xml:space="preserve">Deaths: </w:t>
      </w:r>
      <w:r w:rsidR="00C26F2A" w:rsidRPr="00A01360">
        <w:t xml:space="preserve">A total of 71 patients died within 28 days of last dose of study treatment, lower in the </w:t>
      </w:r>
      <w:proofErr w:type="spellStart"/>
      <w:r w:rsidR="00C26F2A" w:rsidRPr="00A01360">
        <w:t>pirfenidone</w:t>
      </w:r>
      <w:proofErr w:type="spellEnd"/>
      <w:r w:rsidR="00C26F2A" w:rsidRPr="00A01360">
        <w:t xml:space="preserve"> than placebo group (4.3%, 27 patients versus 7.1%, 44 patients). IPF was the most common cause of death (10 </w:t>
      </w:r>
      <w:proofErr w:type="spellStart"/>
      <w:r w:rsidR="00C26F2A" w:rsidRPr="00A01360">
        <w:t>pirfenidone</w:t>
      </w:r>
      <w:proofErr w:type="spellEnd"/>
      <w:r w:rsidR="00C26F2A" w:rsidRPr="00A01360">
        <w:t>, 1.6% versus</w:t>
      </w:r>
      <w:r w:rsidR="00D44D38" w:rsidRPr="00A01360">
        <w:t xml:space="preserve"> 21 </w:t>
      </w:r>
      <w:proofErr w:type="gramStart"/>
      <w:r w:rsidR="00D44D38" w:rsidRPr="00A01360">
        <w:t>placebo</w:t>
      </w:r>
      <w:proofErr w:type="gramEnd"/>
      <w:r w:rsidR="00D44D38" w:rsidRPr="00A01360">
        <w:t>, 3.4%).</w:t>
      </w:r>
    </w:p>
    <w:p w:rsidR="00C26F2A" w:rsidRPr="00A01360" w:rsidRDefault="00C26F2A" w:rsidP="00C26F2A">
      <w:r w:rsidRPr="00A01360">
        <w:t xml:space="preserve">Treatment emergent </w:t>
      </w:r>
      <w:r w:rsidR="00A01360" w:rsidRPr="00A01360">
        <w:t>SAEs</w:t>
      </w:r>
      <w:r w:rsidRPr="00A01360">
        <w:t xml:space="preserve"> were reported in approximately 28% in each group. The three most frequently reported SAEs (IPF, pneumonia, and respiratory failure) were reported in a smaller proportion of </w:t>
      </w:r>
      <w:proofErr w:type="spellStart"/>
      <w:r w:rsidRPr="00A01360">
        <w:t>pirfenidone</w:t>
      </w:r>
      <w:proofErr w:type="spellEnd"/>
      <w:r w:rsidR="004E0886">
        <w:t xml:space="preserve"> </w:t>
      </w:r>
      <w:r w:rsidRPr="00A01360">
        <w:t>treated patients compared with placebo</w:t>
      </w:r>
      <w:r w:rsidR="004E0886">
        <w:t xml:space="preserve"> </w:t>
      </w:r>
      <w:r w:rsidRPr="00A01360">
        <w:t xml:space="preserve">treated patients. SAEs that were reported more frequently in the </w:t>
      </w:r>
      <w:proofErr w:type="spellStart"/>
      <w:r w:rsidRPr="00A01360">
        <w:t>pirfenidone</w:t>
      </w:r>
      <w:proofErr w:type="spellEnd"/>
      <w:r w:rsidRPr="00A01360">
        <w:t xml:space="preserve"> </w:t>
      </w:r>
      <w:r w:rsidR="00C6681F">
        <w:t>2,403</w:t>
      </w:r>
      <w:r w:rsidRPr="00A01360">
        <w:t xml:space="preserve"> mg/day group compared to placebo included the foll</w:t>
      </w:r>
      <w:r w:rsidR="00D44D38" w:rsidRPr="00A01360">
        <w:t xml:space="preserve">owing: coronary artery disease </w:t>
      </w:r>
      <w:r w:rsidRPr="00A01360">
        <w:t>(n</w:t>
      </w:r>
      <w:r w:rsidR="00D44D38" w:rsidRPr="00A01360">
        <w:t> =7 </w:t>
      </w:r>
      <w:r w:rsidRPr="00A01360">
        <w:t>(1.1%) versus n</w:t>
      </w:r>
      <w:r w:rsidR="00D44D38" w:rsidRPr="00A01360">
        <w:t> </w:t>
      </w:r>
      <w:r w:rsidRPr="00A01360">
        <w:t>=</w:t>
      </w:r>
      <w:r w:rsidR="00D44D38" w:rsidRPr="00A01360">
        <w:t> 3 (0.5%)</w:t>
      </w:r>
      <w:r w:rsidR="00C301FF">
        <w:t>)</w:t>
      </w:r>
      <w:r w:rsidR="00D44D38" w:rsidRPr="00A01360">
        <w:t xml:space="preserve"> and angina pectoris </w:t>
      </w:r>
      <w:r w:rsidRPr="00A01360">
        <w:t>(n</w:t>
      </w:r>
      <w:r w:rsidR="00D44D38" w:rsidRPr="00A01360">
        <w:t> = </w:t>
      </w:r>
      <w:r w:rsidRPr="00A01360">
        <w:t>6 (1.0%) and n</w:t>
      </w:r>
      <w:r w:rsidR="00D44D38" w:rsidRPr="00A01360">
        <w:t> </w:t>
      </w:r>
      <w:r w:rsidRPr="00A01360">
        <w:t>=</w:t>
      </w:r>
      <w:r w:rsidR="00D44D38" w:rsidRPr="00A01360">
        <w:t> 2 (0.3%)</w:t>
      </w:r>
      <w:r w:rsidR="00C301FF">
        <w:t>)</w:t>
      </w:r>
      <w:r w:rsidRPr="00A01360">
        <w:t>.</w:t>
      </w:r>
    </w:p>
    <w:p w:rsidR="00C301FF" w:rsidRDefault="00D44D38" w:rsidP="00C26F2A">
      <w:r w:rsidRPr="00A01360">
        <w:t>A</w:t>
      </w:r>
      <w:r w:rsidR="00C301FF">
        <w:t xml:space="preserve">dverse </w:t>
      </w:r>
      <w:r w:rsidRPr="00A01360">
        <w:t>E</w:t>
      </w:r>
      <w:r w:rsidR="00C301FF">
        <w:t>vent</w:t>
      </w:r>
      <w:r w:rsidRPr="00A01360">
        <w:t>s of special interest</w:t>
      </w:r>
      <w:r w:rsidR="00C301FF">
        <w:t>:</w:t>
      </w:r>
    </w:p>
    <w:p w:rsidR="00C301FF" w:rsidRDefault="00C301FF" w:rsidP="00C26F2A">
      <w:r>
        <w:t>Liver toxicity:</w:t>
      </w:r>
      <w:r w:rsidR="00D44D38" w:rsidRPr="00A01360">
        <w:t xml:space="preserve"> t</w:t>
      </w:r>
      <w:r w:rsidR="00C26F2A" w:rsidRPr="00A01360">
        <w:t xml:space="preserve">he </w:t>
      </w:r>
      <w:r>
        <w:t xml:space="preserve">clinical </w:t>
      </w:r>
      <w:r w:rsidR="00C26F2A" w:rsidRPr="00A01360">
        <w:t xml:space="preserve">evaluator states that in the randomised patient subset 9.5% </w:t>
      </w:r>
      <w:proofErr w:type="spellStart"/>
      <w:r w:rsidR="00C26F2A" w:rsidRPr="00A01360">
        <w:t>pirfenidone</w:t>
      </w:r>
      <w:proofErr w:type="spellEnd"/>
      <w:r w:rsidR="00C26F2A" w:rsidRPr="00A01360">
        <w:t xml:space="preserve"> patients reported hepatic TEAEs versus 4.3% for placebo. There were 6 </w:t>
      </w:r>
      <w:proofErr w:type="spellStart"/>
      <w:r w:rsidR="00C26F2A" w:rsidRPr="00A01360">
        <w:t>pirf</w:t>
      </w:r>
      <w:r w:rsidR="00A01360" w:rsidRPr="00A01360">
        <w:t>enidone</w:t>
      </w:r>
      <w:proofErr w:type="spellEnd"/>
      <w:r w:rsidR="00A01360" w:rsidRPr="00A01360">
        <w:t xml:space="preserve"> patients with hepatic treatment </w:t>
      </w:r>
      <w:r w:rsidR="00BE1EFC" w:rsidRPr="00A01360">
        <w:t>emergent</w:t>
      </w:r>
      <w:r w:rsidR="00C26F2A" w:rsidRPr="00A01360">
        <w:t xml:space="preserve"> SAEs versus</w:t>
      </w:r>
      <w:r w:rsidR="00D44D38" w:rsidRPr="00A01360">
        <w:t xml:space="preserve"> 1 placebo patient.</w:t>
      </w:r>
    </w:p>
    <w:p w:rsidR="00C26F2A" w:rsidRPr="00A01360" w:rsidRDefault="00BA20D0" w:rsidP="00526DBA">
      <w:r>
        <w:t>The US FDA report states that:</w:t>
      </w:r>
      <w:r w:rsidR="00C301FF">
        <w:t xml:space="preserve"> </w:t>
      </w:r>
      <w:r w:rsidR="00D44D38" w:rsidRPr="00A01360">
        <w:t>‘</w:t>
      </w:r>
      <w:r w:rsidR="00C26F2A" w:rsidRPr="00BA20D0">
        <w:rPr>
          <w:i/>
        </w:rPr>
        <w:t xml:space="preserve">Fifteen </w:t>
      </w:r>
      <w:proofErr w:type="spellStart"/>
      <w:r w:rsidR="00C26F2A" w:rsidRPr="00BA20D0">
        <w:rPr>
          <w:i/>
        </w:rPr>
        <w:t>pirfenidone</w:t>
      </w:r>
      <w:proofErr w:type="spellEnd"/>
      <w:r w:rsidR="00C301FF">
        <w:rPr>
          <w:i/>
        </w:rPr>
        <w:t xml:space="preserve"> </w:t>
      </w:r>
      <w:r w:rsidR="00C26F2A" w:rsidRPr="00BA20D0">
        <w:rPr>
          <w:i/>
        </w:rPr>
        <w:t>treated patients had a maximum post</w:t>
      </w:r>
      <w:r w:rsidR="00D44D38" w:rsidRPr="00BA20D0">
        <w:rPr>
          <w:i/>
        </w:rPr>
        <w:noBreakHyphen/>
      </w:r>
      <w:r w:rsidR="00A96408" w:rsidRPr="00BA20D0">
        <w:rPr>
          <w:i/>
        </w:rPr>
        <w:t>Baseline</w:t>
      </w:r>
      <w:r w:rsidR="00C26F2A" w:rsidRPr="00BA20D0">
        <w:rPr>
          <w:i/>
        </w:rPr>
        <w:t xml:space="preserve"> ALT or AST elevation of 3 to 5</w:t>
      </w:r>
      <w:r w:rsidR="00D44D38" w:rsidRPr="00BA20D0">
        <w:rPr>
          <w:i/>
        </w:rPr>
        <w:t> </w:t>
      </w:r>
      <w:r w:rsidR="00C26F2A" w:rsidRPr="00BA20D0">
        <w:rPr>
          <w:i/>
        </w:rPr>
        <w:t xml:space="preserve">x ULN. Of note, 12 of these patients remained on </w:t>
      </w:r>
      <w:proofErr w:type="spellStart"/>
      <w:r w:rsidR="00C26F2A" w:rsidRPr="00BA20D0">
        <w:rPr>
          <w:i/>
        </w:rPr>
        <w:t>pirfenidone</w:t>
      </w:r>
      <w:proofErr w:type="spellEnd"/>
      <w:r w:rsidR="00C26F2A" w:rsidRPr="00BA20D0">
        <w:rPr>
          <w:i/>
        </w:rPr>
        <w:t xml:space="preserve"> until study completion, with 7 on a full dose, and 5 on a reduced dose. In the overall safety database, ALT and AST elevations were infrequent, but occurred in a</w:t>
      </w:r>
      <w:r w:rsidR="00D44D38" w:rsidRPr="00BA20D0">
        <w:rPr>
          <w:i/>
        </w:rPr>
        <w:t xml:space="preserve"> </w:t>
      </w:r>
      <w:r w:rsidR="00C26F2A" w:rsidRPr="00BA20D0">
        <w:rPr>
          <w:i/>
        </w:rPr>
        <w:t xml:space="preserve">larger proportion of patients on </w:t>
      </w:r>
      <w:proofErr w:type="spellStart"/>
      <w:r w:rsidR="00C26F2A" w:rsidRPr="00BA20D0">
        <w:rPr>
          <w:i/>
        </w:rPr>
        <w:t>pirfenidone</w:t>
      </w:r>
      <w:proofErr w:type="spellEnd"/>
      <w:r w:rsidR="00C26F2A" w:rsidRPr="00BA20D0">
        <w:rPr>
          <w:i/>
        </w:rPr>
        <w:t xml:space="preserve"> than on placebo. For example, AST elevations 3</w:t>
      </w:r>
      <w:r w:rsidR="00A01360" w:rsidRPr="00BA20D0">
        <w:rPr>
          <w:i/>
        </w:rPr>
        <w:t> to </w:t>
      </w:r>
      <w:r w:rsidR="00C26F2A" w:rsidRPr="00BA20D0">
        <w:rPr>
          <w:i/>
        </w:rPr>
        <w:t xml:space="preserve">5 times of normal were reported in 1.3% and 0.5% in </w:t>
      </w:r>
      <w:proofErr w:type="spellStart"/>
      <w:r w:rsidR="00C26F2A" w:rsidRPr="00BA20D0">
        <w:rPr>
          <w:i/>
        </w:rPr>
        <w:t>pirfenidone</w:t>
      </w:r>
      <w:proofErr w:type="spellEnd"/>
      <w:r w:rsidR="00C26F2A" w:rsidRPr="00BA20D0">
        <w:rPr>
          <w:i/>
        </w:rPr>
        <w:t xml:space="preserve"> and placebo treated patients, respectively; and ALT elevations 3</w:t>
      </w:r>
      <w:r w:rsidR="00D44D38" w:rsidRPr="00BA20D0">
        <w:rPr>
          <w:i/>
        </w:rPr>
        <w:t> to </w:t>
      </w:r>
      <w:r w:rsidR="00C26F2A" w:rsidRPr="00BA20D0">
        <w:rPr>
          <w:i/>
        </w:rPr>
        <w:t xml:space="preserve">5 times of normal were reported in 1.9% and 0.3% in </w:t>
      </w:r>
      <w:proofErr w:type="spellStart"/>
      <w:r w:rsidR="00C26F2A" w:rsidRPr="00BA20D0">
        <w:rPr>
          <w:i/>
        </w:rPr>
        <w:t>pirfenidone</w:t>
      </w:r>
      <w:proofErr w:type="spellEnd"/>
      <w:r w:rsidR="00C26F2A" w:rsidRPr="00BA20D0">
        <w:rPr>
          <w:i/>
        </w:rPr>
        <w:t xml:space="preserve"> and placebo treated patients, respectively. Elevation of AST or ALT along with elevation of bilirubin was reported in one patient who had Gilber</w:t>
      </w:r>
      <w:r w:rsidR="00D44D38" w:rsidRPr="00BA20D0">
        <w:rPr>
          <w:i/>
        </w:rPr>
        <w:t>t’s disease as described above’</w:t>
      </w:r>
      <w:r w:rsidR="00D44D38" w:rsidRPr="00A01360">
        <w:t>.</w:t>
      </w:r>
    </w:p>
    <w:p w:rsidR="00C26F2A" w:rsidRPr="00A01360" w:rsidRDefault="00C26F2A" w:rsidP="00C26F2A">
      <w:r w:rsidRPr="00A01360">
        <w:lastRenderedPageBreak/>
        <w:t xml:space="preserve">The </w:t>
      </w:r>
      <w:r w:rsidR="00C301FF">
        <w:t xml:space="preserve">clinical </w:t>
      </w:r>
      <w:r w:rsidRPr="00A01360">
        <w:t xml:space="preserve">evaluator requested that the </w:t>
      </w:r>
      <w:r w:rsidR="00D44D38" w:rsidRPr="00A01360">
        <w:t>‘</w:t>
      </w:r>
      <w:r w:rsidRPr="00A01360">
        <w:t xml:space="preserve">Precautionary </w:t>
      </w:r>
      <w:r w:rsidR="00D44D38" w:rsidRPr="00A01360">
        <w:t>S</w:t>
      </w:r>
      <w:r w:rsidRPr="00A01360">
        <w:t>tatements</w:t>
      </w:r>
      <w:r w:rsidR="00D44D38" w:rsidRPr="00A01360">
        <w:t>’</w:t>
      </w:r>
      <w:r w:rsidRPr="00A01360">
        <w:t xml:space="preserve"> which are contained in the US monograph be included in the Australian</w:t>
      </w:r>
      <w:r w:rsidR="00D44D38" w:rsidRPr="00A01360">
        <w:t xml:space="preserve"> PI. The sponsor has complied.</w:t>
      </w:r>
    </w:p>
    <w:p w:rsidR="00C26F2A" w:rsidRPr="00A01360" w:rsidRDefault="00C26F2A" w:rsidP="00C26F2A">
      <w:r w:rsidRPr="00A01360">
        <w:t xml:space="preserve">Photosensitivity reaction was reported for 9.3% of </w:t>
      </w:r>
      <w:proofErr w:type="spellStart"/>
      <w:r w:rsidRPr="00A01360">
        <w:t>pirfenidone</w:t>
      </w:r>
      <w:proofErr w:type="spellEnd"/>
      <w:r w:rsidRPr="00A01360">
        <w:t xml:space="preserve"> patients and 1.1% of placebo patients in the randomised patient subset, most within the initial 6 months. The PI notes that patients must be protected from sunlight.</w:t>
      </w:r>
    </w:p>
    <w:p w:rsidR="00C26F2A" w:rsidRPr="00A01360" w:rsidRDefault="00C26F2A" w:rsidP="000D6CE8">
      <w:pPr>
        <w:spacing w:before="240"/>
      </w:pPr>
      <w:r w:rsidRPr="00A01360">
        <w:t xml:space="preserve">The most common GI adverse events reported more frequently in </w:t>
      </w:r>
      <w:proofErr w:type="spellStart"/>
      <w:r w:rsidRPr="00A01360">
        <w:t>pirfenidone</w:t>
      </w:r>
      <w:proofErr w:type="spellEnd"/>
      <w:r w:rsidRPr="00A01360">
        <w:t xml:space="preserve"> patients</w:t>
      </w:r>
      <w:r w:rsidR="00D44D38" w:rsidRPr="00A01360">
        <w:t xml:space="preserve"> </w:t>
      </w:r>
      <w:r w:rsidRPr="00A01360">
        <w:t>when compared with placebo included nausea (36% versus 16%), diarrhoea (26% versus 20%),</w:t>
      </w:r>
      <w:r w:rsidR="00D44D38" w:rsidRPr="00A01360">
        <w:t xml:space="preserve"> </w:t>
      </w:r>
      <w:r w:rsidRPr="00A01360">
        <w:t xml:space="preserve">dyspepsia (19% versus 7%), vomiting (13% versus 6.3%), and </w:t>
      </w:r>
      <w:r w:rsidR="000D6CE8">
        <w:t>gastro</w:t>
      </w:r>
      <w:r w:rsidR="000D6CE8">
        <w:noBreakHyphen/>
        <w:t>oesophageal reflux disease (</w:t>
      </w:r>
      <w:r w:rsidRPr="000D6CE8">
        <w:t>G</w:t>
      </w:r>
      <w:r w:rsidR="00D44D38" w:rsidRPr="000D6CE8">
        <w:t>O</w:t>
      </w:r>
      <w:r w:rsidRPr="000D6CE8">
        <w:t>RD</w:t>
      </w:r>
      <w:r w:rsidR="000D6CE8" w:rsidRPr="000D6CE8">
        <w:t xml:space="preserve"> </w:t>
      </w:r>
      <w:r w:rsidRPr="00A01360">
        <w:t>(11% versus</w:t>
      </w:r>
      <w:r w:rsidR="00D44D38" w:rsidRPr="00A01360">
        <w:t xml:space="preserve"> 7%).</w:t>
      </w:r>
    </w:p>
    <w:p w:rsidR="00EC16A6" w:rsidRPr="00A01360" w:rsidRDefault="00C26F2A" w:rsidP="004500A7">
      <w:r w:rsidRPr="00A01360">
        <w:t>The evaluator concludes that the overall safety profile is acceptable. The evaluator also states that the occurrence of adverse events may be dealt with by dose titration. Some serious events require prompt assessment. PI recommendations sought to address these issues have been addressed</w:t>
      </w:r>
      <w:r w:rsidR="00D44D38" w:rsidRPr="00A01360">
        <w:t xml:space="preserve"> satisfactorily by the sponsor.</w:t>
      </w:r>
    </w:p>
    <w:p w:rsidR="00E36223" w:rsidRPr="00A01360" w:rsidRDefault="00E36223" w:rsidP="00E36223">
      <w:pPr>
        <w:pStyle w:val="Heading4"/>
        <w:rPr>
          <w:szCs w:val="22"/>
        </w:rPr>
      </w:pPr>
      <w:r w:rsidRPr="00A01360">
        <w:t>Clinical evaluator’s questions</w:t>
      </w:r>
    </w:p>
    <w:p w:rsidR="00E36223" w:rsidRPr="00A01360" w:rsidRDefault="00E36223" w:rsidP="00E36223">
      <w:r w:rsidRPr="00A01360">
        <w:t xml:space="preserve">The </w:t>
      </w:r>
      <w:r w:rsidR="001101A5">
        <w:t xml:space="preserve">clinical </w:t>
      </w:r>
      <w:r w:rsidRPr="00A01360">
        <w:t>evaluator recommended several PI amendments that were adopted by the sponsor.</w:t>
      </w:r>
    </w:p>
    <w:p w:rsidR="00E36223" w:rsidRPr="00A01360" w:rsidRDefault="00E36223" w:rsidP="00E36223">
      <w:r w:rsidRPr="00A01360">
        <w:t>The</w:t>
      </w:r>
      <w:r w:rsidR="001101A5">
        <w:t xml:space="preserve"> clinical</w:t>
      </w:r>
      <w:r w:rsidRPr="00A01360">
        <w:t xml:space="preserve"> evaluator also requested clarifications relating to some aspects of efficacy and safety, of note, the discrepancy between the EMA approval of the indication of ‘</w:t>
      </w:r>
      <w:r w:rsidRPr="00526DBA">
        <w:rPr>
          <w:i/>
        </w:rPr>
        <w:t>mild to moderate IPF’</w:t>
      </w:r>
      <w:r w:rsidRPr="00A01360">
        <w:rPr>
          <w:i/>
        </w:rPr>
        <w:t xml:space="preserve"> </w:t>
      </w:r>
      <w:r w:rsidRPr="00A01360">
        <w:t xml:space="preserve">and the proposed indication in Australia of </w:t>
      </w:r>
      <w:r w:rsidRPr="00526DBA">
        <w:rPr>
          <w:i/>
        </w:rPr>
        <w:t>‘treatment of IPF’</w:t>
      </w:r>
      <w:r w:rsidRPr="00A01360">
        <w:t xml:space="preserve">. The sponsor’s response states that this is consistent with the data provided to the FDA (inclusion of an additional </w:t>
      </w:r>
      <w:r w:rsidR="00E60988">
        <w:t>S</w:t>
      </w:r>
      <w:r w:rsidRPr="00A01360">
        <w:t>tudy PIPF</w:t>
      </w:r>
      <w:r w:rsidR="00512591">
        <w:noBreakHyphen/>
      </w:r>
      <w:r w:rsidRPr="00A01360">
        <w:t>016) where patients with greater likelihood of disease progression were included. This was considered acceptable by the</w:t>
      </w:r>
      <w:r w:rsidR="00512591">
        <w:t xml:space="preserve"> clinical</w:t>
      </w:r>
      <w:r w:rsidRPr="00A01360">
        <w:t xml:space="preserve"> evaluator.</w:t>
      </w:r>
    </w:p>
    <w:p w:rsidR="00512591" w:rsidRDefault="00512591" w:rsidP="00512591">
      <w:pPr>
        <w:pStyle w:val="Heading5"/>
      </w:pPr>
      <w:r>
        <w:t>Overall benefits</w:t>
      </w:r>
    </w:p>
    <w:p w:rsidR="00E36223" w:rsidRPr="00A01360" w:rsidRDefault="00E36223" w:rsidP="00E36223">
      <w:r w:rsidRPr="00A01360">
        <w:t>There was an improvement in relation to the primary efficacy endpoint, reduction in the decline of percent predicted FVC; there was also a suggestion of reduction in mortality in the pooled clinical studies.</w:t>
      </w:r>
    </w:p>
    <w:p w:rsidR="00512591" w:rsidRDefault="00512591" w:rsidP="00512591">
      <w:pPr>
        <w:pStyle w:val="Heading5"/>
      </w:pPr>
      <w:r>
        <w:t>Overall risks</w:t>
      </w:r>
    </w:p>
    <w:p w:rsidR="00E36223" w:rsidRPr="00A01360" w:rsidRDefault="00E36223" w:rsidP="00E36223">
      <w:r w:rsidRPr="00A01360">
        <w:t>Drug interactions are mentioned; other events (CNS, GI and hepatic events) were well characterised.</w:t>
      </w:r>
    </w:p>
    <w:p w:rsidR="00512591" w:rsidRDefault="00E36223" w:rsidP="00512591">
      <w:pPr>
        <w:pStyle w:val="Heading5"/>
      </w:pPr>
      <w:r w:rsidRPr="00A01360">
        <w:t>Overall risk</w:t>
      </w:r>
      <w:r w:rsidR="00512591">
        <w:t>-benefit assessment</w:t>
      </w:r>
    </w:p>
    <w:p w:rsidR="00D44D38" w:rsidRPr="00A01360" w:rsidRDefault="00512591" w:rsidP="00D44D38">
      <w:r>
        <w:t>The clinical evaluator</w:t>
      </w:r>
      <w:r w:rsidR="00E36223" w:rsidRPr="00A01360">
        <w:t xml:space="preserve"> deemed </w:t>
      </w:r>
      <w:r>
        <w:t xml:space="preserve">that overall the risk-benefit balance was </w:t>
      </w:r>
      <w:r w:rsidR="00E36223" w:rsidRPr="00A01360">
        <w:t>favourable.</w:t>
      </w:r>
    </w:p>
    <w:p w:rsidR="008E7846" w:rsidRPr="002331BA" w:rsidRDefault="00386150" w:rsidP="00681DD9">
      <w:pPr>
        <w:pStyle w:val="Heading3"/>
        <w:rPr>
          <w:lang w:eastAsia="en-AU"/>
        </w:rPr>
      </w:pPr>
      <w:bookmarkStart w:id="166" w:name="_Toc453068515"/>
      <w:r w:rsidRPr="002331BA">
        <w:rPr>
          <w:lang w:eastAsia="en-AU"/>
        </w:rPr>
        <w:t>Risk m</w:t>
      </w:r>
      <w:r w:rsidR="008E7846" w:rsidRPr="002331BA">
        <w:rPr>
          <w:lang w:eastAsia="en-AU"/>
        </w:rPr>
        <w:t xml:space="preserve">anagement </w:t>
      </w:r>
      <w:r w:rsidRPr="002331BA">
        <w:rPr>
          <w:lang w:eastAsia="en-AU"/>
        </w:rPr>
        <w:t>p</w:t>
      </w:r>
      <w:r w:rsidR="008E7846" w:rsidRPr="002331BA">
        <w:rPr>
          <w:lang w:eastAsia="en-AU"/>
        </w:rPr>
        <w:t>lan</w:t>
      </w:r>
      <w:bookmarkEnd w:id="165"/>
      <w:bookmarkEnd w:id="166"/>
    </w:p>
    <w:p w:rsidR="001101A5" w:rsidRPr="00CB04C6" w:rsidRDefault="001101A5" w:rsidP="00526DBA">
      <w:pPr>
        <w:pStyle w:val="Heading4"/>
      </w:pPr>
      <w:r w:rsidRPr="00CB04C6">
        <w:t>RMP evaluation</w:t>
      </w:r>
    </w:p>
    <w:p w:rsidR="001101A5" w:rsidRPr="00CB04C6" w:rsidRDefault="001101A5" w:rsidP="00CB04C6">
      <w:r w:rsidRPr="00CB04C6">
        <w:t>Overall, there are no significant outstanding issues. The sponsor is requested to provide the draft education materials to TGA before approval/launch.</w:t>
      </w:r>
    </w:p>
    <w:p w:rsidR="001101A5" w:rsidRPr="00CB04C6" w:rsidRDefault="001101A5" w:rsidP="00CB04C6">
      <w:r w:rsidRPr="00CB04C6">
        <w:t>This submission was considered by ACSOM at a recent meeting. The draft minutes state that in relation to monitoring and management of photosensitivity reaction and rashes and in relation to hepatic related events that strategies to be implemented in the EU, including mail outs to healthcare practitioners is also appropriate to undertake in Australia.</w:t>
      </w:r>
    </w:p>
    <w:p w:rsidR="008E7846" w:rsidRPr="00A01360" w:rsidRDefault="00AA0ED0" w:rsidP="008E7846">
      <w:pPr>
        <w:pStyle w:val="Heading3"/>
      </w:pPr>
      <w:bookmarkStart w:id="167" w:name="_Toc247691531"/>
      <w:bookmarkStart w:id="168" w:name="_Toc314842515"/>
      <w:bookmarkStart w:id="169" w:name="_Toc453068516"/>
      <w:bookmarkStart w:id="170" w:name="_Toc196046505"/>
      <w:bookmarkStart w:id="171" w:name="_Toc196046949"/>
      <w:r w:rsidRPr="00A01360">
        <w:lastRenderedPageBreak/>
        <w:t>Risk-benefit a</w:t>
      </w:r>
      <w:r w:rsidR="008E7846" w:rsidRPr="00A01360">
        <w:t>nalysis</w:t>
      </w:r>
      <w:bookmarkEnd w:id="167"/>
      <w:bookmarkEnd w:id="168"/>
      <w:bookmarkEnd w:id="169"/>
    </w:p>
    <w:p w:rsidR="00DD68B5" w:rsidRDefault="00DD68B5" w:rsidP="00DD68B5">
      <w:pPr>
        <w:pStyle w:val="Heading4"/>
      </w:pPr>
      <w:r>
        <w:t>Issues</w:t>
      </w:r>
    </w:p>
    <w:p w:rsidR="00E36223" w:rsidRDefault="00E36223" w:rsidP="00E36223">
      <w:r w:rsidRPr="00A01360">
        <w:t xml:space="preserve">There is an outstanding concern identified in the </w:t>
      </w:r>
      <w:r w:rsidR="00B05183">
        <w:t>quality</w:t>
      </w:r>
      <w:r w:rsidR="00B05183" w:rsidRPr="00A01360">
        <w:t xml:space="preserve"> </w:t>
      </w:r>
      <w:r w:rsidR="004C2D53">
        <w:t>evaluation regarding t</w:t>
      </w:r>
      <w:r w:rsidRPr="00A01360">
        <w:t xml:space="preserve">he proposed limit </w:t>
      </w:r>
      <w:r w:rsidR="004C2D53">
        <w:t xml:space="preserve">of </w:t>
      </w:r>
      <w:r w:rsidR="00812C76">
        <w:t>impurity</w:t>
      </w:r>
      <w:r w:rsidR="009549F8">
        <w:t xml:space="preserve"> D</w:t>
      </w:r>
      <w:r w:rsidRPr="00A01360">
        <w:t xml:space="preserve"> in the drug substance</w:t>
      </w:r>
      <w:r w:rsidR="00B72A91">
        <w:t xml:space="preserve">, </w:t>
      </w:r>
      <w:r w:rsidRPr="00A01360">
        <w:t xml:space="preserve">NMT than 0.05% </w:t>
      </w:r>
      <w:r w:rsidR="004C2D53">
        <w:t xml:space="preserve">that </w:t>
      </w:r>
      <w:r w:rsidR="00744158">
        <w:t>has not been qualified (</w:t>
      </w:r>
      <w:r w:rsidR="009549F8">
        <w:t xml:space="preserve">the </w:t>
      </w:r>
      <w:r w:rsidR="00812C76">
        <w:t>specified impurity</w:t>
      </w:r>
      <w:r w:rsidR="00B05183">
        <w:t xml:space="preserve"> </w:t>
      </w:r>
      <w:r w:rsidRPr="00A01360">
        <w:t>is genotoxic (</w:t>
      </w:r>
      <w:proofErr w:type="spellStart"/>
      <w:r w:rsidRPr="00A01360">
        <w:t>clastogenic</w:t>
      </w:r>
      <w:proofErr w:type="spellEnd"/>
      <w:r w:rsidRPr="00A01360">
        <w:t>) and closely related to be</w:t>
      </w:r>
      <w:r w:rsidR="00744158">
        <w:t>nzene, a known human carcinogen</w:t>
      </w:r>
      <w:r w:rsidR="00B05183">
        <w:t>)</w:t>
      </w:r>
      <w:r w:rsidR="00744158">
        <w:t>.</w:t>
      </w:r>
      <w:r w:rsidR="009549F8" w:rsidRPr="00FB02BB">
        <w:rPr>
          <w:i/>
          <w:vertAlign w:val="superscript"/>
        </w:rPr>
        <w:fldChar w:fldCharType="begin"/>
      </w:r>
      <w:r w:rsidR="009549F8" w:rsidRPr="00FB02BB">
        <w:rPr>
          <w:i/>
          <w:vertAlign w:val="superscript"/>
        </w:rPr>
        <w:instrText xml:space="preserve"> NOTEREF _Ref455588256 \h </w:instrText>
      </w:r>
      <w:r w:rsidR="009549F8">
        <w:rPr>
          <w:i/>
          <w:vertAlign w:val="superscript"/>
        </w:rPr>
        <w:instrText xml:space="preserve"> \* MERGEFORMAT </w:instrText>
      </w:r>
      <w:r w:rsidR="009549F8" w:rsidRPr="00FB02BB">
        <w:rPr>
          <w:i/>
          <w:vertAlign w:val="superscript"/>
        </w:rPr>
      </w:r>
      <w:r w:rsidR="009549F8" w:rsidRPr="00FB02BB">
        <w:rPr>
          <w:i/>
          <w:vertAlign w:val="superscript"/>
        </w:rPr>
        <w:fldChar w:fldCharType="separate"/>
      </w:r>
      <w:r w:rsidR="007A22E8">
        <w:rPr>
          <w:i/>
          <w:vertAlign w:val="superscript"/>
        </w:rPr>
        <w:t>3</w:t>
      </w:r>
      <w:r w:rsidR="009549F8" w:rsidRPr="00FB02BB">
        <w:rPr>
          <w:i/>
          <w:vertAlign w:val="superscript"/>
        </w:rPr>
        <w:fldChar w:fldCharType="end"/>
      </w:r>
      <w:r w:rsidRPr="00A01360">
        <w:t xml:space="preserve"> On the basis of the toxicological advice, the </w:t>
      </w:r>
      <w:r w:rsidR="00B05183">
        <w:t>permitted daily exposure (</w:t>
      </w:r>
      <w:r w:rsidRPr="00A01360">
        <w:t>PDE</w:t>
      </w:r>
      <w:r w:rsidR="00B05183">
        <w:t>)</w:t>
      </w:r>
      <w:r w:rsidRPr="00A01360">
        <w:t xml:space="preserve"> limit for </w:t>
      </w:r>
      <w:r w:rsidR="009549F8">
        <w:t xml:space="preserve">the </w:t>
      </w:r>
      <w:r w:rsidR="00812C76">
        <w:t>specified impurity</w:t>
      </w:r>
      <w:r w:rsidRPr="00A01360">
        <w:t xml:space="preserve"> in </w:t>
      </w:r>
      <w:proofErr w:type="spellStart"/>
      <w:r w:rsidRPr="00A01360">
        <w:t>pirfenidone</w:t>
      </w:r>
      <w:proofErr w:type="spellEnd"/>
      <w:r w:rsidRPr="00A01360">
        <w:t xml:space="preserve"> drug substance is </w:t>
      </w:r>
      <w:proofErr w:type="gramStart"/>
      <w:r w:rsidRPr="00A01360">
        <w:t xml:space="preserve">133 µg/day </w:t>
      </w:r>
      <w:r w:rsidR="005B1049" w:rsidRPr="00A01360">
        <w:t>at</w:t>
      </w:r>
      <w:r w:rsidRPr="00A01360">
        <w:t xml:space="preserve"> the maximum recommended </w:t>
      </w:r>
      <w:r w:rsidR="005B1049" w:rsidRPr="00A01360">
        <w:t xml:space="preserve">drug </w:t>
      </w:r>
      <w:r w:rsidRPr="00A01360">
        <w:t xml:space="preserve">dose of </w:t>
      </w:r>
      <w:r w:rsidR="00C6681F">
        <w:t>2,403</w:t>
      </w:r>
      <w:r w:rsidRPr="00A01360">
        <w:t xml:space="preserve"> mg/day</w:t>
      </w:r>
      <w:proofErr w:type="gramEnd"/>
      <w:r w:rsidRPr="00A01360">
        <w:t xml:space="preserve">. This corresponds to a maximum limit of 0.0055% of </w:t>
      </w:r>
      <w:r w:rsidR="009549F8">
        <w:t xml:space="preserve">the </w:t>
      </w:r>
      <w:r w:rsidR="00812C76">
        <w:t>specified impurity</w:t>
      </w:r>
      <w:r w:rsidRPr="00A01360">
        <w:t xml:space="preserve"> in the drug substance. Clearly, the proposed limit exceeds the permitted daily dose. The sponsor should reduce t</w:t>
      </w:r>
      <w:r w:rsidR="005B1049" w:rsidRPr="00A01360">
        <w:t>he limit to acceptable levels.</w:t>
      </w:r>
    </w:p>
    <w:p w:rsidR="00B05183" w:rsidRDefault="00B05183" w:rsidP="00E36223">
      <w:r>
        <w:t>T</w:t>
      </w:r>
      <w:r w:rsidRPr="00B05183">
        <w:t>his issue has not been identified in the EU and FDA reports regarding the same product.</w:t>
      </w:r>
    </w:p>
    <w:p w:rsidR="004C2D53" w:rsidRPr="00A01360" w:rsidRDefault="004C2D53" w:rsidP="00E36223">
      <w:r w:rsidRPr="00A01360">
        <w:t xml:space="preserve">In view of the significant morbidity associated with IPF and the fact that the median survival after diagnosis is 2 to 5 years, </w:t>
      </w:r>
      <w:r w:rsidR="00B05183">
        <w:t>the Delegate is</w:t>
      </w:r>
      <w:r w:rsidRPr="00A01360">
        <w:t xml:space="preserve"> of the opinion that this formulation of </w:t>
      </w:r>
      <w:proofErr w:type="spellStart"/>
      <w:r w:rsidRPr="00A01360">
        <w:t>p</w:t>
      </w:r>
      <w:r>
        <w:t>i</w:t>
      </w:r>
      <w:r w:rsidRPr="00A01360">
        <w:t>rfenidone</w:t>
      </w:r>
      <w:proofErr w:type="spellEnd"/>
      <w:r w:rsidRPr="00A01360">
        <w:t xml:space="preserve"> can be registered at the present time. However, the sponsor should reduce the impurity limit to safe levels and this should </w:t>
      </w:r>
      <w:r>
        <w:t>be a condition of registration.</w:t>
      </w:r>
    </w:p>
    <w:p w:rsidR="00DD68B5" w:rsidRPr="00A01360" w:rsidRDefault="00DD68B5" w:rsidP="00DD68B5">
      <w:pPr>
        <w:pStyle w:val="Heading4"/>
      </w:pPr>
      <w:r w:rsidRPr="00A01360">
        <w:t>Delegate’s considerations</w:t>
      </w:r>
    </w:p>
    <w:p w:rsidR="00DD68B5" w:rsidRPr="00A01360" w:rsidRDefault="00DD68B5" w:rsidP="00E36223">
      <w:r>
        <w:t>The D</w:t>
      </w:r>
      <w:r w:rsidRPr="00A01360">
        <w:t>elegate agrees with the clinical evaluator that the risk</w:t>
      </w:r>
      <w:r w:rsidRPr="00A01360">
        <w:noBreakHyphen/>
        <w:t xml:space="preserve">benefit profile is satisfactory to warrant the registration of </w:t>
      </w:r>
      <w:proofErr w:type="spellStart"/>
      <w:r w:rsidRPr="00A01360">
        <w:t>pirfenidone</w:t>
      </w:r>
      <w:proofErr w:type="spellEnd"/>
      <w:r w:rsidRPr="00A01360">
        <w:t xml:space="preserve"> (as Esbriet) at the specified doses for IPF.</w:t>
      </w:r>
    </w:p>
    <w:p w:rsidR="00D23139" w:rsidRDefault="00D23139" w:rsidP="00D23139">
      <w:pPr>
        <w:pStyle w:val="Heading4"/>
      </w:pPr>
      <w:r w:rsidRPr="00A01360">
        <w:t>Proposed action</w:t>
      </w:r>
    </w:p>
    <w:p w:rsidR="00E36223" w:rsidRPr="00FA60A1" w:rsidRDefault="00FA60A1" w:rsidP="00FA60A1">
      <w:r>
        <w:t>The Delegate had n</w:t>
      </w:r>
      <w:r w:rsidR="00E36223" w:rsidRPr="00FA60A1">
        <w:rPr>
          <w:bCs/>
        </w:rPr>
        <w:t xml:space="preserve">o reason to say, at this time, that the application for </w:t>
      </w:r>
      <w:r>
        <w:rPr>
          <w:bCs/>
        </w:rPr>
        <w:t>Esbriet</w:t>
      </w:r>
      <w:r w:rsidR="00E36223" w:rsidRPr="00FA60A1">
        <w:rPr>
          <w:bCs/>
        </w:rPr>
        <w:t xml:space="preserve"> should no</w:t>
      </w:r>
      <w:r>
        <w:rPr>
          <w:bCs/>
        </w:rPr>
        <w:t>t be approved for registration.</w:t>
      </w:r>
    </w:p>
    <w:p w:rsidR="00D23139" w:rsidRPr="00A01360" w:rsidRDefault="00D23139" w:rsidP="00D23139">
      <w:pPr>
        <w:pStyle w:val="Heading4"/>
      </w:pPr>
      <w:r w:rsidRPr="00A01360">
        <w:t>Request for ACPM advice</w:t>
      </w:r>
    </w:p>
    <w:p w:rsidR="00E36223" w:rsidRPr="00A01360" w:rsidRDefault="00E36223" w:rsidP="00E36223">
      <w:r w:rsidRPr="00A01360">
        <w:t xml:space="preserve">The </w:t>
      </w:r>
      <w:r w:rsidR="004C2D53">
        <w:t>committee was requested by the Delegate to provide advice on the following specific issues:</w:t>
      </w:r>
    </w:p>
    <w:p w:rsidR="00E36223" w:rsidRPr="00A01360" w:rsidRDefault="00E36223" w:rsidP="00381256">
      <w:pPr>
        <w:pStyle w:val="Numberbullet0"/>
        <w:numPr>
          <w:ilvl w:val="0"/>
          <w:numId w:val="7"/>
        </w:numPr>
      </w:pPr>
      <w:r w:rsidRPr="00A01360">
        <w:t>Does the Committee agree with the Delegate t</w:t>
      </w:r>
      <w:r w:rsidR="005B1049" w:rsidRPr="00A01360">
        <w:t xml:space="preserve">hat the risk benefit profile is </w:t>
      </w:r>
      <w:r w:rsidRPr="00A01360">
        <w:t xml:space="preserve">acceptable given that there is a toxicological concern expressed on the limit set for </w:t>
      </w:r>
      <w:r w:rsidR="005C2815">
        <w:t xml:space="preserve">the specified </w:t>
      </w:r>
      <w:r w:rsidRPr="00A01360">
        <w:t>impurity?</w:t>
      </w:r>
    </w:p>
    <w:p w:rsidR="00E36223" w:rsidRPr="00A01360" w:rsidRDefault="00E36223" w:rsidP="00381256">
      <w:pPr>
        <w:pStyle w:val="Numberbullet0"/>
        <w:numPr>
          <w:ilvl w:val="0"/>
          <w:numId w:val="7"/>
        </w:numPr>
      </w:pPr>
      <w:r w:rsidRPr="00A01360">
        <w:t xml:space="preserve">Does the Committee agree that in relation to monitoring and management of photosensitivity reactions and rashes and in relation </w:t>
      </w:r>
      <w:r w:rsidR="003E7220">
        <w:t xml:space="preserve">to hepatic related events, </w:t>
      </w:r>
      <w:proofErr w:type="gramStart"/>
      <w:r w:rsidR="003E7220">
        <w:t xml:space="preserve">that </w:t>
      </w:r>
      <w:r w:rsidRPr="00A01360">
        <w:t>strategies</w:t>
      </w:r>
      <w:proofErr w:type="gramEnd"/>
      <w:r w:rsidRPr="00A01360">
        <w:t xml:space="preserve"> to be implemented in the EU including mail</w:t>
      </w:r>
      <w:r w:rsidR="00B05183">
        <w:t xml:space="preserve"> </w:t>
      </w:r>
      <w:r w:rsidRPr="00A01360">
        <w:t>outs to healthcare practitioners, is also appropriate to undertake in Australia?</w:t>
      </w:r>
    </w:p>
    <w:p w:rsidR="00D23139" w:rsidRDefault="003E7220" w:rsidP="00D46E2B">
      <w:pPr>
        <w:pStyle w:val="Heading4"/>
      </w:pPr>
      <w:r>
        <w:t>Response from sponsor to issues raised by the Delegate</w:t>
      </w:r>
    </w:p>
    <w:p w:rsidR="005B1049" w:rsidRPr="00CB04C6" w:rsidRDefault="005B1049" w:rsidP="00CB04C6">
      <w:r w:rsidRPr="00CB04C6">
        <w:t>Roche</w:t>
      </w:r>
      <w:r w:rsidR="003E7220" w:rsidRPr="00CB04C6">
        <w:t xml:space="preserve"> (the sponsor)</w:t>
      </w:r>
      <w:r w:rsidRPr="00CB04C6">
        <w:t xml:space="preserve"> agrees with the TGA’s assessment that the risk benefit profile of Esbriet is satisfactory to warrant the registration at the specified doses for idiopathic pulmonary fibrosis.</w:t>
      </w:r>
    </w:p>
    <w:p w:rsidR="00B05183" w:rsidRPr="000D6CE8" w:rsidRDefault="00B05183" w:rsidP="00CB04C6">
      <w:r w:rsidRPr="000D6CE8">
        <w:t>Roche notes the Delegate’s Summary of Issues and requests for ACPM advice in relation to:</w:t>
      </w:r>
    </w:p>
    <w:p w:rsidR="00B05183" w:rsidRPr="000D6CE8" w:rsidRDefault="00B05183" w:rsidP="00381256">
      <w:pPr>
        <w:pStyle w:val="Numberbullet0"/>
        <w:numPr>
          <w:ilvl w:val="0"/>
          <w:numId w:val="10"/>
        </w:numPr>
        <w:rPr>
          <w:i/>
        </w:rPr>
      </w:pPr>
      <w:r w:rsidRPr="000D6CE8">
        <w:rPr>
          <w:i/>
        </w:rPr>
        <w:t xml:space="preserve">Does the Committee agree with the Delegate that the risk benefit profile is acceptable given that there is a toxicological concern expressed on the limit set for </w:t>
      </w:r>
      <w:r w:rsidR="009549F8">
        <w:rPr>
          <w:i/>
        </w:rPr>
        <w:t>the specified</w:t>
      </w:r>
      <w:r w:rsidR="00485A90">
        <w:rPr>
          <w:i/>
        </w:rPr>
        <w:t xml:space="preserve"> </w:t>
      </w:r>
      <w:r w:rsidRPr="000D6CE8">
        <w:rPr>
          <w:i/>
        </w:rPr>
        <w:t>impurity</w:t>
      </w:r>
      <w:r w:rsidR="000D6CE8" w:rsidRPr="000D6CE8">
        <w:rPr>
          <w:i/>
        </w:rPr>
        <w:t xml:space="preserve"> </w:t>
      </w:r>
      <w:r w:rsidR="005C2815" w:rsidRPr="00485A90">
        <w:rPr>
          <w:i/>
          <w:strike/>
        </w:rPr>
        <w:t>[information redacted]</w:t>
      </w:r>
    </w:p>
    <w:p w:rsidR="00B05183" w:rsidRPr="00526DBA" w:rsidRDefault="00B05183" w:rsidP="00381256">
      <w:pPr>
        <w:pStyle w:val="Numberbullet0"/>
        <w:numPr>
          <w:ilvl w:val="0"/>
          <w:numId w:val="10"/>
        </w:numPr>
        <w:rPr>
          <w:i/>
        </w:rPr>
      </w:pPr>
      <w:r w:rsidRPr="00526DBA">
        <w:rPr>
          <w:i/>
        </w:rPr>
        <w:lastRenderedPageBreak/>
        <w:t>Does the Committee agree that in relation to monitoring and management of photosensitivity reactions and rashes and in relation to hepatic related events; that strategies to be implemented in the EU including mail outs to healthcare practitioners, is also appropriate to undertake in Australia?</w:t>
      </w:r>
    </w:p>
    <w:p w:rsidR="00B05183" w:rsidRPr="00CB04C6" w:rsidRDefault="00B05183" w:rsidP="00CB04C6">
      <w:r w:rsidRPr="00CB04C6">
        <w:t xml:space="preserve">The </w:t>
      </w:r>
      <w:r w:rsidR="00CE5AF2">
        <w:t>s</w:t>
      </w:r>
      <w:r w:rsidRPr="00CB04C6">
        <w:t>ponsors’ responses to the Delegate’s request for ACPM advice are included below:</w:t>
      </w:r>
    </w:p>
    <w:p w:rsidR="00B05183" w:rsidRPr="00CB04C6" w:rsidRDefault="00B05183" w:rsidP="00381256">
      <w:pPr>
        <w:pStyle w:val="Numberbullet0"/>
        <w:numPr>
          <w:ilvl w:val="0"/>
          <w:numId w:val="11"/>
        </w:numPr>
      </w:pPr>
      <w:r w:rsidRPr="00CB04C6">
        <w:t>Benefit Risk profile and</w:t>
      </w:r>
      <w:r w:rsidR="009549F8">
        <w:t xml:space="preserve"> the </w:t>
      </w:r>
      <w:r w:rsidR="00812C76">
        <w:t>specified impurity</w:t>
      </w:r>
      <w:r w:rsidR="009549F8" w:rsidRPr="00FB02BB">
        <w:rPr>
          <w:i/>
          <w:vertAlign w:val="superscript"/>
        </w:rPr>
        <w:fldChar w:fldCharType="begin"/>
      </w:r>
      <w:r w:rsidR="009549F8" w:rsidRPr="00FB02BB">
        <w:rPr>
          <w:i/>
          <w:vertAlign w:val="superscript"/>
        </w:rPr>
        <w:instrText xml:space="preserve"> NOTEREF _Ref455588256 \h </w:instrText>
      </w:r>
      <w:r w:rsidR="009549F8">
        <w:rPr>
          <w:i/>
          <w:vertAlign w:val="superscript"/>
        </w:rPr>
        <w:instrText xml:space="preserve"> \* MERGEFORMAT </w:instrText>
      </w:r>
      <w:r w:rsidR="009549F8" w:rsidRPr="00FB02BB">
        <w:rPr>
          <w:i/>
          <w:vertAlign w:val="superscript"/>
        </w:rPr>
      </w:r>
      <w:r w:rsidR="009549F8" w:rsidRPr="00FB02BB">
        <w:rPr>
          <w:i/>
          <w:vertAlign w:val="superscript"/>
        </w:rPr>
        <w:fldChar w:fldCharType="separate"/>
      </w:r>
      <w:r w:rsidR="007A22E8">
        <w:rPr>
          <w:i/>
          <w:vertAlign w:val="superscript"/>
        </w:rPr>
        <w:t>3</w:t>
      </w:r>
      <w:r w:rsidR="009549F8" w:rsidRPr="00FB02BB">
        <w:rPr>
          <w:i/>
          <w:vertAlign w:val="superscript"/>
        </w:rPr>
        <w:fldChar w:fldCharType="end"/>
      </w:r>
    </w:p>
    <w:p w:rsidR="00B05183" w:rsidRPr="00CB04C6" w:rsidRDefault="00B05183" w:rsidP="00526DBA">
      <w:pPr>
        <w:pStyle w:val="Numberbullet2"/>
      </w:pPr>
      <w:r w:rsidRPr="00CB04C6">
        <w:t>Summary benefit risk profile</w:t>
      </w:r>
    </w:p>
    <w:p w:rsidR="00B05183" w:rsidRPr="00CB04C6" w:rsidRDefault="00B05183" w:rsidP="00526DBA">
      <w:pPr>
        <w:pStyle w:val="Numberbullet2"/>
      </w:pPr>
      <w:r w:rsidRPr="00CB04C6">
        <w:t>Overview of non-c</w:t>
      </w:r>
      <w:r w:rsidR="006E7E9F">
        <w:t>linical evaluations related to</w:t>
      </w:r>
      <w:r w:rsidR="00485A90">
        <w:t xml:space="preserve"> </w:t>
      </w:r>
      <w:r w:rsidR="009549F8">
        <w:t>the</w:t>
      </w:r>
      <w:r w:rsidRPr="00CB04C6">
        <w:t xml:space="preserve"> </w:t>
      </w:r>
      <w:r w:rsidR="00812C76">
        <w:t>specified impurity</w:t>
      </w:r>
    </w:p>
    <w:p w:rsidR="00B05183" w:rsidRPr="00CB04C6" w:rsidRDefault="00B05183" w:rsidP="00526DBA">
      <w:pPr>
        <w:pStyle w:val="Numberbullet2"/>
      </w:pPr>
      <w:r w:rsidRPr="00CB04C6">
        <w:t xml:space="preserve">Review of potential </w:t>
      </w:r>
      <w:proofErr w:type="spellStart"/>
      <w:r w:rsidRPr="00CB04C6">
        <w:t>clastogenic</w:t>
      </w:r>
      <w:proofErr w:type="spellEnd"/>
      <w:r w:rsidRPr="00CB04C6">
        <w:t xml:space="preserve"> cancer-related effects of </w:t>
      </w:r>
      <w:r w:rsidR="009549F8">
        <w:t xml:space="preserve">the </w:t>
      </w:r>
      <w:r w:rsidR="00812C76">
        <w:t>specified impurity</w:t>
      </w:r>
    </w:p>
    <w:p w:rsidR="00B05183" w:rsidRPr="00CB04C6" w:rsidRDefault="00B05183" w:rsidP="00526DBA">
      <w:pPr>
        <w:pStyle w:val="Numberbullet0"/>
      </w:pPr>
      <w:r w:rsidRPr="00CB04C6">
        <w:t>Monitoring and management of photosensitivity reactions and rashes and in relation to</w:t>
      </w:r>
      <w:r>
        <w:t xml:space="preserve"> </w:t>
      </w:r>
      <w:r w:rsidRPr="00CB04C6">
        <w:t>hepatic related events</w:t>
      </w:r>
    </w:p>
    <w:p w:rsidR="003E7220" w:rsidRPr="00D46E2B" w:rsidRDefault="00303768" w:rsidP="00381256">
      <w:pPr>
        <w:pStyle w:val="Numberbullet0"/>
        <w:numPr>
          <w:ilvl w:val="0"/>
          <w:numId w:val="12"/>
        </w:numPr>
      </w:pPr>
      <w:r w:rsidRPr="00526DBA">
        <w:rPr>
          <w:rFonts w:eastAsiaTheme="minorHAnsi"/>
          <w:b/>
          <w:i/>
        </w:rPr>
        <w:t>Benefit R</w:t>
      </w:r>
      <w:r w:rsidR="00744158">
        <w:rPr>
          <w:rFonts w:eastAsiaTheme="minorHAnsi"/>
          <w:b/>
          <w:i/>
        </w:rPr>
        <w:t xml:space="preserve">isk profile and </w:t>
      </w:r>
      <w:r w:rsidR="009549F8">
        <w:rPr>
          <w:rFonts w:eastAsiaTheme="minorHAnsi"/>
          <w:b/>
          <w:i/>
        </w:rPr>
        <w:t xml:space="preserve">the </w:t>
      </w:r>
      <w:r w:rsidR="00812C76">
        <w:rPr>
          <w:rFonts w:eastAsiaTheme="minorHAnsi"/>
          <w:b/>
          <w:i/>
        </w:rPr>
        <w:t>specified impurity</w:t>
      </w:r>
      <w:r w:rsidR="009549F8" w:rsidRPr="00FB02BB">
        <w:rPr>
          <w:i/>
          <w:vertAlign w:val="superscript"/>
        </w:rPr>
        <w:fldChar w:fldCharType="begin"/>
      </w:r>
      <w:r w:rsidR="009549F8" w:rsidRPr="00FB02BB">
        <w:rPr>
          <w:i/>
          <w:vertAlign w:val="superscript"/>
        </w:rPr>
        <w:instrText xml:space="preserve"> NOTEREF _Ref455588256 \h </w:instrText>
      </w:r>
      <w:r w:rsidR="009549F8">
        <w:rPr>
          <w:i/>
          <w:vertAlign w:val="superscript"/>
        </w:rPr>
        <w:instrText xml:space="preserve"> \* MERGEFORMAT </w:instrText>
      </w:r>
      <w:r w:rsidR="009549F8" w:rsidRPr="00FB02BB">
        <w:rPr>
          <w:i/>
          <w:vertAlign w:val="superscript"/>
        </w:rPr>
      </w:r>
      <w:r w:rsidR="009549F8" w:rsidRPr="00FB02BB">
        <w:rPr>
          <w:i/>
          <w:vertAlign w:val="superscript"/>
        </w:rPr>
        <w:fldChar w:fldCharType="separate"/>
      </w:r>
      <w:r w:rsidR="007A22E8">
        <w:rPr>
          <w:i/>
          <w:vertAlign w:val="superscript"/>
        </w:rPr>
        <w:t>3</w:t>
      </w:r>
      <w:r w:rsidR="009549F8" w:rsidRPr="00FB02BB">
        <w:rPr>
          <w:i/>
          <w:vertAlign w:val="superscript"/>
        </w:rPr>
        <w:fldChar w:fldCharType="end"/>
      </w:r>
    </w:p>
    <w:p w:rsidR="00303768" w:rsidRPr="00526DBA" w:rsidRDefault="00303768" w:rsidP="00526DBA">
      <w:pPr>
        <w:pStyle w:val="Numberbullet2"/>
        <w:rPr>
          <w:b/>
          <w:i/>
        </w:rPr>
      </w:pPr>
      <w:r w:rsidRPr="00526DBA">
        <w:rPr>
          <w:b/>
          <w:i/>
        </w:rPr>
        <w:t>Summary benefit risk profile</w:t>
      </w:r>
    </w:p>
    <w:p w:rsidR="003E7220" w:rsidRPr="008C1834" w:rsidRDefault="003E7220" w:rsidP="003E7220">
      <w:r w:rsidRPr="008C1834">
        <w:t xml:space="preserve">IPF is a fatal and devastating rare disease of unknown </w:t>
      </w:r>
      <w:r>
        <w:t>a</w:t>
      </w:r>
      <w:r w:rsidRPr="008C1834">
        <w:t xml:space="preserve">etiology that represents an urgent unmet medical need. IPF is characterized by progressively decreasing lung volume, </w:t>
      </w:r>
      <w:r w:rsidRPr="00CB04C6">
        <w:t>worsening dyspnoea, and diminishing exercise capacity and, is recognized as a distinct</w:t>
      </w:r>
      <w:r w:rsidRPr="008C1834">
        <w:t xml:space="preserve"> form of chronic fibrosing interstitial pneumonia that occurs primarily in older adults, limited to the lungs, and is defined by a radiologic and histopathologic pattern of usual interstitial pneumonia.</w:t>
      </w:r>
      <w:r w:rsidR="00C92FC8">
        <w:rPr>
          <w:rStyle w:val="FootnoteReference"/>
        </w:rPr>
        <w:footnoteReference w:id="34"/>
      </w:r>
      <w:r w:rsidRPr="008C1834">
        <w:t xml:space="preserve"> IPF is irreversible and ultimately fatal, with patients suffering from a relentless and debilitating loss of lung function that ultimately culminates in death, with an estimated median survival after diagnosis of only 2.5 to 5 years.</w:t>
      </w:r>
      <w:r w:rsidR="00C92FC8">
        <w:rPr>
          <w:rStyle w:val="FootnoteReference"/>
        </w:rPr>
        <w:footnoteReference w:id="35"/>
      </w:r>
      <w:r w:rsidR="00C92FC8">
        <w:rPr>
          <w:rStyle w:val="FootnoteReference"/>
        </w:rPr>
        <w:footnoteReference w:id="36"/>
      </w:r>
      <w:r w:rsidR="00C92FC8">
        <w:rPr>
          <w:rStyle w:val="FootnoteReference"/>
        </w:rPr>
        <w:footnoteReference w:id="37"/>
      </w:r>
      <w:r w:rsidR="00C92FC8">
        <w:rPr>
          <w:rStyle w:val="FootnoteReference"/>
        </w:rPr>
        <w:footnoteReference w:id="38"/>
      </w:r>
      <w:bookmarkStart w:id="172" w:name="_Ref452379506"/>
      <w:r w:rsidR="005F31D6">
        <w:rPr>
          <w:rStyle w:val="FootnoteReference"/>
        </w:rPr>
        <w:footnoteReference w:id="39"/>
      </w:r>
      <w:bookmarkStart w:id="173" w:name="_Ref452379518"/>
      <w:bookmarkEnd w:id="172"/>
      <w:r w:rsidR="005F31D6">
        <w:rPr>
          <w:rStyle w:val="FootnoteReference"/>
        </w:rPr>
        <w:footnoteReference w:id="40"/>
      </w:r>
      <w:bookmarkEnd w:id="173"/>
      <w:r w:rsidR="005F31D6">
        <w:rPr>
          <w:rStyle w:val="FootnoteReference"/>
        </w:rPr>
        <w:footnoteReference w:id="41"/>
      </w:r>
      <w:r w:rsidR="005F31D6">
        <w:rPr>
          <w:rStyle w:val="FootnoteReference"/>
        </w:rPr>
        <w:footnoteReference w:id="42"/>
      </w:r>
      <w:r w:rsidR="005F31D6">
        <w:rPr>
          <w:rStyle w:val="FootnoteReference"/>
        </w:rPr>
        <w:footnoteReference w:id="43"/>
      </w:r>
    </w:p>
    <w:p w:rsidR="003E7220" w:rsidRPr="008C1834" w:rsidRDefault="003E7220" w:rsidP="003E7220">
      <w:r w:rsidRPr="008C1834">
        <w:t xml:space="preserve">Esbriet has been approved for the treatment of patients with IPF in the </w:t>
      </w:r>
      <w:r w:rsidR="00CB04C6">
        <w:t>EU</w:t>
      </w:r>
      <w:r w:rsidRPr="008C1834">
        <w:t>, USA, Canada, and Switzerland. The data included in the application provide compelling evidence that the clinical benefits of Esbriet outweigh the risks in patients with IPF. Additional, substantiating, information is provided below:</w:t>
      </w:r>
    </w:p>
    <w:p w:rsidR="003E7220" w:rsidRPr="008C1834" w:rsidRDefault="003E7220" w:rsidP="003E7220">
      <w:proofErr w:type="spellStart"/>
      <w:r w:rsidRPr="008C1834">
        <w:t>Pirfenidone</w:t>
      </w:r>
      <w:proofErr w:type="spellEnd"/>
      <w:r w:rsidRPr="008C1834">
        <w:t xml:space="preserve"> is an orally active, small molecule that exerts both anti</w:t>
      </w:r>
      <w:r w:rsidRPr="008C1834">
        <w:noBreakHyphen/>
        <w:t>fibrotic and anti</w:t>
      </w:r>
      <w:r w:rsidRPr="008C1834">
        <w:noBreakHyphen/>
        <w:t>inflammatory properties as demonstrated in more than 40 animal models and in vitro systems.</w:t>
      </w:r>
      <w:r w:rsidR="005F31D6">
        <w:rPr>
          <w:rStyle w:val="FootnoteReference"/>
        </w:rPr>
        <w:footnoteReference w:id="44"/>
      </w:r>
    </w:p>
    <w:p w:rsidR="003E7220" w:rsidRDefault="003E7220" w:rsidP="003E7220">
      <w:r w:rsidRPr="008C1834">
        <w:lastRenderedPageBreak/>
        <w:t xml:space="preserve">The clinical development program of Esbriet in IPF spans more than two decades including multiple studies to assess the safety and clinical pharmacology of Esbriet in healthy volunteers, patients with IPF, and in relevant special populations. The efficacy and safety of Esbriet in patients with IPF has been studied in three adequate and well controlled, randomised, double blind, placebo controlled Phase </w:t>
      </w:r>
      <w:r w:rsidR="00CB04C6">
        <w:t>III</w:t>
      </w:r>
      <w:r w:rsidR="00CB04C6" w:rsidRPr="008C1834">
        <w:t xml:space="preserve"> </w:t>
      </w:r>
      <w:r w:rsidRPr="008C1834">
        <w:t xml:space="preserve">studies comparing </w:t>
      </w:r>
      <w:proofErr w:type="spellStart"/>
      <w:r w:rsidRPr="008C1834">
        <w:t>pirfenidone</w:t>
      </w:r>
      <w:proofErr w:type="spellEnd"/>
      <w:r w:rsidRPr="008C1834">
        <w:t xml:space="preserve"> </w:t>
      </w:r>
      <w:r w:rsidR="00C6681F">
        <w:t>2,403</w:t>
      </w:r>
      <w:r w:rsidRPr="008C1834">
        <w:t xml:space="preserve"> mg/day and placebo in a total of 1</w:t>
      </w:r>
      <w:r w:rsidR="00CB04C6">
        <w:t>,</w:t>
      </w:r>
      <w:r w:rsidRPr="008C1834">
        <w:t>247 patients with IPF; studies PIPF</w:t>
      </w:r>
      <w:r w:rsidRPr="008C1834">
        <w:noBreakHyphen/>
        <w:t>004 and PIP</w:t>
      </w:r>
      <w:r w:rsidR="00E60988">
        <w:t>F</w:t>
      </w:r>
      <w:r w:rsidR="00E60988">
        <w:noBreakHyphen/>
        <w:t>006 and a confirmatory Phase III</w:t>
      </w:r>
      <w:r w:rsidRPr="008C1834">
        <w:t xml:space="preserve"> Study (PIPF</w:t>
      </w:r>
      <w:r w:rsidRPr="008C1834">
        <w:noBreakHyphen/>
        <w:t xml:space="preserve">016). The totality of the data indicates that Esbriet treatment alters the natural history of this uniformly fatal disease (see </w:t>
      </w:r>
      <w:bookmarkStart w:id="174" w:name="_GoBack"/>
      <w:r w:rsidRPr="008C1834">
        <w:t xml:space="preserve">Figure </w:t>
      </w:r>
      <w:r w:rsidR="00E60988">
        <w:t>3</w:t>
      </w:r>
      <w:bookmarkEnd w:id="174"/>
      <w:r w:rsidR="00E60988">
        <w:t xml:space="preserve"> below).</w:t>
      </w:r>
    </w:p>
    <w:p w:rsidR="003E7220" w:rsidRDefault="003E7220" w:rsidP="009C37EE">
      <w:pPr>
        <w:pStyle w:val="FigureTitle"/>
      </w:pPr>
      <w:r>
        <w:t xml:space="preserve">Figure </w:t>
      </w:r>
      <w:r w:rsidR="009C37EE">
        <w:t>3</w:t>
      </w:r>
      <w:r>
        <w:t xml:space="preserve">: Overview </w:t>
      </w:r>
      <w:r w:rsidR="00CB04C6">
        <w:t xml:space="preserve">of efficacy endpoints </w:t>
      </w:r>
      <w:r>
        <w:t xml:space="preserve">at Month 12 in </w:t>
      </w:r>
      <w:r w:rsidR="00CB04C6">
        <w:t>p</w:t>
      </w:r>
      <w:r>
        <w:t>ooled Studies PIPF-016,</w:t>
      </w:r>
      <w:r w:rsidR="009C37EE">
        <w:t xml:space="preserve"> </w:t>
      </w:r>
      <w:r>
        <w:t>PIPF</w:t>
      </w:r>
      <w:r>
        <w:noBreakHyphen/>
        <w:t>004, and PIPF</w:t>
      </w:r>
      <w:r>
        <w:noBreakHyphen/>
        <w:t>006 (All Randomized Patients)</w:t>
      </w:r>
    </w:p>
    <w:p w:rsidR="003E7220" w:rsidRDefault="003E7220" w:rsidP="00526DBA">
      <w:pPr>
        <w:keepNext/>
      </w:pPr>
      <w:r>
        <w:rPr>
          <w:noProof/>
          <w:lang w:eastAsia="en-AU"/>
        </w:rPr>
        <w:drawing>
          <wp:inline distT="0" distB="0" distL="0" distR="0" wp14:anchorId="12FB4384" wp14:editId="4C59DBDF">
            <wp:extent cx="4800189" cy="4059936"/>
            <wp:effectExtent l="0" t="0" r="635" b="0"/>
            <wp:docPr id="8" name="Picture 8" descr="Figure 3: Overview of efficacy endpoints at Month 12 in pooled Studies PIPF-016, PIPF 004, and PIPF 006 (All Randomiz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02920" cy="4062246"/>
                    </a:xfrm>
                    <a:prstGeom prst="rect">
                      <a:avLst/>
                    </a:prstGeom>
                    <a:noFill/>
                    <a:ln>
                      <a:noFill/>
                    </a:ln>
                  </pic:spPr>
                </pic:pic>
              </a:graphicData>
            </a:graphic>
          </wp:inline>
        </w:drawing>
      </w:r>
    </w:p>
    <w:p w:rsidR="00CB04C6" w:rsidRDefault="00CB04C6" w:rsidP="00526DBA">
      <w:pPr>
        <w:pStyle w:val="TableDescription"/>
      </w:pPr>
      <w:r>
        <w:t>Note: 95% CI for relative risks (percent predicted FVC, 6MWT distance and UCSD SOBQ) is estimated with the log normal approximation.</w:t>
      </w:r>
    </w:p>
    <w:p w:rsidR="003E7220" w:rsidRDefault="003E7220" w:rsidP="003E7220">
      <w:r w:rsidRPr="006512A9">
        <w:t>A total of 1</w:t>
      </w:r>
      <w:r w:rsidR="00CB04C6">
        <w:t>,</w:t>
      </w:r>
      <w:r w:rsidRPr="006512A9">
        <w:t>098 persons in the clinical studies database have received E</w:t>
      </w:r>
      <w:r>
        <w:t xml:space="preserve">sbriet dose of </w:t>
      </w:r>
      <w:r w:rsidR="00C6681F">
        <w:t>2,403</w:t>
      </w:r>
      <w:r>
        <w:t xml:space="preserve"> </w:t>
      </w:r>
      <w:r w:rsidRPr="006512A9">
        <w:t>mg/d</w:t>
      </w:r>
      <w:r w:rsidR="00EF6870">
        <w:t>ay</w:t>
      </w:r>
      <w:r w:rsidRPr="006512A9">
        <w:t xml:space="preserve"> or greater, and the total clinical exposure to E</w:t>
      </w:r>
      <w:r>
        <w:t>sbriet</w:t>
      </w:r>
      <w:r w:rsidRPr="006512A9">
        <w:t xml:space="preserve"> spanni</w:t>
      </w:r>
      <w:r w:rsidR="00E60988">
        <w:t>ng Phase II and Phase III</w:t>
      </w:r>
      <w:r>
        <w:t xml:space="preserve"> </w:t>
      </w:r>
      <w:r w:rsidRPr="006512A9">
        <w:t>studies equals 2</w:t>
      </w:r>
      <w:r w:rsidR="00EF6870">
        <w:t>,</w:t>
      </w:r>
      <w:r w:rsidRPr="006512A9">
        <w:t>876 patient exposure years. These d</w:t>
      </w:r>
      <w:r>
        <w:t xml:space="preserve">ata, combined with an extensive worldwide </w:t>
      </w:r>
      <w:r w:rsidRPr="006512A9">
        <w:t>post</w:t>
      </w:r>
      <w:r>
        <w:t xml:space="preserve"> </w:t>
      </w:r>
      <w:r w:rsidRPr="006512A9">
        <w:t xml:space="preserve">marketing experience in excess of 13,000 patient years </w:t>
      </w:r>
      <w:r>
        <w:t xml:space="preserve">of treatment throughout Europe, </w:t>
      </w:r>
      <w:r w:rsidRPr="006512A9">
        <w:t>Japan, and Canada, comprise a robust safety datab</w:t>
      </w:r>
      <w:r>
        <w:t>ase for this indication.</w:t>
      </w:r>
    </w:p>
    <w:p w:rsidR="003E7220" w:rsidRPr="006512A9" w:rsidRDefault="003E7220" w:rsidP="003E7220">
      <w:r w:rsidRPr="006512A9">
        <w:t>The totality of the data demonstrates a favo</w:t>
      </w:r>
      <w:r>
        <w:t>u</w:t>
      </w:r>
      <w:r w:rsidRPr="006512A9">
        <w:t>rable safety profil</w:t>
      </w:r>
      <w:r>
        <w:t xml:space="preserve">e of Esbriet in patients in the </w:t>
      </w:r>
      <w:r w:rsidRPr="006512A9">
        <w:t>context of a progressive and fatal disease. Reported AEs are pr</w:t>
      </w:r>
      <w:r>
        <w:t xml:space="preserve">imarily related to tolerability </w:t>
      </w:r>
      <w:r w:rsidRPr="006512A9">
        <w:t xml:space="preserve">rather than morbidity. Use of measures to improve tolerance (such </w:t>
      </w:r>
      <w:r>
        <w:t xml:space="preserve">as dose escalation in the first </w:t>
      </w:r>
      <w:r w:rsidRPr="006512A9">
        <w:t>2 weeks, dosing with food, protection from sun exposure), routin</w:t>
      </w:r>
      <w:r>
        <w:t xml:space="preserve">e monitoring of liver tests, as </w:t>
      </w:r>
      <w:r w:rsidRPr="006512A9">
        <w:t>well as prompt identification and symptomatic management of ad</w:t>
      </w:r>
      <w:r>
        <w:t xml:space="preserve">verse reactions, enable </w:t>
      </w:r>
      <w:r w:rsidRPr="006512A9">
        <w:t>ongoing use of E</w:t>
      </w:r>
      <w:r>
        <w:t>sbriet</w:t>
      </w:r>
      <w:r w:rsidRPr="006512A9">
        <w:t xml:space="preserve"> in most patients with IPF.</w:t>
      </w:r>
    </w:p>
    <w:p w:rsidR="003E7220" w:rsidRDefault="003E7220" w:rsidP="003E7220">
      <w:r w:rsidRPr="006512A9">
        <w:t>In conclusion, IPF is a fatal disease characterized by a progressiv</w:t>
      </w:r>
      <w:r>
        <w:t xml:space="preserve">e and debilitating loss of lung </w:t>
      </w:r>
      <w:r w:rsidRPr="006512A9">
        <w:t>function and death. The totality of the data evaluating E</w:t>
      </w:r>
      <w:r>
        <w:t>sbriet</w:t>
      </w:r>
      <w:r w:rsidRPr="006512A9">
        <w:t xml:space="preserve"> for the treatment o</w:t>
      </w:r>
      <w:r>
        <w:t xml:space="preserve">f IPF </w:t>
      </w:r>
      <w:r w:rsidRPr="006512A9">
        <w:lastRenderedPageBreak/>
        <w:t>demonstrates that E</w:t>
      </w:r>
      <w:r>
        <w:t>sbriet</w:t>
      </w:r>
      <w:r w:rsidRPr="006512A9">
        <w:t xml:space="preserve"> reduces decline in lung fun</w:t>
      </w:r>
      <w:r>
        <w:t xml:space="preserve">ction and in exercise capacity, prolongs </w:t>
      </w:r>
      <w:r w:rsidRPr="006512A9">
        <w:t>progression</w:t>
      </w:r>
      <w:r>
        <w:t xml:space="preserve"> </w:t>
      </w:r>
      <w:r w:rsidRPr="006512A9">
        <w:t>free survival, and most importantly, reduces the ri</w:t>
      </w:r>
      <w:r w:rsidR="00E60988">
        <w:t>sk of all</w:t>
      </w:r>
      <w:r w:rsidR="00E60988">
        <w:noBreakHyphen/>
        <w:t xml:space="preserve">cause and IPF </w:t>
      </w:r>
      <w:r>
        <w:t xml:space="preserve">related </w:t>
      </w:r>
      <w:r w:rsidRPr="006512A9">
        <w:t>mortality. Treatment with E</w:t>
      </w:r>
      <w:r>
        <w:t>sbriet</w:t>
      </w:r>
      <w:r w:rsidRPr="006512A9">
        <w:t xml:space="preserve"> thus provides clear and cli</w:t>
      </w:r>
      <w:r>
        <w:t xml:space="preserve">nically meaningful benefit to </w:t>
      </w:r>
      <w:r w:rsidRPr="006512A9">
        <w:t>patients with IPF. The extensive experience in the combined cli</w:t>
      </w:r>
      <w:r>
        <w:t xml:space="preserve">nical studies and post marketing </w:t>
      </w:r>
      <w:r w:rsidRPr="006512A9">
        <w:t>setting, demonstrates that E</w:t>
      </w:r>
      <w:r>
        <w:t>sbriet</w:t>
      </w:r>
      <w:r w:rsidRPr="006512A9">
        <w:t xml:space="preserve"> is generally safe and wel</w:t>
      </w:r>
      <w:r>
        <w:t xml:space="preserve">l tolerated within the proposed </w:t>
      </w:r>
      <w:r w:rsidRPr="006512A9">
        <w:t>labelling and that the projected benefits of this treatment outweigh known and theoretical risks</w:t>
      </w:r>
      <w:r>
        <w:t xml:space="preserve"> for patients with IPF.</w:t>
      </w:r>
    </w:p>
    <w:p w:rsidR="003E7220" w:rsidRPr="00D46E2B" w:rsidRDefault="00744158" w:rsidP="00526DBA">
      <w:pPr>
        <w:pStyle w:val="Numberbullet2"/>
        <w:keepNext/>
        <w:ind w:left="850" w:hanging="425"/>
      </w:pPr>
      <w:r>
        <w:rPr>
          <w:b/>
          <w:i/>
        </w:rPr>
        <w:t>Impurity</w:t>
      </w:r>
      <w:r w:rsidR="00EF6870" w:rsidRPr="00526DBA">
        <w:rPr>
          <w:b/>
          <w:i/>
        </w:rPr>
        <w:t xml:space="preserve"> </w:t>
      </w:r>
      <w:r w:rsidR="00812C76">
        <w:rPr>
          <w:b/>
          <w:i/>
        </w:rPr>
        <w:t>specified impurity</w:t>
      </w:r>
    </w:p>
    <w:p w:rsidR="00EF6870" w:rsidRDefault="006512A9" w:rsidP="006B7B4C">
      <w:r w:rsidRPr="006B7B4C">
        <w:t xml:space="preserve">Four process-related impurities have been identified in the </w:t>
      </w:r>
      <w:proofErr w:type="spellStart"/>
      <w:r w:rsidRPr="006B7B4C">
        <w:t>pirfenidone</w:t>
      </w:r>
      <w:proofErr w:type="spellEnd"/>
      <w:r w:rsidRPr="006B7B4C">
        <w:t xml:space="preserve"> drug substance and are</w:t>
      </w:r>
      <w:r w:rsidR="006B7B4C">
        <w:t xml:space="preserve"> </w:t>
      </w:r>
      <w:r w:rsidRPr="006B7B4C">
        <w:t>proposed to be controlled at a limit of NMT 0.05%. These limits have been a</w:t>
      </w:r>
      <w:r w:rsidR="006B7B4C">
        <w:t xml:space="preserve">ccepted by </w:t>
      </w:r>
      <w:r w:rsidRPr="006B7B4C">
        <w:t>regulatory agencies globally where E</w:t>
      </w:r>
      <w:r w:rsidR="008C1834" w:rsidRPr="006B7B4C">
        <w:t xml:space="preserve">sbriet </w:t>
      </w:r>
      <w:r w:rsidRPr="006B7B4C">
        <w:t>is approved inc</w:t>
      </w:r>
      <w:r w:rsidR="006B7B4C">
        <w:t xml:space="preserve">luding, the USA, EU, Canada and </w:t>
      </w:r>
      <w:r w:rsidRPr="006B7B4C">
        <w:t>Switzerland. In addition the European Pharmacopeia monog</w:t>
      </w:r>
      <w:r w:rsidR="006B7B4C">
        <w:t xml:space="preserve">raph for </w:t>
      </w:r>
      <w:proofErr w:type="spellStart"/>
      <w:r w:rsidR="006B7B4C">
        <w:t>pirfenidone</w:t>
      </w:r>
      <w:proofErr w:type="spellEnd"/>
      <w:r w:rsidR="006B7B4C">
        <w:t xml:space="preserve">, effective </w:t>
      </w:r>
      <w:r w:rsidRPr="006B7B4C">
        <w:t>January 2016, will also list the 4 impurities with a limit of NMT 0.05%</w:t>
      </w:r>
      <w:r w:rsidR="006B7B4C">
        <w:t>.</w:t>
      </w:r>
      <w:r w:rsidR="005F31D6">
        <w:rPr>
          <w:rStyle w:val="FootnoteReference"/>
        </w:rPr>
        <w:footnoteReference w:id="45"/>
      </w:r>
    </w:p>
    <w:p w:rsidR="006512A9" w:rsidRPr="005F31D6" w:rsidRDefault="006512A9" w:rsidP="006B7B4C">
      <w:r w:rsidRPr="006B7B4C">
        <w:t xml:space="preserve">The TGA has raised concerns regarding </w:t>
      </w:r>
      <w:r w:rsidR="006B4B77">
        <w:t xml:space="preserve">the specified </w:t>
      </w:r>
      <w:proofErr w:type="gramStart"/>
      <w:r w:rsidRPr="006B7B4C">
        <w:t xml:space="preserve">impurity </w:t>
      </w:r>
      <w:r w:rsidR="006B7B4C">
        <w:t xml:space="preserve"> and</w:t>
      </w:r>
      <w:proofErr w:type="gramEnd"/>
      <w:r w:rsidR="006B7B4C">
        <w:t xml:space="preserve"> its genotoxic </w:t>
      </w:r>
      <w:r w:rsidRPr="006B7B4C">
        <w:t>(</w:t>
      </w:r>
      <w:proofErr w:type="spellStart"/>
      <w:r w:rsidRPr="006B7B4C">
        <w:t>clastogenic</w:t>
      </w:r>
      <w:proofErr w:type="spellEnd"/>
      <w:r w:rsidRPr="006B7B4C">
        <w:t>) potential and the proposed specification of NMT</w:t>
      </w:r>
      <w:r w:rsidR="006B7B4C">
        <w:t xml:space="preserve"> 0.05% yielding a daily dose </w:t>
      </w:r>
      <w:r w:rsidR="006B7B4C" w:rsidRPr="005F31D6">
        <w:t xml:space="preserve">of </w:t>
      </w:r>
      <w:r w:rsidRPr="005F31D6">
        <w:t xml:space="preserve">1200 </w:t>
      </w:r>
      <w:proofErr w:type="spellStart"/>
      <w:r w:rsidRPr="005F31D6">
        <w:t>μg</w:t>
      </w:r>
      <w:proofErr w:type="spellEnd"/>
      <w:r w:rsidRPr="005F31D6">
        <w:t>/day.</w:t>
      </w:r>
    </w:p>
    <w:p w:rsidR="006512A9" w:rsidRPr="005F31D6" w:rsidRDefault="00EF6870" w:rsidP="00526DBA">
      <w:pPr>
        <w:pStyle w:val="Numberbullet3"/>
      </w:pPr>
      <w:r w:rsidRPr="005F31D6">
        <w:rPr>
          <w:i/>
        </w:rPr>
        <w:t xml:space="preserve">Overview of </w:t>
      </w:r>
      <w:r w:rsidR="006512A9" w:rsidRPr="005F31D6">
        <w:rPr>
          <w:i/>
        </w:rPr>
        <w:t xml:space="preserve">Nonclinical evaluations related to </w:t>
      </w:r>
      <w:r w:rsidR="006B4B77">
        <w:rPr>
          <w:i/>
        </w:rPr>
        <w:t xml:space="preserve">the specified </w:t>
      </w:r>
      <w:r w:rsidR="006512A9" w:rsidRPr="005F31D6">
        <w:rPr>
          <w:i/>
        </w:rPr>
        <w:t>impurity</w:t>
      </w:r>
    </w:p>
    <w:p w:rsidR="006B7B4C" w:rsidRDefault="006512A9" w:rsidP="006B7B4C">
      <w:r w:rsidRPr="006B7B4C">
        <w:t xml:space="preserve">An assessment to evaluate the mutagenicity and </w:t>
      </w:r>
      <w:proofErr w:type="spellStart"/>
      <w:r w:rsidRPr="006B7B4C">
        <w:t>clastogen</w:t>
      </w:r>
      <w:r w:rsidR="006B7B4C">
        <w:t>icity</w:t>
      </w:r>
      <w:proofErr w:type="spellEnd"/>
      <w:r w:rsidR="006B7B4C">
        <w:t xml:space="preserve"> potential of </w:t>
      </w:r>
      <w:r w:rsidR="00812C76">
        <w:t>specified impurity</w:t>
      </w:r>
      <w:r w:rsidR="006B7B4C">
        <w:t xml:space="preserve"> </w:t>
      </w:r>
      <w:r w:rsidRPr="006B7B4C">
        <w:t xml:space="preserve">including 2 complementary in silico programs, a review of </w:t>
      </w:r>
      <w:r w:rsidR="006B7B4C">
        <w:t xml:space="preserve">the available safety assessment </w:t>
      </w:r>
      <w:r w:rsidRPr="006B7B4C">
        <w:t xml:space="preserve">literature and an overall review of the data by Roche’s genotoxic </w:t>
      </w:r>
      <w:r w:rsidR="006B7B4C">
        <w:t>impurity expert was undertaken.</w:t>
      </w:r>
    </w:p>
    <w:p w:rsidR="006512A9" w:rsidRPr="006B7B4C" w:rsidRDefault="006512A9" w:rsidP="006B7B4C">
      <w:r w:rsidRPr="006B7B4C">
        <w:t>Based on the weight of evidence, the genotoxic expert concluded that n</w:t>
      </w:r>
      <w:r w:rsidR="006B7B4C">
        <w:t>one of the multiple s</w:t>
      </w:r>
      <w:r w:rsidRPr="006B7B4C">
        <w:t>tudies examining bacterial gene mutation reported in the literat</w:t>
      </w:r>
      <w:r w:rsidR="006B7B4C">
        <w:t xml:space="preserve">ure suggested that </w:t>
      </w:r>
      <w:r w:rsidR="00812C76">
        <w:t>specified impurity</w:t>
      </w:r>
      <w:r w:rsidR="006B7B4C">
        <w:t xml:space="preserve"> </w:t>
      </w:r>
      <w:r w:rsidRPr="006B7B4C">
        <w:t xml:space="preserve">had mutagenic potential. Positive results for </w:t>
      </w:r>
      <w:proofErr w:type="spellStart"/>
      <w:r w:rsidRPr="006B7B4C">
        <w:t>clastogenicity</w:t>
      </w:r>
      <w:proofErr w:type="spellEnd"/>
      <w:r w:rsidRPr="006B7B4C">
        <w:t xml:space="preserve"> were o</w:t>
      </w:r>
      <w:r w:rsidR="006B7B4C">
        <w:t xml:space="preserve">bserved only at high, cytotoxic </w:t>
      </w:r>
      <w:r w:rsidRPr="006B7B4C">
        <w:t xml:space="preserve">doses in two assays: </w:t>
      </w:r>
      <w:r w:rsidR="009746F8">
        <w:t>(1)</w:t>
      </w:r>
      <w:r w:rsidR="009746F8" w:rsidRPr="006B7B4C">
        <w:t xml:space="preserve"> </w:t>
      </w:r>
      <w:r w:rsidR="00812C76">
        <w:t>specified impurity</w:t>
      </w:r>
      <w:r w:rsidRPr="006B7B4C">
        <w:t xml:space="preserve"> was weakly positive in a </w:t>
      </w:r>
      <w:r w:rsidR="006B7B4C">
        <w:t xml:space="preserve">sister chromatid exchange assay </w:t>
      </w:r>
      <w:r w:rsidRPr="006B7B4C">
        <w:t>in C</w:t>
      </w:r>
      <w:r w:rsidR="008C1834">
        <w:t xml:space="preserve">hinese hamster ovary (CHO) </w:t>
      </w:r>
      <w:r w:rsidRPr="006B7B4C">
        <w:t>W-B1 cells in the absence of metabolic activation at th</w:t>
      </w:r>
      <w:r w:rsidR="006B7B4C">
        <w:t xml:space="preserve">e highest dose tested (500 </w:t>
      </w:r>
      <w:proofErr w:type="spellStart"/>
      <w:r w:rsidRPr="005F31D6">
        <w:t>μg</w:t>
      </w:r>
      <w:proofErr w:type="spellEnd"/>
      <w:r w:rsidRPr="006B7B4C">
        <w:t xml:space="preserve">/mL) and </w:t>
      </w:r>
      <w:r w:rsidR="009746F8">
        <w:t>(2)</w:t>
      </w:r>
      <w:r w:rsidR="009746F8" w:rsidRPr="006B7B4C">
        <w:t xml:space="preserve"> </w:t>
      </w:r>
      <w:r w:rsidRPr="006B7B4C">
        <w:t>a dose of 125 mg/kg (2 x 62.5 mg/kg)</w:t>
      </w:r>
      <w:r w:rsidR="006B7B4C">
        <w:t xml:space="preserve"> in mice resulted in a positive </w:t>
      </w:r>
      <w:r w:rsidRPr="006B7B4C">
        <w:t>micronucleus results i</w:t>
      </w:r>
      <w:r w:rsidR="008C1834">
        <w:t>n polychromatic erythrocytes</w:t>
      </w:r>
      <w:r w:rsidRPr="006B7B4C">
        <w:t>.</w:t>
      </w:r>
      <w:r w:rsidR="005F31D6">
        <w:rPr>
          <w:rStyle w:val="FootnoteReference"/>
        </w:rPr>
        <w:footnoteReference w:id="46"/>
      </w:r>
      <w:r w:rsidR="00074D22">
        <w:rPr>
          <w:rStyle w:val="FootnoteReference"/>
        </w:rPr>
        <w:footnoteReference w:id="47"/>
      </w:r>
      <w:r w:rsidRPr="006B7B4C">
        <w:t xml:space="preserve"> This positive</w:t>
      </w:r>
      <w:r w:rsidR="006B7B4C">
        <w:t xml:space="preserve"> result is contradicted by more r</w:t>
      </w:r>
      <w:r w:rsidRPr="006B7B4C">
        <w:t>ecently published data. A negative result was obtained in pe</w:t>
      </w:r>
      <w:r w:rsidR="006B7B4C">
        <w:t xml:space="preserve">ripheral blood at significantly </w:t>
      </w:r>
      <w:r w:rsidRPr="006B7B4C">
        <w:t>greater doses up to 1</w:t>
      </w:r>
      <w:r w:rsidR="009746F8">
        <w:t>,</w:t>
      </w:r>
      <w:r w:rsidRPr="006B7B4C">
        <w:t>200 mg/kg or 600 mg/kg.</w:t>
      </w:r>
      <w:r w:rsidR="00074D22">
        <w:rPr>
          <w:rStyle w:val="FootnoteReference"/>
        </w:rPr>
        <w:footnoteReference w:id="48"/>
      </w:r>
      <w:r w:rsidRPr="006B7B4C">
        <w:t xml:space="preserve"> In a rat liver </w:t>
      </w:r>
      <w:r w:rsidR="006B7B4C">
        <w:t xml:space="preserve">micronucleus assay </w:t>
      </w:r>
      <w:r w:rsidR="00812C76">
        <w:t>specified impurity</w:t>
      </w:r>
      <w:r w:rsidR="006B7B4C">
        <w:t xml:space="preserve"> </w:t>
      </w:r>
      <w:r w:rsidRPr="006B7B4C">
        <w:t>was equivocally positive when administered at a high, partially l</w:t>
      </w:r>
      <w:r w:rsidR="006B7B4C">
        <w:t>ethal dose (1</w:t>
      </w:r>
      <w:r w:rsidR="009746F8">
        <w:t>,</w:t>
      </w:r>
      <w:r w:rsidR="006B7B4C">
        <w:t xml:space="preserve">200 mg/kg) but not </w:t>
      </w:r>
      <w:r w:rsidRPr="006B7B4C">
        <w:t>at a non-lethal dose (600 mg/kg). These data call into question t</w:t>
      </w:r>
      <w:r w:rsidR="006B7B4C">
        <w:t xml:space="preserve">he positive result reported and </w:t>
      </w:r>
      <w:r w:rsidRPr="006B7B4C">
        <w:t>may suggest that any positive result may not be generalizable to all species. The weight</w:t>
      </w:r>
      <w:r w:rsidR="006B7B4C">
        <w:t xml:space="preserve"> </w:t>
      </w:r>
      <w:r w:rsidRPr="006B7B4C">
        <w:t>of</w:t>
      </w:r>
      <w:r w:rsidR="006B7B4C">
        <w:t xml:space="preserve"> evidence, </w:t>
      </w:r>
      <w:r w:rsidRPr="006B7B4C">
        <w:t xml:space="preserve">including more recently published literature, supports the assertion that </w:t>
      </w:r>
      <w:r w:rsidR="00812C76">
        <w:t>specified impurity</w:t>
      </w:r>
      <w:r w:rsidR="006B7B4C">
        <w:t xml:space="preserve"> </w:t>
      </w:r>
      <w:r w:rsidRPr="006B7B4C">
        <w:t xml:space="preserve">is not mutagenic or </w:t>
      </w:r>
      <w:proofErr w:type="spellStart"/>
      <w:r w:rsidRPr="006B7B4C">
        <w:t>clastogenic</w:t>
      </w:r>
      <w:proofErr w:type="spellEnd"/>
      <w:r w:rsidRPr="006B7B4C">
        <w:t xml:space="preserve"> at concentrations where cytotoxic effects are not observed.</w:t>
      </w:r>
    </w:p>
    <w:p w:rsidR="006512A9" w:rsidRPr="00D46E2B" w:rsidRDefault="006512A9" w:rsidP="006A293A">
      <w:pPr>
        <w:pStyle w:val="Numberbullet3"/>
        <w:keepNext/>
      </w:pPr>
      <w:r w:rsidRPr="00526DBA">
        <w:rPr>
          <w:i/>
        </w:rPr>
        <w:lastRenderedPageBreak/>
        <w:t xml:space="preserve">Review of potential </w:t>
      </w:r>
      <w:proofErr w:type="spellStart"/>
      <w:r w:rsidRPr="00526DBA">
        <w:rPr>
          <w:i/>
        </w:rPr>
        <w:t>clastogenic</w:t>
      </w:r>
      <w:proofErr w:type="spellEnd"/>
      <w:r w:rsidRPr="00526DBA">
        <w:rPr>
          <w:i/>
        </w:rPr>
        <w:t xml:space="preserve"> cancer</w:t>
      </w:r>
      <w:r w:rsidR="009746F8">
        <w:rPr>
          <w:i/>
        </w:rPr>
        <w:t xml:space="preserve"> </w:t>
      </w:r>
      <w:r w:rsidRPr="00526DBA">
        <w:rPr>
          <w:i/>
        </w:rPr>
        <w:t xml:space="preserve">related effects of </w:t>
      </w:r>
      <w:r w:rsidR="00812C76">
        <w:rPr>
          <w:i/>
        </w:rPr>
        <w:t>specified impurity</w:t>
      </w:r>
    </w:p>
    <w:p w:rsidR="009746F8" w:rsidRDefault="006512A9" w:rsidP="003E7220">
      <w:proofErr w:type="spellStart"/>
      <w:r w:rsidRPr="006B7B4C">
        <w:t>Clastogenic</w:t>
      </w:r>
      <w:proofErr w:type="spellEnd"/>
      <w:r w:rsidRPr="006B7B4C">
        <w:t xml:space="preserve"> effects may invol</w:t>
      </w:r>
      <w:r w:rsidR="00CE448F">
        <w:t>ve germ</w:t>
      </w:r>
      <w:r w:rsidR="009746F8">
        <w:t xml:space="preserve"> </w:t>
      </w:r>
      <w:r w:rsidR="00CE448F">
        <w:t>line and somatic cells</w:t>
      </w:r>
      <w:r w:rsidR="006B7B4C">
        <w:t>.</w:t>
      </w:r>
      <w:r w:rsidR="00074D22">
        <w:rPr>
          <w:rStyle w:val="FootnoteReference"/>
        </w:rPr>
        <w:footnoteReference w:id="49"/>
      </w:r>
      <w:r w:rsidR="006B7B4C">
        <w:t xml:space="preserve"> Regarding potential effect on </w:t>
      </w:r>
      <w:r w:rsidR="003E7220">
        <w:t>germ</w:t>
      </w:r>
      <w:r w:rsidR="009746F8">
        <w:t xml:space="preserve"> </w:t>
      </w:r>
      <w:r w:rsidR="003E7220">
        <w:t>line cells</w:t>
      </w:r>
      <w:r w:rsidR="009746F8">
        <w:t>:</w:t>
      </w:r>
    </w:p>
    <w:p w:rsidR="006512A9" w:rsidRPr="006B7B4C" w:rsidRDefault="009746F8" w:rsidP="00526DBA">
      <w:pPr>
        <w:pStyle w:val="ListBullet"/>
      </w:pPr>
      <w:r>
        <w:t>T</w:t>
      </w:r>
      <w:r w:rsidR="006512A9" w:rsidRPr="006B7B4C">
        <w:t>he RMP and the proposed PI both describe fertility effects id</w:t>
      </w:r>
      <w:r w:rsidR="006B7B4C">
        <w:t xml:space="preserve">entified in preclinical studies </w:t>
      </w:r>
      <w:r w:rsidR="006512A9" w:rsidRPr="006B7B4C">
        <w:t xml:space="preserve">and state that as </w:t>
      </w:r>
      <w:r>
        <w:t>‘</w:t>
      </w:r>
      <w:r w:rsidR="006512A9" w:rsidRPr="00526DBA">
        <w:rPr>
          <w:i/>
        </w:rPr>
        <w:t>a precautionary measure, it is prefera</w:t>
      </w:r>
      <w:r w:rsidR="006B7B4C" w:rsidRPr="00526DBA">
        <w:rPr>
          <w:i/>
        </w:rPr>
        <w:t>ble to avoid the use of E</w:t>
      </w:r>
      <w:r w:rsidR="00CE448F" w:rsidRPr="00526DBA">
        <w:rPr>
          <w:i/>
        </w:rPr>
        <w:t>sbriet</w:t>
      </w:r>
      <w:r w:rsidR="006B7B4C" w:rsidRPr="00526DBA">
        <w:rPr>
          <w:i/>
        </w:rPr>
        <w:t xml:space="preserve"> </w:t>
      </w:r>
      <w:r w:rsidR="006512A9" w:rsidRPr="00526DBA">
        <w:rPr>
          <w:i/>
        </w:rPr>
        <w:t>during pregnancy</w:t>
      </w:r>
      <w:r w:rsidR="006512A9" w:rsidRPr="006B7B4C">
        <w:t>.</w:t>
      </w:r>
      <w:r>
        <w:t>’</w:t>
      </w:r>
      <w:r w:rsidR="006512A9" w:rsidRPr="006B7B4C">
        <w:t xml:space="preserve"> The </w:t>
      </w:r>
      <w:r w:rsidR="00CE448F">
        <w:t>s</w:t>
      </w:r>
      <w:r w:rsidR="006512A9" w:rsidRPr="006B7B4C">
        <w:t xml:space="preserve">ponsor believes that this </w:t>
      </w:r>
      <w:r w:rsidR="00CE448F" w:rsidRPr="006B7B4C">
        <w:t>labelling</w:t>
      </w:r>
      <w:r w:rsidR="00A708FC" w:rsidRPr="006B7B4C">
        <w:t xml:space="preserve"> information would potentially </w:t>
      </w:r>
      <w:r w:rsidR="006512A9" w:rsidRPr="006B7B4C">
        <w:t>mitigate any pregnancy</w:t>
      </w:r>
      <w:r>
        <w:t xml:space="preserve"> </w:t>
      </w:r>
      <w:r w:rsidR="006512A9" w:rsidRPr="006B7B4C">
        <w:t>related risks f</w:t>
      </w:r>
      <w:r w:rsidR="00CE448F">
        <w:t xml:space="preserve">rom </w:t>
      </w:r>
      <w:proofErr w:type="spellStart"/>
      <w:r w:rsidR="00CE448F">
        <w:t>clastogenic</w:t>
      </w:r>
      <w:proofErr w:type="spellEnd"/>
      <w:r w:rsidR="00CE448F">
        <w:t xml:space="preserve"> effects on germ</w:t>
      </w:r>
      <w:r>
        <w:t xml:space="preserve"> </w:t>
      </w:r>
      <w:r w:rsidR="006512A9" w:rsidRPr="006B7B4C">
        <w:t>lines</w:t>
      </w:r>
      <w:r w:rsidR="003E7220">
        <w:t>.</w:t>
      </w:r>
    </w:p>
    <w:p w:rsidR="009746F8" w:rsidRDefault="006512A9" w:rsidP="00526DBA">
      <w:pPr>
        <w:pStyle w:val="ListBullet"/>
      </w:pPr>
      <w:r w:rsidRPr="006B7B4C">
        <w:t xml:space="preserve">There is currently no data to assess </w:t>
      </w:r>
      <w:proofErr w:type="spellStart"/>
      <w:r w:rsidRPr="006B7B4C">
        <w:t>clastogenic</w:t>
      </w:r>
      <w:proofErr w:type="spellEnd"/>
      <w:r w:rsidRPr="006B7B4C">
        <w:t xml:space="preserve"> effects on germ</w:t>
      </w:r>
      <w:r w:rsidR="009746F8">
        <w:t xml:space="preserve"> </w:t>
      </w:r>
      <w:r w:rsidR="00A708FC" w:rsidRPr="006B7B4C">
        <w:t xml:space="preserve">lines as there is no pregnancy </w:t>
      </w:r>
      <w:r w:rsidRPr="006B7B4C">
        <w:t>outcome data in the Roche safety database fo</w:t>
      </w:r>
      <w:r w:rsidR="006B7B4C">
        <w:t xml:space="preserve">r </w:t>
      </w:r>
      <w:proofErr w:type="spellStart"/>
      <w:r w:rsidR="006B7B4C">
        <w:t>pirfenidone</w:t>
      </w:r>
      <w:proofErr w:type="spellEnd"/>
      <w:r w:rsidR="009746F8">
        <w:t xml:space="preserve"> </w:t>
      </w:r>
      <w:r w:rsidR="006B7B4C">
        <w:t>exposed patients.</w:t>
      </w:r>
    </w:p>
    <w:p w:rsidR="006512A9" w:rsidRPr="006B7B4C" w:rsidRDefault="006512A9" w:rsidP="006B7B4C">
      <w:r w:rsidRPr="006B7B4C">
        <w:t xml:space="preserve">The other type of the clinical manifestation of </w:t>
      </w:r>
      <w:proofErr w:type="spellStart"/>
      <w:r w:rsidRPr="006B7B4C">
        <w:t>clastogenic</w:t>
      </w:r>
      <w:proofErr w:type="spellEnd"/>
      <w:r w:rsidRPr="006B7B4C">
        <w:t xml:space="preserve"> effec</w:t>
      </w:r>
      <w:r w:rsidR="00A708FC" w:rsidRPr="006B7B4C">
        <w:t xml:space="preserve">ts would involve somatic cells. </w:t>
      </w:r>
      <w:r w:rsidRPr="006B7B4C">
        <w:t>Should this to be the case, one would hypothetically observe an in</w:t>
      </w:r>
      <w:r w:rsidR="00A708FC" w:rsidRPr="006B7B4C">
        <w:t xml:space="preserve">crease rate of neoplasia in IPF </w:t>
      </w:r>
      <w:r w:rsidRPr="006B7B4C">
        <w:t xml:space="preserve">patients exposed to </w:t>
      </w:r>
      <w:r w:rsidR="00812C76">
        <w:t>specified impurity</w:t>
      </w:r>
      <w:r w:rsidRPr="006B7B4C">
        <w:t xml:space="preserve"> via E</w:t>
      </w:r>
      <w:r w:rsidR="00CE448F" w:rsidRPr="006B7B4C">
        <w:t>sbriet</w:t>
      </w:r>
      <w:r w:rsidR="00CE448F">
        <w:t xml:space="preserve"> use</w:t>
      </w:r>
      <w:r w:rsidRPr="006B7B4C">
        <w:t xml:space="preserve">, relative to </w:t>
      </w:r>
      <w:r w:rsidR="00A708FC" w:rsidRPr="006B7B4C">
        <w:t xml:space="preserve">rates in unexposed IPF patients </w:t>
      </w:r>
      <w:r w:rsidRPr="006B7B4C">
        <w:t>and general population.</w:t>
      </w:r>
      <w:r w:rsidR="00074D22">
        <w:rPr>
          <w:rStyle w:val="FootnoteReference"/>
        </w:rPr>
        <w:footnoteReference w:id="50"/>
      </w:r>
    </w:p>
    <w:p w:rsidR="006B7B4C" w:rsidRDefault="006512A9" w:rsidP="006B7B4C">
      <w:r w:rsidRPr="006B7B4C">
        <w:t xml:space="preserve">There </w:t>
      </w:r>
      <w:proofErr w:type="gramStart"/>
      <w:r w:rsidRPr="006B7B4C">
        <w:t>are</w:t>
      </w:r>
      <w:proofErr w:type="gramEnd"/>
      <w:r w:rsidRPr="006B7B4C">
        <w:t xml:space="preserve"> however important considerations inherent to the natural</w:t>
      </w:r>
      <w:r w:rsidR="00A708FC" w:rsidRPr="006B7B4C">
        <w:t xml:space="preserve"> history of IPF, the indication </w:t>
      </w:r>
      <w:r w:rsidRPr="006B7B4C">
        <w:t>for E</w:t>
      </w:r>
      <w:r w:rsidR="00CE448F">
        <w:t>sbriet</w:t>
      </w:r>
      <w:r w:rsidRPr="006B7B4C">
        <w:t>, that would preclude the possibility of obser</w:t>
      </w:r>
      <w:r w:rsidR="006B7B4C">
        <w:t>ving such rates; the latency of tumo</w:t>
      </w:r>
      <w:r w:rsidR="009746F8">
        <w:t>ri</w:t>
      </w:r>
      <w:r w:rsidRPr="006B7B4C">
        <w:t xml:space="preserve">genesis and the feasibility of a cancer diagnosis related to exposed to </w:t>
      </w:r>
      <w:r w:rsidR="00812C76">
        <w:t>specified impurity</w:t>
      </w:r>
      <w:r w:rsidRPr="006B7B4C">
        <w:t xml:space="preserve"> via</w:t>
      </w:r>
      <w:r w:rsidR="006B7B4C">
        <w:t xml:space="preserve"> E</w:t>
      </w:r>
      <w:r w:rsidR="00CE448F">
        <w:t>sbriet</w:t>
      </w:r>
      <w:r w:rsidR="006B7B4C">
        <w:t xml:space="preserve"> use.</w:t>
      </w:r>
    </w:p>
    <w:p w:rsidR="006B7B4C" w:rsidRDefault="006B7B4C" w:rsidP="006B7B4C">
      <w:r>
        <w:t>As noted above, IPF is a devastating, older age</w:t>
      </w:r>
      <w:r w:rsidR="009746F8">
        <w:t xml:space="preserve"> </w:t>
      </w:r>
      <w:r>
        <w:t>related lung disease of unknown cause that has few treatment options and a poor median survival time from 2.5 to 5 years from the time of diagnosis, w</w:t>
      </w:r>
      <w:r w:rsidR="00CE448F">
        <w:t>hich is worse than many cancers</w:t>
      </w:r>
      <w:r>
        <w:t>.</w:t>
      </w:r>
      <w:r w:rsidR="00074D22">
        <w:rPr>
          <w:rStyle w:val="FootnoteReference"/>
        </w:rPr>
        <w:footnoteReference w:id="51"/>
      </w:r>
      <w:r w:rsidR="00074D22">
        <w:rPr>
          <w:rStyle w:val="FootnoteReference"/>
        </w:rPr>
        <w:footnoteReference w:id="52"/>
      </w:r>
      <w:r w:rsidR="00074D22">
        <w:rPr>
          <w:rStyle w:val="FootnoteReference"/>
        </w:rPr>
        <w:footnoteReference w:id="53"/>
      </w:r>
      <w:r w:rsidR="00074D22">
        <w:rPr>
          <w:rStyle w:val="FootnoteReference"/>
        </w:rPr>
        <w:footnoteReference w:id="54"/>
      </w:r>
      <w:r>
        <w:t xml:space="preserve"> In addition, it is well known that both the final, formal diagnosis of IPF and the start of treatment with E</w:t>
      </w:r>
      <w:r w:rsidR="00CE448F">
        <w:t>sbriet</w:t>
      </w:r>
      <w:r>
        <w:t xml:space="preserve"> are often delayed.</w:t>
      </w:r>
    </w:p>
    <w:p w:rsidR="006B7B4C" w:rsidRDefault="006B7B4C" w:rsidP="006B7B4C">
      <w:r>
        <w:t xml:space="preserve">The clinical manifestation of any potential </w:t>
      </w:r>
      <w:proofErr w:type="spellStart"/>
      <w:r>
        <w:t>clastogenic</w:t>
      </w:r>
      <w:proofErr w:type="spellEnd"/>
      <w:r>
        <w:t xml:space="preserve"> effect takes an extended period of time. A cell sustaining a chromosomal change that triggers a cancerous process would need to undergo many years of cell doubling before becoming clinically detectable. There is published evidence in the literature that tumo</w:t>
      </w:r>
      <w:r w:rsidR="00CE448F">
        <w:t>u</w:t>
      </w:r>
      <w:r>
        <w:t>r development almost always involves a long delay between the initial causal event, exposure dose and duration, and the onset of disease. One example of latency suggest that prostatic carcinogenesis starts in the second to third decade of life and may require over 50 years for progression to pathologically detectable metasta</w:t>
      </w:r>
      <w:r w:rsidR="00CE448F">
        <w:t>tic disease</w:t>
      </w:r>
      <w:r>
        <w:t>.</w:t>
      </w:r>
      <w:r w:rsidR="00074D22">
        <w:rPr>
          <w:rStyle w:val="FootnoteReference"/>
        </w:rPr>
        <w:footnoteReference w:id="55"/>
      </w:r>
      <w:r>
        <w:t xml:space="preserve"> In fact, for most solid human tumo</w:t>
      </w:r>
      <w:r w:rsidR="00CE448F">
        <w:t xml:space="preserve">urs, there is a 20 </w:t>
      </w:r>
      <w:r>
        <w:t xml:space="preserve">year interval from carcinogen </w:t>
      </w:r>
      <w:r w:rsidR="00CE448F">
        <w:t>exposure to clinical detection</w:t>
      </w:r>
      <w:r>
        <w:t>.</w:t>
      </w:r>
      <w:r w:rsidR="00074D22">
        <w:rPr>
          <w:rStyle w:val="FootnoteReference"/>
        </w:rPr>
        <w:footnoteReference w:id="56"/>
      </w:r>
      <w:r w:rsidR="00AD5BCB">
        <w:t xml:space="preserve"> </w:t>
      </w:r>
      <w:r w:rsidR="00CE448F">
        <w:t xml:space="preserve">It has been observed that </w:t>
      </w:r>
      <w:r w:rsidR="00CE448F" w:rsidRPr="00526DBA">
        <w:rPr>
          <w:i/>
        </w:rPr>
        <w:t>‘</w:t>
      </w:r>
      <w:r w:rsidRPr="00526DBA">
        <w:rPr>
          <w:i/>
        </w:rPr>
        <w:t xml:space="preserve">villous tumour, proven histologically, will remain benign for up to twenty years without becoming </w:t>
      </w:r>
      <w:r w:rsidR="00CE448F" w:rsidRPr="00526DBA">
        <w:rPr>
          <w:i/>
        </w:rPr>
        <w:t>malignant’</w:t>
      </w:r>
      <w:r>
        <w:t>.</w:t>
      </w:r>
      <w:r w:rsidR="00D252CA">
        <w:rPr>
          <w:rStyle w:val="FootnoteReference"/>
        </w:rPr>
        <w:footnoteReference w:id="57"/>
      </w:r>
      <w:r>
        <w:t xml:space="preserve"> Studies calculating the growth of lung tumo</w:t>
      </w:r>
      <w:r w:rsidR="00CE448F">
        <w:t>u</w:t>
      </w:r>
      <w:r>
        <w:t xml:space="preserve">rs based on mathematical models suggest that it takes 10 to 15 years from the appearance of the first cancer cell to the possibility of detecting a </w:t>
      </w:r>
      <w:r w:rsidR="00CE448F">
        <w:t>non-small cell lung cancer</w:t>
      </w:r>
      <w:r>
        <w:t xml:space="preserve"> by conventional chest </w:t>
      </w:r>
      <w:r>
        <w:lastRenderedPageBreak/>
        <w:t>radiograph.</w:t>
      </w:r>
      <w:r w:rsidR="00D252CA">
        <w:rPr>
          <w:rStyle w:val="FootnoteReference"/>
        </w:rPr>
        <w:footnoteReference w:id="58"/>
      </w:r>
      <w:r>
        <w:t xml:space="preserve"> An example reflective of the effect of dose and duration of exposure is that the incidence of lung cancer rises steeply 10 to 20 years of heavy smoking.</w:t>
      </w:r>
      <w:r w:rsidR="00D252CA">
        <w:rPr>
          <w:rStyle w:val="FootnoteReference"/>
        </w:rPr>
        <w:footnoteReference w:id="59"/>
      </w:r>
    </w:p>
    <w:p w:rsidR="006B7B4C" w:rsidRDefault="006B7B4C" w:rsidP="006B7B4C">
      <w:r>
        <w:t xml:space="preserve">In the absence of </w:t>
      </w:r>
      <w:proofErr w:type="spellStart"/>
      <w:r>
        <w:t>pirfenidone</w:t>
      </w:r>
      <w:proofErr w:type="spellEnd"/>
      <w:r>
        <w:t xml:space="preserve"> pregnancy safety outcome data to assess clinical manifestation of </w:t>
      </w:r>
      <w:proofErr w:type="spellStart"/>
      <w:r>
        <w:t>clastogenic</w:t>
      </w:r>
      <w:proofErr w:type="spellEnd"/>
      <w:r>
        <w:t xml:space="preserve"> effects on germ-lines, the </w:t>
      </w:r>
      <w:r w:rsidR="00E60988">
        <w:t>sponsor</w:t>
      </w:r>
      <w:r>
        <w:t xml:space="preserve"> assessed the clinical manifestation of potential </w:t>
      </w:r>
      <w:proofErr w:type="spellStart"/>
      <w:r>
        <w:t>clastogenic</w:t>
      </w:r>
      <w:proofErr w:type="spellEnd"/>
      <w:r>
        <w:t xml:space="preserve"> effects in somatic cells. The potential clinical manifestation of such potential </w:t>
      </w:r>
      <w:proofErr w:type="spellStart"/>
      <w:r>
        <w:t>clastogenic</w:t>
      </w:r>
      <w:proofErr w:type="spellEnd"/>
      <w:r>
        <w:t xml:space="preserve"> effects in somatic cells would potentially be manifested if there were an increase in rates of neoplasm in patients receiving E</w:t>
      </w:r>
      <w:r w:rsidR="00CE448F">
        <w:t>sbriet</w:t>
      </w:r>
      <w:r>
        <w:t>.</w:t>
      </w:r>
    </w:p>
    <w:p w:rsidR="006512A9" w:rsidRDefault="006B7B4C" w:rsidP="006B7B4C">
      <w:r>
        <w:t xml:space="preserve">Roche has conducted a review of potential </w:t>
      </w:r>
      <w:proofErr w:type="spellStart"/>
      <w:r>
        <w:t>clastogenic</w:t>
      </w:r>
      <w:proofErr w:type="spellEnd"/>
      <w:r>
        <w:t xml:space="preserve"> cancer-related effects of </w:t>
      </w:r>
      <w:r w:rsidR="00812C76">
        <w:t>specified impurity</w:t>
      </w:r>
      <w:r>
        <w:t xml:space="preserve">, which included a cumulative review of all </w:t>
      </w:r>
      <w:proofErr w:type="spellStart"/>
      <w:r>
        <w:t>pirfenidone</w:t>
      </w:r>
      <w:proofErr w:type="spellEnd"/>
      <w:r>
        <w:t xml:space="preserve"> cases within the Roche safety database, and events included in the </w:t>
      </w:r>
      <w:proofErr w:type="spellStart"/>
      <w:r>
        <w:t>MedDRA</w:t>
      </w:r>
      <w:proofErr w:type="spellEnd"/>
      <w:r>
        <w:t xml:space="preserve"> sy</w:t>
      </w:r>
      <w:r w:rsidR="00CE448F">
        <w:t>s</w:t>
      </w:r>
      <w:r>
        <w:t>tem organ Class (SOC) Neoplasms benign, malignant and unspecified (including cysts and polyps).</w:t>
      </w:r>
    </w:p>
    <w:p w:rsidR="006B7B4C" w:rsidRDefault="006B7B4C" w:rsidP="00512591">
      <w:pPr>
        <w:pStyle w:val="Heading6"/>
      </w:pPr>
      <w:r>
        <w:t>Cumulative review of Neoplasm cases in the E</w:t>
      </w:r>
      <w:r w:rsidR="00CE448F">
        <w:t>sbriet</w:t>
      </w:r>
      <w:r>
        <w:t xml:space="preserve"> Safety Database</w:t>
      </w:r>
    </w:p>
    <w:p w:rsidR="006B7B4C" w:rsidRPr="006B7B4C" w:rsidRDefault="006B7B4C" w:rsidP="006B7B4C">
      <w:r w:rsidRPr="006B7B4C">
        <w:t xml:space="preserve">A cumulative review of </w:t>
      </w:r>
      <w:proofErr w:type="spellStart"/>
      <w:r w:rsidRPr="006B7B4C">
        <w:t>pirfenidone</w:t>
      </w:r>
      <w:proofErr w:type="spellEnd"/>
      <w:r w:rsidRPr="006B7B4C">
        <w:t xml:space="preserve"> cases in the Roche safety dat</w:t>
      </w:r>
      <w:r>
        <w:t xml:space="preserve">abase was performed to identify </w:t>
      </w:r>
      <w:r w:rsidRPr="006B7B4C">
        <w:t xml:space="preserve">any event with the </w:t>
      </w:r>
      <w:proofErr w:type="spellStart"/>
      <w:r w:rsidRPr="006B7B4C">
        <w:t>MedDRA</w:t>
      </w:r>
      <w:proofErr w:type="spellEnd"/>
      <w:r w:rsidRPr="006B7B4C">
        <w:t xml:space="preserve"> SOC of Neoplasms benign, malig</w:t>
      </w:r>
      <w:r>
        <w:t xml:space="preserve">nant and unspecified (including </w:t>
      </w:r>
      <w:r w:rsidRPr="006B7B4C">
        <w:t>cysts and polyps). In all, 359 cases were identified. Of these 359 cases, 1 was Literat</w:t>
      </w:r>
      <w:r w:rsidR="00CE448F">
        <w:t xml:space="preserve">ure </w:t>
      </w:r>
      <w:r>
        <w:t>Non</w:t>
      </w:r>
      <w:r w:rsidR="00CE448F">
        <w:noBreakHyphen/>
      </w:r>
      <w:r>
        <w:t xml:space="preserve"> </w:t>
      </w:r>
      <w:r w:rsidRPr="006B7B4C">
        <w:t>Interventional Study/Program, 77 were spontaneous, 156 were s</w:t>
      </w:r>
      <w:r>
        <w:t xml:space="preserve">olicited, and 125 were clinical </w:t>
      </w:r>
      <w:r w:rsidRPr="006B7B4C">
        <w:t>reports.</w:t>
      </w:r>
    </w:p>
    <w:p w:rsidR="006B7B4C" w:rsidRPr="006B7B4C" w:rsidRDefault="006B7B4C" w:rsidP="006B7B4C">
      <w:r w:rsidRPr="006B7B4C">
        <w:t xml:space="preserve">The cumulative patient-years of exposure to </w:t>
      </w:r>
      <w:proofErr w:type="spellStart"/>
      <w:r w:rsidRPr="006B7B4C">
        <w:t>pirfenidone</w:t>
      </w:r>
      <w:proofErr w:type="spellEnd"/>
      <w:r w:rsidRPr="006B7B4C">
        <w:t xml:space="preserve">, as of </w:t>
      </w:r>
      <w:r>
        <w:t xml:space="preserve">27 February 2015 (the Data Lock </w:t>
      </w:r>
      <w:r w:rsidRPr="006B7B4C">
        <w:t>Point (DLP) of the most recent PSUR), was 20,368. Neoplas</w:t>
      </w:r>
      <w:r>
        <w:t xml:space="preserve">m events in patients exposed to </w:t>
      </w:r>
      <w:proofErr w:type="spellStart"/>
      <w:r w:rsidRPr="006B7B4C">
        <w:t>pirfenidone</w:t>
      </w:r>
      <w:proofErr w:type="spellEnd"/>
      <w:r w:rsidRPr="006B7B4C">
        <w:t>, were reported at a rate consistent with an incidence o</w:t>
      </w:r>
      <w:r w:rsidR="00CE448F">
        <w:t>f 1,762.6/</w:t>
      </w:r>
      <w:r>
        <w:t xml:space="preserve">100,000 patient years </w:t>
      </w:r>
      <w:r w:rsidR="00CE448F">
        <w:t>(359/</w:t>
      </w:r>
      <w:r w:rsidRPr="006B7B4C">
        <w:t>20,368).</w:t>
      </w:r>
    </w:p>
    <w:p w:rsidR="006B7B4C" w:rsidRPr="006B7B4C" w:rsidRDefault="006B7B4C" w:rsidP="006B7B4C">
      <w:r w:rsidRPr="006B7B4C">
        <w:t xml:space="preserve">The </w:t>
      </w:r>
      <w:r w:rsidR="00156B9F">
        <w:t>s</w:t>
      </w:r>
      <w:r w:rsidRPr="006B7B4C">
        <w:t>ponsor is aware of two reasons why this value of 1,762</w:t>
      </w:r>
      <w:r>
        <w:t xml:space="preserve">.6 per 100,000 patient-years is </w:t>
      </w:r>
      <w:r w:rsidRPr="006B7B4C">
        <w:t>possibly over-reporting the events for this SOC:</w:t>
      </w:r>
    </w:p>
    <w:p w:rsidR="006B7B4C" w:rsidRDefault="006B7B4C" w:rsidP="00C63AB6">
      <w:pPr>
        <w:pStyle w:val="ListBullet"/>
      </w:pPr>
      <w:r w:rsidRPr="006B7B4C">
        <w:t>Approximately 43% of identified cases, reported wit</w:t>
      </w:r>
      <w:r>
        <w:t xml:space="preserve">h this SOC, were from solicited </w:t>
      </w:r>
      <w:r w:rsidRPr="006B7B4C">
        <w:t>reports. Solicited cases have been described in the sci</w:t>
      </w:r>
      <w:r>
        <w:t xml:space="preserve">entific literature as having an </w:t>
      </w:r>
      <w:r w:rsidRPr="006B7B4C">
        <w:t>increased reporting rate when compared to spontaneous rep</w:t>
      </w:r>
      <w:r w:rsidR="00CE448F">
        <w:t>orts</w:t>
      </w:r>
      <w:r>
        <w:t>.</w:t>
      </w:r>
      <w:r w:rsidR="00D252CA">
        <w:rPr>
          <w:rStyle w:val="FootnoteReference"/>
        </w:rPr>
        <w:footnoteReference w:id="60"/>
      </w:r>
      <w:r w:rsidR="00D252CA">
        <w:rPr>
          <w:rStyle w:val="FootnoteReference"/>
        </w:rPr>
        <w:footnoteReference w:id="61"/>
      </w:r>
      <w:r>
        <w:t xml:space="preserve"> This would increase </w:t>
      </w:r>
      <w:r w:rsidRPr="006B7B4C">
        <w:t>the numerator in the incidence calculation.</w:t>
      </w:r>
    </w:p>
    <w:p w:rsidR="00C63AB6" w:rsidRDefault="00C63AB6" w:rsidP="00C63AB6">
      <w:pPr>
        <w:pStyle w:val="ListBullet"/>
      </w:pPr>
      <w:r>
        <w:t xml:space="preserve">The cumulative patient years of exposure to </w:t>
      </w:r>
      <w:proofErr w:type="spellStart"/>
      <w:r>
        <w:t>pirfenidone</w:t>
      </w:r>
      <w:proofErr w:type="spellEnd"/>
      <w:r>
        <w:t xml:space="preserve"> that was used for the dominator in the incidence calculation will be smaller than what </w:t>
      </w:r>
      <w:proofErr w:type="spellStart"/>
      <w:r>
        <w:t>woild</w:t>
      </w:r>
      <w:proofErr w:type="spellEnd"/>
      <w:r>
        <w:t xml:space="preserve"> be available for the DLP used in this cumulative review.</w:t>
      </w:r>
    </w:p>
    <w:p w:rsidR="00C63AB6" w:rsidRDefault="00C63AB6" w:rsidP="00C63AB6">
      <w:r w:rsidRPr="00C63AB6">
        <w:t xml:space="preserve">Cancer occurs at a higher incidence in the older patient population. About one out of 10 patients with </w:t>
      </w:r>
      <w:r>
        <w:t>IP</w:t>
      </w:r>
      <w:r w:rsidR="00CE448F">
        <w:t>F also develops lung cancer</w:t>
      </w:r>
      <w:r>
        <w:t>.</w:t>
      </w:r>
      <w:r w:rsidR="00D252CA">
        <w:rPr>
          <w:rStyle w:val="FootnoteReference"/>
        </w:rPr>
        <w:footnoteReference w:id="62"/>
      </w:r>
      <w:r>
        <w:t xml:space="preserve"> The reported incidence of all neoplasms combined in the safety database (1,762.6 per 100,000) is comparable to the incidence of 2085.3 to 2255.1 per 100,000 that is seen in elderly patients in the general population and smaller than reported for IPF patients unexposed to </w:t>
      </w:r>
      <w:proofErr w:type="spellStart"/>
      <w:r>
        <w:t>pirfenidone</w:t>
      </w:r>
      <w:proofErr w:type="spellEnd"/>
      <w:r>
        <w:t xml:space="preserve"> of 3,730 per 100,00 (373 per 10,000 patient years).</w:t>
      </w:r>
      <w:r w:rsidR="00D252CA" w:rsidRPr="00D252CA">
        <w:rPr>
          <w:vertAlign w:val="superscript"/>
        </w:rPr>
        <w:fldChar w:fldCharType="begin"/>
      </w:r>
      <w:r w:rsidR="00D252CA" w:rsidRPr="00D252CA">
        <w:rPr>
          <w:vertAlign w:val="superscript"/>
        </w:rPr>
        <w:instrText xml:space="preserve"> NOTEREF _Ref452379506 </w:instrText>
      </w:r>
      <w:r w:rsidR="00D252CA">
        <w:rPr>
          <w:vertAlign w:val="superscript"/>
        </w:rPr>
        <w:instrText xml:space="preserve"> \* MERGEFORMAT </w:instrText>
      </w:r>
      <w:r w:rsidR="00D252CA" w:rsidRPr="00D252CA">
        <w:rPr>
          <w:vertAlign w:val="superscript"/>
        </w:rPr>
        <w:fldChar w:fldCharType="separate"/>
      </w:r>
      <w:r w:rsidR="007A22E8">
        <w:rPr>
          <w:vertAlign w:val="superscript"/>
        </w:rPr>
        <w:t>39</w:t>
      </w:r>
      <w:r w:rsidR="00D252CA" w:rsidRPr="00D252CA">
        <w:rPr>
          <w:vertAlign w:val="superscript"/>
        </w:rPr>
        <w:fldChar w:fldCharType="end"/>
      </w:r>
      <w:proofErr w:type="gramStart"/>
      <w:r w:rsidR="00D252CA" w:rsidRPr="00D252CA">
        <w:rPr>
          <w:vertAlign w:val="superscript"/>
        </w:rPr>
        <w:t>,</w:t>
      </w:r>
      <w:proofErr w:type="gramEnd"/>
      <w:r w:rsidR="00D252CA" w:rsidRPr="00D252CA">
        <w:rPr>
          <w:vertAlign w:val="superscript"/>
        </w:rPr>
        <w:fldChar w:fldCharType="begin"/>
      </w:r>
      <w:r w:rsidR="00D252CA" w:rsidRPr="00D252CA">
        <w:rPr>
          <w:vertAlign w:val="superscript"/>
        </w:rPr>
        <w:instrText xml:space="preserve"> NOTEREF _Ref452379518 </w:instrText>
      </w:r>
      <w:r w:rsidR="00D252CA">
        <w:rPr>
          <w:vertAlign w:val="superscript"/>
        </w:rPr>
        <w:instrText xml:space="preserve"> \* MERGEFORMAT </w:instrText>
      </w:r>
      <w:r w:rsidR="00D252CA" w:rsidRPr="00D252CA">
        <w:rPr>
          <w:vertAlign w:val="superscript"/>
        </w:rPr>
        <w:fldChar w:fldCharType="separate"/>
      </w:r>
      <w:r w:rsidR="007A22E8">
        <w:rPr>
          <w:vertAlign w:val="superscript"/>
        </w:rPr>
        <w:t>40</w:t>
      </w:r>
      <w:r w:rsidR="00D252CA" w:rsidRPr="00D252CA">
        <w:rPr>
          <w:vertAlign w:val="superscript"/>
        </w:rPr>
        <w:fldChar w:fldCharType="end"/>
      </w:r>
      <w:r w:rsidR="00D252CA" w:rsidRPr="00D252CA">
        <w:rPr>
          <w:vertAlign w:val="superscript"/>
        </w:rPr>
        <w:t>,</w:t>
      </w:r>
      <w:r w:rsidR="00D252CA" w:rsidRPr="00D252CA">
        <w:rPr>
          <w:rStyle w:val="FootnoteReference"/>
        </w:rPr>
        <w:footnoteReference w:id="63"/>
      </w:r>
    </w:p>
    <w:p w:rsidR="00C63AB6" w:rsidRDefault="00C63AB6" w:rsidP="00C63AB6">
      <w:proofErr w:type="spellStart"/>
      <w:r>
        <w:t>Pirfenidone’s</w:t>
      </w:r>
      <w:proofErr w:type="spellEnd"/>
      <w:r>
        <w:t xml:space="preserve"> potential manifestation of chromosomal damage (as manifested by a potential increase in the reporting of neoplasms above what would be expected in this patient population) has not been identified in this analysis of the safety data that is based on 20,368 cumulative patient years of exposure to Esbriet.</w:t>
      </w:r>
    </w:p>
    <w:p w:rsidR="00A00482" w:rsidRDefault="00A00482" w:rsidP="00512591">
      <w:pPr>
        <w:pStyle w:val="Heading6"/>
      </w:pPr>
      <w:r>
        <w:lastRenderedPageBreak/>
        <w:t>Conclusion</w:t>
      </w:r>
      <w:r w:rsidR="00441F6B">
        <w:t xml:space="preserve"> to issues related to </w:t>
      </w:r>
      <w:r w:rsidR="00812C76">
        <w:t>specified impurity</w:t>
      </w:r>
      <w:r w:rsidR="00441F6B">
        <w:t xml:space="preserve"> content</w:t>
      </w:r>
    </w:p>
    <w:p w:rsidR="00A00482" w:rsidRDefault="00A00482" w:rsidP="00C63AB6">
      <w:r>
        <w:t xml:space="preserve">In the context of </w:t>
      </w:r>
      <w:r w:rsidR="00D46E2B">
        <w:t xml:space="preserve">(1) </w:t>
      </w:r>
      <w:r>
        <w:t xml:space="preserve">a median IPF survival of 2.5 to 5 years, </w:t>
      </w:r>
      <w:r w:rsidR="00D46E2B">
        <w:t xml:space="preserve">(2) </w:t>
      </w:r>
      <w:r>
        <w:t xml:space="preserve">the long latency of </w:t>
      </w:r>
      <w:r w:rsidR="00D46E2B">
        <w:t>tumorigenesis</w:t>
      </w:r>
      <w:r>
        <w:t xml:space="preserve"> process and the small dose and duration of </w:t>
      </w:r>
      <w:r w:rsidR="00812C76">
        <w:t>specified impurity</w:t>
      </w:r>
      <w:r>
        <w:t xml:space="preserve"> exposure via Esbriet, the likelihood of identifying clinically detectable, </w:t>
      </w:r>
      <w:proofErr w:type="spellStart"/>
      <w:r>
        <w:t>clastogenic</w:t>
      </w:r>
      <w:proofErr w:type="spellEnd"/>
      <w:r w:rsidR="00AE62B1">
        <w:t xml:space="preserve"> </w:t>
      </w:r>
      <w:r>
        <w:t xml:space="preserve">related cancers due to </w:t>
      </w:r>
      <w:r w:rsidR="00812C76">
        <w:t>specified impurity</w:t>
      </w:r>
      <w:r>
        <w:t xml:space="preserve"> exposure within the lifetime of IPF patients would be remote. The lifespan on a person diagnosed with IPF is on average much shorter than the hypothesized latency of a tumour. Exposure to Esbriet would likely be even shorter. This risk</w:t>
      </w:r>
      <w:r>
        <w:noBreakHyphen/>
        <w:t>benefit determination in this instance is for a disease with poor median survival time that ranges from 2.5 to 5 years from the time of diagnosis. This survival time is worse than that for many cancers.</w:t>
      </w:r>
    </w:p>
    <w:p w:rsidR="00A00482" w:rsidRDefault="00A00482" w:rsidP="00C63AB6">
      <w:r>
        <w:t>The overall body of evidence from the studies of Esbriet, in the setting of this irreversible and fatal orphan disease that represents an urgent unmet medical need, clearly establishes a favourable therapeutic benefit</w:t>
      </w:r>
      <w:r>
        <w:noBreakHyphen/>
        <w:t xml:space="preserve">risk profile that strongly supports the use of Esbriet for the treatment of patients with IPF. We therefore strongly agree with the TGA, that this formulation of </w:t>
      </w:r>
      <w:proofErr w:type="spellStart"/>
      <w:r>
        <w:t>pirfenidone</w:t>
      </w:r>
      <w:proofErr w:type="spellEnd"/>
      <w:r>
        <w:t xml:space="preserve"> can be registered at this time, pending the resolution of the impurity level as a condition of registration if needed.</w:t>
      </w:r>
    </w:p>
    <w:p w:rsidR="003E7220" w:rsidRPr="00526DBA" w:rsidRDefault="003E7220" w:rsidP="00381256">
      <w:pPr>
        <w:pStyle w:val="Numberbullet0"/>
        <w:numPr>
          <w:ilvl w:val="0"/>
          <w:numId w:val="7"/>
        </w:numPr>
        <w:rPr>
          <w:i/>
        </w:rPr>
      </w:pPr>
      <w:r w:rsidRPr="00526DBA">
        <w:rPr>
          <w:i/>
        </w:rPr>
        <w:t>Does the Committee agree that in relation to monitoring and management of photosensitivity reactions and rashes and in relation to hepatic related events that strategies to be implemented in the EU including mail</w:t>
      </w:r>
      <w:r w:rsidR="00270A99">
        <w:rPr>
          <w:i/>
        </w:rPr>
        <w:noBreakHyphen/>
      </w:r>
      <w:r w:rsidRPr="00526DBA">
        <w:rPr>
          <w:i/>
        </w:rPr>
        <w:t>outs to healthcare practitioners, is also appropriate to undertake in Australia?</w:t>
      </w:r>
    </w:p>
    <w:p w:rsidR="007A6457" w:rsidRPr="007A6457" w:rsidRDefault="007A6457" w:rsidP="007A6457">
      <w:r>
        <w:t xml:space="preserve">As agreed in earlier responses, Roche will implement equivalent risk minimisation activities in Australia as those implemented in Europe in relation to photosensitivity reactions and rashes and hepatic related events, for instance provide a </w:t>
      </w:r>
      <w:r w:rsidR="00AE62B1">
        <w:t>DHCPL</w:t>
      </w:r>
      <w:r>
        <w:t xml:space="preserve"> at launch.</w:t>
      </w:r>
    </w:p>
    <w:p w:rsidR="00882E3E" w:rsidRPr="00882E3E" w:rsidRDefault="008E7846" w:rsidP="00526DBA">
      <w:pPr>
        <w:pStyle w:val="Heading4"/>
      </w:pPr>
      <w:r>
        <w:t>Advisory Committee Considerations</w:t>
      </w:r>
    </w:p>
    <w:p w:rsidR="00882E3E" w:rsidRPr="00882E3E" w:rsidRDefault="00882E3E" w:rsidP="00882E3E">
      <w:r w:rsidRPr="00882E3E">
        <w:t xml:space="preserve">The ACPM, taking into account the submitted evidence of efficacy, safety and quality, agreed with the </w:t>
      </w:r>
      <w:r w:rsidR="00E60988">
        <w:t>Delegate</w:t>
      </w:r>
      <w:r w:rsidRPr="00882E3E">
        <w:t xml:space="preserve"> and considered E</w:t>
      </w:r>
      <w:r w:rsidR="00AE62B1" w:rsidRPr="00882E3E">
        <w:t>sbriet</w:t>
      </w:r>
      <w:r w:rsidRPr="00882E3E">
        <w:t xml:space="preserve"> capsule containing 267 mg of </w:t>
      </w:r>
      <w:proofErr w:type="spellStart"/>
      <w:r w:rsidRPr="00882E3E">
        <w:t>pirfenidone</w:t>
      </w:r>
      <w:proofErr w:type="spellEnd"/>
      <w:r w:rsidRPr="00882E3E">
        <w:t xml:space="preserve"> to have an overall positive benefit–risk profile for the indication</w:t>
      </w:r>
      <w:r>
        <w:t>:</w:t>
      </w:r>
    </w:p>
    <w:p w:rsidR="00882E3E" w:rsidRPr="00882E3E" w:rsidRDefault="00882E3E" w:rsidP="00882E3E">
      <w:pPr>
        <w:adjustRightInd w:val="0"/>
        <w:snapToGrid w:val="0"/>
        <w:ind w:left="567"/>
        <w:rPr>
          <w:rFonts w:eastAsia="MS Mincho" w:cs="Calibri"/>
          <w:bCs/>
          <w:i/>
          <w:lang w:eastAsia="ja-JP"/>
        </w:rPr>
      </w:pPr>
      <w:r w:rsidRPr="00882E3E">
        <w:rPr>
          <w:rFonts w:eastAsia="MS Mincho" w:cs="Calibri"/>
          <w:i/>
          <w:lang w:eastAsia="ja-JP"/>
        </w:rPr>
        <w:t>E</w:t>
      </w:r>
      <w:r w:rsidR="00AE62B1" w:rsidRPr="00882E3E">
        <w:rPr>
          <w:rFonts w:eastAsia="MS Mincho" w:cs="Calibri"/>
          <w:i/>
          <w:lang w:eastAsia="ja-JP"/>
        </w:rPr>
        <w:t>sbriet</w:t>
      </w:r>
      <w:r w:rsidRPr="00882E3E">
        <w:rPr>
          <w:rFonts w:eastAsia="MS Mincho" w:cs="Calibri"/>
          <w:i/>
          <w:lang w:eastAsia="ja-JP"/>
        </w:rPr>
        <w:t xml:space="preserve"> is indicated for the treatment of idio</w:t>
      </w:r>
      <w:r>
        <w:rPr>
          <w:rFonts w:eastAsia="MS Mincho" w:cs="Calibri"/>
          <w:i/>
          <w:lang w:eastAsia="ja-JP"/>
        </w:rPr>
        <w:t>pathic pulmonary fibrosis (IPF).</w:t>
      </w:r>
    </w:p>
    <w:p w:rsidR="00882E3E" w:rsidRDefault="00882E3E" w:rsidP="00882E3E">
      <w:pPr>
        <w:adjustRightInd w:val="0"/>
        <w:snapToGrid w:val="0"/>
        <w:rPr>
          <w:rFonts w:eastAsia="MS Mincho"/>
          <w:bCs/>
          <w:iCs/>
          <w:lang w:eastAsia="ja-JP"/>
        </w:rPr>
      </w:pPr>
      <w:r w:rsidRPr="00AC4860">
        <w:rPr>
          <w:rFonts w:eastAsia="MS Mincho"/>
          <w:bCs/>
          <w:iCs/>
          <w:lang w:eastAsia="ja-JP"/>
        </w:rPr>
        <w:t>In making this recommendation the ACPM noted the evidence presented supported modest efficacy.</w:t>
      </w:r>
    </w:p>
    <w:p w:rsidR="00882E3E" w:rsidRPr="00AC4860" w:rsidRDefault="00882E3E" w:rsidP="00882E3E">
      <w:pPr>
        <w:pStyle w:val="Heading5"/>
        <w:rPr>
          <w:rFonts w:eastAsia="MS Mincho"/>
          <w:u w:val="single"/>
          <w:lang w:eastAsia="ja-JP"/>
        </w:rPr>
      </w:pPr>
      <w:r w:rsidRPr="00AC4860">
        <w:rPr>
          <w:rFonts w:eastAsia="MS Mincho"/>
          <w:lang w:eastAsia="ja-JP"/>
        </w:rPr>
        <w:t>P</w:t>
      </w:r>
      <w:r>
        <w:rPr>
          <w:rFonts w:eastAsia="MS Mincho"/>
          <w:lang w:eastAsia="ja-JP"/>
        </w:rPr>
        <w:t>roposed PI</w:t>
      </w:r>
      <w:r w:rsidRPr="00AC4860">
        <w:rPr>
          <w:rFonts w:eastAsia="MS Mincho"/>
          <w:lang w:eastAsia="ja-JP"/>
        </w:rPr>
        <w:t xml:space="preserve">/ </w:t>
      </w:r>
      <w:r>
        <w:rPr>
          <w:rFonts w:eastAsia="MS Mincho"/>
          <w:lang w:eastAsia="ja-JP"/>
        </w:rPr>
        <w:t>CMI</w:t>
      </w:r>
      <w:r w:rsidRPr="00AC4860">
        <w:rPr>
          <w:rFonts w:eastAsia="MS Mincho"/>
          <w:lang w:eastAsia="ja-JP"/>
        </w:rPr>
        <w:t xml:space="preserve"> amendments</w:t>
      </w:r>
    </w:p>
    <w:p w:rsidR="00AE62B1" w:rsidRDefault="00882E3E" w:rsidP="00882E3E">
      <w:r w:rsidRPr="00882E3E">
        <w:t xml:space="preserve">The ACPM agreed with the </w:t>
      </w:r>
      <w:r w:rsidR="00E60988">
        <w:t>Delegate</w:t>
      </w:r>
      <w:r w:rsidRPr="00882E3E">
        <w:t xml:space="preserve"> to the proposed amendments to the PI and CMI and specifically advised on</w:t>
      </w:r>
      <w:r>
        <w:t xml:space="preserve"> the inclusion of </w:t>
      </w:r>
      <w:r w:rsidR="00AE62B1">
        <w:t>the following:</w:t>
      </w:r>
    </w:p>
    <w:p w:rsidR="00882E3E" w:rsidRPr="00882E3E" w:rsidRDefault="00882E3E" w:rsidP="00526DBA">
      <w:pPr>
        <w:pStyle w:val="ListBullet"/>
      </w:pPr>
      <w:r w:rsidRPr="00882E3E">
        <w:t xml:space="preserve">statements in the </w:t>
      </w:r>
      <w:r>
        <w:t>‘</w:t>
      </w:r>
      <w:r w:rsidRPr="00882E3E">
        <w:t>Precautions</w:t>
      </w:r>
      <w:r>
        <w:t>’</w:t>
      </w:r>
      <w:r w:rsidRPr="00882E3E">
        <w:t xml:space="preserve"> section of the PI and reflected in the relevant sections of the CMI to reference the need for monitoring of the potential adverse events should be highlighted, particularly of rashes and photosensitivity and hepatic disorders.</w:t>
      </w:r>
    </w:p>
    <w:p w:rsidR="00441F6B" w:rsidRPr="00263CA5" w:rsidRDefault="00AE62B1" w:rsidP="00441F6B">
      <w:pPr>
        <w:pStyle w:val="Heading5"/>
      </w:pPr>
      <w:r>
        <w:t>Specific advice</w:t>
      </w:r>
    </w:p>
    <w:p w:rsidR="00156B9F" w:rsidRPr="00AC4860" w:rsidRDefault="00156B9F" w:rsidP="00156B9F">
      <w:pPr>
        <w:adjustRightInd w:val="0"/>
        <w:snapToGrid w:val="0"/>
        <w:rPr>
          <w:rFonts w:eastAsia="MS Mincho"/>
          <w:b/>
          <w:bCs/>
          <w:iCs/>
          <w:szCs w:val="20"/>
          <w:highlight w:val="yellow"/>
          <w:lang w:eastAsia="ja-JP"/>
        </w:rPr>
      </w:pPr>
      <w:r w:rsidRPr="00AC4860">
        <w:rPr>
          <w:rFonts w:eastAsia="MS Mincho" w:cs="Arial"/>
          <w:szCs w:val="20"/>
          <w:lang w:eastAsia="ja-JP"/>
        </w:rPr>
        <w:t xml:space="preserve">The ACPM advised the following in response to the </w:t>
      </w:r>
      <w:r w:rsidR="006B1185">
        <w:rPr>
          <w:rFonts w:eastAsia="MS Mincho" w:cs="Arial"/>
          <w:szCs w:val="20"/>
          <w:lang w:eastAsia="ja-JP"/>
        </w:rPr>
        <w:t>D</w:t>
      </w:r>
      <w:r w:rsidRPr="00AC4860">
        <w:rPr>
          <w:rFonts w:eastAsia="MS Mincho" w:cs="Arial"/>
          <w:szCs w:val="20"/>
          <w:lang w:eastAsia="ja-JP"/>
        </w:rPr>
        <w:t>elegate’s specific questions on this submission:</w:t>
      </w:r>
    </w:p>
    <w:p w:rsidR="001D0B43" w:rsidRPr="001D0B43" w:rsidRDefault="00156B9F" w:rsidP="00381256">
      <w:pPr>
        <w:pStyle w:val="Numberbullet0"/>
        <w:numPr>
          <w:ilvl w:val="0"/>
          <w:numId w:val="13"/>
        </w:numPr>
        <w:adjustRightInd w:val="0"/>
        <w:snapToGrid w:val="0"/>
        <w:rPr>
          <w:rFonts w:eastAsia="MS Mincho"/>
          <w:lang w:eastAsia="ja-JP"/>
        </w:rPr>
      </w:pPr>
      <w:r w:rsidRPr="00D252CA">
        <w:rPr>
          <w:i/>
          <w:lang w:eastAsia="ja-JP"/>
        </w:rPr>
        <w:t xml:space="preserve">Does the </w:t>
      </w:r>
      <w:r w:rsidR="00AE62B1" w:rsidRPr="00D252CA">
        <w:rPr>
          <w:i/>
          <w:lang w:eastAsia="ja-JP"/>
        </w:rPr>
        <w:t>c</w:t>
      </w:r>
      <w:r w:rsidRPr="00D252CA">
        <w:rPr>
          <w:i/>
          <w:lang w:eastAsia="ja-JP"/>
        </w:rPr>
        <w:t xml:space="preserve">ommittee agree </w:t>
      </w:r>
      <w:r w:rsidR="006B1185" w:rsidRPr="00D252CA">
        <w:rPr>
          <w:i/>
          <w:lang w:eastAsia="ja-JP"/>
        </w:rPr>
        <w:t>with the Delegate that the risk</w:t>
      </w:r>
      <w:r w:rsidR="006B1185" w:rsidRPr="00D252CA">
        <w:rPr>
          <w:i/>
          <w:lang w:eastAsia="ja-JP"/>
        </w:rPr>
        <w:noBreakHyphen/>
      </w:r>
      <w:r w:rsidRPr="00D252CA">
        <w:rPr>
          <w:i/>
          <w:lang w:eastAsia="ja-JP"/>
        </w:rPr>
        <w:t>benefit profile is acceptable given that there is a toxicological concern expressed</w:t>
      </w:r>
      <w:r w:rsidR="00D252CA">
        <w:rPr>
          <w:i/>
          <w:lang w:eastAsia="ja-JP"/>
        </w:rPr>
        <w:t xml:space="preserve"> on the limit set for the </w:t>
      </w:r>
      <w:r w:rsidR="009549F8">
        <w:rPr>
          <w:i/>
          <w:lang w:eastAsia="ja-JP"/>
        </w:rPr>
        <w:t xml:space="preserve">specified </w:t>
      </w:r>
      <w:r w:rsidR="00D252CA">
        <w:rPr>
          <w:i/>
          <w:lang w:eastAsia="ja-JP"/>
        </w:rPr>
        <w:t xml:space="preserve">impurity </w:t>
      </w:r>
      <w:r w:rsidR="006B4B77">
        <w:rPr>
          <w:i/>
          <w:lang w:eastAsia="ja-JP"/>
        </w:rPr>
        <w:t>[information redacted]</w:t>
      </w:r>
      <w:r w:rsidR="00D252CA">
        <w:rPr>
          <w:i/>
          <w:lang w:eastAsia="ja-JP"/>
        </w:rPr>
        <w:t>?</w:t>
      </w:r>
    </w:p>
    <w:p w:rsidR="00156B9F" w:rsidRPr="001D0B43" w:rsidRDefault="00156B9F" w:rsidP="001D0B43">
      <w:r w:rsidRPr="001D0B43">
        <w:t xml:space="preserve">The ACPM noted the proposed limit of the </w:t>
      </w:r>
      <w:r w:rsidR="006B4B77">
        <w:t xml:space="preserve">specified </w:t>
      </w:r>
      <w:r w:rsidRPr="001D0B43">
        <w:t xml:space="preserve">impurity, exceeds the permitted daily dose. However, in view of the significant morbidity associated with IPF; the </w:t>
      </w:r>
      <w:proofErr w:type="spellStart"/>
      <w:r w:rsidRPr="001D0B43">
        <w:t>clastogenic</w:t>
      </w:r>
      <w:proofErr w:type="spellEnd"/>
      <w:r w:rsidRPr="001D0B43">
        <w:t xml:space="preserve"> effect is likely to take many decades to become clinically apparent while average </w:t>
      </w:r>
      <w:r w:rsidR="001B79FF" w:rsidRPr="001D0B43">
        <w:t xml:space="preserve">length of </w:t>
      </w:r>
      <w:r w:rsidRPr="001D0B43">
        <w:lastRenderedPageBreak/>
        <w:t>survival in IPF is 2.5 to 5 years. The ACPM was of the view that the benefit-risk balance is still favourable.</w:t>
      </w:r>
    </w:p>
    <w:p w:rsidR="00156B9F" w:rsidRPr="00AC4860" w:rsidRDefault="00156B9F" w:rsidP="00156B9F">
      <w:pPr>
        <w:adjustRightInd w:val="0"/>
        <w:snapToGrid w:val="0"/>
        <w:rPr>
          <w:rFonts w:eastAsia="MS Mincho"/>
          <w:bCs/>
          <w:iCs/>
          <w:lang w:eastAsia="ja-JP"/>
        </w:rPr>
      </w:pPr>
      <w:r w:rsidRPr="00AC4860">
        <w:rPr>
          <w:rFonts w:eastAsia="MS Mincho"/>
          <w:lang w:eastAsia="ja-JP"/>
        </w:rPr>
        <w:t xml:space="preserve">The ACPM advised that the </w:t>
      </w:r>
      <w:r w:rsidR="00E60988">
        <w:rPr>
          <w:rFonts w:eastAsia="MS Mincho"/>
          <w:lang w:eastAsia="ja-JP"/>
        </w:rPr>
        <w:t>sponsor</w:t>
      </w:r>
      <w:r w:rsidRPr="00AC4860">
        <w:rPr>
          <w:rFonts w:eastAsia="MS Mincho"/>
          <w:lang w:eastAsia="ja-JP"/>
        </w:rPr>
        <w:t xml:space="preserve"> should reduce the impurity limit to safer levels and this could be a condition of registration.</w:t>
      </w:r>
    </w:p>
    <w:p w:rsidR="00156B9F" w:rsidRPr="00441F6B" w:rsidRDefault="00156B9F" w:rsidP="00381256">
      <w:pPr>
        <w:pStyle w:val="Numberbullet0"/>
        <w:numPr>
          <w:ilvl w:val="0"/>
          <w:numId w:val="13"/>
        </w:numPr>
        <w:rPr>
          <w:i/>
          <w:lang w:eastAsia="ja-JP"/>
        </w:rPr>
      </w:pPr>
      <w:r w:rsidRPr="00441F6B">
        <w:rPr>
          <w:i/>
          <w:lang w:eastAsia="ja-JP"/>
        </w:rPr>
        <w:t xml:space="preserve">Does the </w:t>
      </w:r>
      <w:r w:rsidR="00AE62B1">
        <w:rPr>
          <w:i/>
          <w:lang w:eastAsia="ja-JP"/>
        </w:rPr>
        <w:t>c</w:t>
      </w:r>
      <w:r w:rsidRPr="00441F6B">
        <w:rPr>
          <w:i/>
          <w:lang w:eastAsia="ja-JP"/>
        </w:rPr>
        <w:t xml:space="preserve">ommittee agree that in relation to monitoring and management of photosensitivity reactions and rashes and in relation to hepatic related events, that </w:t>
      </w:r>
      <w:r w:rsidR="001B79FF">
        <w:rPr>
          <w:i/>
          <w:lang w:eastAsia="ja-JP"/>
        </w:rPr>
        <w:t xml:space="preserve">the </w:t>
      </w:r>
      <w:r w:rsidRPr="00441F6B">
        <w:rPr>
          <w:i/>
          <w:lang w:eastAsia="ja-JP"/>
        </w:rPr>
        <w:t>strategies to be implemented in the EU including mail</w:t>
      </w:r>
      <w:r w:rsidR="00AE62B1">
        <w:rPr>
          <w:i/>
          <w:lang w:eastAsia="ja-JP"/>
        </w:rPr>
        <w:t xml:space="preserve"> </w:t>
      </w:r>
      <w:r w:rsidRPr="00441F6B">
        <w:rPr>
          <w:i/>
          <w:lang w:eastAsia="ja-JP"/>
        </w:rPr>
        <w:t>outs to healthcare practitioners, is also appropriate to undertake in Australia?</w:t>
      </w:r>
    </w:p>
    <w:p w:rsidR="00BE1EFC" w:rsidRPr="00AC4860" w:rsidRDefault="00BE1EFC" w:rsidP="00270A99">
      <w:pPr>
        <w:rPr>
          <w:lang w:eastAsia="ja-JP"/>
        </w:rPr>
      </w:pPr>
      <w:r w:rsidRPr="00AC4860">
        <w:rPr>
          <w:lang w:eastAsia="ja-JP"/>
        </w:rPr>
        <w:t xml:space="preserve">The ACPM noted that in the randomised patient subset gastrointestinal disorders were the most common AEs followed by skin disorders, including photosensitivity reaction which was reported for 9.3% of </w:t>
      </w:r>
      <w:proofErr w:type="spellStart"/>
      <w:r w:rsidRPr="00AC4860">
        <w:rPr>
          <w:lang w:eastAsia="ja-JP"/>
        </w:rPr>
        <w:t>pirfenidone</w:t>
      </w:r>
      <w:proofErr w:type="spellEnd"/>
      <w:r w:rsidRPr="00AC4860">
        <w:rPr>
          <w:lang w:eastAsia="ja-JP"/>
        </w:rPr>
        <w:t xml:space="preserve"> patients </w:t>
      </w:r>
      <w:r w:rsidR="006B1185">
        <w:rPr>
          <w:lang w:eastAsia="ja-JP"/>
        </w:rPr>
        <w:t>versus 1.1% of the placebo group</w:t>
      </w:r>
      <w:r w:rsidRPr="00AC4860">
        <w:rPr>
          <w:lang w:eastAsia="ja-JP"/>
        </w:rPr>
        <w:t xml:space="preserve">. There were 6 </w:t>
      </w:r>
      <w:proofErr w:type="spellStart"/>
      <w:r w:rsidRPr="00AC4860">
        <w:rPr>
          <w:lang w:eastAsia="ja-JP"/>
        </w:rPr>
        <w:t>pirfenidone</w:t>
      </w:r>
      <w:proofErr w:type="spellEnd"/>
      <w:r w:rsidRPr="00AC4860">
        <w:rPr>
          <w:lang w:eastAsia="ja-JP"/>
        </w:rPr>
        <w:t xml:space="preserve"> patients with </w:t>
      </w:r>
      <w:r w:rsidR="006B1185">
        <w:rPr>
          <w:lang w:eastAsia="ja-JP"/>
        </w:rPr>
        <w:t xml:space="preserve">serious </w:t>
      </w:r>
      <w:r w:rsidRPr="00AC4860">
        <w:rPr>
          <w:lang w:eastAsia="ja-JP"/>
        </w:rPr>
        <w:t>hep</w:t>
      </w:r>
      <w:r w:rsidR="006B1185">
        <w:rPr>
          <w:lang w:eastAsia="ja-JP"/>
        </w:rPr>
        <w:t>atic TE</w:t>
      </w:r>
      <w:r w:rsidRPr="00AC4860">
        <w:rPr>
          <w:lang w:eastAsia="ja-JP"/>
        </w:rPr>
        <w:t>AEs</w:t>
      </w:r>
      <w:r>
        <w:rPr>
          <w:lang w:eastAsia="ja-JP"/>
        </w:rPr>
        <w:t xml:space="preserve"> compared to 1 placebo patient.</w:t>
      </w:r>
    </w:p>
    <w:p w:rsidR="00BE1EFC" w:rsidRPr="00AC4860" w:rsidRDefault="00BE1EFC" w:rsidP="00270A99">
      <w:pPr>
        <w:rPr>
          <w:lang w:eastAsia="ja-JP"/>
        </w:rPr>
      </w:pPr>
      <w:r w:rsidRPr="00AC4860">
        <w:rPr>
          <w:lang w:eastAsia="ja-JP"/>
        </w:rPr>
        <w:t xml:space="preserve">As this is a rare disease, which should be managed by respiratory physicians, any educational strategies should be targeted at those </w:t>
      </w:r>
      <w:r w:rsidR="006B1185">
        <w:rPr>
          <w:lang w:eastAsia="ja-JP"/>
        </w:rPr>
        <w:t xml:space="preserve">who will be the most </w:t>
      </w:r>
      <w:r w:rsidRPr="00AC4860">
        <w:rPr>
          <w:lang w:eastAsia="ja-JP"/>
        </w:rPr>
        <w:t>likely prescribers. Australian patients should be educated, especially concerning the photosensitivity. Monitoring of these potential adverse events should be highlighted both in educational literature and the PI.</w:t>
      </w:r>
    </w:p>
    <w:p w:rsidR="00BE1EFC" w:rsidRPr="00526DBA" w:rsidRDefault="00BE1EFC" w:rsidP="00BE1EFC">
      <w:pPr>
        <w:rPr>
          <w:lang w:eastAsia="ja-JP"/>
        </w:rPr>
      </w:pPr>
      <w:r w:rsidRPr="00AC4860">
        <w:rPr>
          <w:lang w:eastAsia="ja-JP"/>
        </w:rPr>
        <w:t xml:space="preserve">The ACPM advised that implementation by the </w:t>
      </w:r>
      <w:r>
        <w:rPr>
          <w:lang w:eastAsia="ja-JP"/>
        </w:rPr>
        <w:t>s</w:t>
      </w:r>
      <w:r w:rsidRPr="00AC4860">
        <w:rPr>
          <w:lang w:eastAsia="ja-JP"/>
        </w:rPr>
        <w:t>ponsor of the recommendations outlined above to the satisfaction of the TGA, in addition to the evidence of efficacy and safety provided would support the safe and effective use of this product.</w:t>
      </w:r>
    </w:p>
    <w:p w:rsidR="008E7846" w:rsidRPr="002E238E" w:rsidRDefault="008E7846" w:rsidP="008E7846">
      <w:pPr>
        <w:pStyle w:val="Heading3"/>
      </w:pPr>
      <w:bookmarkStart w:id="175" w:name="_Toc247691532"/>
      <w:bookmarkStart w:id="176" w:name="_Toc314842516"/>
      <w:bookmarkStart w:id="177" w:name="_Toc453068517"/>
      <w:bookmarkEnd w:id="100"/>
      <w:bookmarkEnd w:id="170"/>
      <w:bookmarkEnd w:id="171"/>
      <w:r>
        <w:t>Outcome</w:t>
      </w:r>
      <w:bookmarkEnd w:id="175"/>
      <w:bookmarkEnd w:id="176"/>
      <w:bookmarkEnd w:id="177"/>
    </w:p>
    <w:p w:rsidR="00D23139" w:rsidRPr="00D23139" w:rsidRDefault="00D23139" w:rsidP="00D23139">
      <w:bookmarkStart w:id="178" w:name="_Toc247691533"/>
      <w:bookmarkStart w:id="179" w:name="_Toc314842517"/>
      <w:r w:rsidRPr="00D23139">
        <w:t xml:space="preserve">Based on a review of quality, safety and efficacy, </w:t>
      </w:r>
      <w:r w:rsidR="001B79FF">
        <w:t xml:space="preserve">the </w:t>
      </w:r>
      <w:r w:rsidRPr="00D23139">
        <w:t>TG</w:t>
      </w:r>
      <w:r w:rsidR="00263CA5">
        <w:t>A approved the registration of Esbriet</w:t>
      </w:r>
      <w:r w:rsidRPr="00D23139">
        <w:t xml:space="preserve"> </w:t>
      </w:r>
      <w:r w:rsidR="001B79FF">
        <w:t>(</w:t>
      </w:r>
      <w:proofErr w:type="spellStart"/>
      <w:r w:rsidR="001B79FF">
        <w:t>pirfenidone</w:t>
      </w:r>
      <w:proofErr w:type="spellEnd"/>
      <w:r w:rsidR="001B79FF">
        <w:t xml:space="preserve">) </w:t>
      </w:r>
      <w:r w:rsidR="00263CA5">
        <w:t>267</w:t>
      </w:r>
      <w:r w:rsidR="001B79FF">
        <w:t> </w:t>
      </w:r>
      <w:r w:rsidR="00263CA5">
        <w:t>mg hard capsules for oral administration</w:t>
      </w:r>
      <w:r w:rsidRPr="00D23139">
        <w:t xml:space="preserve"> indicated for:</w:t>
      </w:r>
    </w:p>
    <w:p w:rsidR="00D23139" w:rsidRPr="00526DBA" w:rsidRDefault="00B71BC5" w:rsidP="00526DBA">
      <w:pPr>
        <w:ind w:left="720"/>
        <w:rPr>
          <w:i/>
        </w:rPr>
      </w:pPr>
      <w:r w:rsidRPr="00526DBA">
        <w:rPr>
          <w:i/>
        </w:rPr>
        <w:t xml:space="preserve">Esbriet is indicated for </w:t>
      </w:r>
      <w:r w:rsidR="00263CA5" w:rsidRPr="00526DBA">
        <w:rPr>
          <w:i/>
        </w:rPr>
        <w:t>the treatment of idiopathic pulmonary fibrosis (IPF)</w:t>
      </w:r>
    </w:p>
    <w:p w:rsidR="00D23139" w:rsidRDefault="00D23139" w:rsidP="00D23139">
      <w:pPr>
        <w:pStyle w:val="Heading4"/>
      </w:pPr>
      <w:r w:rsidRPr="00D23139">
        <w:t>Specific conditions of registration applying to these goods</w:t>
      </w:r>
    </w:p>
    <w:p w:rsidR="00BE1EFC" w:rsidRPr="00BE1EFC" w:rsidRDefault="00BE1EFC" w:rsidP="00BE1EFC">
      <w:r>
        <w:t>The Esbriet (</w:t>
      </w:r>
      <w:proofErr w:type="spellStart"/>
      <w:r>
        <w:t>pirfenidone</w:t>
      </w:r>
      <w:proofErr w:type="spellEnd"/>
      <w:r>
        <w:t>) EU Risk Management Plan (RMP), Version 7.2, dated 27 July 2015 (data locked point (DLP) 27 February 2015) and ASA Version 1.1, dated 30 October 2015, and any subsequent revisions, as agreed with the TGA will be implemented in Australia.</w:t>
      </w:r>
    </w:p>
    <w:p w:rsidR="008E7846" w:rsidRDefault="00A80B5B" w:rsidP="00D23139">
      <w:pPr>
        <w:pStyle w:val="Heading2"/>
      </w:pPr>
      <w:bookmarkStart w:id="180" w:name="_Toc453068518"/>
      <w:proofErr w:type="gramStart"/>
      <w:r>
        <w:t>Attachment 1.</w:t>
      </w:r>
      <w:proofErr w:type="gramEnd"/>
      <w:r>
        <w:t xml:space="preserve"> </w:t>
      </w:r>
      <w:r w:rsidR="008E7846">
        <w:t xml:space="preserve">Product </w:t>
      </w:r>
      <w:r w:rsidR="00AA0ED0">
        <w:t>I</w:t>
      </w:r>
      <w:r w:rsidR="008E7846">
        <w:t>nformation</w:t>
      </w:r>
      <w:bookmarkEnd w:id="178"/>
      <w:bookmarkEnd w:id="179"/>
      <w:bookmarkEnd w:id="180"/>
    </w:p>
    <w:p w:rsidR="009A58FD" w:rsidRDefault="002B3624" w:rsidP="00C80137">
      <w:r w:rsidRPr="002B3624">
        <w:t xml:space="preserve">The </w:t>
      </w:r>
      <w:r w:rsidR="00133A1B">
        <w:t>PI</w:t>
      </w:r>
      <w:r w:rsidRPr="002B3624">
        <w:t xml:space="preserve"> approved for </w:t>
      </w:r>
      <w:r w:rsidR="00441F6B">
        <w:t>E</w:t>
      </w:r>
      <w:r w:rsidR="007A22E8">
        <w:t>sbriet</w:t>
      </w:r>
      <w:r w:rsidRPr="002B3624">
        <w:t xml:space="preserve"> at the time this </w:t>
      </w:r>
      <w:proofErr w:type="spellStart"/>
      <w:r w:rsidRPr="002B3624">
        <w:t>AusPAR</w:t>
      </w:r>
      <w:proofErr w:type="spellEnd"/>
      <w:r w:rsidRPr="002B3624">
        <w:t xml:space="preserve"> was published is at Attachment 1. For the most recent </w:t>
      </w:r>
      <w:r w:rsidR="00133A1B">
        <w:t>PI,</w:t>
      </w:r>
      <w:r w:rsidRPr="002B3624">
        <w:t xml:space="preserve"> please refer to the </w:t>
      </w:r>
      <w:r w:rsidR="007C6B9B" w:rsidRPr="007C6B9B">
        <w:t>TGA website at &lt;</w:t>
      </w:r>
      <w:hyperlink r:id="rId25" w:history="1">
        <w:r w:rsidR="007C6B9B" w:rsidRPr="007C6B9B">
          <w:rPr>
            <w:rStyle w:val="Hyperlink"/>
          </w:rPr>
          <w:t>https://www.tga.gov.au/product-information-pi</w:t>
        </w:r>
      </w:hyperlink>
      <w:r w:rsidR="007C6B9B" w:rsidRPr="007C6B9B">
        <w:t>&gt;</w:t>
      </w:r>
      <w:r w:rsidR="009A58FD">
        <w:t>.</w:t>
      </w:r>
    </w:p>
    <w:p w:rsidR="00C80137" w:rsidRDefault="00C80137" w:rsidP="00C80137">
      <w:pPr>
        <w:pStyle w:val="Heading2"/>
        <w:rPr>
          <w:lang w:eastAsia="en-AU"/>
        </w:rPr>
      </w:pPr>
      <w:bookmarkStart w:id="181" w:name="_Toc453068519"/>
      <w:proofErr w:type="gramStart"/>
      <w:r>
        <w:rPr>
          <w:lang w:eastAsia="en-AU"/>
        </w:rPr>
        <w:t>Attachment 2.</w:t>
      </w:r>
      <w:proofErr w:type="gramEnd"/>
      <w:r w:rsidR="00A80B5B">
        <w:rPr>
          <w:lang w:eastAsia="en-AU"/>
        </w:rPr>
        <w:t xml:space="preserve"> </w:t>
      </w:r>
      <w:r>
        <w:rPr>
          <w:lang w:eastAsia="en-AU"/>
        </w:rPr>
        <w:t>Extract from the Clinical Evaluation Report</w:t>
      </w:r>
      <w:bookmarkEnd w:id="181"/>
    </w:p>
    <w:p w:rsidR="00291957" w:rsidRDefault="00441F6B" w:rsidP="00441F6B">
      <w:pPr>
        <w:autoSpaceDE w:val="0"/>
        <w:autoSpaceDN w:val="0"/>
        <w:adjustRightInd w:val="0"/>
        <w:spacing w:after="0"/>
        <w:rPr>
          <w:lang w:eastAsia="ja-JP"/>
        </w:rPr>
      </w:pPr>
      <w:r>
        <w:rPr>
          <w:lang w:eastAsia="ja-JP"/>
        </w:rPr>
        <w:t xml:space="preserve"> </w:t>
      </w:r>
    </w:p>
    <w:p w:rsidR="00C80137" w:rsidRPr="001D043B" w:rsidRDefault="00C80137" w:rsidP="003A7F6C">
      <w:pPr>
        <w:pStyle w:val="TableTitle"/>
        <w:sectPr w:rsidR="00C80137" w:rsidRPr="001D043B" w:rsidSect="00B452CE">
          <w:headerReference w:type="even" r:id="rId26"/>
          <w:headerReference w:type="default" r:id="rId27"/>
          <w:headerReference w:type="first" r:id="rId28"/>
          <w:footerReference w:type="first" r:id="rId2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0" w:history="1">
              <w:r w:rsidRPr="004C239D">
                <w:rPr>
                  <w:rStyle w:val="Hyperlink"/>
                </w:rPr>
                <w:t>info@tga.gov.au</w:t>
              </w:r>
            </w:hyperlink>
            <w:r w:rsidRPr="00487162">
              <w:t xml:space="preserve">  Phone: 1800 020 653  Fax: 02 6232 8605</w:t>
            </w:r>
          </w:p>
          <w:p w:rsidR="001C32CD" w:rsidRPr="004C239D" w:rsidRDefault="00DA26F9" w:rsidP="00A05FA4">
            <w:pPr>
              <w:pStyle w:val="Address"/>
              <w:spacing w:line="260" w:lineRule="atLeast"/>
              <w:rPr>
                <w:b/>
                <w:color w:val="0000FF"/>
                <w:u w:val="single"/>
              </w:rPr>
            </w:pPr>
            <w:hyperlink r:id="rId31"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2"/>
      <w:headerReference w:type="default" r:id="rId33"/>
      <w:footerReference w:type="default" r:id="rId34"/>
      <w:headerReference w:type="first" r:id="rId35"/>
      <w:footerReference w:type="first" r:id="rId36"/>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6F9" w:rsidRDefault="00DA26F9" w:rsidP="00C40A36">
      <w:pPr>
        <w:spacing w:after="0"/>
      </w:pPr>
      <w:r>
        <w:separator/>
      </w:r>
    </w:p>
  </w:endnote>
  <w:endnote w:type="continuationSeparator" w:id="0">
    <w:p w:rsidR="00DA26F9" w:rsidRDefault="00DA26F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DA26F9" w:rsidRPr="00487162" w:rsidTr="00DB750B">
      <w:trPr>
        <w:trHeight w:val="269"/>
      </w:trPr>
      <w:tc>
        <w:tcPr>
          <w:tcW w:w="7371" w:type="dxa"/>
          <w:tcMar>
            <w:top w:w="142" w:type="dxa"/>
            <w:bottom w:w="0" w:type="dxa"/>
          </w:tcMar>
        </w:tcPr>
        <w:p w:rsidR="00DA26F9" w:rsidRPr="00487162" w:rsidRDefault="00DA26F9" w:rsidP="007A22E8">
          <w:pPr>
            <w:pStyle w:val="Footer"/>
          </w:pPr>
          <w:proofErr w:type="spellStart"/>
          <w:r w:rsidRPr="00744158">
            <w:t>AusPAR</w:t>
          </w:r>
          <w:proofErr w:type="spellEnd"/>
          <w:r w:rsidRPr="00744158">
            <w:t xml:space="preserve"> </w:t>
          </w:r>
          <w:r>
            <w:t xml:space="preserve">Esbriet </w:t>
          </w:r>
          <w:proofErr w:type="spellStart"/>
          <w:r>
            <w:t>Pirfenidone</w:t>
          </w:r>
          <w:proofErr w:type="spellEnd"/>
          <w:r>
            <w:t xml:space="preserve"> Roche Products Australia Pty Ltd PM-2015-00413-1-5</w:t>
          </w:r>
          <w:r>
            <w:br/>
            <w:t>Final 9 August 2016</w:t>
          </w:r>
        </w:p>
      </w:tc>
      <w:tc>
        <w:tcPr>
          <w:tcW w:w="1490" w:type="dxa"/>
          <w:tcMar>
            <w:top w:w="142" w:type="dxa"/>
            <w:bottom w:w="0" w:type="dxa"/>
          </w:tcMar>
        </w:tcPr>
        <w:p w:rsidR="00DA26F9" w:rsidRPr="00487162" w:rsidRDefault="00DA26F9" w:rsidP="00DB750B">
          <w:pPr>
            <w:pStyle w:val="Footer"/>
            <w:jc w:val="right"/>
          </w:pPr>
          <w:r w:rsidRPr="00487162">
            <w:t xml:space="preserve">Page </w:t>
          </w:r>
          <w:r>
            <w:fldChar w:fldCharType="begin"/>
          </w:r>
          <w:r>
            <w:instrText xml:space="preserve"> PAGE  \* Arabic </w:instrText>
          </w:r>
          <w:r>
            <w:fldChar w:fldCharType="separate"/>
          </w:r>
          <w:r w:rsidR="00895CA9">
            <w:rPr>
              <w:noProof/>
            </w:rPr>
            <w:t>64</w:t>
          </w:r>
          <w:r>
            <w:fldChar w:fldCharType="end"/>
          </w:r>
          <w:r w:rsidRPr="00487162">
            <w:t xml:space="preserve"> of </w:t>
          </w:r>
          <w:fldSimple w:instr=" NUMPAGES  \* Arabic ">
            <w:r w:rsidR="00895CA9">
              <w:rPr>
                <w:noProof/>
              </w:rPr>
              <w:t>70</w:t>
            </w:r>
          </w:fldSimple>
        </w:p>
      </w:tc>
    </w:tr>
  </w:tbl>
  <w:p w:rsidR="00DA26F9" w:rsidRDefault="00DA26F9" w:rsidP="009A58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A26F9" w:rsidRPr="00487162" w:rsidTr="00E45619">
      <w:trPr>
        <w:trHeight w:val="269"/>
      </w:trPr>
      <w:tc>
        <w:tcPr>
          <w:tcW w:w="4519" w:type="dxa"/>
          <w:tcBorders>
            <w:top w:val="single" w:sz="4" w:space="0" w:color="auto"/>
          </w:tcBorders>
          <w:tcMar>
            <w:top w:w="142" w:type="dxa"/>
            <w:bottom w:w="0" w:type="dxa"/>
          </w:tcMar>
        </w:tcPr>
        <w:p w:rsidR="00DA26F9" w:rsidRPr="00487162" w:rsidRDefault="00DA26F9" w:rsidP="00FE1DEE">
          <w:pPr>
            <w:pStyle w:val="Footer"/>
          </w:pPr>
          <w:r w:rsidRPr="00487162">
            <w:t>Document title, Part #, Section # - Section title</w:t>
          </w:r>
        </w:p>
        <w:p w:rsidR="00DA26F9" w:rsidRPr="00487162" w:rsidRDefault="00DA26F9" w:rsidP="00FE1DEE">
          <w:pPr>
            <w:pStyle w:val="Footer"/>
          </w:pPr>
          <w:r w:rsidRPr="00487162">
            <w:t>V1.0 October 2010</w:t>
          </w:r>
        </w:p>
      </w:tc>
      <w:tc>
        <w:tcPr>
          <w:tcW w:w="4342" w:type="dxa"/>
          <w:tcBorders>
            <w:top w:val="single" w:sz="4" w:space="0" w:color="auto"/>
          </w:tcBorders>
          <w:tcMar>
            <w:top w:w="142" w:type="dxa"/>
            <w:bottom w:w="0" w:type="dxa"/>
          </w:tcMar>
        </w:tcPr>
        <w:p w:rsidR="00DA26F9" w:rsidRPr="00487162" w:rsidRDefault="00DA26F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70</w:t>
            </w:r>
          </w:fldSimple>
        </w:p>
      </w:tc>
    </w:tr>
  </w:tbl>
  <w:p w:rsidR="00DA26F9" w:rsidRDefault="00DA26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6F9" w:rsidRPr="001C32CD" w:rsidRDefault="00DA26F9"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A26F9" w:rsidTr="0010601F">
      <w:trPr>
        <w:trHeight w:val="108"/>
      </w:trPr>
      <w:tc>
        <w:tcPr>
          <w:tcW w:w="8875" w:type="dxa"/>
          <w:gridSpan w:val="2"/>
          <w:tcBorders>
            <w:bottom w:val="single" w:sz="4" w:space="0" w:color="auto"/>
          </w:tcBorders>
          <w:tcMar>
            <w:right w:w="284" w:type="dxa"/>
          </w:tcMar>
        </w:tcPr>
        <w:p w:rsidR="00DA26F9" w:rsidRDefault="00DA26F9" w:rsidP="006E08B3">
          <w:pPr>
            <w:pStyle w:val="Heading3"/>
          </w:pPr>
          <w:r>
            <w:t>Copyright</w:t>
          </w:r>
        </w:p>
        <w:p w:rsidR="00DA26F9" w:rsidRDefault="00DA26F9" w:rsidP="006E08B3">
          <w:r>
            <w:rPr>
              <w:rFonts w:cs="Arial"/>
            </w:rPr>
            <w:t>©</w:t>
          </w:r>
          <w:r>
            <w:t xml:space="preserve"> Commonwealth of Australia [add year]</w:t>
          </w:r>
        </w:p>
        <w:p w:rsidR="00DA26F9" w:rsidRDefault="00DA26F9" w:rsidP="006E08B3"/>
        <w:p w:rsidR="00DA26F9" w:rsidRDefault="00DA26F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A26F9" w:rsidRDefault="00DA26F9" w:rsidP="006E08B3"/>
        <w:p w:rsidR="00DA26F9" w:rsidRDefault="00DA26F9" w:rsidP="006E08B3">
          <w:pPr>
            <w:pStyle w:val="Heading3"/>
          </w:pPr>
          <w:r>
            <w:t>Confidentiality</w:t>
          </w:r>
        </w:p>
        <w:p w:rsidR="00DA26F9" w:rsidRDefault="00DA26F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A26F9" w:rsidRDefault="00DA26F9" w:rsidP="006E08B3"/>
        <w:p w:rsidR="00DA26F9" w:rsidRDefault="00DA26F9" w:rsidP="006E08B3">
          <w:r>
            <w:t>For submission made by individuals, all personal details, other than your name, will be removed from your submission before it is published on the TGA’s Internet site.</w:t>
          </w:r>
        </w:p>
        <w:p w:rsidR="00DA26F9" w:rsidRDefault="00DA26F9" w:rsidP="006E08B3"/>
        <w:p w:rsidR="00DA26F9" w:rsidRDefault="00DA26F9"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DA26F9" w:rsidTr="0010601F">
      <w:trPr>
        <w:trHeight w:val="417"/>
      </w:trPr>
      <w:tc>
        <w:tcPr>
          <w:tcW w:w="4519" w:type="dxa"/>
          <w:tcBorders>
            <w:top w:val="single" w:sz="4" w:space="0" w:color="auto"/>
          </w:tcBorders>
          <w:tcMar>
            <w:top w:w="142" w:type="dxa"/>
            <w:bottom w:w="0" w:type="dxa"/>
          </w:tcMar>
        </w:tcPr>
        <w:p w:rsidR="00DA26F9" w:rsidRDefault="00DA26F9" w:rsidP="006E08B3">
          <w:r>
            <w:t>Document title, Part #, Section # - Section title</w:t>
          </w:r>
        </w:p>
        <w:p w:rsidR="00DA26F9" w:rsidRDefault="00DA26F9" w:rsidP="006E08B3">
          <w:r>
            <w:t>V1.0 October 2010</w:t>
          </w:r>
        </w:p>
      </w:tc>
      <w:tc>
        <w:tcPr>
          <w:tcW w:w="4356" w:type="dxa"/>
          <w:tcBorders>
            <w:top w:val="single" w:sz="4" w:space="0" w:color="auto"/>
          </w:tcBorders>
          <w:tcMar>
            <w:top w:w="142" w:type="dxa"/>
            <w:bottom w:w="0" w:type="dxa"/>
          </w:tcMar>
        </w:tcPr>
        <w:p w:rsidR="00DA26F9" w:rsidRDefault="00DA26F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70</w:t>
            </w:r>
          </w:fldSimple>
          <w:r>
            <w:t xml:space="preserve">  </w:t>
          </w:r>
        </w:p>
      </w:tc>
    </w:tr>
  </w:tbl>
  <w:p w:rsidR="00DA26F9" w:rsidRDefault="00DA26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6F9" w:rsidRDefault="00DA26F9" w:rsidP="00C40A36">
      <w:pPr>
        <w:spacing w:after="0"/>
      </w:pPr>
      <w:r>
        <w:separator/>
      </w:r>
    </w:p>
  </w:footnote>
  <w:footnote w:type="continuationSeparator" w:id="0">
    <w:p w:rsidR="00DA26F9" w:rsidRDefault="00DA26F9" w:rsidP="00C40A36">
      <w:pPr>
        <w:spacing w:after="0"/>
      </w:pPr>
      <w:r>
        <w:continuationSeparator/>
      </w:r>
    </w:p>
  </w:footnote>
  <w:footnote w:id="1">
    <w:p w:rsidR="00DA26F9" w:rsidRPr="00ED65FD" w:rsidRDefault="00DA26F9" w:rsidP="002152D1">
      <w:pPr>
        <w:pStyle w:val="FootnoteText"/>
      </w:pPr>
      <w:r>
        <w:rPr>
          <w:rStyle w:val="FootnoteReference"/>
        </w:rPr>
        <w:footnoteRef/>
      </w:r>
      <w:r>
        <w:t xml:space="preserve"> Raghu G et al. An Official ATS/ERS/JRS/ALAT Statement: Idiopathic Pulmonary Fibrosis: Evidence-based Guidelines for Diagnosis and Management.</w:t>
      </w:r>
      <w:r>
        <w:rPr>
          <w:sz w:val="22"/>
          <w:szCs w:val="22"/>
        </w:rPr>
        <w:t xml:space="preserve"> </w:t>
      </w:r>
      <w:proofErr w:type="gramStart"/>
      <w:r w:rsidRPr="00D32AA1">
        <w:rPr>
          <w:i/>
        </w:rPr>
        <w:t>Am</w:t>
      </w:r>
      <w:proofErr w:type="gramEnd"/>
      <w:r w:rsidRPr="00D32AA1">
        <w:rPr>
          <w:i/>
        </w:rPr>
        <w:t xml:space="preserve"> J </w:t>
      </w:r>
      <w:proofErr w:type="spellStart"/>
      <w:r w:rsidRPr="00D32AA1">
        <w:rPr>
          <w:i/>
        </w:rPr>
        <w:t>Respir</w:t>
      </w:r>
      <w:proofErr w:type="spellEnd"/>
      <w:r w:rsidRPr="00D32AA1">
        <w:rPr>
          <w:i/>
        </w:rPr>
        <w:t xml:space="preserve"> </w:t>
      </w:r>
      <w:proofErr w:type="spellStart"/>
      <w:r w:rsidRPr="00D32AA1">
        <w:rPr>
          <w:i/>
        </w:rPr>
        <w:t>Crit</w:t>
      </w:r>
      <w:proofErr w:type="spellEnd"/>
      <w:r w:rsidRPr="00D32AA1">
        <w:rPr>
          <w:i/>
        </w:rPr>
        <w:t xml:space="preserve"> Care Med</w:t>
      </w:r>
      <w:r w:rsidRPr="00D32AA1">
        <w:t xml:space="preserve"> 2011; 183: 788–824</w:t>
      </w:r>
      <w:r>
        <w:t>.</w:t>
      </w:r>
    </w:p>
  </w:footnote>
  <w:footnote w:id="2">
    <w:p w:rsidR="00DA26F9" w:rsidRPr="00915A22" w:rsidRDefault="00DA26F9">
      <w:pPr>
        <w:pStyle w:val="FootnoteText"/>
        <w:rPr>
          <w:lang w:val="en-US"/>
        </w:rPr>
      </w:pPr>
      <w:r>
        <w:rPr>
          <w:rStyle w:val="FootnoteReference"/>
        </w:rPr>
        <w:footnoteRef/>
      </w:r>
      <w:r>
        <w:t xml:space="preserve"> BCS (of the FDA, USA) Class 1 drug refers to any drug with high p</w:t>
      </w:r>
      <w:r w:rsidRPr="00915A22">
        <w:t>ermeability</w:t>
      </w:r>
      <w:r>
        <w:t xml:space="preserve"> and h</w:t>
      </w:r>
      <w:r w:rsidRPr="00915A22">
        <w:t xml:space="preserve">igh </w:t>
      </w:r>
      <w:r>
        <w:t>s</w:t>
      </w:r>
      <w:r w:rsidRPr="00915A22">
        <w:t>olubility</w:t>
      </w:r>
      <w:r>
        <w:t xml:space="preserve"> under certain laboratory criteria.</w:t>
      </w:r>
    </w:p>
  </w:footnote>
  <w:footnote w:id="3">
    <w:p w:rsidR="00DA26F9" w:rsidRPr="00622087" w:rsidRDefault="00DA26F9">
      <w:pPr>
        <w:pStyle w:val="FootnoteText"/>
        <w:rPr>
          <w:lang w:val="en-US"/>
        </w:rPr>
      </w:pPr>
      <w:r>
        <w:rPr>
          <w:rStyle w:val="FootnoteReference"/>
        </w:rPr>
        <w:footnoteRef/>
      </w:r>
      <w:r>
        <w:t xml:space="preserve"> Reference to specified impurity in this </w:t>
      </w:r>
      <w:proofErr w:type="spellStart"/>
      <w:r>
        <w:t>AusPAR</w:t>
      </w:r>
      <w:proofErr w:type="spellEnd"/>
      <w:r>
        <w:t xml:space="preserve"> refers to detectable impurity D of the </w:t>
      </w:r>
      <w:proofErr w:type="spellStart"/>
      <w:r>
        <w:t>pirfenidone</w:t>
      </w:r>
      <w:proofErr w:type="spellEnd"/>
      <w:r>
        <w:t xml:space="preserve"> monograph (European Pharmacopoeia: 01/2016:2856). Impurity limits were accepted and the issue was resolved at the time of approval. For further discussion on acceptance of impurity limits, please refer to the Section VI: Overall conclusion and risk/benefit assessment.</w:t>
      </w:r>
    </w:p>
  </w:footnote>
  <w:footnote w:id="4">
    <w:p w:rsidR="00DA26F9" w:rsidRPr="00E577E1" w:rsidRDefault="00DA26F9">
      <w:pPr>
        <w:pStyle w:val="FootnoteText"/>
        <w:rPr>
          <w:lang w:val="en-US"/>
        </w:rPr>
      </w:pPr>
      <w:r>
        <w:rPr>
          <w:rStyle w:val="FootnoteReference"/>
        </w:rPr>
        <w:footnoteRef/>
      </w:r>
      <w:r>
        <w:t xml:space="preserve"> </w:t>
      </w:r>
      <w:r w:rsidRPr="00E577E1">
        <w:rPr>
          <w:lang w:val="en-US"/>
        </w:rPr>
        <w:t>T</w:t>
      </w:r>
      <w:r>
        <w:rPr>
          <w:lang w:val="en-US"/>
        </w:rPr>
        <w:t xml:space="preserve">herapeutic Goods Order No. 78, </w:t>
      </w:r>
      <w:r w:rsidRPr="00E577E1">
        <w:rPr>
          <w:lang w:val="en-US"/>
        </w:rPr>
        <w:t>Standard for Tablets and Capsules (29/10/2008)</w:t>
      </w:r>
      <w:r>
        <w:rPr>
          <w:lang w:val="en-US"/>
        </w:rPr>
        <w:t xml:space="preserve"> applying to </w:t>
      </w:r>
      <w:r w:rsidRPr="00AB4CDB">
        <w:rPr>
          <w:lang w:val="en-US"/>
        </w:rPr>
        <w:t>Part 3-1 of the Therapeutic Goods Act 1989</w:t>
      </w:r>
      <w:r>
        <w:rPr>
          <w:lang w:val="en-US"/>
        </w:rPr>
        <w:t>.</w:t>
      </w:r>
    </w:p>
  </w:footnote>
  <w:footnote w:id="5">
    <w:p w:rsidR="00DA26F9" w:rsidRPr="00FF3396" w:rsidRDefault="00DA26F9" w:rsidP="001C15A9">
      <w:pPr>
        <w:pStyle w:val="Footer"/>
      </w:pPr>
      <w:r w:rsidRPr="00FF3396">
        <w:rPr>
          <w:rStyle w:val="FootnoteReference"/>
          <w:rFonts w:asciiTheme="majorHAnsi" w:hAnsiTheme="majorHAnsi"/>
        </w:rPr>
        <w:footnoteRef/>
      </w:r>
      <w:r w:rsidRPr="00FF3396">
        <w:t xml:space="preserve"> Based on a 100</w:t>
      </w:r>
      <w:r w:rsidRPr="008F251A">
        <w:rPr>
          <w:w w:val="50"/>
        </w:rPr>
        <w:t xml:space="preserve"> </w:t>
      </w:r>
      <w:r w:rsidRPr="00FF3396">
        <w:t>g hamster eating 10</w:t>
      </w:r>
      <w:r w:rsidRPr="008F251A">
        <w:rPr>
          <w:w w:val="50"/>
        </w:rPr>
        <w:t xml:space="preserve"> </w:t>
      </w:r>
      <w:r w:rsidRPr="00FF3396">
        <w:t xml:space="preserve">g </w:t>
      </w:r>
      <w:r>
        <w:t xml:space="preserve">of food </w:t>
      </w:r>
      <w:r w:rsidRPr="00FF3396">
        <w:t>per day</w:t>
      </w:r>
    </w:p>
  </w:footnote>
  <w:footnote w:id="6">
    <w:p w:rsidR="00DA26F9" w:rsidRPr="00283845" w:rsidRDefault="00DA26F9" w:rsidP="001C15A9">
      <w:pPr>
        <w:pStyle w:val="Footer"/>
      </w:pPr>
      <w:r w:rsidRPr="00FF3396">
        <w:rPr>
          <w:rStyle w:val="FootnoteReference"/>
          <w:rFonts w:asciiTheme="majorHAnsi" w:hAnsiTheme="majorHAnsi"/>
        </w:rPr>
        <w:footnoteRef/>
      </w:r>
      <w:r w:rsidRPr="00FF3396">
        <w:t xml:space="preserve"> Oku H </w:t>
      </w:r>
      <w:r w:rsidRPr="00BF25BA">
        <w:t>et al.</w:t>
      </w:r>
      <w:r w:rsidRPr="00283845">
        <w:t xml:space="preserve"> </w:t>
      </w:r>
      <w:proofErr w:type="spellStart"/>
      <w:r w:rsidRPr="00283845">
        <w:t>Antifibrotic</w:t>
      </w:r>
      <w:proofErr w:type="spellEnd"/>
      <w:r w:rsidRPr="00283845">
        <w:t xml:space="preserve"> action of </w:t>
      </w:r>
      <w:proofErr w:type="spellStart"/>
      <w:r w:rsidRPr="00283845">
        <w:t>pirfenidone</w:t>
      </w:r>
      <w:proofErr w:type="spellEnd"/>
      <w:r w:rsidRPr="00283845">
        <w:t xml:space="preserve"> and prednisolone: Different effects on pulmonary cytokines and growth factors in bleomycin-induced murine pulmonary fibrosis. </w:t>
      </w:r>
      <w:r w:rsidRPr="00283845">
        <w:rPr>
          <w:i/>
        </w:rPr>
        <w:t>Eur</w:t>
      </w:r>
      <w:r>
        <w:rPr>
          <w:i/>
        </w:rPr>
        <w:t>.</w:t>
      </w:r>
      <w:r w:rsidRPr="00283845">
        <w:rPr>
          <w:i/>
        </w:rPr>
        <w:t xml:space="preserve"> J</w:t>
      </w:r>
      <w:r>
        <w:rPr>
          <w:i/>
        </w:rPr>
        <w:t>.</w:t>
      </w:r>
      <w:r w:rsidRPr="00283845">
        <w:rPr>
          <w:i/>
        </w:rPr>
        <w:t xml:space="preserve"> </w:t>
      </w:r>
      <w:proofErr w:type="spellStart"/>
      <w:r w:rsidRPr="00283845">
        <w:rPr>
          <w:i/>
        </w:rPr>
        <w:t>Pharmacol</w:t>
      </w:r>
      <w:proofErr w:type="spellEnd"/>
      <w:r>
        <w:rPr>
          <w:i/>
        </w:rPr>
        <w:t>.</w:t>
      </w:r>
      <w:r w:rsidRPr="00283845">
        <w:t xml:space="preserve"> </w:t>
      </w:r>
      <w:proofErr w:type="gramStart"/>
      <w:r w:rsidRPr="00283845">
        <w:t>2008; 590:</w:t>
      </w:r>
      <w:r w:rsidRPr="00283845">
        <w:rPr>
          <w:w w:val="50"/>
        </w:rPr>
        <w:t xml:space="preserve"> </w:t>
      </w:r>
      <w:r w:rsidRPr="00283845">
        <w:t>400–408.</w:t>
      </w:r>
      <w:proofErr w:type="gramEnd"/>
    </w:p>
  </w:footnote>
  <w:footnote w:id="7">
    <w:p w:rsidR="00DA26F9" w:rsidRDefault="00DA26F9" w:rsidP="001C15A9">
      <w:pPr>
        <w:pStyle w:val="Footer"/>
      </w:pPr>
      <w:r w:rsidRPr="00283845">
        <w:rPr>
          <w:rStyle w:val="FootnoteReference"/>
          <w:rFonts w:asciiTheme="majorHAnsi" w:hAnsiTheme="majorHAnsi"/>
        </w:rPr>
        <w:footnoteRef/>
      </w:r>
      <w:r w:rsidRPr="00283845">
        <w:t xml:space="preserve"> Lee KW </w:t>
      </w:r>
      <w:r w:rsidRPr="00BF25BA">
        <w:t xml:space="preserve">et al. </w:t>
      </w:r>
      <w:proofErr w:type="spellStart"/>
      <w:r w:rsidRPr="00283845">
        <w:t>Pirfenidone</w:t>
      </w:r>
      <w:proofErr w:type="spellEnd"/>
      <w:r w:rsidRPr="00283845">
        <w:t xml:space="preserve"> prevents the development of a vulnerable substrate for atrial fibrillation in a canine model of heart failure. </w:t>
      </w:r>
      <w:proofErr w:type="gramStart"/>
      <w:r w:rsidRPr="00283845">
        <w:rPr>
          <w:i/>
        </w:rPr>
        <w:t>Circulation.</w:t>
      </w:r>
      <w:proofErr w:type="gramEnd"/>
      <w:r w:rsidRPr="00283845">
        <w:t xml:space="preserve"> </w:t>
      </w:r>
      <w:proofErr w:type="gramStart"/>
      <w:r w:rsidRPr="00283845">
        <w:t>2006; 114:</w:t>
      </w:r>
      <w:r w:rsidRPr="00283845">
        <w:rPr>
          <w:w w:val="50"/>
        </w:rPr>
        <w:t xml:space="preserve"> </w:t>
      </w:r>
      <w:r w:rsidRPr="00283845">
        <w:t>1703–1712.</w:t>
      </w:r>
      <w:proofErr w:type="gramEnd"/>
    </w:p>
  </w:footnote>
  <w:footnote w:id="8">
    <w:p w:rsidR="00DA26F9" w:rsidRPr="00CF43A2" w:rsidRDefault="00DA26F9">
      <w:pPr>
        <w:pStyle w:val="FootnoteText"/>
        <w:rPr>
          <w:lang w:val="en-US"/>
        </w:rPr>
      </w:pPr>
      <w:r>
        <w:rPr>
          <w:rStyle w:val="FootnoteReference"/>
        </w:rPr>
        <w:footnoteRef/>
      </w:r>
      <w:r>
        <w:t xml:space="preserve"> </w:t>
      </w:r>
      <w:proofErr w:type="spellStart"/>
      <w:r>
        <w:rPr>
          <w:lang w:val="en-US"/>
        </w:rPr>
        <w:t>ddY</w:t>
      </w:r>
      <w:proofErr w:type="spellEnd"/>
      <w:r>
        <w:rPr>
          <w:lang w:val="en-US"/>
        </w:rPr>
        <w:t xml:space="preserve"> mouse = Deutschland, </w:t>
      </w:r>
      <w:proofErr w:type="spellStart"/>
      <w:r>
        <w:rPr>
          <w:lang w:val="en-US"/>
        </w:rPr>
        <w:t>Denken</w:t>
      </w:r>
      <w:proofErr w:type="spellEnd"/>
      <w:r>
        <w:rPr>
          <w:lang w:val="en-US"/>
        </w:rPr>
        <w:t xml:space="preserve"> and </w:t>
      </w:r>
      <w:proofErr w:type="spellStart"/>
      <w:r>
        <w:rPr>
          <w:lang w:val="en-US"/>
        </w:rPr>
        <w:t>Yoken</w:t>
      </w:r>
      <w:proofErr w:type="spellEnd"/>
      <w:r>
        <w:rPr>
          <w:lang w:val="en-US"/>
        </w:rPr>
        <w:t xml:space="preserve"> mouse, strain commonly used in medical research</w:t>
      </w:r>
    </w:p>
  </w:footnote>
  <w:footnote w:id="9">
    <w:p w:rsidR="00DA26F9" w:rsidRPr="005A5F14" w:rsidRDefault="00DA26F9" w:rsidP="00B32268">
      <w:pPr>
        <w:pStyle w:val="FootnoteText"/>
      </w:pPr>
      <w:r w:rsidRPr="005A5F14">
        <w:rPr>
          <w:rStyle w:val="FootnoteReference"/>
        </w:rPr>
        <w:footnoteRef/>
      </w:r>
      <w:r w:rsidRPr="005A5F14">
        <w:t xml:space="preserve"> Based on </w:t>
      </w:r>
      <w:proofErr w:type="spellStart"/>
      <w:r w:rsidRPr="005A5F14">
        <w:t>C</w:t>
      </w:r>
      <w:r w:rsidRPr="005A5F14">
        <w:rPr>
          <w:vertAlign w:val="subscript"/>
        </w:rPr>
        <w:t>max</w:t>
      </w:r>
      <w:proofErr w:type="spellEnd"/>
      <w:r w:rsidRPr="005A5F14">
        <w:t xml:space="preserve"> </w:t>
      </w:r>
      <w:r>
        <w:t xml:space="preserve">values </w:t>
      </w:r>
      <w:r w:rsidRPr="005A5F14">
        <w:t xml:space="preserve">of 173/217 and 367/385 </w:t>
      </w:r>
      <w:proofErr w:type="spellStart"/>
      <w:r>
        <w:t>μg</w:t>
      </w:r>
      <w:proofErr w:type="spellEnd"/>
      <w:r>
        <w:t xml:space="preserve">/mL </w:t>
      </w:r>
      <w:r w:rsidRPr="005A5F14">
        <w:t xml:space="preserve">in male/female mice </w:t>
      </w:r>
      <w:r>
        <w:t xml:space="preserve">that received 500 or 1,000 mg/kg </w:t>
      </w:r>
      <w:proofErr w:type="spellStart"/>
      <w:r>
        <w:t>pirfenidone</w:t>
      </w:r>
      <w:proofErr w:type="spellEnd"/>
      <w:r>
        <w:t xml:space="preserve"> </w:t>
      </w:r>
      <w:r w:rsidRPr="005A5F14">
        <w:t>in Study NCR001</w:t>
      </w:r>
    </w:p>
  </w:footnote>
  <w:footnote w:id="10">
    <w:p w:rsidR="00DA26F9" w:rsidRPr="0090370F" w:rsidRDefault="00DA26F9" w:rsidP="00D171DB">
      <w:pPr>
        <w:pStyle w:val="Footer"/>
      </w:pPr>
      <w:r w:rsidRPr="0090370F">
        <w:rPr>
          <w:rStyle w:val="FootnoteReference"/>
          <w:rFonts w:asciiTheme="majorHAnsi" w:hAnsiTheme="majorHAnsi"/>
        </w:rPr>
        <w:footnoteRef/>
      </w:r>
      <w:r w:rsidRPr="0090370F">
        <w:t xml:space="preserve"> Based on a </w:t>
      </w:r>
      <w:proofErr w:type="spellStart"/>
      <w:r w:rsidRPr="0090370F">
        <w:t>C</w:t>
      </w:r>
      <w:r w:rsidRPr="0090370F">
        <w:rPr>
          <w:vertAlign w:val="subscript"/>
        </w:rPr>
        <w:t>max</w:t>
      </w:r>
      <w:proofErr w:type="spellEnd"/>
      <w:r w:rsidRPr="0090370F">
        <w:t xml:space="preserve"> of 7.2 </w:t>
      </w:r>
      <w:proofErr w:type="spellStart"/>
      <w:r w:rsidRPr="0090370F">
        <w:t>μg</w:t>
      </w:r>
      <w:proofErr w:type="spellEnd"/>
      <w:r w:rsidRPr="0090370F">
        <w:t>/mL in rats that received 30 mg/kg (Study PCLN-PIRF-077)</w:t>
      </w:r>
    </w:p>
  </w:footnote>
  <w:footnote w:id="11">
    <w:p w:rsidR="00DA26F9" w:rsidRPr="00AD112B" w:rsidRDefault="00DA26F9">
      <w:pPr>
        <w:pStyle w:val="FootnoteText"/>
        <w:rPr>
          <w:lang w:val="en-US"/>
        </w:rPr>
      </w:pPr>
      <w:r>
        <w:rPr>
          <w:rStyle w:val="FootnoteReference"/>
        </w:rPr>
        <w:footnoteRef/>
      </w:r>
      <w:r>
        <w:t xml:space="preserve"> </w:t>
      </w:r>
      <w:r>
        <w:rPr>
          <w:lang w:val="en-US"/>
        </w:rPr>
        <w:t>SD rat = Sprague-Dawley rat, specific strain of rat commonly used in biomedical research</w:t>
      </w:r>
    </w:p>
  </w:footnote>
  <w:footnote w:id="12">
    <w:p w:rsidR="00DA26F9" w:rsidRPr="00AD112B" w:rsidRDefault="00DA26F9">
      <w:pPr>
        <w:pStyle w:val="FootnoteText"/>
        <w:rPr>
          <w:lang w:val="en-US"/>
        </w:rPr>
      </w:pPr>
      <w:r>
        <w:rPr>
          <w:rStyle w:val="FootnoteReference"/>
        </w:rPr>
        <w:footnoteRef/>
      </w:r>
      <w:r>
        <w:t xml:space="preserve"> </w:t>
      </w:r>
      <w:r>
        <w:rPr>
          <w:lang w:val="en-US"/>
        </w:rPr>
        <w:t>F344 rat = Fischer</w:t>
      </w:r>
      <w:r>
        <w:rPr>
          <w:lang w:val="en-US"/>
        </w:rPr>
        <w:noBreakHyphen/>
        <w:t>344 rat, specific strain of rat commonly used in biomedical research</w:t>
      </w:r>
    </w:p>
  </w:footnote>
  <w:footnote w:id="13">
    <w:p w:rsidR="00DA26F9" w:rsidRPr="00C76F27" w:rsidRDefault="00DA26F9" w:rsidP="00443C9A">
      <w:pPr>
        <w:pStyle w:val="Footer"/>
      </w:pPr>
      <w:r w:rsidRPr="00C76F27">
        <w:rPr>
          <w:rStyle w:val="FootnoteReference"/>
          <w:rFonts w:asciiTheme="majorHAnsi" w:hAnsiTheme="majorHAnsi"/>
        </w:rPr>
        <w:footnoteRef/>
      </w:r>
      <w:r w:rsidRPr="00C76F27">
        <w:t xml:space="preserve"> </w:t>
      </w:r>
      <w:proofErr w:type="gramStart"/>
      <w:r w:rsidRPr="00C76F27">
        <w:rPr>
          <w:i/>
        </w:rPr>
        <w:t>EMA Guideline on the investigation of drug interactions</w:t>
      </w:r>
      <w:r w:rsidRPr="00C76F27">
        <w:t xml:space="preserve"> (CPMP/EWP/560/95/Rev. 1 Corr. 2**).</w:t>
      </w:r>
      <w:proofErr w:type="gramEnd"/>
      <w:r w:rsidRPr="00C76F27">
        <w:t xml:space="preserve"> This guideline indicates the effects of drugs on OAT, OCT and OATP transporters should be investigated, and that investigation of CYP induction should involve gene expression analysis.</w:t>
      </w:r>
    </w:p>
  </w:footnote>
  <w:footnote w:id="14">
    <w:p w:rsidR="00DA26F9" w:rsidRPr="00B52F9D" w:rsidRDefault="00DA26F9" w:rsidP="00443C9A">
      <w:pPr>
        <w:pStyle w:val="Footer"/>
      </w:pPr>
      <w:r w:rsidRPr="00B52F9D">
        <w:rPr>
          <w:rStyle w:val="FootnoteReference"/>
        </w:rPr>
        <w:footnoteRef/>
      </w:r>
      <w:r w:rsidRPr="00B52F9D">
        <w:t xml:space="preserve"> Based on AUC data </w:t>
      </w:r>
      <w:r>
        <w:t xml:space="preserve">obtained in week 4 </w:t>
      </w:r>
      <w:r w:rsidRPr="00B52F9D">
        <w:t>in Study NCR018</w:t>
      </w:r>
      <w:r>
        <w:t>.</w:t>
      </w:r>
    </w:p>
  </w:footnote>
  <w:footnote w:id="15">
    <w:p w:rsidR="00DA26F9" w:rsidRPr="00B52F9D" w:rsidRDefault="00DA26F9" w:rsidP="00443C9A">
      <w:pPr>
        <w:pStyle w:val="Footer"/>
      </w:pPr>
      <w:r w:rsidRPr="00B52F9D">
        <w:rPr>
          <w:rStyle w:val="FootnoteReference"/>
        </w:rPr>
        <w:footnoteRef/>
      </w:r>
      <w:r w:rsidRPr="00B52F9D">
        <w:t xml:space="preserve"> </w:t>
      </w:r>
      <w:proofErr w:type="gramStart"/>
      <w:r w:rsidRPr="00B52F9D">
        <w:t xml:space="preserve">Based on exposure ratio </w:t>
      </w:r>
      <w:r>
        <w:t>at 500 mg/kg/day in Study NCR014.</w:t>
      </w:r>
      <w:proofErr w:type="gramEnd"/>
    </w:p>
  </w:footnote>
  <w:footnote w:id="16">
    <w:p w:rsidR="00DA26F9" w:rsidRPr="00AD112B" w:rsidRDefault="00DA26F9">
      <w:pPr>
        <w:pStyle w:val="FootnoteText"/>
        <w:rPr>
          <w:lang w:val="en-US"/>
        </w:rPr>
      </w:pPr>
      <w:r>
        <w:rPr>
          <w:rStyle w:val="FootnoteReference"/>
        </w:rPr>
        <w:footnoteRef/>
      </w:r>
      <w:r>
        <w:t xml:space="preserve"> </w:t>
      </w:r>
      <w:r w:rsidRPr="002D3985">
        <w:t>B6C3F1 m</w:t>
      </w:r>
      <w:r>
        <w:t>ouse = Specific hybrid strain of mouse commonly used in biomedical research.</w:t>
      </w:r>
    </w:p>
  </w:footnote>
  <w:footnote w:id="17">
    <w:p w:rsidR="00DA26F9" w:rsidRPr="00E12D86" w:rsidRDefault="00DA26F9" w:rsidP="00C776D9">
      <w:pPr>
        <w:pStyle w:val="Footer"/>
      </w:pPr>
      <w:r>
        <w:rPr>
          <w:rStyle w:val="FootnoteReference"/>
        </w:rPr>
        <w:footnoteRef/>
      </w:r>
      <w:r>
        <w:t xml:space="preserve"> </w:t>
      </w:r>
      <w:r w:rsidRPr="00E12D86">
        <w:t>ICH M3(R2): Note for guidance on non-clinical safety studies for the conduct of human clinical trials and marketing authorisation for pharmaceuticals and Guideline on repeated dose toxicity (CPMP/SWP/1042/99 Rev 1)</w:t>
      </w:r>
    </w:p>
  </w:footnote>
  <w:footnote w:id="18">
    <w:p w:rsidR="00DA26F9" w:rsidRDefault="00DA26F9" w:rsidP="00876BB3">
      <w:pPr>
        <w:pStyle w:val="FootnoteText"/>
      </w:pPr>
      <w:r>
        <w:rPr>
          <w:rStyle w:val="FootnoteReference"/>
        </w:rPr>
        <w:footnoteRef/>
      </w:r>
      <w:r>
        <w:t xml:space="preserve"> </w:t>
      </w:r>
      <w:proofErr w:type="spellStart"/>
      <w:r>
        <w:t>Maronpot</w:t>
      </w:r>
      <w:proofErr w:type="spellEnd"/>
      <w:r>
        <w:t xml:space="preserve"> RR </w:t>
      </w:r>
      <w:r w:rsidRPr="008E4A48">
        <w:t>et al.</w:t>
      </w:r>
      <w:r>
        <w:t xml:space="preserve"> Hepatic enzyme induction: histopathology. </w:t>
      </w:r>
      <w:proofErr w:type="spellStart"/>
      <w:proofErr w:type="gramStart"/>
      <w:r w:rsidRPr="00BA1BE7">
        <w:rPr>
          <w:i/>
        </w:rPr>
        <w:t>Toxicol</w:t>
      </w:r>
      <w:proofErr w:type="spellEnd"/>
      <w:r>
        <w:rPr>
          <w:i/>
        </w:rPr>
        <w:t>.</w:t>
      </w:r>
      <w:proofErr w:type="gramEnd"/>
      <w:r w:rsidRPr="00BA1BE7">
        <w:rPr>
          <w:i/>
        </w:rPr>
        <w:t xml:space="preserve"> </w:t>
      </w:r>
      <w:proofErr w:type="spellStart"/>
      <w:proofErr w:type="gramStart"/>
      <w:r w:rsidRPr="00BA1BE7">
        <w:rPr>
          <w:i/>
        </w:rPr>
        <w:t>Pathol</w:t>
      </w:r>
      <w:proofErr w:type="spellEnd"/>
      <w:r w:rsidRPr="00BA1BE7">
        <w:rPr>
          <w:i/>
        </w:rPr>
        <w:t>.</w:t>
      </w:r>
      <w:proofErr w:type="gramEnd"/>
      <w:r>
        <w:t xml:space="preserve"> </w:t>
      </w:r>
      <w:proofErr w:type="gramStart"/>
      <w:r>
        <w:t>2010; 38:</w:t>
      </w:r>
      <w:r w:rsidRPr="00066885">
        <w:rPr>
          <w:w w:val="50"/>
        </w:rPr>
        <w:t xml:space="preserve"> </w:t>
      </w:r>
      <w:r>
        <w:t>776–795.</w:t>
      </w:r>
      <w:proofErr w:type="gramEnd"/>
    </w:p>
  </w:footnote>
  <w:footnote w:id="19">
    <w:p w:rsidR="00DA26F9" w:rsidRPr="005F7E14" w:rsidRDefault="00DA26F9">
      <w:pPr>
        <w:pStyle w:val="FootnoteText"/>
      </w:pPr>
      <w:r w:rsidRPr="005F7E14">
        <w:rPr>
          <w:rStyle w:val="FootnoteReference"/>
        </w:rPr>
        <w:footnoteRef/>
      </w:r>
      <w:r w:rsidRPr="005F7E14">
        <w:t xml:space="preserve"> ICH Guideline; S2</w:t>
      </w:r>
      <w:r>
        <w:t xml:space="preserve"> </w:t>
      </w:r>
      <w:r w:rsidRPr="005F7E14">
        <w:t>(R1): Guidance on Genotoxicity Testing and Data Interpretation for Pharmaceuticals Intended for Human Use</w:t>
      </w:r>
    </w:p>
  </w:footnote>
  <w:footnote w:id="20">
    <w:p w:rsidR="00DA26F9" w:rsidRPr="005F7E14" w:rsidRDefault="00DA26F9">
      <w:pPr>
        <w:pStyle w:val="FootnoteText"/>
      </w:pPr>
      <w:r w:rsidRPr="00C92FC8">
        <w:rPr>
          <w:rStyle w:val="FootnoteReference"/>
        </w:rPr>
        <w:footnoteRef/>
      </w:r>
      <w:r w:rsidRPr="00C92FC8">
        <w:t xml:space="preserve"> </w:t>
      </w:r>
      <w:r w:rsidRPr="005F7E14">
        <w:t xml:space="preserve">ICH Guideline; S1A: </w:t>
      </w:r>
      <w:r w:rsidRPr="00C92FC8">
        <w:t>Te</w:t>
      </w:r>
      <w:r w:rsidRPr="005F7E14">
        <w:t>sting for Carcinogenicity of Pharmaceuticals</w:t>
      </w:r>
    </w:p>
  </w:footnote>
  <w:footnote w:id="21">
    <w:p w:rsidR="00DA26F9" w:rsidRPr="00744158" w:rsidRDefault="00DA26F9">
      <w:pPr>
        <w:pStyle w:val="FootnoteText"/>
        <w:rPr>
          <w:lang w:val="en-US"/>
        </w:rPr>
      </w:pPr>
      <w:r w:rsidRPr="005F7E14">
        <w:rPr>
          <w:rStyle w:val="FootnoteReference"/>
        </w:rPr>
        <w:footnoteRef/>
      </w:r>
      <w:r w:rsidRPr="005F7E14">
        <w:t xml:space="preserve"> ICH Guideline; S1</w:t>
      </w:r>
      <w:r w:rsidRPr="00C92FC8">
        <w:t>C</w:t>
      </w:r>
      <w:r>
        <w:t xml:space="preserve"> </w:t>
      </w:r>
      <w:r w:rsidRPr="005F7E14">
        <w:t>(R2): Dose Selection for Carcinogenicity of Pharmaceuticals</w:t>
      </w:r>
    </w:p>
  </w:footnote>
  <w:footnote w:id="22">
    <w:p w:rsidR="00DA26F9" w:rsidRPr="00335FD3" w:rsidRDefault="00DA26F9" w:rsidP="00876BB3">
      <w:pPr>
        <w:pStyle w:val="FootnoteText"/>
      </w:pPr>
      <w:r w:rsidRPr="005F7E14">
        <w:rPr>
          <w:rStyle w:val="FootnoteReference"/>
        </w:rPr>
        <w:footnoteRef/>
      </w:r>
      <w:r w:rsidRPr="005F7E14">
        <w:t xml:space="preserve"> </w:t>
      </w:r>
      <w:proofErr w:type="spellStart"/>
      <w:r w:rsidRPr="005F7E14">
        <w:t>Holsapple</w:t>
      </w:r>
      <w:proofErr w:type="spellEnd"/>
      <w:r w:rsidRPr="005F7E14">
        <w:t xml:space="preserve"> MP, </w:t>
      </w:r>
      <w:r w:rsidRPr="008E4A48">
        <w:t>et al.</w:t>
      </w:r>
      <w:r w:rsidRPr="005F7E14">
        <w:t xml:space="preserve"> Mode of action in relevance of rodent liver </w:t>
      </w:r>
      <w:proofErr w:type="spellStart"/>
      <w:r w:rsidRPr="005F7E14">
        <w:t>tumors</w:t>
      </w:r>
      <w:proofErr w:type="spellEnd"/>
      <w:r w:rsidRPr="005F7E14">
        <w:t xml:space="preserve"> to human cancer risk. </w:t>
      </w:r>
      <w:proofErr w:type="spellStart"/>
      <w:proofErr w:type="gramStart"/>
      <w:r w:rsidRPr="005F7E14">
        <w:rPr>
          <w:i/>
        </w:rPr>
        <w:t>Toxicol</w:t>
      </w:r>
      <w:proofErr w:type="spellEnd"/>
      <w:r w:rsidRPr="005F7E14">
        <w:rPr>
          <w:i/>
        </w:rPr>
        <w:t>.</w:t>
      </w:r>
      <w:proofErr w:type="gramEnd"/>
      <w:r w:rsidRPr="005F7E14">
        <w:rPr>
          <w:i/>
        </w:rPr>
        <w:t xml:space="preserve"> </w:t>
      </w:r>
      <w:proofErr w:type="gramStart"/>
      <w:r w:rsidRPr="005F7E14">
        <w:rPr>
          <w:i/>
        </w:rPr>
        <w:t>Sciences.</w:t>
      </w:r>
      <w:proofErr w:type="gramEnd"/>
      <w:r w:rsidRPr="005F7E14">
        <w:t xml:space="preserve"> 2006; 89:</w:t>
      </w:r>
      <w:r w:rsidRPr="005F7E14">
        <w:rPr>
          <w:w w:val="50"/>
        </w:rPr>
        <w:t xml:space="preserve"> </w:t>
      </w:r>
      <w:r w:rsidRPr="005F7E14">
        <w:t>51</w:t>
      </w:r>
      <w:r w:rsidRPr="00C92FC8">
        <w:t>–56</w:t>
      </w:r>
    </w:p>
  </w:footnote>
  <w:footnote w:id="23">
    <w:p w:rsidR="00DA26F9" w:rsidRPr="00335FD3" w:rsidRDefault="00DA26F9" w:rsidP="00876BB3">
      <w:pPr>
        <w:pStyle w:val="FootnoteText"/>
      </w:pPr>
      <w:r w:rsidRPr="00335FD3">
        <w:rPr>
          <w:rStyle w:val="FootnoteReference"/>
        </w:rPr>
        <w:footnoteRef/>
      </w:r>
      <w:r w:rsidRPr="00335FD3">
        <w:t xml:space="preserve"> Alison RH, </w:t>
      </w:r>
      <w:r w:rsidRPr="008E4A48">
        <w:t>et al.</w:t>
      </w:r>
      <w:r w:rsidRPr="00335FD3">
        <w:t xml:space="preserve"> Neoplastic lesions of questionable significance to humans. </w:t>
      </w:r>
      <w:proofErr w:type="spellStart"/>
      <w:proofErr w:type="gramStart"/>
      <w:r w:rsidRPr="00335FD3">
        <w:rPr>
          <w:i/>
        </w:rPr>
        <w:t>Toxicologic</w:t>
      </w:r>
      <w:proofErr w:type="spellEnd"/>
      <w:r w:rsidRPr="00335FD3">
        <w:rPr>
          <w:i/>
        </w:rPr>
        <w:t xml:space="preserve"> </w:t>
      </w:r>
      <w:proofErr w:type="spellStart"/>
      <w:r w:rsidRPr="00335FD3">
        <w:rPr>
          <w:i/>
        </w:rPr>
        <w:t>Pathol</w:t>
      </w:r>
      <w:proofErr w:type="spellEnd"/>
      <w:r w:rsidRPr="00335FD3">
        <w:rPr>
          <w:i/>
        </w:rPr>
        <w:t>.</w:t>
      </w:r>
      <w:proofErr w:type="gramEnd"/>
      <w:r w:rsidRPr="00335FD3">
        <w:t xml:space="preserve"> 1994; 22:</w:t>
      </w:r>
      <w:r w:rsidRPr="00066885">
        <w:rPr>
          <w:w w:val="50"/>
        </w:rPr>
        <w:t xml:space="preserve"> </w:t>
      </w:r>
      <w:r w:rsidRPr="00335FD3">
        <w:t>179–186</w:t>
      </w:r>
    </w:p>
  </w:footnote>
  <w:footnote w:id="24">
    <w:p w:rsidR="00DA26F9" w:rsidRDefault="00DA26F9" w:rsidP="00876BB3">
      <w:pPr>
        <w:pStyle w:val="FootnoteText"/>
      </w:pPr>
      <w:r w:rsidRPr="00335FD3">
        <w:rPr>
          <w:rStyle w:val="FootnoteReference"/>
        </w:rPr>
        <w:footnoteRef/>
      </w:r>
      <w:r w:rsidRPr="00335FD3">
        <w:t xml:space="preserve"> Yoshida M</w:t>
      </w:r>
      <w:r w:rsidRPr="008E4A48">
        <w:t>, et al.</w:t>
      </w:r>
      <w:r w:rsidRPr="00335FD3">
        <w:t xml:space="preserve"> Dietary indole-3-carbinol promotes endometrial adenocarcinoma development in rats initiated with N-ethyl-N</w:t>
      </w:r>
      <w:r>
        <w:t>′</w:t>
      </w:r>
      <w:r w:rsidRPr="00335FD3">
        <w:t>-nitro-N-</w:t>
      </w:r>
      <w:proofErr w:type="spellStart"/>
      <w:r w:rsidRPr="00335FD3">
        <w:t>nitrosoguanidine</w:t>
      </w:r>
      <w:proofErr w:type="spellEnd"/>
      <w:r w:rsidRPr="00335FD3">
        <w:t xml:space="preserve">, with induction of cytochrome P450s in the liver and consequent modulation of estrogen metabolism. </w:t>
      </w:r>
      <w:proofErr w:type="gramStart"/>
      <w:r w:rsidRPr="00407790">
        <w:rPr>
          <w:i/>
        </w:rPr>
        <w:t>Carcinogenesis.</w:t>
      </w:r>
      <w:proofErr w:type="gramEnd"/>
      <w:r w:rsidRPr="00335FD3">
        <w:t xml:space="preserve"> </w:t>
      </w:r>
      <w:proofErr w:type="gramStart"/>
      <w:r w:rsidRPr="00335FD3">
        <w:t>2004</w:t>
      </w:r>
      <w:r>
        <w:t>; 25:</w:t>
      </w:r>
      <w:r w:rsidRPr="00066885">
        <w:rPr>
          <w:w w:val="50"/>
        </w:rPr>
        <w:t xml:space="preserve"> </w:t>
      </w:r>
      <w:r w:rsidRPr="00335FD3">
        <w:t>2257–</w:t>
      </w:r>
      <w:r>
        <w:t>22</w:t>
      </w:r>
      <w:r w:rsidRPr="00335FD3">
        <w:t>64</w:t>
      </w:r>
      <w:r>
        <w:t>.</w:t>
      </w:r>
      <w:proofErr w:type="gramEnd"/>
    </w:p>
  </w:footnote>
  <w:footnote w:id="25">
    <w:p w:rsidR="00DA26F9" w:rsidRPr="007C24FF" w:rsidRDefault="00DA26F9" w:rsidP="005F7E14">
      <w:pPr>
        <w:pStyle w:val="FootnoteText"/>
        <w:rPr>
          <w:lang w:val="en-US"/>
        </w:rPr>
      </w:pPr>
      <w:r>
        <w:rPr>
          <w:rStyle w:val="FootnoteReference"/>
        </w:rPr>
        <w:footnoteRef/>
      </w:r>
      <w:r>
        <w:t xml:space="preserve"> </w:t>
      </w:r>
      <w:r>
        <w:rPr>
          <w:lang w:val="en-US"/>
        </w:rPr>
        <w:t>ICH Guideline; S5 (R2): Detection of Toxicity to Reproduction for Medicinal Products and Toxicity to Male Fertility.</w:t>
      </w:r>
    </w:p>
  </w:footnote>
  <w:footnote w:id="26">
    <w:p w:rsidR="00DA26F9" w:rsidRPr="0085782A" w:rsidRDefault="00DA26F9" w:rsidP="00C776D9">
      <w:pPr>
        <w:pStyle w:val="Footer"/>
      </w:pPr>
      <w:r w:rsidRPr="0085782A">
        <w:rPr>
          <w:rStyle w:val="FootnoteReference"/>
          <w:rFonts w:asciiTheme="majorHAnsi" w:hAnsiTheme="majorHAnsi"/>
        </w:rPr>
        <w:footnoteRef/>
      </w:r>
      <w:r w:rsidRPr="0085782A">
        <w:t xml:space="preserve"> Based on plasma AUC in female rats in Study PCLN-PIRF-07</w:t>
      </w:r>
      <w:r>
        <w:t>3</w:t>
      </w:r>
    </w:p>
  </w:footnote>
  <w:footnote w:id="27">
    <w:p w:rsidR="00DA26F9" w:rsidRPr="00A953C2" w:rsidRDefault="00DA26F9" w:rsidP="00C776D9">
      <w:pPr>
        <w:pStyle w:val="Footer"/>
      </w:pPr>
      <w:r>
        <w:rPr>
          <w:rStyle w:val="FootnoteReference"/>
        </w:rPr>
        <w:footnoteRef/>
      </w:r>
      <w:r>
        <w:t xml:space="preserve"> Relative exposure for fertility in males was based on AUC data in repeat dose Study</w:t>
      </w:r>
      <w:r w:rsidRPr="00A953C2">
        <w:t xml:space="preserve"> </w:t>
      </w:r>
      <w:r w:rsidRPr="0085782A">
        <w:t>PCLN-PIRF-07</w:t>
      </w:r>
      <w:r>
        <w:t>3</w:t>
      </w:r>
    </w:p>
  </w:footnote>
  <w:footnote w:id="28">
    <w:p w:rsidR="00DA26F9" w:rsidRPr="00526DBA" w:rsidRDefault="00DA26F9">
      <w:pPr>
        <w:pStyle w:val="FootnoteText"/>
      </w:pPr>
      <w:r>
        <w:rPr>
          <w:rStyle w:val="FootnoteReference"/>
        </w:rPr>
        <w:footnoteRef/>
      </w:r>
      <w:r>
        <w:t xml:space="preserve"> </w:t>
      </w:r>
      <w:proofErr w:type="gramStart"/>
      <w:r w:rsidRPr="00313290">
        <w:t>Category B3.</w:t>
      </w:r>
      <w:proofErr w:type="gramEnd"/>
      <w:r w:rsidRPr="00313290">
        <w:t xml:space="preserve"> </w:t>
      </w:r>
      <w:r w:rsidRPr="008E4A48">
        <w:rPr>
          <w:i/>
        </w:rPr>
        <w:t xml:space="preserve">Drugs which have been taken by only a limited number of pregnant women and women of childbearing age, without an increase in the frequency of malformation or other direct or indirect harmful effects on the human </w:t>
      </w:r>
      <w:proofErr w:type="spellStart"/>
      <w:r w:rsidRPr="008E4A48">
        <w:rPr>
          <w:i/>
        </w:rPr>
        <w:t>fetus</w:t>
      </w:r>
      <w:proofErr w:type="spellEnd"/>
      <w:r w:rsidRPr="008E4A48">
        <w:rPr>
          <w:i/>
        </w:rPr>
        <w:t xml:space="preserve"> having been observed. </w:t>
      </w:r>
      <w:r w:rsidRPr="008E4A48">
        <w:rPr>
          <w:i/>
          <w:lang w:val="en"/>
        </w:rPr>
        <w:t>Studies in animals have shown evidence of an increased occurrence of fetal damage, the significance of which is considered uncertain in humans</w:t>
      </w:r>
      <w:r w:rsidRPr="00B100D4">
        <w:rPr>
          <w:lang w:val="en"/>
        </w:rPr>
        <w:t>.</w:t>
      </w:r>
    </w:p>
  </w:footnote>
  <w:footnote w:id="29">
    <w:p w:rsidR="00DA26F9" w:rsidRDefault="00DA26F9">
      <w:pPr>
        <w:pStyle w:val="FootnoteText"/>
      </w:pPr>
      <w:r>
        <w:rPr>
          <w:rStyle w:val="FootnoteReference"/>
        </w:rPr>
        <w:footnoteRef/>
      </w:r>
      <w:r>
        <w:t xml:space="preserve"> </w:t>
      </w:r>
      <w:r w:rsidRPr="004E2F28">
        <w:t xml:space="preserve">ICH guideline S10: </w:t>
      </w:r>
      <w:proofErr w:type="spellStart"/>
      <w:r w:rsidRPr="004E2F28">
        <w:t>Photosafety</w:t>
      </w:r>
      <w:proofErr w:type="spellEnd"/>
      <w:r>
        <w:t xml:space="preserve"> evaluation of pharmaceuticals</w:t>
      </w:r>
    </w:p>
  </w:footnote>
  <w:footnote w:id="30">
    <w:p w:rsidR="00DA26F9" w:rsidRPr="00D11AB8" w:rsidRDefault="00DA26F9" w:rsidP="00744158">
      <w:pPr>
        <w:pStyle w:val="FootnoteText"/>
        <w:rPr>
          <w:lang w:val="en-US"/>
        </w:rPr>
      </w:pPr>
      <w:r>
        <w:rPr>
          <w:rStyle w:val="FootnoteReference"/>
        </w:rPr>
        <w:footnoteRef/>
      </w:r>
      <w:r>
        <w:t xml:space="preserve"> </w:t>
      </w:r>
      <w:r w:rsidRPr="00D11AB8">
        <w:t>Raghu G et al.</w:t>
      </w:r>
      <w:r>
        <w:t xml:space="preserve"> </w:t>
      </w:r>
      <w:r w:rsidRPr="003F2BD9">
        <w:t xml:space="preserve">Treatment of idiopathic pulmonary fibrosis with a new </w:t>
      </w:r>
      <w:proofErr w:type="spellStart"/>
      <w:r w:rsidRPr="003F2BD9">
        <w:t>antifibrotic</w:t>
      </w:r>
      <w:proofErr w:type="spellEnd"/>
      <w:r w:rsidRPr="003F2BD9">
        <w:t xml:space="preserve"> agent, </w:t>
      </w:r>
      <w:proofErr w:type="spellStart"/>
      <w:r w:rsidRPr="003F2BD9">
        <w:t>pirfenidone</w:t>
      </w:r>
      <w:proofErr w:type="spellEnd"/>
      <w:r w:rsidRPr="003F2BD9">
        <w:t>: results of a prospective, open-label Phase II study.</w:t>
      </w:r>
      <w:r w:rsidRPr="00D11AB8">
        <w:t xml:space="preserve"> </w:t>
      </w:r>
      <w:r w:rsidRPr="008E4A48">
        <w:rPr>
          <w:i/>
        </w:rPr>
        <w:t xml:space="preserve">Am J </w:t>
      </w:r>
      <w:proofErr w:type="spellStart"/>
      <w:r w:rsidRPr="008E4A48">
        <w:rPr>
          <w:i/>
        </w:rPr>
        <w:t>Respir</w:t>
      </w:r>
      <w:proofErr w:type="spellEnd"/>
      <w:r w:rsidRPr="008E4A48">
        <w:rPr>
          <w:i/>
        </w:rPr>
        <w:t xml:space="preserve"> </w:t>
      </w:r>
      <w:proofErr w:type="spellStart"/>
      <w:r w:rsidRPr="008E4A48">
        <w:rPr>
          <w:i/>
        </w:rPr>
        <w:t>Crit</w:t>
      </w:r>
      <w:proofErr w:type="spellEnd"/>
      <w:r w:rsidRPr="008E4A48">
        <w:rPr>
          <w:i/>
        </w:rPr>
        <w:t xml:space="preserve"> Care Med</w:t>
      </w:r>
      <w:r w:rsidRPr="00D11AB8">
        <w:t xml:space="preserve"> 1999; 159: 1061–1069</w:t>
      </w:r>
    </w:p>
  </w:footnote>
  <w:footnote w:id="31">
    <w:p w:rsidR="00DA26F9" w:rsidRPr="00380800" w:rsidRDefault="00DA26F9" w:rsidP="00077160">
      <w:pPr>
        <w:pStyle w:val="FootnoteText"/>
        <w:rPr>
          <w:lang w:val="en-US"/>
        </w:rPr>
      </w:pPr>
      <w:r>
        <w:rPr>
          <w:rStyle w:val="FootnoteReference"/>
        </w:rPr>
        <w:footnoteRef/>
      </w:r>
      <w:r>
        <w:t xml:space="preserve"> </w:t>
      </w:r>
      <w:proofErr w:type="gramStart"/>
      <w:r w:rsidRPr="00380800">
        <w:t xml:space="preserve">Azuma A, et al. Double-blind, placebo-controlled trial of </w:t>
      </w:r>
      <w:proofErr w:type="spellStart"/>
      <w:r w:rsidRPr="00380800">
        <w:t>pirfenidone</w:t>
      </w:r>
      <w:proofErr w:type="spellEnd"/>
      <w:r w:rsidRPr="00380800">
        <w:t xml:space="preserve"> in patients with idiopathic pulmonary fibrosis.</w:t>
      </w:r>
      <w:proofErr w:type="gramEnd"/>
      <w:r w:rsidRPr="00380800">
        <w:t xml:space="preserve"> </w:t>
      </w:r>
      <w:r w:rsidRPr="004A630C">
        <w:rPr>
          <w:i/>
        </w:rPr>
        <w:t xml:space="preserve">Am J </w:t>
      </w:r>
      <w:proofErr w:type="spellStart"/>
      <w:r w:rsidRPr="004A630C">
        <w:rPr>
          <w:i/>
        </w:rPr>
        <w:t>Respir</w:t>
      </w:r>
      <w:proofErr w:type="spellEnd"/>
      <w:r w:rsidRPr="004A630C">
        <w:rPr>
          <w:i/>
        </w:rPr>
        <w:t xml:space="preserve"> </w:t>
      </w:r>
      <w:proofErr w:type="spellStart"/>
      <w:r w:rsidRPr="004A630C">
        <w:rPr>
          <w:i/>
        </w:rPr>
        <w:t>Crit</w:t>
      </w:r>
      <w:proofErr w:type="spellEnd"/>
      <w:r w:rsidRPr="004A630C">
        <w:rPr>
          <w:i/>
        </w:rPr>
        <w:t xml:space="preserve"> Care Med</w:t>
      </w:r>
      <w:r w:rsidRPr="00380800">
        <w:t xml:space="preserve"> 2005; 171: 1040–1047</w:t>
      </w:r>
      <w:r>
        <w:t>.</w:t>
      </w:r>
    </w:p>
  </w:footnote>
  <w:footnote w:id="32">
    <w:p w:rsidR="00DA26F9" w:rsidRPr="000328C9" w:rsidRDefault="00DA26F9" w:rsidP="00383375">
      <w:pPr>
        <w:pStyle w:val="FootnoteText"/>
      </w:pPr>
      <w:r>
        <w:rPr>
          <w:rStyle w:val="FootnoteReference"/>
        </w:rPr>
        <w:footnoteRef/>
      </w:r>
      <w:r>
        <w:t xml:space="preserve"> Noble PW et al. </w:t>
      </w:r>
      <w:proofErr w:type="spellStart"/>
      <w:r w:rsidRPr="000328C9">
        <w:t>Pirfenidone</w:t>
      </w:r>
      <w:proofErr w:type="spellEnd"/>
      <w:r w:rsidRPr="000328C9">
        <w:t xml:space="preserve"> in patients with idiopathic pulmonary fibrosis (CAPACITY): two randomised trials. </w:t>
      </w:r>
      <w:r w:rsidRPr="00526DBA">
        <w:rPr>
          <w:i/>
        </w:rPr>
        <w:t>Lancet</w:t>
      </w:r>
      <w:r w:rsidRPr="000328C9">
        <w:t xml:space="preserve"> 2011; 377:1760-</w:t>
      </w:r>
      <w:r>
        <w:t>176</w:t>
      </w:r>
      <w:r w:rsidRPr="000328C9">
        <w:t>9.</w:t>
      </w:r>
    </w:p>
  </w:footnote>
  <w:footnote w:id="33">
    <w:p w:rsidR="00DA26F9" w:rsidRPr="00445B4E" w:rsidRDefault="00DA26F9" w:rsidP="00445B4E">
      <w:pPr>
        <w:pStyle w:val="FootnoteText"/>
      </w:pPr>
      <w:r>
        <w:rPr>
          <w:rStyle w:val="FootnoteReference"/>
        </w:rPr>
        <w:footnoteRef/>
      </w:r>
      <w:r>
        <w:t xml:space="preserve"> </w:t>
      </w:r>
      <w:proofErr w:type="gramStart"/>
      <w:r>
        <w:t xml:space="preserve">Azuma et al. Double-blind, placebo-controlled trial of </w:t>
      </w:r>
      <w:proofErr w:type="spellStart"/>
      <w:r>
        <w:t>pirfenidone</w:t>
      </w:r>
      <w:proofErr w:type="spellEnd"/>
      <w:r>
        <w:t xml:space="preserve"> in patients with idiopathic pulmonary fibrosis.</w:t>
      </w:r>
      <w:proofErr w:type="gramEnd"/>
      <w:r>
        <w:t xml:space="preserve"> </w:t>
      </w:r>
      <w:r w:rsidRPr="00B54A52">
        <w:rPr>
          <w:i/>
        </w:rPr>
        <w:t xml:space="preserve">Am J </w:t>
      </w:r>
      <w:proofErr w:type="spellStart"/>
      <w:r w:rsidRPr="00B54A52">
        <w:rPr>
          <w:i/>
        </w:rPr>
        <w:t>Respir</w:t>
      </w:r>
      <w:proofErr w:type="spellEnd"/>
      <w:r w:rsidRPr="00B54A52">
        <w:rPr>
          <w:i/>
        </w:rPr>
        <w:t xml:space="preserve"> </w:t>
      </w:r>
      <w:proofErr w:type="spellStart"/>
      <w:r w:rsidRPr="00B54A52">
        <w:rPr>
          <w:i/>
        </w:rPr>
        <w:t>Crit</w:t>
      </w:r>
      <w:proofErr w:type="spellEnd"/>
      <w:r w:rsidRPr="00B54A52">
        <w:rPr>
          <w:i/>
        </w:rPr>
        <w:t xml:space="preserve"> Care Med</w:t>
      </w:r>
      <w:r>
        <w:t>. 2005 May 1</w:t>
      </w:r>
      <w:proofErr w:type="gramStart"/>
      <w:r>
        <w:t>;171</w:t>
      </w:r>
      <w:proofErr w:type="gramEnd"/>
      <w:r>
        <w:t>(9):1040-7.</w:t>
      </w:r>
    </w:p>
  </w:footnote>
  <w:footnote w:id="34">
    <w:p w:rsidR="00DA26F9" w:rsidRPr="00C92FC8" w:rsidRDefault="00DA26F9" w:rsidP="005F31D6">
      <w:pPr>
        <w:pStyle w:val="FootnoteText"/>
      </w:pPr>
      <w:r>
        <w:rPr>
          <w:rStyle w:val="FootnoteReference"/>
        </w:rPr>
        <w:footnoteRef/>
      </w:r>
      <w:r>
        <w:t xml:space="preserve"> Raghu G et al. An Official ATS/ERS/JRS/ALAT Statement: idiopathic pulmonary fibrosis: evidence-based guidelines for diagnosis and management. </w:t>
      </w:r>
      <w:r w:rsidRPr="00FA60A1">
        <w:rPr>
          <w:i/>
        </w:rPr>
        <w:t xml:space="preserve">Am J </w:t>
      </w:r>
      <w:proofErr w:type="spellStart"/>
      <w:r w:rsidRPr="00FA60A1">
        <w:rPr>
          <w:i/>
        </w:rPr>
        <w:t>Respir</w:t>
      </w:r>
      <w:proofErr w:type="spellEnd"/>
      <w:r w:rsidRPr="00FA60A1">
        <w:rPr>
          <w:i/>
        </w:rPr>
        <w:t xml:space="preserve"> </w:t>
      </w:r>
      <w:proofErr w:type="spellStart"/>
      <w:r w:rsidRPr="00FA60A1">
        <w:rPr>
          <w:i/>
        </w:rPr>
        <w:t>Crit</w:t>
      </w:r>
      <w:proofErr w:type="spellEnd"/>
      <w:r w:rsidRPr="00FA60A1">
        <w:rPr>
          <w:i/>
        </w:rPr>
        <w:t xml:space="preserve"> Care Med</w:t>
      </w:r>
      <w:r>
        <w:t xml:space="preserve"> 2011</w:t>
      </w:r>
      <w:proofErr w:type="gramStart"/>
      <w:r>
        <w:t>;183:788</w:t>
      </w:r>
      <w:proofErr w:type="gramEnd"/>
      <w:r>
        <w:t>–824.</w:t>
      </w:r>
    </w:p>
  </w:footnote>
  <w:footnote w:id="35">
    <w:p w:rsidR="00DA26F9" w:rsidRPr="005F31D6" w:rsidRDefault="00DA26F9" w:rsidP="005F31D6">
      <w:pPr>
        <w:pStyle w:val="FootnoteText"/>
      </w:pPr>
      <w:r>
        <w:rPr>
          <w:rStyle w:val="FootnoteReference"/>
        </w:rPr>
        <w:footnoteRef/>
      </w:r>
      <w:r>
        <w:t xml:space="preserve"> </w:t>
      </w:r>
      <w:proofErr w:type="spellStart"/>
      <w:proofErr w:type="gramStart"/>
      <w:r>
        <w:t>Bjoraker</w:t>
      </w:r>
      <w:proofErr w:type="spellEnd"/>
      <w:r>
        <w:t xml:space="preserve"> J et al. Prognostic significance of histopathologic subsets in idiopathic pulmonary fibrosis.</w:t>
      </w:r>
      <w:proofErr w:type="gramEnd"/>
      <w:r>
        <w:t xml:space="preserve"> </w:t>
      </w:r>
      <w:r w:rsidRPr="00FA60A1">
        <w:rPr>
          <w:i/>
        </w:rPr>
        <w:t>Am J</w:t>
      </w:r>
      <w:r>
        <w:t xml:space="preserve"> </w:t>
      </w:r>
      <w:proofErr w:type="spellStart"/>
      <w:r w:rsidRPr="00FA60A1">
        <w:rPr>
          <w:i/>
        </w:rPr>
        <w:t>Respir</w:t>
      </w:r>
      <w:proofErr w:type="spellEnd"/>
      <w:r w:rsidRPr="00FA60A1">
        <w:rPr>
          <w:i/>
        </w:rPr>
        <w:t xml:space="preserve"> </w:t>
      </w:r>
      <w:proofErr w:type="spellStart"/>
      <w:r w:rsidRPr="00FA60A1">
        <w:rPr>
          <w:i/>
        </w:rPr>
        <w:t>Crit</w:t>
      </w:r>
      <w:proofErr w:type="spellEnd"/>
      <w:r w:rsidRPr="00FA60A1">
        <w:rPr>
          <w:i/>
        </w:rPr>
        <w:t xml:space="preserve"> Care Med</w:t>
      </w:r>
      <w:r>
        <w:t xml:space="preserve"> 1998</w:t>
      </w:r>
      <w:proofErr w:type="gramStart"/>
      <w:r>
        <w:t>;157:199</w:t>
      </w:r>
      <w:proofErr w:type="gramEnd"/>
      <w:r>
        <w:t>–203.</w:t>
      </w:r>
    </w:p>
  </w:footnote>
  <w:footnote w:id="36">
    <w:p w:rsidR="00DA26F9" w:rsidRDefault="00DA26F9" w:rsidP="005F31D6">
      <w:pPr>
        <w:pStyle w:val="FootnoteText"/>
      </w:pPr>
      <w:r>
        <w:rPr>
          <w:rStyle w:val="FootnoteReference"/>
        </w:rPr>
        <w:footnoteRef/>
      </w:r>
      <w:r>
        <w:t xml:space="preserve"> </w:t>
      </w:r>
      <w:proofErr w:type="spellStart"/>
      <w:r>
        <w:t>Mapel</w:t>
      </w:r>
      <w:proofErr w:type="spellEnd"/>
      <w:r>
        <w:t xml:space="preserve"> D et al. Idiopathic pulmonary fibrosis: survival in population based and hospital </w:t>
      </w:r>
    </w:p>
    <w:p w:rsidR="00DA26F9" w:rsidRPr="00C92FC8" w:rsidRDefault="00DA26F9" w:rsidP="005F31D6">
      <w:pPr>
        <w:pStyle w:val="FootnoteText"/>
      </w:pPr>
      <w:proofErr w:type="gramStart"/>
      <w:r>
        <w:t>based</w:t>
      </w:r>
      <w:proofErr w:type="gramEnd"/>
      <w:r>
        <w:t xml:space="preserve"> cohorts. </w:t>
      </w:r>
      <w:r w:rsidRPr="00FA60A1">
        <w:rPr>
          <w:i/>
        </w:rPr>
        <w:t xml:space="preserve">Thorax </w:t>
      </w:r>
      <w:r>
        <w:t>1998</w:t>
      </w:r>
      <w:proofErr w:type="gramStart"/>
      <w:r>
        <w:t>;53:469</w:t>
      </w:r>
      <w:proofErr w:type="gramEnd"/>
      <w:r>
        <w:t>–476.</w:t>
      </w:r>
    </w:p>
  </w:footnote>
  <w:footnote w:id="37">
    <w:p w:rsidR="00DA26F9" w:rsidRPr="00C92FC8" w:rsidRDefault="00DA26F9" w:rsidP="005F31D6">
      <w:pPr>
        <w:pStyle w:val="FootnoteText"/>
      </w:pPr>
      <w:r>
        <w:rPr>
          <w:rStyle w:val="FootnoteReference"/>
        </w:rPr>
        <w:footnoteRef/>
      </w:r>
      <w:r>
        <w:t xml:space="preserve"> Douglas W et al. Idiopathic pulmonary fibrosis: impact of oxygen and colchicine, prednisone, or no therapy on survival. </w:t>
      </w:r>
      <w:r w:rsidRPr="00FA60A1">
        <w:rPr>
          <w:i/>
        </w:rPr>
        <w:t xml:space="preserve">Am J </w:t>
      </w:r>
      <w:proofErr w:type="spellStart"/>
      <w:r w:rsidRPr="00FA60A1">
        <w:rPr>
          <w:i/>
        </w:rPr>
        <w:t>Respir</w:t>
      </w:r>
      <w:proofErr w:type="spellEnd"/>
      <w:r w:rsidRPr="00FA60A1">
        <w:rPr>
          <w:i/>
        </w:rPr>
        <w:t xml:space="preserve"> </w:t>
      </w:r>
      <w:proofErr w:type="spellStart"/>
      <w:r w:rsidRPr="00FA60A1">
        <w:rPr>
          <w:i/>
        </w:rPr>
        <w:t>Crit</w:t>
      </w:r>
      <w:proofErr w:type="spellEnd"/>
      <w:r w:rsidRPr="00FA60A1">
        <w:rPr>
          <w:i/>
        </w:rPr>
        <w:t xml:space="preserve"> Care Med</w:t>
      </w:r>
      <w:r>
        <w:t xml:space="preserve"> 2001; 161:1172–1178.</w:t>
      </w:r>
    </w:p>
  </w:footnote>
  <w:footnote w:id="38">
    <w:p w:rsidR="00DA26F9" w:rsidRPr="00C92FC8" w:rsidRDefault="00DA26F9" w:rsidP="005F31D6">
      <w:pPr>
        <w:pStyle w:val="FootnoteText"/>
        <w:rPr>
          <w:lang w:val="en-US"/>
        </w:rPr>
      </w:pPr>
      <w:r>
        <w:rPr>
          <w:rStyle w:val="FootnoteReference"/>
        </w:rPr>
        <w:footnoteRef/>
      </w:r>
      <w:r>
        <w:t xml:space="preserve"> Nicholson A</w:t>
      </w:r>
      <w:r w:rsidRPr="00C92FC8">
        <w:t xml:space="preserve"> et al. </w:t>
      </w:r>
      <w:proofErr w:type="gramStart"/>
      <w:r w:rsidRPr="00C92FC8">
        <w:t>The prognostic significance of the hist</w:t>
      </w:r>
      <w:r>
        <w:t xml:space="preserve">ologic pattern of interstitial </w:t>
      </w:r>
      <w:r w:rsidRPr="00C92FC8">
        <w:t xml:space="preserve">pneumonia in patients presenting with the clinical entity of cryptogenic fibrosing </w:t>
      </w:r>
      <w:proofErr w:type="spellStart"/>
      <w:r w:rsidRPr="00C92FC8">
        <w:t>alveolitis</w:t>
      </w:r>
      <w:proofErr w:type="spellEnd"/>
      <w:r w:rsidRPr="00FA60A1">
        <w:rPr>
          <w:i/>
        </w:rPr>
        <w:t>.</w:t>
      </w:r>
      <w:proofErr w:type="gramEnd"/>
      <w:r w:rsidRPr="00FA60A1">
        <w:rPr>
          <w:i/>
        </w:rPr>
        <w:t xml:space="preserve"> Am J </w:t>
      </w:r>
      <w:proofErr w:type="spellStart"/>
      <w:r w:rsidRPr="00FA60A1">
        <w:rPr>
          <w:i/>
        </w:rPr>
        <w:t>Respir</w:t>
      </w:r>
      <w:proofErr w:type="spellEnd"/>
      <w:r w:rsidRPr="00FA60A1">
        <w:rPr>
          <w:i/>
        </w:rPr>
        <w:t xml:space="preserve"> </w:t>
      </w:r>
      <w:proofErr w:type="spellStart"/>
      <w:r w:rsidRPr="00FA60A1">
        <w:rPr>
          <w:i/>
        </w:rPr>
        <w:t>Crit</w:t>
      </w:r>
      <w:proofErr w:type="spellEnd"/>
      <w:r w:rsidRPr="00FA60A1">
        <w:rPr>
          <w:i/>
        </w:rPr>
        <w:t xml:space="preserve"> Care Med</w:t>
      </w:r>
      <w:r w:rsidRPr="00C92FC8">
        <w:t xml:space="preserve"> 2000</w:t>
      </w:r>
      <w:proofErr w:type="gramStart"/>
      <w:r w:rsidRPr="00C92FC8">
        <w:t>;162:2213</w:t>
      </w:r>
      <w:proofErr w:type="gramEnd"/>
      <w:r w:rsidRPr="00C92FC8">
        <w:t>–2217</w:t>
      </w:r>
      <w:r>
        <w:t>.</w:t>
      </w:r>
    </w:p>
  </w:footnote>
  <w:footnote w:id="39">
    <w:p w:rsidR="00DA26F9" w:rsidRPr="005F31D6" w:rsidRDefault="00DA26F9" w:rsidP="005F31D6">
      <w:pPr>
        <w:pStyle w:val="FootnoteText"/>
        <w:rPr>
          <w:lang w:val="en-US"/>
        </w:rPr>
      </w:pPr>
      <w:r>
        <w:rPr>
          <w:rStyle w:val="FootnoteReference"/>
        </w:rPr>
        <w:footnoteRef/>
      </w:r>
      <w:r>
        <w:t xml:space="preserve"> King T</w:t>
      </w:r>
      <w:r w:rsidRPr="005F31D6">
        <w:t xml:space="preserve"> Jr et al. Predicting survival in idiopathic pulmonary fibrosis: scoring system and survival model. </w:t>
      </w:r>
      <w:r w:rsidRPr="00FA60A1">
        <w:rPr>
          <w:i/>
        </w:rPr>
        <w:t xml:space="preserve">Am J </w:t>
      </w:r>
      <w:proofErr w:type="spellStart"/>
      <w:r w:rsidRPr="00FA60A1">
        <w:rPr>
          <w:i/>
        </w:rPr>
        <w:t>Respir</w:t>
      </w:r>
      <w:proofErr w:type="spellEnd"/>
      <w:r w:rsidRPr="00FA60A1">
        <w:rPr>
          <w:i/>
        </w:rPr>
        <w:t xml:space="preserve"> </w:t>
      </w:r>
      <w:proofErr w:type="spellStart"/>
      <w:r w:rsidRPr="00FA60A1">
        <w:rPr>
          <w:i/>
        </w:rPr>
        <w:t>Crit</w:t>
      </w:r>
      <w:proofErr w:type="spellEnd"/>
      <w:r w:rsidRPr="00FA60A1">
        <w:rPr>
          <w:i/>
        </w:rPr>
        <w:t xml:space="preserve"> Care Med </w:t>
      </w:r>
      <w:r w:rsidRPr="005F31D6">
        <w:t>2001</w:t>
      </w:r>
      <w:proofErr w:type="gramStart"/>
      <w:r w:rsidRPr="005F31D6">
        <w:t>;164:1171</w:t>
      </w:r>
      <w:proofErr w:type="gramEnd"/>
      <w:r w:rsidRPr="005F31D6">
        <w:t>-1181</w:t>
      </w:r>
      <w:r>
        <w:t>.</w:t>
      </w:r>
    </w:p>
  </w:footnote>
  <w:footnote w:id="40">
    <w:p w:rsidR="00DA26F9" w:rsidRPr="005F31D6" w:rsidRDefault="00DA26F9" w:rsidP="005F31D6">
      <w:pPr>
        <w:pStyle w:val="FootnoteText"/>
      </w:pPr>
      <w:r>
        <w:rPr>
          <w:rStyle w:val="FootnoteReference"/>
        </w:rPr>
        <w:footnoteRef/>
      </w:r>
      <w:r>
        <w:t xml:space="preserve"> Collard H et al. Changes in clinical and physiological variables predict survival in idiopathic pulmonary fibrosis. </w:t>
      </w:r>
      <w:r w:rsidRPr="00FA60A1">
        <w:rPr>
          <w:i/>
        </w:rPr>
        <w:t xml:space="preserve">Am J </w:t>
      </w:r>
      <w:proofErr w:type="spellStart"/>
      <w:r w:rsidRPr="00FA60A1">
        <w:rPr>
          <w:i/>
        </w:rPr>
        <w:t>Respir</w:t>
      </w:r>
      <w:proofErr w:type="spellEnd"/>
      <w:r w:rsidRPr="00FA60A1">
        <w:rPr>
          <w:i/>
        </w:rPr>
        <w:t xml:space="preserve"> </w:t>
      </w:r>
      <w:proofErr w:type="spellStart"/>
      <w:r w:rsidRPr="00FA60A1">
        <w:rPr>
          <w:i/>
        </w:rPr>
        <w:t>Crit</w:t>
      </w:r>
      <w:proofErr w:type="spellEnd"/>
      <w:r w:rsidRPr="00FA60A1">
        <w:rPr>
          <w:i/>
        </w:rPr>
        <w:t xml:space="preserve"> Care Med</w:t>
      </w:r>
      <w:r>
        <w:t xml:space="preserve"> 2003</w:t>
      </w:r>
      <w:proofErr w:type="gramStart"/>
      <w:r>
        <w:t>;168:538</w:t>
      </w:r>
      <w:proofErr w:type="gramEnd"/>
      <w:r>
        <w:t>– 542.</w:t>
      </w:r>
    </w:p>
  </w:footnote>
  <w:footnote w:id="41">
    <w:p w:rsidR="00DA26F9" w:rsidRPr="005F31D6" w:rsidRDefault="00DA26F9" w:rsidP="005F31D6">
      <w:pPr>
        <w:pStyle w:val="FootnoteText"/>
        <w:rPr>
          <w:lang w:val="en-US"/>
        </w:rPr>
      </w:pPr>
      <w:r>
        <w:rPr>
          <w:rStyle w:val="FootnoteReference"/>
        </w:rPr>
        <w:footnoteRef/>
      </w:r>
      <w:r>
        <w:t xml:space="preserve"> </w:t>
      </w:r>
      <w:proofErr w:type="gramStart"/>
      <w:r>
        <w:t xml:space="preserve">Rudd R et al. for the Fibrosing </w:t>
      </w:r>
      <w:proofErr w:type="spellStart"/>
      <w:r>
        <w:t>Alveolitis</w:t>
      </w:r>
      <w:proofErr w:type="spellEnd"/>
      <w:r>
        <w:t xml:space="preserve"> Subcommittee of the Research Committee of the British Thoracic Society.</w:t>
      </w:r>
      <w:proofErr w:type="gramEnd"/>
      <w:r>
        <w:t xml:space="preserve"> 2007. British Thoracic Society Study on cryptogenic fibrosing </w:t>
      </w:r>
      <w:proofErr w:type="spellStart"/>
      <w:r>
        <w:t>alveolitis</w:t>
      </w:r>
      <w:proofErr w:type="spellEnd"/>
      <w:r>
        <w:t xml:space="preserve">: response to treatment and survival. </w:t>
      </w:r>
      <w:r w:rsidRPr="00FA60A1">
        <w:rPr>
          <w:i/>
        </w:rPr>
        <w:t xml:space="preserve">Thorax </w:t>
      </w:r>
      <w:r>
        <w:t>2007</w:t>
      </w:r>
      <w:proofErr w:type="gramStart"/>
      <w:r>
        <w:t>;62:62</w:t>
      </w:r>
      <w:proofErr w:type="gramEnd"/>
      <w:r>
        <w:t>–66.</w:t>
      </w:r>
    </w:p>
  </w:footnote>
  <w:footnote w:id="42">
    <w:p w:rsidR="00DA26F9" w:rsidRPr="005F31D6" w:rsidRDefault="00DA26F9" w:rsidP="005F31D6">
      <w:pPr>
        <w:pStyle w:val="FootnoteText"/>
      </w:pPr>
      <w:r>
        <w:rPr>
          <w:rStyle w:val="FootnoteReference"/>
        </w:rPr>
        <w:footnoteRef/>
      </w:r>
      <w:r>
        <w:t xml:space="preserve"> </w:t>
      </w:r>
      <w:proofErr w:type="spellStart"/>
      <w:proofErr w:type="gramStart"/>
      <w:r>
        <w:t>Fernández</w:t>
      </w:r>
      <w:proofErr w:type="spellEnd"/>
      <w:r>
        <w:t xml:space="preserve"> Pérez E et al. Incidence, prevalence, and clinical course </w:t>
      </w:r>
      <w:proofErr w:type="spellStart"/>
      <w:r>
        <w:t>ofidiopathic</w:t>
      </w:r>
      <w:proofErr w:type="spellEnd"/>
      <w:r>
        <w:t xml:space="preserve"> pulmonary fibrosis.</w:t>
      </w:r>
      <w:proofErr w:type="gramEnd"/>
      <w:r>
        <w:t xml:space="preserve"> A population- based study. </w:t>
      </w:r>
      <w:r w:rsidRPr="00FA60A1">
        <w:rPr>
          <w:i/>
        </w:rPr>
        <w:t>Chest</w:t>
      </w:r>
      <w:r>
        <w:t xml:space="preserve"> 2010</w:t>
      </w:r>
      <w:proofErr w:type="gramStart"/>
      <w:r>
        <w:t>;137:129</w:t>
      </w:r>
      <w:proofErr w:type="gramEnd"/>
      <w:r>
        <w:t>–137.</w:t>
      </w:r>
    </w:p>
  </w:footnote>
  <w:footnote w:id="43">
    <w:p w:rsidR="00DA26F9" w:rsidRPr="005F31D6" w:rsidRDefault="00DA26F9" w:rsidP="005F31D6">
      <w:pPr>
        <w:pStyle w:val="FootnoteText"/>
      </w:pPr>
      <w:r>
        <w:rPr>
          <w:rStyle w:val="FootnoteReference"/>
        </w:rPr>
        <w:footnoteRef/>
      </w:r>
      <w:r>
        <w:t xml:space="preserve"> </w:t>
      </w:r>
      <w:proofErr w:type="gramStart"/>
      <w:r>
        <w:t>Kim J et al. Clinical predictors of survival in idiopathic pulmonary fibrosis.</w:t>
      </w:r>
      <w:proofErr w:type="gramEnd"/>
      <w:r>
        <w:t xml:space="preserve"> </w:t>
      </w:r>
      <w:proofErr w:type="spellStart"/>
      <w:r w:rsidRPr="00FA60A1">
        <w:rPr>
          <w:i/>
        </w:rPr>
        <w:t>Tuberc</w:t>
      </w:r>
      <w:proofErr w:type="spellEnd"/>
      <w:r w:rsidRPr="00FA60A1">
        <w:rPr>
          <w:i/>
        </w:rPr>
        <w:t xml:space="preserve"> </w:t>
      </w:r>
      <w:proofErr w:type="spellStart"/>
      <w:r w:rsidRPr="00FA60A1">
        <w:rPr>
          <w:i/>
        </w:rPr>
        <w:t>Respir</w:t>
      </w:r>
      <w:proofErr w:type="spellEnd"/>
      <w:r w:rsidRPr="00FA60A1">
        <w:rPr>
          <w:i/>
        </w:rPr>
        <w:t xml:space="preserve"> Dis</w:t>
      </w:r>
      <w:r>
        <w:t xml:space="preserve"> 2012</w:t>
      </w:r>
      <w:proofErr w:type="gramStart"/>
      <w:r>
        <w:t>;73:162</w:t>
      </w:r>
      <w:proofErr w:type="gramEnd"/>
      <w:r>
        <w:t>-168.</w:t>
      </w:r>
    </w:p>
  </w:footnote>
  <w:footnote w:id="44">
    <w:p w:rsidR="00DA26F9" w:rsidRPr="005F31D6" w:rsidRDefault="00DA26F9" w:rsidP="005F31D6">
      <w:pPr>
        <w:pStyle w:val="FootnoteText"/>
      </w:pPr>
      <w:r>
        <w:rPr>
          <w:rStyle w:val="FootnoteReference"/>
        </w:rPr>
        <w:footnoteRef/>
      </w:r>
      <w:r>
        <w:t xml:space="preserve"> </w:t>
      </w:r>
      <w:proofErr w:type="gramStart"/>
      <w:r>
        <w:t>Du Bois R. 2 Strategies or treating idiopathic pulmonary fibrosis.</w:t>
      </w:r>
      <w:proofErr w:type="gramEnd"/>
      <w:r>
        <w:t xml:space="preserve"> </w:t>
      </w:r>
      <w:r w:rsidRPr="006A293A">
        <w:rPr>
          <w:i/>
        </w:rPr>
        <w:t xml:space="preserve">Nat Rev Drug </w:t>
      </w:r>
      <w:proofErr w:type="spellStart"/>
      <w:r w:rsidRPr="006A293A">
        <w:rPr>
          <w:i/>
        </w:rPr>
        <w:t>Discov</w:t>
      </w:r>
      <w:proofErr w:type="spellEnd"/>
      <w:r>
        <w:t xml:space="preserve"> 2010;9:129–140</w:t>
      </w:r>
    </w:p>
  </w:footnote>
  <w:footnote w:id="45">
    <w:p w:rsidR="00DA26F9" w:rsidRPr="005F31D6" w:rsidRDefault="00DA26F9" w:rsidP="005F31D6">
      <w:pPr>
        <w:pStyle w:val="FootnoteText"/>
      </w:pPr>
      <w:r>
        <w:rPr>
          <w:rStyle w:val="FootnoteReference"/>
        </w:rPr>
        <w:footnoteRef/>
      </w:r>
      <w:r>
        <w:t xml:space="preserve"> European Pharmacopeia Monograph: </w:t>
      </w:r>
      <w:proofErr w:type="spellStart"/>
      <w:r>
        <w:t>Pirfenidone</w:t>
      </w:r>
      <w:proofErr w:type="spellEnd"/>
      <w:r>
        <w:t xml:space="preserve"> EP-2865E.</w:t>
      </w:r>
    </w:p>
  </w:footnote>
  <w:footnote w:id="46">
    <w:p w:rsidR="00DA26F9" w:rsidRPr="00074D22" w:rsidRDefault="00DA26F9" w:rsidP="005F31D6">
      <w:pPr>
        <w:pStyle w:val="FootnoteText"/>
      </w:pPr>
      <w:r>
        <w:rPr>
          <w:rStyle w:val="FootnoteReference"/>
        </w:rPr>
        <w:footnoteRef/>
      </w:r>
      <w:r>
        <w:t xml:space="preserve"> Galloway S </w:t>
      </w:r>
      <w:proofErr w:type="gramStart"/>
      <w:r>
        <w:t>et</w:t>
      </w:r>
      <w:proofErr w:type="gramEnd"/>
      <w:r>
        <w:t xml:space="preserve"> </w:t>
      </w:r>
      <w:proofErr w:type="spellStart"/>
      <w:r>
        <w:t>al.Chromosome</w:t>
      </w:r>
      <w:proofErr w:type="spellEnd"/>
      <w:r>
        <w:t xml:space="preserve"> aberrations and sister chromatid exchanges in Chinese hamster ovary cells: evaluations of 108 chemicals. </w:t>
      </w:r>
      <w:r w:rsidRPr="006A293A">
        <w:rPr>
          <w:i/>
        </w:rPr>
        <w:t xml:space="preserve">Environ </w:t>
      </w:r>
      <w:proofErr w:type="spellStart"/>
      <w:r w:rsidRPr="006A293A">
        <w:rPr>
          <w:i/>
        </w:rPr>
        <w:t>Mol</w:t>
      </w:r>
      <w:proofErr w:type="spellEnd"/>
      <w:r w:rsidRPr="006A293A">
        <w:rPr>
          <w:i/>
        </w:rPr>
        <w:t xml:space="preserve"> Mutagen</w:t>
      </w:r>
      <w:r>
        <w:t xml:space="preserve"> </w:t>
      </w:r>
      <w:r w:rsidRPr="006A293A">
        <w:t>1987</w:t>
      </w:r>
      <w:r>
        <w:t>; 10:1-175.</w:t>
      </w:r>
    </w:p>
  </w:footnote>
  <w:footnote w:id="47">
    <w:p w:rsidR="00DA26F9" w:rsidRPr="00074D22" w:rsidRDefault="00DA26F9" w:rsidP="00074D22">
      <w:pPr>
        <w:pStyle w:val="FootnoteText"/>
      </w:pPr>
      <w:r>
        <w:rPr>
          <w:rStyle w:val="FootnoteReference"/>
        </w:rPr>
        <w:footnoteRef/>
      </w:r>
      <w:r>
        <w:t xml:space="preserve"> </w:t>
      </w:r>
      <w:proofErr w:type="spellStart"/>
      <w:r>
        <w:t>Mohtashamipur</w:t>
      </w:r>
      <w:proofErr w:type="spellEnd"/>
      <w:r>
        <w:t xml:space="preserve">, E et al. </w:t>
      </w:r>
      <w:proofErr w:type="gramStart"/>
      <w:r>
        <w:t xml:space="preserve">The bone marrow </w:t>
      </w:r>
      <w:proofErr w:type="spellStart"/>
      <w:r>
        <w:t>clastogenicity</w:t>
      </w:r>
      <w:proofErr w:type="spellEnd"/>
      <w:r>
        <w:t xml:space="preserve"> of eight halogenated benzenes in male NMRI mice.</w:t>
      </w:r>
      <w:proofErr w:type="gramEnd"/>
      <w:r>
        <w:t xml:space="preserve"> </w:t>
      </w:r>
      <w:r w:rsidRPr="006A293A">
        <w:rPr>
          <w:i/>
        </w:rPr>
        <w:t>Mutagenesis</w:t>
      </w:r>
      <w:r>
        <w:t xml:space="preserve"> 1987; </w:t>
      </w:r>
      <w:proofErr w:type="gramStart"/>
      <w:r>
        <w:t>2 :</w:t>
      </w:r>
      <w:proofErr w:type="gramEnd"/>
      <w:r>
        <w:t>111-113.</w:t>
      </w:r>
    </w:p>
  </w:footnote>
  <w:footnote w:id="48">
    <w:p w:rsidR="00DA26F9" w:rsidRPr="00074D22" w:rsidRDefault="00DA26F9" w:rsidP="00074D22">
      <w:pPr>
        <w:pStyle w:val="FootnoteText"/>
      </w:pPr>
      <w:r>
        <w:rPr>
          <w:rStyle w:val="FootnoteReference"/>
        </w:rPr>
        <w:footnoteRef/>
      </w:r>
      <w:r>
        <w:t xml:space="preserve"> Takasawa H et al. Evaluation of a liver micronucleus assay in young rats (IV): a study using a double-dosing/single-sampling method by the Collaborative Study Group for the Micronucleus Test (CSGMT)/Japanese Environmental Mutagen Society (JEMS)-Mammalian Mutagenicity Study Group (MMS). </w:t>
      </w:r>
      <w:proofErr w:type="spellStart"/>
      <w:proofErr w:type="gramStart"/>
      <w:r w:rsidRPr="006A293A">
        <w:rPr>
          <w:i/>
        </w:rPr>
        <w:t>Mutat</w:t>
      </w:r>
      <w:proofErr w:type="spellEnd"/>
      <w:r w:rsidRPr="006A293A">
        <w:rPr>
          <w:i/>
        </w:rPr>
        <w:t>.</w:t>
      </w:r>
      <w:proofErr w:type="gramEnd"/>
      <w:r w:rsidRPr="006A293A">
        <w:rPr>
          <w:i/>
        </w:rPr>
        <w:t xml:space="preserve"> Res</w:t>
      </w:r>
      <w:r>
        <w:t>. 2010</w:t>
      </w:r>
      <w:proofErr w:type="gramStart"/>
      <w:r>
        <w:t>;698</w:t>
      </w:r>
      <w:proofErr w:type="gramEnd"/>
      <w:r>
        <w:t>: 24-29.</w:t>
      </w:r>
    </w:p>
  </w:footnote>
  <w:footnote w:id="49">
    <w:p w:rsidR="00DA26F9" w:rsidRPr="00074D22" w:rsidRDefault="00DA26F9" w:rsidP="00074D22">
      <w:pPr>
        <w:pStyle w:val="Footer"/>
      </w:pPr>
      <w:r w:rsidRPr="00FC64A7">
        <w:rPr>
          <w:rStyle w:val="FootnoteReference"/>
          <w:vertAlign w:val="baseline"/>
        </w:rPr>
        <w:footnoteRef/>
      </w:r>
      <w:r w:rsidRPr="00FC64A7">
        <w:t xml:space="preserve"> Rose, J. </w:t>
      </w:r>
      <w:r w:rsidRPr="00FC64A7">
        <w:rPr>
          <w:i/>
        </w:rPr>
        <w:t>Environmental Toxicology: Current Developments</w:t>
      </w:r>
      <w:r>
        <w:t>,</w:t>
      </w:r>
      <w:r w:rsidRPr="00FC64A7">
        <w:t xml:space="preserve"> 1998; p. 64.</w:t>
      </w:r>
    </w:p>
  </w:footnote>
  <w:footnote w:id="50">
    <w:p w:rsidR="00DA26F9" w:rsidRPr="00074D22" w:rsidRDefault="00DA26F9" w:rsidP="00074D22">
      <w:pPr>
        <w:pStyle w:val="Footer"/>
      </w:pPr>
      <w:r w:rsidRPr="00761FC0">
        <w:rPr>
          <w:rStyle w:val="FootnoteReference"/>
          <w:vertAlign w:val="baseline"/>
        </w:rPr>
        <w:footnoteRef/>
      </w:r>
      <w:r w:rsidRPr="00761FC0">
        <w:t xml:space="preserve"> Friedrich V. </w:t>
      </w:r>
      <w:proofErr w:type="spellStart"/>
      <w:r w:rsidRPr="00761FC0">
        <w:t>ch.</w:t>
      </w:r>
      <w:proofErr w:type="spellEnd"/>
      <w:r w:rsidRPr="00761FC0">
        <w:t xml:space="preserve"> Mutation: Somatic Mutation, Cancer, and Aging </w:t>
      </w:r>
      <w:r w:rsidRPr="00761FC0">
        <w:rPr>
          <w:i/>
        </w:rPr>
        <w:t>Human Genetics</w:t>
      </w:r>
      <w:r w:rsidRPr="00761FC0">
        <w:t>, 1997; pg</w:t>
      </w:r>
      <w:proofErr w:type="gramStart"/>
      <w:r w:rsidRPr="00761FC0">
        <w:t>:43</w:t>
      </w:r>
      <w:proofErr w:type="gramEnd"/>
      <w:r w:rsidRPr="00761FC0">
        <w:t xml:space="preserve"> -456.</w:t>
      </w:r>
    </w:p>
  </w:footnote>
  <w:footnote w:id="51">
    <w:p w:rsidR="00DA26F9" w:rsidRPr="00074D22" w:rsidRDefault="00DA26F9" w:rsidP="00074D22">
      <w:pPr>
        <w:pStyle w:val="Footer"/>
      </w:pPr>
      <w:r w:rsidRPr="00761FC0">
        <w:rPr>
          <w:rStyle w:val="FootnoteReference"/>
          <w:vertAlign w:val="baseline"/>
        </w:rPr>
        <w:footnoteRef/>
      </w:r>
      <w:r w:rsidRPr="00761FC0">
        <w:t xml:space="preserve"> American Thoracic Society Documents: An Official ATS/ERS/JRS/ALAT Statement: Idiopathic Pulmonary Fibrosis: Evidence-based Guidelines for Diagnosis and Management; </w:t>
      </w:r>
      <w:r w:rsidRPr="00761FC0">
        <w:rPr>
          <w:i/>
        </w:rPr>
        <w:t xml:space="preserve">Am J </w:t>
      </w:r>
      <w:proofErr w:type="spellStart"/>
      <w:r w:rsidRPr="00761FC0">
        <w:rPr>
          <w:i/>
        </w:rPr>
        <w:t>Respir</w:t>
      </w:r>
      <w:proofErr w:type="spellEnd"/>
      <w:r w:rsidRPr="00761FC0">
        <w:rPr>
          <w:i/>
        </w:rPr>
        <w:t xml:space="preserve"> </w:t>
      </w:r>
      <w:proofErr w:type="spellStart"/>
      <w:r w:rsidRPr="00761FC0">
        <w:rPr>
          <w:i/>
        </w:rPr>
        <w:t>Crit</w:t>
      </w:r>
      <w:proofErr w:type="spellEnd"/>
      <w:r w:rsidRPr="00761FC0">
        <w:rPr>
          <w:i/>
        </w:rPr>
        <w:t xml:space="preserve"> Care Med</w:t>
      </w:r>
      <w:r w:rsidRPr="00761FC0">
        <w:t xml:space="preserve"> </w:t>
      </w:r>
      <w:r>
        <w:t>2011; Vol 183. pp 788–824</w:t>
      </w:r>
    </w:p>
  </w:footnote>
  <w:footnote w:id="52">
    <w:p w:rsidR="00DA26F9" w:rsidRPr="00074D22" w:rsidRDefault="00DA26F9" w:rsidP="00074D22">
      <w:pPr>
        <w:pStyle w:val="Footer"/>
      </w:pPr>
      <w:r w:rsidRPr="00761FC0">
        <w:rPr>
          <w:rStyle w:val="FootnoteReference"/>
          <w:vertAlign w:val="baseline"/>
        </w:rPr>
        <w:footnoteRef/>
      </w:r>
      <w:r w:rsidRPr="00761FC0">
        <w:t xml:space="preserve"> Talmadge E et al. Idiopathic pulmonary fibrosis;</w:t>
      </w:r>
      <w:r>
        <w:t xml:space="preserve"> </w:t>
      </w:r>
      <w:r w:rsidRPr="00761FC0">
        <w:rPr>
          <w:i/>
        </w:rPr>
        <w:t>Lancet</w:t>
      </w:r>
      <w:r w:rsidRPr="00761FC0">
        <w:t xml:space="preserve"> 2011; 378:</w:t>
      </w:r>
      <w:r>
        <w:t>9807</w:t>
      </w:r>
      <w:r w:rsidRPr="00761FC0">
        <w:t xml:space="preserve"> pg. 1949–61</w:t>
      </w:r>
    </w:p>
  </w:footnote>
  <w:footnote w:id="53">
    <w:p w:rsidR="00DA26F9" w:rsidRPr="00074D22" w:rsidRDefault="00DA26F9" w:rsidP="00074D22">
      <w:pPr>
        <w:pStyle w:val="Footer"/>
      </w:pPr>
      <w:r w:rsidRPr="00074D22">
        <w:rPr>
          <w:rStyle w:val="FootnoteReference"/>
          <w:vertAlign w:val="baseline"/>
        </w:rPr>
        <w:footnoteRef/>
      </w:r>
      <w:r w:rsidRPr="00074D22">
        <w:t xml:space="preserve"> </w:t>
      </w:r>
      <w:proofErr w:type="spellStart"/>
      <w:r w:rsidRPr="00074D22">
        <w:t>Srikumar</w:t>
      </w:r>
      <w:proofErr w:type="spellEnd"/>
      <w:r w:rsidRPr="00074D22">
        <w:t xml:space="preserve"> </w:t>
      </w:r>
      <w:r>
        <w:t>M et al.</w:t>
      </w:r>
      <w:r w:rsidRPr="00074D22">
        <w:t xml:space="preserve"> Outcome of patients with idiopathic pulmonary fibrosis (IPF) ventilated in intensive care unit; </w:t>
      </w:r>
      <w:r w:rsidRPr="006A293A">
        <w:rPr>
          <w:i/>
        </w:rPr>
        <w:t>Respiratory Medicine</w:t>
      </w:r>
      <w:r w:rsidRPr="00074D22">
        <w:t xml:space="preserve"> </w:t>
      </w:r>
      <w:r>
        <w:t>2008; 102: 1355–</w:t>
      </w:r>
      <w:r w:rsidRPr="00074D22">
        <w:t>59</w:t>
      </w:r>
    </w:p>
  </w:footnote>
  <w:footnote w:id="54">
    <w:p w:rsidR="00DA26F9" w:rsidRPr="00074D22" w:rsidRDefault="00DA26F9" w:rsidP="00074D22">
      <w:pPr>
        <w:pStyle w:val="Footer"/>
      </w:pPr>
      <w:r w:rsidRPr="00074D22">
        <w:rPr>
          <w:rStyle w:val="FootnoteReference"/>
          <w:vertAlign w:val="baseline"/>
        </w:rPr>
        <w:footnoteRef/>
      </w:r>
      <w:r w:rsidRPr="00074D22">
        <w:t xml:space="preserve"> </w:t>
      </w:r>
      <w:proofErr w:type="gramStart"/>
      <w:r w:rsidRPr="00074D22">
        <w:t xml:space="preserve">Dong </w:t>
      </w:r>
      <w:r>
        <w:t xml:space="preserve">K et al. </w:t>
      </w:r>
      <w:r w:rsidRPr="00074D22">
        <w:t xml:space="preserve">Classification and Natural History of the Idiopathic Interstitial Pneumonias; </w:t>
      </w:r>
      <w:r w:rsidRPr="006A293A">
        <w:rPr>
          <w:i/>
        </w:rPr>
        <w:t xml:space="preserve">Proc Am </w:t>
      </w:r>
      <w:proofErr w:type="spellStart"/>
      <w:r w:rsidRPr="006A293A">
        <w:rPr>
          <w:i/>
        </w:rPr>
        <w:t>Thorac</w:t>
      </w:r>
      <w:proofErr w:type="spellEnd"/>
      <w:r w:rsidRPr="006A293A">
        <w:rPr>
          <w:i/>
        </w:rPr>
        <w:t xml:space="preserve"> </w:t>
      </w:r>
      <w:proofErr w:type="spellStart"/>
      <w:r w:rsidRPr="006A293A">
        <w:rPr>
          <w:i/>
        </w:rPr>
        <w:t>Soc</w:t>
      </w:r>
      <w:proofErr w:type="spellEnd"/>
      <w:r>
        <w:t xml:space="preserve"> 2006; 3: 285–292.</w:t>
      </w:r>
      <w:proofErr w:type="gramEnd"/>
    </w:p>
  </w:footnote>
  <w:footnote w:id="55">
    <w:p w:rsidR="00DA26F9" w:rsidRPr="00074D22" w:rsidRDefault="00DA26F9" w:rsidP="00074D22">
      <w:pPr>
        <w:pStyle w:val="Footer"/>
      </w:pPr>
      <w:r w:rsidRPr="00074D22">
        <w:rPr>
          <w:rStyle w:val="FootnoteReference"/>
          <w:vertAlign w:val="baseline"/>
        </w:rPr>
        <w:footnoteRef/>
      </w:r>
      <w:r>
        <w:t xml:space="preserve"> </w:t>
      </w:r>
      <w:proofErr w:type="spellStart"/>
      <w:r w:rsidRPr="00074D22">
        <w:t>Berges</w:t>
      </w:r>
      <w:proofErr w:type="spellEnd"/>
      <w:r>
        <w:t xml:space="preserve"> R et al.</w:t>
      </w:r>
      <w:r w:rsidRPr="00074D22">
        <w:t xml:space="preserve"> Implication of cell kinetic changes during the progression of human prostatic cancer ; </w:t>
      </w:r>
      <w:r w:rsidRPr="006A293A">
        <w:rPr>
          <w:i/>
        </w:rPr>
        <w:t>Clinical Cancer</w:t>
      </w:r>
      <w:r>
        <w:t>, 1995</w:t>
      </w:r>
    </w:p>
  </w:footnote>
  <w:footnote w:id="56">
    <w:p w:rsidR="00DA26F9" w:rsidRPr="00074D22" w:rsidRDefault="00DA26F9" w:rsidP="00074D22">
      <w:pPr>
        <w:pStyle w:val="FootnoteText"/>
      </w:pPr>
      <w:r>
        <w:rPr>
          <w:rStyle w:val="FootnoteReference"/>
        </w:rPr>
        <w:footnoteRef/>
      </w:r>
      <w:r>
        <w:t xml:space="preserve"> </w:t>
      </w:r>
      <w:proofErr w:type="gramStart"/>
      <w:r>
        <w:t xml:space="preserve">Loeb L et al. Multiple mutations and cancer; </w:t>
      </w:r>
      <w:r w:rsidRPr="006A293A">
        <w:rPr>
          <w:i/>
        </w:rPr>
        <w:t>PNAS</w:t>
      </w:r>
      <w:r>
        <w:t>.</w:t>
      </w:r>
      <w:proofErr w:type="gramEnd"/>
      <w:r>
        <w:t xml:space="preserve"> 2003; 100:3 pg. 776–781</w:t>
      </w:r>
    </w:p>
  </w:footnote>
  <w:footnote w:id="57">
    <w:p w:rsidR="00DA26F9" w:rsidRPr="00D252CA" w:rsidRDefault="00DA26F9" w:rsidP="00D252CA">
      <w:pPr>
        <w:pStyle w:val="FootnoteText"/>
      </w:pPr>
      <w:r>
        <w:rPr>
          <w:rStyle w:val="FootnoteReference"/>
        </w:rPr>
        <w:footnoteRef/>
      </w:r>
      <w:r>
        <w:t xml:space="preserve"> </w:t>
      </w:r>
      <w:proofErr w:type="spellStart"/>
      <w:r>
        <w:t>Morson</w:t>
      </w:r>
      <w:proofErr w:type="spellEnd"/>
      <w:r>
        <w:t xml:space="preserve"> B et al. The Polyp cancer Sequence in the </w:t>
      </w:r>
      <w:r w:rsidRPr="006A293A">
        <w:rPr>
          <w:i/>
        </w:rPr>
        <w:t xml:space="preserve">Large </w:t>
      </w:r>
      <w:proofErr w:type="spellStart"/>
      <w:r w:rsidRPr="006A293A">
        <w:rPr>
          <w:i/>
        </w:rPr>
        <w:t>Bowel;Proc</w:t>
      </w:r>
      <w:proofErr w:type="spellEnd"/>
      <w:r w:rsidRPr="006A293A">
        <w:rPr>
          <w:i/>
        </w:rPr>
        <w:t xml:space="preserve"> R </w:t>
      </w:r>
      <w:proofErr w:type="spellStart"/>
      <w:r w:rsidRPr="006A293A">
        <w:rPr>
          <w:i/>
        </w:rPr>
        <w:t>Soc</w:t>
      </w:r>
      <w:proofErr w:type="spellEnd"/>
      <w:r w:rsidRPr="006A293A">
        <w:rPr>
          <w:i/>
        </w:rPr>
        <w:t xml:space="preserve"> Med</w:t>
      </w:r>
      <w:r>
        <w:t>. 1974; 67: 451–457</w:t>
      </w:r>
    </w:p>
  </w:footnote>
  <w:footnote w:id="58">
    <w:p w:rsidR="00DA26F9" w:rsidRPr="00D252CA" w:rsidRDefault="00DA26F9" w:rsidP="00D252CA">
      <w:pPr>
        <w:pStyle w:val="FootnoteText"/>
      </w:pPr>
      <w:r w:rsidRPr="00377431">
        <w:rPr>
          <w:rStyle w:val="FootnoteReference"/>
        </w:rPr>
        <w:footnoteRef/>
      </w:r>
      <w:r w:rsidRPr="00377431">
        <w:t xml:space="preserve"> </w:t>
      </w:r>
      <w:proofErr w:type="spellStart"/>
      <w:r w:rsidRPr="00377431">
        <w:t>Salomaa</w:t>
      </w:r>
      <w:proofErr w:type="spellEnd"/>
      <w:r w:rsidRPr="00377431">
        <w:t xml:space="preserve"> E et al. Delays in the Diagnosis and Treatment of Lung Cancer; Clinical Investigations: lung cancer </w:t>
      </w:r>
      <w:r w:rsidRPr="00377431">
        <w:rPr>
          <w:i/>
        </w:rPr>
        <w:t>Chest.</w:t>
      </w:r>
      <w:r w:rsidRPr="00377431">
        <w:t xml:space="preserve"> 2005; 128,4: </w:t>
      </w:r>
      <w:proofErr w:type="spellStart"/>
      <w:r w:rsidRPr="00377431">
        <w:t>pg</w:t>
      </w:r>
      <w:proofErr w:type="spellEnd"/>
      <w:r w:rsidRPr="00377431">
        <w:t xml:space="preserve"> 2282-2288</w:t>
      </w:r>
    </w:p>
  </w:footnote>
  <w:footnote w:id="59">
    <w:p w:rsidR="00DA26F9" w:rsidRPr="00D252CA" w:rsidRDefault="00DA26F9" w:rsidP="00D252CA">
      <w:pPr>
        <w:pStyle w:val="FootnoteText"/>
      </w:pPr>
      <w:r>
        <w:rPr>
          <w:rStyle w:val="FootnoteReference"/>
        </w:rPr>
        <w:footnoteRef/>
      </w:r>
      <w:r>
        <w:t xml:space="preserve"> </w:t>
      </w:r>
      <w:proofErr w:type="spellStart"/>
      <w:r>
        <w:t>McCance</w:t>
      </w:r>
      <w:proofErr w:type="spellEnd"/>
      <w:r>
        <w:t xml:space="preserve"> et al. Pathophysiology The Biologic Basis for Disease in Adults and Children, Mosley, Third Edition</w:t>
      </w:r>
    </w:p>
  </w:footnote>
  <w:footnote w:id="60">
    <w:p w:rsidR="00DA26F9" w:rsidRPr="00D252CA" w:rsidRDefault="00DA26F9" w:rsidP="00D252CA">
      <w:pPr>
        <w:pStyle w:val="FootnoteText"/>
      </w:pPr>
      <w:r>
        <w:rPr>
          <w:rStyle w:val="FootnoteReference"/>
        </w:rPr>
        <w:footnoteRef/>
      </w:r>
      <w:r>
        <w:t xml:space="preserve"> Wernicke et al. </w:t>
      </w:r>
      <w:proofErr w:type="gramStart"/>
      <w:r>
        <w:t>Detecting</w:t>
      </w:r>
      <w:proofErr w:type="gramEnd"/>
      <w:r>
        <w:t xml:space="preserve"> treatment emergent adverse events in clinical trials: a comparison of spontaneously reported and solicited collection methods</w:t>
      </w:r>
      <w:r w:rsidRPr="006A293A">
        <w:rPr>
          <w:i/>
        </w:rPr>
        <w:t xml:space="preserve">. </w:t>
      </w:r>
      <w:proofErr w:type="gramStart"/>
      <w:r w:rsidRPr="006A293A">
        <w:rPr>
          <w:i/>
        </w:rPr>
        <w:t xml:space="preserve">Drug </w:t>
      </w:r>
      <w:proofErr w:type="spellStart"/>
      <w:r w:rsidRPr="006A293A">
        <w:rPr>
          <w:i/>
        </w:rPr>
        <w:t>Saf</w:t>
      </w:r>
      <w:proofErr w:type="spellEnd"/>
      <w:r w:rsidRPr="006A293A">
        <w:rPr>
          <w:i/>
        </w:rPr>
        <w:t>.</w:t>
      </w:r>
      <w:proofErr w:type="gramEnd"/>
      <w:r>
        <w:t xml:space="preserve"> 2005</w:t>
      </w:r>
      <w:proofErr w:type="gramStart"/>
      <w:r>
        <w:t>;28:1057</w:t>
      </w:r>
      <w:proofErr w:type="gramEnd"/>
      <w:r>
        <w:t>-1063.</w:t>
      </w:r>
    </w:p>
  </w:footnote>
  <w:footnote w:id="61">
    <w:p w:rsidR="00DA26F9" w:rsidRPr="00D252CA" w:rsidRDefault="00DA26F9" w:rsidP="00D252CA">
      <w:pPr>
        <w:pStyle w:val="FootnoteText"/>
      </w:pPr>
      <w:r>
        <w:rPr>
          <w:rStyle w:val="FootnoteReference"/>
        </w:rPr>
        <w:footnoteRef/>
      </w:r>
      <w:r>
        <w:t xml:space="preserve"> Hazell L et al. Under-reporting of adverse drug reactions: a systematic review</w:t>
      </w:r>
      <w:r w:rsidRPr="001D0B43">
        <w:rPr>
          <w:i/>
        </w:rPr>
        <w:t xml:space="preserve">. </w:t>
      </w:r>
      <w:proofErr w:type="gramStart"/>
      <w:r w:rsidRPr="001D0B43">
        <w:rPr>
          <w:i/>
        </w:rPr>
        <w:t xml:space="preserve">Drug </w:t>
      </w:r>
      <w:proofErr w:type="spellStart"/>
      <w:r w:rsidRPr="001D0B43">
        <w:rPr>
          <w:i/>
        </w:rPr>
        <w:t>Saf</w:t>
      </w:r>
      <w:proofErr w:type="spellEnd"/>
      <w:r>
        <w:t>.</w:t>
      </w:r>
      <w:proofErr w:type="gramEnd"/>
      <w:r>
        <w:t xml:space="preserve"> </w:t>
      </w:r>
      <w:proofErr w:type="gramStart"/>
      <w:r>
        <w:t>2006; 29: 385-396.</w:t>
      </w:r>
      <w:proofErr w:type="gramEnd"/>
    </w:p>
  </w:footnote>
  <w:footnote w:id="62">
    <w:p w:rsidR="00DA26F9" w:rsidRPr="00D252CA" w:rsidRDefault="00DA26F9" w:rsidP="00D252CA">
      <w:pPr>
        <w:pStyle w:val="FootnoteText"/>
      </w:pPr>
      <w:r>
        <w:rPr>
          <w:rStyle w:val="FootnoteReference"/>
        </w:rPr>
        <w:footnoteRef/>
      </w:r>
      <w:r>
        <w:t xml:space="preserve"> Katerina M et al. Idiopathic pulmonary fibrosis and lung cancer: a clinical and pathogenesis update. </w:t>
      </w:r>
      <w:proofErr w:type="spellStart"/>
      <w:r w:rsidRPr="001D0B43">
        <w:rPr>
          <w:i/>
        </w:rPr>
        <w:t>Curr</w:t>
      </w:r>
      <w:proofErr w:type="spellEnd"/>
      <w:r w:rsidRPr="001D0B43">
        <w:rPr>
          <w:i/>
        </w:rPr>
        <w:t xml:space="preserve"> </w:t>
      </w:r>
      <w:proofErr w:type="spellStart"/>
      <w:r w:rsidRPr="001D0B43">
        <w:rPr>
          <w:i/>
        </w:rPr>
        <w:t>Opin</w:t>
      </w:r>
      <w:proofErr w:type="spellEnd"/>
      <w:r w:rsidRPr="001D0B43">
        <w:rPr>
          <w:i/>
        </w:rPr>
        <w:t xml:space="preserve"> </w:t>
      </w:r>
      <w:proofErr w:type="spellStart"/>
      <w:r w:rsidRPr="001D0B43">
        <w:rPr>
          <w:i/>
        </w:rPr>
        <w:t>Pulm</w:t>
      </w:r>
      <w:proofErr w:type="spellEnd"/>
      <w:r w:rsidRPr="001D0B43">
        <w:rPr>
          <w:i/>
        </w:rPr>
        <w:t xml:space="preserve"> Med</w:t>
      </w:r>
      <w:r>
        <w:t xml:space="preserve"> 2015; 21:626–633.</w:t>
      </w:r>
    </w:p>
  </w:footnote>
  <w:footnote w:id="63">
    <w:p w:rsidR="00DA26F9" w:rsidRPr="00D252CA" w:rsidRDefault="00DA26F9" w:rsidP="00D252CA">
      <w:pPr>
        <w:pStyle w:val="FootnoteText"/>
      </w:pPr>
      <w:r>
        <w:rPr>
          <w:rStyle w:val="FootnoteReference"/>
        </w:rPr>
        <w:footnoteRef/>
      </w:r>
      <w:r>
        <w:t xml:space="preserve"> </w:t>
      </w:r>
      <w:proofErr w:type="gramStart"/>
      <w:r>
        <w:t xml:space="preserve">Le </w:t>
      </w:r>
      <w:proofErr w:type="spellStart"/>
      <w:r>
        <w:t>Jeune</w:t>
      </w:r>
      <w:proofErr w:type="spellEnd"/>
      <w:r>
        <w:t xml:space="preserve"> A et al.</w:t>
      </w:r>
      <w:proofErr w:type="gramEnd"/>
      <w:r>
        <w:t xml:space="preserve"> </w:t>
      </w:r>
      <w:proofErr w:type="gramStart"/>
      <w:r>
        <w:t>The incidence of cancer in patients with idiopathic pulmonary fibrosis and sarcoidosis in the UK.</w:t>
      </w:r>
      <w:proofErr w:type="gramEnd"/>
      <w:r>
        <w:t xml:space="preserve"> </w:t>
      </w:r>
      <w:r w:rsidRPr="001D0B43">
        <w:rPr>
          <w:i/>
        </w:rPr>
        <w:t>Respiratory Medicine</w:t>
      </w:r>
      <w:r>
        <w:t xml:space="preserve"> 2007; 101: 2534–2540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6F9" w:rsidRDefault="00DA26F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6F9" w:rsidRDefault="00DA26F9">
    <w:pPr>
      <w:rPr>
        <w:noProof/>
        <w:lang w:eastAsia="en-AU"/>
      </w:rPr>
    </w:pPr>
    <w:r w:rsidRPr="00347824">
      <w:rPr>
        <w:noProof/>
        <w:lang w:eastAsia="en-AU"/>
      </w:rPr>
      <w:drawing>
        <wp:anchor distT="0" distB="0" distL="114300" distR="114300" simplePos="0" relativeHeight="251659264" behindDoc="1" locked="0" layoutInCell="1" allowOverlap="1" wp14:anchorId="7ED9F9D0" wp14:editId="0B51929B">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DA26F9" w:rsidRDefault="00DA26F9" w:rsidP="00593AD1">
    <w:pPr>
      <w:pStyle w:val="HeaderNoLine"/>
    </w:pPr>
    <w:r>
      <w:rPr>
        <w:noProof/>
        <w:lang w:eastAsia="en-AU"/>
      </w:rPr>
      <w:drawing>
        <wp:inline distT="0" distB="0" distL="0" distR="0" wp14:anchorId="53720951" wp14:editId="58DC4D6E">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6F9" w:rsidRDefault="00DA26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6F9" w:rsidRDefault="00DA26F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6F9" w:rsidRDefault="00DA26F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6F9" w:rsidRDefault="00DA26F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6F9" w:rsidRDefault="00DA26F9"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6F9" w:rsidRDefault="00DA26F9" w:rsidP="006E08B3">
    <w:r>
      <w:t>Therapeutic Goods Administration</w:t>
    </w:r>
  </w:p>
  <w:p w:rsidR="00DA26F9" w:rsidRDefault="00DA26F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2B301C82"/>
    <w:multiLevelType w:val="hybridMultilevel"/>
    <w:tmpl w:val="73E80B5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608"/>
    <w:rsid w:val="00001D2E"/>
    <w:rsid w:val="00002031"/>
    <w:rsid w:val="00004734"/>
    <w:rsid w:val="00005678"/>
    <w:rsid w:val="00006B22"/>
    <w:rsid w:val="0001276A"/>
    <w:rsid w:val="000168E8"/>
    <w:rsid w:val="00021EA5"/>
    <w:rsid w:val="000237C0"/>
    <w:rsid w:val="000246AE"/>
    <w:rsid w:val="000255BA"/>
    <w:rsid w:val="00025C67"/>
    <w:rsid w:val="00025FB3"/>
    <w:rsid w:val="0004358A"/>
    <w:rsid w:val="00044772"/>
    <w:rsid w:val="00045F10"/>
    <w:rsid w:val="00052550"/>
    <w:rsid w:val="0005559E"/>
    <w:rsid w:val="000604D6"/>
    <w:rsid w:val="00062AE4"/>
    <w:rsid w:val="000734D8"/>
    <w:rsid w:val="00074D22"/>
    <w:rsid w:val="00077160"/>
    <w:rsid w:val="00077775"/>
    <w:rsid w:val="00085A20"/>
    <w:rsid w:val="00090471"/>
    <w:rsid w:val="00096AA7"/>
    <w:rsid w:val="000A3AED"/>
    <w:rsid w:val="000A41E7"/>
    <w:rsid w:val="000B3532"/>
    <w:rsid w:val="000B3644"/>
    <w:rsid w:val="000B3A75"/>
    <w:rsid w:val="000C00C2"/>
    <w:rsid w:val="000C690F"/>
    <w:rsid w:val="000D1295"/>
    <w:rsid w:val="000D391B"/>
    <w:rsid w:val="000D3D6D"/>
    <w:rsid w:val="000D4FC7"/>
    <w:rsid w:val="000D6CE8"/>
    <w:rsid w:val="000E6196"/>
    <w:rsid w:val="000F3405"/>
    <w:rsid w:val="000F4869"/>
    <w:rsid w:val="000F53E7"/>
    <w:rsid w:val="000F5B42"/>
    <w:rsid w:val="000F6E6F"/>
    <w:rsid w:val="000F783A"/>
    <w:rsid w:val="0010601F"/>
    <w:rsid w:val="0010788A"/>
    <w:rsid w:val="00107A31"/>
    <w:rsid w:val="001101A5"/>
    <w:rsid w:val="00110EA5"/>
    <w:rsid w:val="00111F25"/>
    <w:rsid w:val="00112F56"/>
    <w:rsid w:val="00114CAF"/>
    <w:rsid w:val="00125318"/>
    <w:rsid w:val="001269B2"/>
    <w:rsid w:val="0012722E"/>
    <w:rsid w:val="001305A2"/>
    <w:rsid w:val="00133238"/>
    <w:rsid w:val="00133A1B"/>
    <w:rsid w:val="0014197B"/>
    <w:rsid w:val="001447CD"/>
    <w:rsid w:val="001516B1"/>
    <w:rsid w:val="00152361"/>
    <w:rsid w:val="00154EBB"/>
    <w:rsid w:val="00156316"/>
    <w:rsid w:val="00156B9F"/>
    <w:rsid w:val="00161181"/>
    <w:rsid w:val="00162D14"/>
    <w:rsid w:val="00165389"/>
    <w:rsid w:val="0017693F"/>
    <w:rsid w:val="0018110E"/>
    <w:rsid w:val="00181684"/>
    <w:rsid w:val="001843C6"/>
    <w:rsid w:val="001850E0"/>
    <w:rsid w:val="001A2158"/>
    <w:rsid w:val="001A525F"/>
    <w:rsid w:val="001B09F9"/>
    <w:rsid w:val="001B5C90"/>
    <w:rsid w:val="001B6448"/>
    <w:rsid w:val="001B79FF"/>
    <w:rsid w:val="001C15A9"/>
    <w:rsid w:val="001C32CD"/>
    <w:rsid w:val="001D0B43"/>
    <w:rsid w:val="001D2984"/>
    <w:rsid w:val="001E07CF"/>
    <w:rsid w:val="001E59F1"/>
    <w:rsid w:val="001E5EE3"/>
    <w:rsid w:val="001F2CEE"/>
    <w:rsid w:val="001F47B6"/>
    <w:rsid w:val="001F49EB"/>
    <w:rsid w:val="001F6CBA"/>
    <w:rsid w:val="00201D4E"/>
    <w:rsid w:val="002061E0"/>
    <w:rsid w:val="002076C9"/>
    <w:rsid w:val="00215026"/>
    <w:rsid w:val="002152D1"/>
    <w:rsid w:val="00220B8A"/>
    <w:rsid w:val="0022519B"/>
    <w:rsid w:val="002257F3"/>
    <w:rsid w:val="00226C55"/>
    <w:rsid w:val="002331BA"/>
    <w:rsid w:val="00233456"/>
    <w:rsid w:val="002339A5"/>
    <w:rsid w:val="00255928"/>
    <w:rsid w:val="00257848"/>
    <w:rsid w:val="00263CA5"/>
    <w:rsid w:val="00263F29"/>
    <w:rsid w:val="0027084A"/>
    <w:rsid w:val="00270A99"/>
    <w:rsid w:val="00271F1A"/>
    <w:rsid w:val="00273A3F"/>
    <w:rsid w:val="00275A83"/>
    <w:rsid w:val="00286434"/>
    <w:rsid w:val="00286C59"/>
    <w:rsid w:val="00291957"/>
    <w:rsid w:val="002934D5"/>
    <w:rsid w:val="002942D1"/>
    <w:rsid w:val="0029501A"/>
    <w:rsid w:val="002A3721"/>
    <w:rsid w:val="002A6201"/>
    <w:rsid w:val="002B1638"/>
    <w:rsid w:val="002B3624"/>
    <w:rsid w:val="002C3796"/>
    <w:rsid w:val="002C7E0F"/>
    <w:rsid w:val="002D0952"/>
    <w:rsid w:val="002D3985"/>
    <w:rsid w:val="002E40B3"/>
    <w:rsid w:val="002E4C9A"/>
    <w:rsid w:val="002F11F8"/>
    <w:rsid w:val="002F3F56"/>
    <w:rsid w:val="002F44B5"/>
    <w:rsid w:val="00303768"/>
    <w:rsid w:val="00304514"/>
    <w:rsid w:val="00311AC0"/>
    <w:rsid w:val="00313290"/>
    <w:rsid w:val="003176FC"/>
    <w:rsid w:val="0032583B"/>
    <w:rsid w:val="00327883"/>
    <w:rsid w:val="0033494A"/>
    <w:rsid w:val="00335504"/>
    <w:rsid w:val="00340360"/>
    <w:rsid w:val="00340608"/>
    <w:rsid w:val="00340C18"/>
    <w:rsid w:val="003442FD"/>
    <w:rsid w:val="00347824"/>
    <w:rsid w:val="00350567"/>
    <w:rsid w:val="003521E8"/>
    <w:rsid w:val="00353A17"/>
    <w:rsid w:val="003548DC"/>
    <w:rsid w:val="003706DB"/>
    <w:rsid w:val="00370CE3"/>
    <w:rsid w:val="003728F3"/>
    <w:rsid w:val="0037496E"/>
    <w:rsid w:val="00377431"/>
    <w:rsid w:val="00381256"/>
    <w:rsid w:val="00383221"/>
    <w:rsid w:val="00383375"/>
    <w:rsid w:val="003851AE"/>
    <w:rsid w:val="00386150"/>
    <w:rsid w:val="003874CE"/>
    <w:rsid w:val="00390900"/>
    <w:rsid w:val="003A3D88"/>
    <w:rsid w:val="003A4870"/>
    <w:rsid w:val="003A7F6C"/>
    <w:rsid w:val="003B0AD8"/>
    <w:rsid w:val="003B3F98"/>
    <w:rsid w:val="003B4D60"/>
    <w:rsid w:val="003B7E39"/>
    <w:rsid w:val="003C188E"/>
    <w:rsid w:val="003C58DC"/>
    <w:rsid w:val="003D1E62"/>
    <w:rsid w:val="003E0B99"/>
    <w:rsid w:val="003E2486"/>
    <w:rsid w:val="003E3208"/>
    <w:rsid w:val="003E7220"/>
    <w:rsid w:val="003F0B04"/>
    <w:rsid w:val="003F2BD9"/>
    <w:rsid w:val="0040134E"/>
    <w:rsid w:val="004216AF"/>
    <w:rsid w:val="004236DA"/>
    <w:rsid w:val="004334C7"/>
    <w:rsid w:val="004378F2"/>
    <w:rsid w:val="004407CB"/>
    <w:rsid w:val="00440A2D"/>
    <w:rsid w:val="00441C3F"/>
    <w:rsid w:val="00441F6B"/>
    <w:rsid w:val="00443C9A"/>
    <w:rsid w:val="00445B4E"/>
    <w:rsid w:val="004500A7"/>
    <w:rsid w:val="004564A7"/>
    <w:rsid w:val="004617BF"/>
    <w:rsid w:val="00463658"/>
    <w:rsid w:val="004637A0"/>
    <w:rsid w:val="00471255"/>
    <w:rsid w:val="00471801"/>
    <w:rsid w:val="004722CC"/>
    <w:rsid w:val="00484FC4"/>
    <w:rsid w:val="00485A90"/>
    <w:rsid w:val="00492A3D"/>
    <w:rsid w:val="004936E4"/>
    <w:rsid w:val="00494E60"/>
    <w:rsid w:val="00497487"/>
    <w:rsid w:val="004A4AB1"/>
    <w:rsid w:val="004A4F71"/>
    <w:rsid w:val="004A6189"/>
    <w:rsid w:val="004A630C"/>
    <w:rsid w:val="004A7390"/>
    <w:rsid w:val="004B4DD3"/>
    <w:rsid w:val="004B7B76"/>
    <w:rsid w:val="004C239D"/>
    <w:rsid w:val="004C2D53"/>
    <w:rsid w:val="004C2DCA"/>
    <w:rsid w:val="004C61D2"/>
    <w:rsid w:val="004D03B1"/>
    <w:rsid w:val="004D472C"/>
    <w:rsid w:val="004E0886"/>
    <w:rsid w:val="004E2F28"/>
    <w:rsid w:val="004F0C4A"/>
    <w:rsid w:val="004F0F38"/>
    <w:rsid w:val="004F2DC6"/>
    <w:rsid w:val="004F47D6"/>
    <w:rsid w:val="00501921"/>
    <w:rsid w:val="00512591"/>
    <w:rsid w:val="005246D6"/>
    <w:rsid w:val="00525F30"/>
    <w:rsid w:val="00526DBA"/>
    <w:rsid w:val="00530354"/>
    <w:rsid w:val="0053625B"/>
    <w:rsid w:val="005371B8"/>
    <w:rsid w:val="00537D26"/>
    <w:rsid w:val="00542BF5"/>
    <w:rsid w:val="005434C6"/>
    <w:rsid w:val="00543B39"/>
    <w:rsid w:val="00546154"/>
    <w:rsid w:val="005473B1"/>
    <w:rsid w:val="00550096"/>
    <w:rsid w:val="00552AC7"/>
    <w:rsid w:val="00555280"/>
    <w:rsid w:val="00557FF9"/>
    <w:rsid w:val="00562327"/>
    <w:rsid w:val="005711D5"/>
    <w:rsid w:val="00572E5A"/>
    <w:rsid w:val="00576378"/>
    <w:rsid w:val="00577130"/>
    <w:rsid w:val="00577945"/>
    <w:rsid w:val="00577E38"/>
    <w:rsid w:val="005842D3"/>
    <w:rsid w:val="00585322"/>
    <w:rsid w:val="005857C6"/>
    <w:rsid w:val="00585C2F"/>
    <w:rsid w:val="00592F6E"/>
    <w:rsid w:val="00593AD1"/>
    <w:rsid w:val="005A68B6"/>
    <w:rsid w:val="005B1049"/>
    <w:rsid w:val="005C0ECA"/>
    <w:rsid w:val="005C2815"/>
    <w:rsid w:val="005C4FA3"/>
    <w:rsid w:val="005C5570"/>
    <w:rsid w:val="005C79A4"/>
    <w:rsid w:val="005D0687"/>
    <w:rsid w:val="005D5442"/>
    <w:rsid w:val="005E0687"/>
    <w:rsid w:val="005F31D6"/>
    <w:rsid w:val="005F3751"/>
    <w:rsid w:val="005F7E14"/>
    <w:rsid w:val="00603F32"/>
    <w:rsid w:val="00605AD4"/>
    <w:rsid w:val="006132A2"/>
    <w:rsid w:val="0062097E"/>
    <w:rsid w:val="00622087"/>
    <w:rsid w:val="00625A6E"/>
    <w:rsid w:val="00632398"/>
    <w:rsid w:val="00640FC3"/>
    <w:rsid w:val="00642020"/>
    <w:rsid w:val="00644E77"/>
    <w:rsid w:val="006512A9"/>
    <w:rsid w:val="0065337B"/>
    <w:rsid w:val="0065419D"/>
    <w:rsid w:val="006604D8"/>
    <w:rsid w:val="006623E5"/>
    <w:rsid w:val="00664A5B"/>
    <w:rsid w:val="006653F8"/>
    <w:rsid w:val="0066735C"/>
    <w:rsid w:val="006763D2"/>
    <w:rsid w:val="00680C08"/>
    <w:rsid w:val="00681DD9"/>
    <w:rsid w:val="006846A7"/>
    <w:rsid w:val="00687E0D"/>
    <w:rsid w:val="0069137B"/>
    <w:rsid w:val="006916A0"/>
    <w:rsid w:val="006931B1"/>
    <w:rsid w:val="00695DFC"/>
    <w:rsid w:val="006967FD"/>
    <w:rsid w:val="006A15C0"/>
    <w:rsid w:val="006A293A"/>
    <w:rsid w:val="006B0746"/>
    <w:rsid w:val="006B1185"/>
    <w:rsid w:val="006B4B77"/>
    <w:rsid w:val="006B7B4C"/>
    <w:rsid w:val="006C3E2A"/>
    <w:rsid w:val="006C4B0C"/>
    <w:rsid w:val="006C642F"/>
    <w:rsid w:val="006D03E5"/>
    <w:rsid w:val="006D23D3"/>
    <w:rsid w:val="006D5266"/>
    <w:rsid w:val="006D5D3E"/>
    <w:rsid w:val="006E08B3"/>
    <w:rsid w:val="006E7E9F"/>
    <w:rsid w:val="006F17AC"/>
    <w:rsid w:val="006F25B8"/>
    <w:rsid w:val="006F572E"/>
    <w:rsid w:val="00702FA5"/>
    <w:rsid w:val="007046D6"/>
    <w:rsid w:val="00705DB0"/>
    <w:rsid w:val="0071523A"/>
    <w:rsid w:val="00722B57"/>
    <w:rsid w:val="0072798A"/>
    <w:rsid w:val="00730F8A"/>
    <w:rsid w:val="00733427"/>
    <w:rsid w:val="00735A8C"/>
    <w:rsid w:val="0074253D"/>
    <w:rsid w:val="00742AB1"/>
    <w:rsid w:val="00744158"/>
    <w:rsid w:val="0074429B"/>
    <w:rsid w:val="007514CF"/>
    <w:rsid w:val="00754336"/>
    <w:rsid w:val="007615BC"/>
    <w:rsid w:val="00761FC0"/>
    <w:rsid w:val="00762F05"/>
    <w:rsid w:val="007652FF"/>
    <w:rsid w:val="00770CAC"/>
    <w:rsid w:val="00770EF1"/>
    <w:rsid w:val="00773EF7"/>
    <w:rsid w:val="00774E1D"/>
    <w:rsid w:val="007765D8"/>
    <w:rsid w:val="0077675A"/>
    <w:rsid w:val="00780355"/>
    <w:rsid w:val="007819FD"/>
    <w:rsid w:val="00785717"/>
    <w:rsid w:val="00785721"/>
    <w:rsid w:val="007857E0"/>
    <w:rsid w:val="00793A59"/>
    <w:rsid w:val="007A22E8"/>
    <w:rsid w:val="007A31D9"/>
    <w:rsid w:val="007A6457"/>
    <w:rsid w:val="007B6132"/>
    <w:rsid w:val="007B6E9F"/>
    <w:rsid w:val="007B714C"/>
    <w:rsid w:val="007C1216"/>
    <w:rsid w:val="007C1AF7"/>
    <w:rsid w:val="007C24FF"/>
    <w:rsid w:val="007C6B9B"/>
    <w:rsid w:val="007F15A6"/>
    <w:rsid w:val="007F63CD"/>
    <w:rsid w:val="00805D27"/>
    <w:rsid w:val="00806DCB"/>
    <w:rsid w:val="00812C76"/>
    <w:rsid w:val="00821776"/>
    <w:rsid w:val="00824157"/>
    <w:rsid w:val="008321F5"/>
    <w:rsid w:val="00832369"/>
    <w:rsid w:val="00833BFE"/>
    <w:rsid w:val="00834660"/>
    <w:rsid w:val="00834C3C"/>
    <w:rsid w:val="00836BC2"/>
    <w:rsid w:val="00850676"/>
    <w:rsid w:val="0085156D"/>
    <w:rsid w:val="00853D44"/>
    <w:rsid w:val="0085641B"/>
    <w:rsid w:val="00857136"/>
    <w:rsid w:val="008724A7"/>
    <w:rsid w:val="0087496F"/>
    <w:rsid w:val="00875A6B"/>
    <w:rsid w:val="00876BB3"/>
    <w:rsid w:val="00882E3E"/>
    <w:rsid w:val="00885B11"/>
    <w:rsid w:val="00886D15"/>
    <w:rsid w:val="00887DD8"/>
    <w:rsid w:val="00891BA9"/>
    <w:rsid w:val="00895CA9"/>
    <w:rsid w:val="00896018"/>
    <w:rsid w:val="008960DD"/>
    <w:rsid w:val="0089635C"/>
    <w:rsid w:val="008A2B9D"/>
    <w:rsid w:val="008A3D9F"/>
    <w:rsid w:val="008A49CC"/>
    <w:rsid w:val="008A5E0B"/>
    <w:rsid w:val="008A6A9C"/>
    <w:rsid w:val="008A6D59"/>
    <w:rsid w:val="008B1AE4"/>
    <w:rsid w:val="008B4B03"/>
    <w:rsid w:val="008B596F"/>
    <w:rsid w:val="008C159F"/>
    <w:rsid w:val="008C1623"/>
    <w:rsid w:val="008C1834"/>
    <w:rsid w:val="008C1850"/>
    <w:rsid w:val="008C51A9"/>
    <w:rsid w:val="008E09AB"/>
    <w:rsid w:val="008E4A48"/>
    <w:rsid w:val="008E7846"/>
    <w:rsid w:val="008F0053"/>
    <w:rsid w:val="008F02E5"/>
    <w:rsid w:val="008F1CCC"/>
    <w:rsid w:val="008F2967"/>
    <w:rsid w:val="008F52C6"/>
    <w:rsid w:val="008F6943"/>
    <w:rsid w:val="00902A21"/>
    <w:rsid w:val="0091077F"/>
    <w:rsid w:val="00915A22"/>
    <w:rsid w:val="00920330"/>
    <w:rsid w:val="009219D7"/>
    <w:rsid w:val="00922D53"/>
    <w:rsid w:val="00923B70"/>
    <w:rsid w:val="00924482"/>
    <w:rsid w:val="00930237"/>
    <w:rsid w:val="00931383"/>
    <w:rsid w:val="00937C17"/>
    <w:rsid w:val="00940A89"/>
    <w:rsid w:val="009436C8"/>
    <w:rsid w:val="00946EA5"/>
    <w:rsid w:val="00953420"/>
    <w:rsid w:val="009549F8"/>
    <w:rsid w:val="009560E2"/>
    <w:rsid w:val="00963C08"/>
    <w:rsid w:val="009746F8"/>
    <w:rsid w:val="009752A5"/>
    <w:rsid w:val="009763E0"/>
    <w:rsid w:val="0098585A"/>
    <w:rsid w:val="00986F7A"/>
    <w:rsid w:val="00991B72"/>
    <w:rsid w:val="00996C0C"/>
    <w:rsid w:val="009A36CE"/>
    <w:rsid w:val="009A42D4"/>
    <w:rsid w:val="009A4CED"/>
    <w:rsid w:val="009A58FD"/>
    <w:rsid w:val="009A690D"/>
    <w:rsid w:val="009B1D12"/>
    <w:rsid w:val="009B416B"/>
    <w:rsid w:val="009C2AEB"/>
    <w:rsid w:val="009C37EE"/>
    <w:rsid w:val="009C4BD5"/>
    <w:rsid w:val="009D043D"/>
    <w:rsid w:val="009D7B77"/>
    <w:rsid w:val="009E0BB0"/>
    <w:rsid w:val="009E3FBB"/>
    <w:rsid w:val="009F1B71"/>
    <w:rsid w:val="009F34DD"/>
    <w:rsid w:val="009F47D6"/>
    <w:rsid w:val="009F7353"/>
    <w:rsid w:val="00A00482"/>
    <w:rsid w:val="00A00A00"/>
    <w:rsid w:val="00A01360"/>
    <w:rsid w:val="00A04F85"/>
    <w:rsid w:val="00A05FA4"/>
    <w:rsid w:val="00A102E4"/>
    <w:rsid w:val="00A12C42"/>
    <w:rsid w:val="00A136C5"/>
    <w:rsid w:val="00A14DF7"/>
    <w:rsid w:val="00A30B91"/>
    <w:rsid w:val="00A3246D"/>
    <w:rsid w:val="00A3525C"/>
    <w:rsid w:val="00A36FA7"/>
    <w:rsid w:val="00A37EBB"/>
    <w:rsid w:val="00A44DDB"/>
    <w:rsid w:val="00A475B7"/>
    <w:rsid w:val="00A47AF7"/>
    <w:rsid w:val="00A47C3E"/>
    <w:rsid w:val="00A50226"/>
    <w:rsid w:val="00A60BAD"/>
    <w:rsid w:val="00A65322"/>
    <w:rsid w:val="00A66186"/>
    <w:rsid w:val="00A708FC"/>
    <w:rsid w:val="00A75AB6"/>
    <w:rsid w:val="00A80B5B"/>
    <w:rsid w:val="00A83E46"/>
    <w:rsid w:val="00A84E36"/>
    <w:rsid w:val="00A94DD5"/>
    <w:rsid w:val="00A96408"/>
    <w:rsid w:val="00A964D1"/>
    <w:rsid w:val="00AA0ED0"/>
    <w:rsid w:val="00AA16A1"/>
    <w:rsid w:val="00AA3D40"/>
    <w:rsid w:val="00AB4CDB"/>
    <w:rsid w:val="00AC2B40"/>
    <w:rsid w:val="00AC2BB2"/>
    <w:rsid w:val="00AC2C3C"/>
    <w:rsid w:val="00AC512D"/>
    <w:rsid w:val="00AD0083"/>
    <w:rsid w:val="00AD112B"/>
    <w:rsid w:val="00AD3935"/>
    <w:rsid w:val="00AD5BCB"/>
    <w:rsid w:val="00AE62B1"/>
    <w:rsid w:val="00AE65EB"/>
    <w:rsid w:val="00AE67A7"/>
    <w:rsid w:val="00AF1D94"/>
    <w:rsid w:val="00AF60C5"/>
    <w:rsid w:val="00B009C6"/>
    <w:rsid w:val="00B01548"/>
    <w:rsid w:val="00B01CB1"/>
    <w:rsid w:val="00B05183"/>
    <w:rsid w:val="00B07B60"/>
    <w:rsid w:val="00B100D4"/>
    <w:rsid w:val="00B13EBD"/>
    <w:rsid w:val="00B15856"/>
    <w:rsid w:val="00B15BB5"/>
    <w:rsid w:val="00B21D29"/>
    <w:rsid w:val="00B25034"/>
    <w:rsid w:val="00B32268"/>
    <w:rsid w:val="00B33588"/>
    <w:rsid w:val="00B33863"/>
    <w:rsid w:val="00B37D17"/>
    <w:rsid w:val="00B4175E"/>
    <w:rsid w:val="00B452CE"/>
    <w:rsid w:val="00B54731"/>
    <w:rsid w:val="00B54A52"/>
    <w:rsid w:val="00B54C25"/>
    <w:rsid w:val="00B66DC7"/>
    <w:rsid w:val="00B71083"/>
    <w:rsid w:val="00B71BC5"/>
    <w:rsid w:val="00B72A91"/>
    <w:rsid w:val="00B76B91"/>
    <w:rsid w:val="00B77EB1"/>
    <w:rsid w:val="00B811C6"/>
    <w:rsid w:val="00B855B0"/>
    <w:rsid w:val="00B92E08"/>
    <w:rsid w:val="00BA20D0"/>
    <w:rsid w:val="00BB6E74"/>
    <w:rsid w:val="00BC37A5"/>
    <w:rsid w:val="00BC622A"/>
    <w:rsid w:val="00BE0A78"/>
    <w:rsid w:val="00BE1EFC"/>
    <w:rsid w:val="00BE79F0"/>
    <w:rsid w:val="00BF046D"/>
    <w:rsid w:val="00BF1190"/>
    <w:rsid w:val="00BF25BA"/>
    <w:rsid w:val="00BF5D04"/>
    <w:rsid w:val="00C009AA"/>
    <w:rsid w:val="00C0102E"/>
    <w:rsid w:val="00C1164D"/>
    <w:rsid w:val="00C16861"/>
    <w:rsid w:val="00C22B6B"/>
    <w:rsid w:val="00C26F2A"/>
    <w:rsid w:val="00C301FF"/>
    <w:rsid w:val="00C346AB"/>
    <w:rsid w:val="00C404A6"/>
    <w:rsid w:val="00C40A36"/>
    <w:rsid w:val="00C44419"/>
    <w:rsid w:val="00C45E7B"/>
    <w:rsid w:val="00C471B1"/>
    <w:rsid w:val="00C54286"/>
    <w:rsid w:val="00C62213"/>
    <w:rsid w:val="00C6316B"/>
    <w:rsid w:val="00C634A9"/>
    <w:rsid w:val="00C63AB6"/>
    <w:rsid w:val="00C64586"/>
    <w:rsid w:val="00C6525D"/>
    <w:rsid w:val="00C6681F"/>
    <w:rsid w:val="00C66D25"/>
    <w:rsid w:val="00C70D53"/>
    <w:rsid w:val="00C73D0B"/>
    <w:rsid w:val="00C771E9"/>
    <w:rsid w:val="00C772FF"/>
    <w:rsid w:val="00C776D9"/>
    <w:rsid w:val="00C77A5C"/>
    <w:rsid w:val="00C80137"/>
    <w:rsid w:val="00C801AF"/>
    <w:rsid w:val="00C80256"/>
    <w:rsid w:val="00C87716"/>
    <w:rsid w:val="00C92FC8"/>
    <w:rsid w:val="00C94CD4"/>
    <w:rsid w:val="00C9747E"/>
    <w:rsid w:val="00CB04C6"/>
    <w:rsid w:val="00CB6BC0"/>
    <w:rsid w:val="00CC1B7C"/>
    <w:rsid w:val="00CC727F"/>
    <w:rsid w:val="00CD58E8"/>
    <w:rsid w:val="00CE448F"/>
    <w:rsid w:val="00CE5AF2"/>
    <w:rsid w:val="00CF15C3"/>
    <w:rsid w:val="00CF2B6F"/>
    <w:rsid w:val="00CF2F3E"/>
    <w:rsid w:val="00CF43A2"/>
    <w:rsid w:val="00CF58B6"/>
    <w:rsid w:val="00D0062D"/>
    <w:rsid w:val="00D017ED"/>
    <w:rsid w:val="00D01C0B"/>
    <w:rsid w:val="00D02FFF"/>
    <w:rsid w:val="00D040D3"/>
    <w:rsid w:val="00D04C65"/>
    <w:rsid w:val="00D07603"/>
    <w:rsid w:val="00D171DB"/>
    <w:rsid w:val="00D201D2"/>
    <w:rsid w:val="00D224FE"/>
    <w:rsid w:val="00D23139"/>
    <w:rsid w:val="00D252CA"/>
    <w:rsid w:val="00D32AA1"/>
    <w:rsid w:val="00D3440A"/>
    <w:rsid w:val="00D3523A"/>
    <w:rsid w:val="00D425BB"/>
    <w:rsid w:val="00D44886"/>
    <w:rsid w:val="00D44D38"/>
    <w:rsid w:val="00D46E2B"/>
    <w:rsid w:val="00D612DA"/>
    <w:rsid w:val="00D6493E"/>
    <w:rsid w:val="00D7195D"/>
    <w:rsid w:val="00D7301E"/>
    <w:rsid w:val="00D83AE1"/>
    <w:rsid w:val="00D855D4"/>
    <w:rsid w:val="00D902C9"/>
    <w:rsid w:val="00D93466"/>
    <w:rsid w:val="00DA1124"/>
    <w:rsid w:val="00DA1DF1"/>
    <w:rsid w:val="00DA26F9"/>
    <w:rsid w:val="00DA6AC9"/>
    <w:rsid w:val="00DB3FB9"/>
    <w:rsid w:val="00DB6124"/>
    <w:rsid w:val="00DB63E9"/>
    <w:rsid w:val="00DB750B"/>
    <w:rsid w:val="00DB75B7"/>
    <w:rsid w:val="00DC280F"/>
    <w:rsid w:val="00DC6DFE"/>
    <w:rsid w:val="00DC6E02"/>
    <w:rsid w:val="00DD28CD"/>
    <w:rsid w:val="00DD59BE"/>
    <w:rsid w:val="00DD6428"/>
    <w:rsid w:val="00DD68B5"/>
    <w:rsid w:val="00DE02AE"/>
    <w:rsid w:val="00DF1D7F"/>
    <w:rsid w:val="00DF24EC"/>
    <w:rsid w:val="00DF4BE4"/>
    <w:rsid w:val="00E02FB4"/>
    <w:rsid w:val="00E128FA"/>
    <w:rsid w:val="00E13FC7"/>
    <w:rsid w:val="00E15800"/>
    <w:rsid w:val="00E20571"/>
    <w:rsid w:val="00E235F7"/>
    <w:rsid w:val="00E23659"/>
    <w:rsid w:val="00E239D4"/>
    <w:rsid w:val="00E26130"/>
    <w:rsid w:val="00E36223"/>
    <w:rsid w:val="00E40B22"/>
    <w:rsid w:val="00E44ED1"/>
    <w:rsid w:val="00E45619"/>
    <w:rsid w:val="00E4588F"/>
    <w:rsid w:val="00E46DA3"/>
    <w:rsid w:val="00E509AB"/>
    <w:rsid w:val="00E51BB1"/>
    <w:rsid w:val="00E56D01"/>
    <w:rsid w:val="00E577E1"/>
    <w:rsid w:val="00E60988"/>
    <w:rsid w:val="00E624A5"/>
    <w:rsid w:val="00E64BA4"/>
    <w:rsid w:val="00E72395"/>
    <w:rsid w:val="00E7344E"/>
    <w:rsid w:val="00E76EE3"/>
    <w:rsid w:val="00E82665"/>
    <w:rsid w:val="00EB0798"/>
    <w:rsid w:val="00EB40AD"/>
    <w:rsid w:val="00EB586E"/>
    <w:rsid w:val="00EB5FC8"/>
    <w:rsid w:val="00EC16A6"/>
    <w:rsid w:val="00EC463D"/>
    <w:rsid w:val="00EC7A85"/>
    <w:rsid w:val="00ED2922"/>
    <w:rsid w:val="00ED3CAD"/>
    <w:rsid w:val="00ED5A41"/>
    <w:rsid w:val="00ED65FD"/>
    <w:rsid w:val="00EE14A8"/>
    <w:rsid w:val="00EE1DE8"/>
    <w:rsid w:val="00EE27C2"/>
    <w:rsid w:val="00EE305D"/>
    <w:rsid w:val="00EF4BAD"/>
    <w:rsid w:val="00EF59DC"/>
    <w:rsid w:val="00EF6107"/>
    <w:rsid w:val="00EF6870"/>
    <w:rsid w:val="00F033EC"/>
    <w:rsid w:val="00F04F68"/>
    <w:rsid w:val="00F12670"/>
    <w:rsid w:val="00F14B27"/>
    <w:rsid w:val="00F151DA"/>
    <w:rsid w:val="00F200C3"/>
    <w:rsid w:val="00F3148D"/>
    <w:rsid w:val="00F325C5"/>
    <w:rsid w:val="00F32FE0"/>
    <w:rsid w:val="00F35298"/>
    <w:rsid w:val="00F47333"/>
    <w:rsid w:val="00F47E37"/>
    <w:rsid w:val="00F53C07"/>
    <w:rsid w:val="00F54B65"/>
    <w:rsid w:val="00F640B6"/>
    <w:rsid w:val="00F66581"/>
    <w:rsid w:val="00F66DF2"/>
    <w:rsid w:val="00F80E40"/>
    <w:rsid w:val="00F848D9"/>
    <w:rsid w:val="00F90ADB"/>
    <w:rsid w:val="00F928FF"/>
    <w:rsid w:val="00F92CEB"/>
    <w:rsid w:val="00FA5B82"/>
    <w:rsid w:val="00FA60A1"/>
    <w:rsid w:val="00FA639E"/>
    <w:rsid w:val="00FC1FCA"/>
    <w:rsid w:val="00FC25E4"/>
    <w:rsid w:val="00FC4EF7"/>
    <w:rsid w:val="00FC64A7"/>
    <w:rsid w:val="00FD0824"/>
    <w:rsid w:val="00FD119B"/>
    <w:rsid w:val="00FD1EDC"/>
    <w:rsid w:val="00FE1DEE"/>
    <w:rsid w:val="00FE2140"/>
    <w:rsid w:val="00FE6697"/>
    <w:rsid w:val="00FF2126"/>
    <w:rsid w:val="00FF41AB"/>
    <w:rsid w:val="00FF441A"/>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3C188E"/>
    <w:pPr>
      <w:tabs>
        <w:tab w:val="left" w:pos="567"/>
      </w:tabs>
      <w:spacing w:before="0" w:after="0" w:line="240" w:lineRule="auto"/>
      <w:ind w:left="720"/>
      <w:contextualSpacing/>
      <w:jc w:val="both"/>
    </w:pPr>
    <w:rPr>
      <w:rFonts w:ascii="Arial" w:eastAsia="MS Mincho" w:hAnsi="Arial"/>
      <w:sz w:val="20"/>
      <w:szCs w:val="20"/>
    </w:rPr>
  </w:style>
  <w:style w:type="paragraph" w:customStyle="1" w:styleId="Standard">
    <w:name w:val="Standard"/>
    <w:basedOn w:val="Normal"/>
    <w:link w:val="StandardChar"/>
    <w:rsid w:val="00B32268"/>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B32268"/>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B32268"/>
    <w:pPr>
      <w:spacing w:after="0"/>
    </w:pPr>
    <w:rPr>
      <w:sz w:val="16"/>
      <w:szCs w:val="16"/>
    </w:rPr>
  </w:style>
  <w:style w:type="character" w:customStyle="1" w:styleId="WhiteSpaceChar">
    <w:name w:val="White Space Char"/>
    <w:basedOn w:val="DefaultParagraphFont"/>
    <w:link w:val="WhiteSpace"/>
    <w:rsid w:val="00B32268"/>
    <w:rPr>
      <w:rFonts w:ascii="Cambria" w:eastAsia="Times New Roman" w:hAnsi="Cambria" w:cs="Times New Roman"/>
      <w:snapToGrid w:val="0"/>
      <w:kern w:val="16"/>
      <w:sz w:val="16"/>
      <w:szCs w:val="16"/>
    </w:rPr>
  </w:style>
  <w:style w:type="paragraph" w:customStyle="1" w:styleId="AssessmentSubsection2">
    <w:name w:val="Assessment Subsection 2"/>
    <w:basedOn w:val="Normal"/>
    <w:next w:val="Standard"/>
    <w:rsid w:val="00B32268"/>
    <w:pPr>
      <w:keepNext/>
      <w:spacing w:before="0" w:after="110" w:line="252" w:lineRule="auto"/>
      <w:outlineLvl w:val="3"/>
    </w:pPr>
    <w:rPr>
      <w:rFonts w:eastAsia="Times New Roman"/>
      <w:i/>
      <w:snapToGrid w:val="0"/>
      <w:kern w:val="16"/>
      <w:szCs w:val="24"/>
    </w:rPr>
  </w:style>
  <w:style w:type="paragraph" w:customStyle="1" w:styleId="AssessmentSubsection">
    <w:name w:val="Assessment Subsection"/>
    <w:basedOn w:val="Standard"/>
    <w:next w:val="Standard"/>
    <w:rsid w:val="00B32268"/>
    <w:pPr>
      <w:keepNext/>
      <w:spacing w:after="110"/>
      <w:outlineLvl w:val="2"/>
    </w:pPr>
    <w:rPr>
      <w:b/>
      <w:i/>
    </w:rPr>
  </w:style>
  <w:style w:type="character" w:customStyle="1" w:styleId="TabletextChar">
    <w:name w:val="Table text Char"/>
    <w:basedOn w:val="DefaultParagraphFont"/>
    <w:link w:val="Tabletext"/>
    <w:rsid w:val="00931383"/>
    <w:rPr>
      <w:rFonts w:ascii="Cambria" w:eastAsia="Cambria" w:hAnsi="Cambria" w:cs="Times New Roman"/>
      <w:sz w:val="19"/>
    </w:rPr>
  </w:style>
  <w:style w:type="paragraph" w:customStyle="1" w:styleId="TableHeader">
    <w:name w:val="Table Header"/>
    <w:basedOn w:val="Normal"/>
    <w:rsid w:val="00931383"/>
    <w:pPr>
      <w:keepNext/>
      <w:keepLines/>
      <w:widowControl w:val="0"/>
      <w:spacing w:before="60" w:after="60" w:line="200" w:lineRule="exact"/>
      <w:jc w:val="center"/>
    </w:pPr>
    <w:rPr>
      <w:rFonts w:eastAsia="MS Mincho" w:cstheme="minorBidi"/>
      <w:b/>
      <w:kern w:val="2"/>
      <w:sz w:val="19"/>
      <w:szCs w:val="19"/>
    </w:rPr>
  </w:style>
  <w:style w:type="character" w:customStyle="1" w:styleId="TableTitleChar">
    <w:name w:val="Table Title Char"/>
    <w:basedOn w:val="StandardChar"/>
    <w:link w:val="TableTitle"/>
    <w:rsid w:val="00931383"/>
    <w:rPr>
      <w:rFonts w:ascii="Cambria" w:eastAsia="Cambria" w:hAnsi="Cambria" w:cs="Times New Roman"/>
      <w:b/>
      <w:snapToGrid/>
      <w:kern w:val="16"/>
      <w:szCs w:val="24"/>
    </w:rPr>
  </w:style>
  <w:style w:type="paragraph" w:customStyle="1" w:styleId="TableCaption">
    <w:name w:val="Table Caption"/>
    <w:basedOn w:val="Standard"/>
    <w:next w:val="Standard"/>
    <w:link w:val="TableCaptionChar"/>
    <w:rsid w:val="00876BB3"/>
    <w:pPr>
      <w:spacing w:before="60" w:after="440" w:line="215" w:lineRule="exact"/>
      <w:ind w:left="170"/>
    </w:pPr>
    <w:rPr>
      <w:sz w:val="18"/>
      <w:szCs w:val="19"/>
    </w:rPr>
  </w:style>
  <w:style w:type="character" w:customStyle="1" w:styleId="TableCaptionChar">
    <w:name w:val="Table Caption Char"/>
    <w:basedOn w:val="TabletextChar"/>
    <w:link w:val="TableCaption"/>
    <w:rsid w:val="00876BB3"/>
    <w:rPr>
      <w:rFonts w:ascii="Cambria" w:eastAsia="Times New Roman" w:hAnsi="Cambria" w:cs="Times New Roman"/>
      <w:snapToGrid w:val="0"/>
      <w:kern w:val="16"/>
      <w:sz w:val="18"/>
      <w:szCs w:val="19"/>
    </w:rPr>
  </w:style>
  <w:style w:type="paragraph" w:customStyle="1" w:styleId="TabletextPKvalues">
    <w:name w:val="Table text (PK values)"/>
    <w:basedOn w:val="Tabletext"/>
    <w:rsid w:val="00E128FA"/>
    <w:pPr>
      <w:spacing w:before="0" w:after="0" w:line="200" w:lineRule="exact"/>
      <w:jc w:val="center"/>
    </w:pPr>
    <w:rPr>
      <w:rFonts w:eastAsia="Times New Roman"/>
      <w:snapToGrid w:val="0"/>
      <w:kern w:val="16"/>
      <w:sz w:val="18"/>
      <w:szCs w:val="19"/>
    </w:rPr>
  </w:style>
  <w:style w:type="character" w:customStyle="1" w:styleId="apple-converted-space">
    <w:name w:val="apple-converted-space"/>
    <w:basedOn w:val="DefaultParagraphFont"/>
    <w:rsid w:val="00BB6E74"/>
  </w:style>
  <w:style w:type="paragraph" w:customStyle="1" w:styleId="Tabletitle0">
    <w:name w:val="Table title"/>
    <w:basedOn w:val="Normal"/>
    <w:next w:val="Normal"/>
    <w:rsid w:val="00644E77"/>
    <w:pPr>
      <w:keepNext/>
      <w:spacing w:after="180"/>
      <w:outlineLvl w:val="4"/>
    </w:pPr>
    <w:rPr>
      <w:rFonts w:cstheme="minorBidi"/>
      <w:b/>
    </w:rPr>
  </w:style>
  <w:style w:type="paragraph" w:customStyle="1" w:styleId="ACPMminorheader">
    <w:name w:val="ACPM minor header"/>
    <w:basedOn w:val="Normal"/>
    <w:link w:val="ACPMminorheaderChar"/>
    <w:qFormat/>
    <w:rsid w:val="00156B9F"/>
    <w:pPr>
      <w:keepNext/>
      <w:spacing w:before="0" w:after="0" w:line="240" w:lineRule="auto"/>
    </w:pPr>
    <w:rPr>
      <w:rFonts w:eastAsia="Times New Roman" w:cs="Arial"/>
      <w:b/>
      <w:i/>
      <w:lang w:val="en-GB" w:eastAsia="en-AU"/>
    </w:rPr>
  </w:style>
  <w:style w:type="character" w:customStyle="1" w:styleId="ACPMminorheaderChar">
    <w:name w:val="ACPM minor header Char"/>
    <w:link w:val="ACPMminorheader"/>
    <w:rsid w:val="00156B9F"/>
    <w:rPr>
      <w:rFonts w:ascii="Cambria" w:eastAsia="Times New Roman" w:hAnsi="Cambria" w:cs="Arial"/>
      <w:b/>
      <w:i/>
      <w:lang w:val="en-GB" w:eastAsia="en-AU"/>
    </w:rPr>
  </w:style>
  <w:style w:type="paragraph" w:customStyle="1" w:styleId="Default">
    <w:name w:val="Default"/>
    <w:rsid w:val="002331BA"/>
    <w:pPr>
      <w:autoSpaceDE w:val="0"/>
      <w:autoSpaceDN w:val="0"/>
      <w:adjustRightInd w:val="0"/>
      <w:spacing w:after="0" w:line="240" w:lineRule="auto"/>
    </w:pPr>
    <w:rPr>
      <w:rFonts w:ascii="Cambria" w:hAnsi="Cambria" w:cs="Cambria"/>
      <w:color w:val="000000"/>
      <w:sz w:val="24"/>
      <w:szCs w:val="24"/>
    </w:rPr>
  </w:style>
  <w:style w:type="paragraph" w:customStyle="1" w:styleId="Bulletpoint">
    <w:name w:val="Bullet point"/>
    <w:basedOn w:val="Standard"/>
    <w:rsid w:val="008A6A9C"/>
    <w:pPr>
      <w:numPr>
        <w:numId w:val="8"/>
      </w:numPr>
      <w:tabs>
        <w:tab w:val="clear" w:pos="369"/>
        <w:tab w:val="left" w:pos="397"/>
        <w:tab w:val="num" w:pos="511"/>
      </w:tabs>
      <w:spacing w:after="180"/>
    </w:pPr>
  </w:style>
  <w:style w:type="paragraph" w:customStyle="1" w:styleId="SectionHeading">
    <w:name w:val="Section Heading"/>
    <w:basedOn w:val="Standard"/>
    <w:next w:val="Standard"/>
    <w:link w:val="SectionHeadingCharChar"/>
    <w:rsid w:val="008A6A9C"/>
    <w:pPr>
      <w:keepNext/>
      <w:outlineLvl w:val="0"/>
    </w:pPr>
    <w:rPr>
      <w:b/>
      <w:caps/>
      <w:sz w:val="24"/>
    </w:rPr>
  </w:style>
  <w:style w:type="character" w:customStyle="1" w:styleId="SectionHeadingCharChar">
    <w:name w:val="Section Heading Char Char"/>
    <w:basedOn w:val="DefaultParagraphFont"/>
    <w:link w:val="SectionHeading"/>
    <w:rsid w:val="008A6A9C"/>
    <w:rPr>
      <w:rFonts w:ascii="Cambria" w:eastAsia="Times New Roman" w:hAnsi="Cambria" w:cs="Times New Roman"/>
      <w:b/>
      <w:caps/>
      <w:snapToGrid w:val="0"/>
      <w:kern w:val="16"/>
      <w:sz w:val="24"/>
      <w:szCs w:val="24"/>
    </w:rPr>
  </w:style>
  <w:style w:type="character" w:customStyle="1" w:styleId="st1">
    <w:name w:val="st1"/>
    <w:basedOn w:val="DefaultParagraphFont"/>
    <w:rsid w:val="00383375"/>
  </w:style>
  <w:style w:type="paragraph" w:styleId="BodyText">
    <w:name w:val="Body Text"/>
    <w:basedOn w:val="Normal"/>
    <w:link w:val="BodyTextChar"/>
    <w:uiPriority w:val="1"/>
    <w:qFormat/>
    <w:rsid w:val="00074D22"/>
    <w:pPr>
      <w:autoSpaceDE w:val="0"/>
      <w:autoSpaceDN w:val="0"/>
      <w:adjustRightInd w:val="0"/>
      <w:spacing w:before="0" w:after="0" w:line="240" w:lineRule="auto"/>
      <w:ind w:left="40"/>
    </w:pPr>
    <w:rPr>
      <w:rFonts w:ascii="Times New Roman" w:eastAsiaTheme="minorHAnsi" w:hAnsi="Times New Roman"/>
      <w:sz w:val="24"/>
      <w:szCs w:val="24"/>
    </w:rPr>
  </w:style>
  <w:style w:type="character" w:customStyle="1" w:styleId="BodyTextChar">
    <w:name w:val="Body Text Char"/>
    <w:basedOn w:val="DefaultParagraphFont"/>
    <w:link w:val="BodyText"/>
    <w:uiPriority w:val="1"/>
    <w:rsid w:val="00074D22"/>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3C188E"/>
    <w:pPr>
      <w:tabs>
        <w:tab w:val="left" w:pos="567"/>
      </w:tabs>
      <w:spacing w:before="0" w:after="0" w:line="240" w:lineRule="auto"/>
      <w:ind w:left="720"/>
      <w:contextualSpacing/>
      <w:jc w:val="both"/>
    </w:pPr>
    <w:rPr>
      <w:rFonts w:ascii="Arial" w:eastAsia="MS Mincho" w:hAnsi="Arial"/>
      <w:sz w:val="20"/>
      <w:szCs w:val="20"/>
    </w:rPr>
  </w:style>
  <w:style w:type="paragraph" w:customStyle="1" w:styleId="Standard">
    <w:name w:val="Standard"/>
    <w:basedOn w:val="Normal"/>
    <w:link w:val="StandardChar"/>
    <w:rsid w:val="00B32268"/>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B32268"/>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B32268"/>
    <w:pPr>
      <w:spacing w:after="0"/>
    </w:pPr>
    <w:rPr>
      <w:sz w:val="16"/>
      <w:szCs w:val="16"/>
    </w:rPr>
  </w:style>
  <w:style w:type="character" w:customStyle="1" w:styleId="WhiteSpaceChar">
    <w:name w:val="White Space Char"/>
    <w:basedOn w:val="DefaultParagraphFont"/>
    <w:link w:val="WhiteSpace"/>
    <w:rsid w:val="00B32268"/>
    <w:rPr>
      <w:rFonts w:ascii="Cambria" w:eastAsia="Times New Roman" w:hAnsi="Cambria" w:cs="Times New Roman"/>
      <w:snapToGrid w:val="0"/>
      <w:kern w:val="16"/>
      <w:sz w:val="16"/>
      <w:szCs w:val="16"/>
    </w:rPr>
  </w:style>
  <w:style w:type="paragraph" w:customStyle="1" w:styleId="AssessmentSubsection2">
    <w:name w:val="Assessment Subsection 2"/>
    <w:basedOn w:val="Normal"/>
    <w:next w:val="Standard"/>
    <w:rsid w:val="00B32268"/>
    <w:pPr>
      <w:keepNext/>
      <w:spacing w:before="0" w:after="110" w:line="252" w:lineRule="auto"/>
      <w:outlineLvl w:val="3"/>
    </w:pPr>
    <w:rPr>
      <w:rFonts w:eastAsia="Times New Roman"/>
      <w:i/>
      <w:snapToGrid w:val="0"/>
      <w:kern w:val="16"/>
      <w:szCs w:val="24"/>
    </w:rPr>
  </w:style>
  <w:style w:type="paragraph" w:customStyle="1" w:styleId="AssessmentSubsection">
    <w:name w:val="Assessment Subsection"/>
    <w:basedOn w:val="Standard"/>
    <w:next w:val="Standard"/>
    <w:rsid w:val="00B32268"/>
    <w:pPr>
      <w:keepNext/>
      <w:spacing w:after="110"/>
      <w:outlineLvl w:val="2"/>
    </w:pPr>
    <w:rPr>
      <w:b/>
      <w:i/>
    </w:rPr>
  </w:style>
  <w:style w:type="character" w:customStyle="1" w:styleId="TabletextChar">
    <w:name w:val="Table text Char"/>
    <w:basedOn w:val="DefaultParagraphFont"/>
    <w:link w:val="Tabletext"/>
    <w:rsid w:val="00931383"/>
    <w:rPr>
      <w:rFonts w:ascii="Cambria" w:eastAsia="Cambria" w:hAnsi="Cambria" w:cs="Times New Roman"/>
      <w:sz w:val="19"/>
    </w:rPr>
  </w:style>
  <w:style w:type="paragraph" w:customStyle="1" w:styleId="TableHeader">
    <w:name w:val="Table Header"/>
    <w:basedOn w:val="Normal"/>
    <w:rsid w:val="00931383"/>
    <w:pPr>
      <w:keepNext/>
      <w:keepLines/>
      <w:widowControl w:val="0"/>
      <w:spacing w:before="60" w:after="60" w:line="200" w:lineRule="exact"/>
      <w:jc w:val="center"/>
    </w:pPr>
    <w:rPr>
      <w:rFonts w:eastAsia="MS Mincho" w:cstheme="minorBidi"/>
      <w:b/>
      <w:kern w:val="2"/>
      <w:sz w:val="19"/>
      <w:szCs w:val="19"/>
    </w:rPr>
  </w:style>
  <w:style w:type="character" w:customStyle="1" w:styleId="TableTitleChar">
    <w:name w:val="Table Title Char"/>
    <w:basedOn w:val="StandardChar"/>
    <w:link w:val="TableTitle"/>
    <w:rsid w:val="00931383"/>
    <w:rPr>
      <w:rFonts w:ascii="Cambria" w:eastAsia="Cambria" w:hAnsi="Cambria" w:cs="Times New Roman"/>
      <w:b/>
      <w:snapToGrid/>
      <w:kern w:val="16"/>
      <w:szCs w:val="24"/>
    </w:rPr>
  </w:style>
  <w:style w:type="paragraph" w:customStyle="1" w:styleId="TableCaption">
    <w:name w:val="Table Caption"/>
    <w:basedOn w:val="Standard"/>
    <w:next w:val="Standard"/>
    <w:link w:val="TableCaptionChar"/>
    <w:rsid w:val="00876BB3"/>
    <w:pPr>
      <w:spacing w:before="60" w:after="440" w:line="215" w:lineRule="exact"/>
      <w:ind w:left="170"/>
    </w:pPr>
    <w:rPr>
      <w:sz w:val="18"/>
      <w:szCs w:val="19"/>
    </w:rPr>
  </w:style>
  <w:style w:type="character" w:customStyle="1" w:styleId="TableCaptionChar">
    <w:name w:val="Table Caption Char"/>
    <w:basedOn w:val="TabletextChar"/>
    <w:link w:val="TableCaption"/>
    <w:rsid w:val="00876BB3"/>
    <w:rPr>
      <w:rFonts w:ascii="Cambria" w:eastAsia="Times New Roman" w:hAnsi="Cambria" w:cs="Times New Roman"/>
      <w:snapToGrid w:val="0"/>
      <w:kern w:val="16"/>
      <w:sz w:val="18"/>
      <w:szCs w:val="19"/>
    </w:rPr>
  </w:style>
  <w:style w:type="paragraph" w:customStyle="1" w:styleId="TabletextPKvalues">
    <w:name w:val="Table text (PK values)"/>
    <w:basedOn w:val="Tabletext"/>
    <w:rsid w:val="00E128FA"/>
    <w:pPr>
      <w:spacing w:before="0" w:after="0" w:line="200" w:lineRule="exact"/>
      <w:jc w:val="center"/>
    </w:pPr>
    <w:rPr>
      <w:rFonts w:eastAsia="Times New Roman"/>
      <w:snapToGrid w:val="0"/>
      <w:kern w:val="16"/>
      <w:sz w:val="18"/>
      <w:szCs w:val="19"/>
    </w:rPr>
  </w:style>
  <w:style w:type="character" w:customStyle="1" w:styleId="apple-converted-space">
    <w:name w:val="apple-converted-space"/>
    <w:basedOn w:val="DefaultParagraphFont"/>
    <w:rsid w:val="00BB6E74"/>
  </w:style>
  <w:style w:type="paragraph" w:customStyle="1" w:styleId="Tabletitle0">
    <w:name w:val="Table title"/>
    <w:basedOn w:val="Normal"/>
    <w:next w:val="Normal"/>
    <w:rsid w:val="00644E77"/>
    <w:pPr>
      <w:keepNext/>
      <w:spacing w:after="180"/>
      <w:outlineLvl w:val="4"/>
    </w:pPr>
    <w:rPr>
      <w:rFonts w:cstheme="minorBidi"/>
      <w:b/>
    </w:rPr>
  </w:style>
  <w:style w:type="paragraph" w:customStyle="1" w:styleId="ACPMminorheader">
    <w:name w:val="ACPM minor header"/>
    <w:basedOn w:val="Normal"/>
    <w:link w:val="ACPMminorheaderChar"/>
    <w:qFormat/>
    <w:rsid w:val="00156B9F"/>
    <w:pPr>
      <w:keepNext/>
      <w:spacing w:before="0" w:after="0" w:line="240" w:lineRule="auto"/>
    </w:pPr>
    <w:rPr>
      <w:rFonts w:eastAsia="Times New Roman" w:cs="Arial"/>
      <w:b/>
      <w:i/>
      <w:lang w:val="en-GB" w:eastAsia="en-AU"/>
    </w:rPr>
  </w:style>
  <w:style w:type="character" w:customStyle="1" w:styleId="ACPMminorheaderChar">
    <w:name w:val="ACPM minor header Char"/>
    <w:link w:val="ACPMminorheader"/>
    <w:rsid w:val="00156B9F"/>
    <w:rPr>
      <w:rFonts w:ascii="Cambria" w:eastAsia="Times New Roman" w:hAnsi="Cambria" w:cs="Arial"/>
      <w:b/>
      <w:i/>
      <w:lang w:val="en-GB" w:eastAsia="en-AU"/>
    </w:rPr>
  </w:style>
  <w:style w:type="paragraph" w:customStyle="1" w:styleId="Default">
    <w:name w:val="Default"/>
    <w:rsid w:val="002331BA"/>
    <w:pPr>
      <w:autoSpaceDE w:val="0"/>
      <w:autoSpaceDN w:val="0"/>
      <w:adjustRightInd w:val="0"/>
      <w:spacing w:after="0" w:line="240" w:lineRule="auto"/>
    </w:pPr>
    <w:rPr>
      <w:rFonts w:ascii="Cambria" w:hAnsi="Cambria" w:cs="Cambria"/>
      <w:color w:val="000000"/>
      <w:sz w:val="24"/>
      <w:szCs w:val="24"/>
    </w:rPr>
  </w:style>
  <w:style w:type="paragraph" w:customStyle="1" w:styleId="Bulletpoint">
    <w:name w:val="Bullet point"/>
    <w:basedOn w:val="Standard"/>
    <w:rsid w:val="008A6A9C"/>
    <w:pPr>
      <w:numPr>
        <w:numId w:val="8"/>
      </w:numPr>
      <w:tabs>
        <w:tab w:val="clear" w:pos="369"/>
        <w:tab w:val="left" w:pos="397"/>
        <w:tab w:val="num" w:pos="511"/>
      </w:tabs>
      <w:spacing w:after="180"/>
    </w:pPr>
  </w:style>
  <w:style w:type="paragraph" w:customStyle="1" w:styleId="SectionHeading">
    <w:name w:val="Section Heading"/>
    <w:basedOn w:val="Standard"/>
    <w:next w:val="Standard"/>
    <w:link w:val="SectionHeadingCharChar"/>
    <w:rsid w:val="008A6A9C"/>
    <w:pPr>
      <w:keepNext/>
      <w:outlineLvl w:val="0"/>
    </w:pPr>
    <w:rPr>
      <w:b/>
      <w:caps/>
      <w:sz w:val="24"/>
    </w:rPr>
  </w:style>
  <w:style w:type="character" w:customStyle="1" w:styleId="SectionHeadingCharChar">
    <w:name w:val="Section Heading Char Char"/>
    <w:basedOn w:val="DefaultParagraphFont"/>
    <w:link w:val="SectionHeading"/>
    <w:rsid w:val="008A6A9C"/>
    <w:rPr>
      <w:rFonts w:ascii="Cambria" w:eastAsia="Times New Roman" w:hAnsi="Cambria" w:cs="Times New Roman"/>
      <w:b/>
      <w:caps/>
      <w:snapToGrid w:val="0"/>
      <w:kern w:val="16"/>
      <w:sz w:val="24"/>
      <w:szCs w:val="24"/>
    </w:rPr>
  </w:style>
  <w:style w:type="character" w:customStyle="1" w:styleId="st1">
    <w:name w:val="st1"/>
    <w:basedOn w:val="DefaultParagraphFont"/>
    <w:rsid w:val="00383375"/>
  </w:style>
  <w:style w:type="paragraph" w:styleId="BodyText">
    <w:name w:val="Body Text"/>
    <w:basedOn w:val="Normal"/>
    <w:link w:val="BodyTextChar"/>
    <w:uiPriority w:val="1"/>
    <w:qFormat/>
    <w:rsid w:val="00074D22"/>
    <w:pPr>
      <w:autoSpaceDE w:val="0"/>
      <w:autoSpaceDN w:val="0"/>
      <w:adjustRightInd w:val="0"/>
      <w:spacing w:before="0" w:after="0" w:line="240" w:lineRule="auto"/>
      <w:ind w:left="40"/>
    </w:pPr>
    <w:rPr>
      <w:rFonts w:ascii="Times New Roman" w:eastAsiaTheme="minorHAnsi" w:hAnsi="Times New Roman"/>
      <w:sz w:val="24"/>
      <w:szCs w:val="24"/>
    </w:rPr>
  </w:style>
  <w:style w:type="character" w:customStyle="1" w:styleId="BodyTextChar">
    <w:name w:val="Body Text Char"/>
    <w:basedOn w:val="DefaultParagraphFont"/>
    <w:link w:val="BodyText"/>
    <w:uiPriority w:val="1"/>
    <w:rsid w:val="00074D2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64993">
      <w:bodyDiv w:val="1"/>
      <w:marLeft w:val="0"/>
      <w:marRight w:val="0"/>
      <w:marTop w:val="0"/>
      <w:marBottom w:val="0"/>
      <w:divBdr>
        <w:top w:val="none" w:sz="0" w:space="0" w:color="auto"/>
        <w:left w:val="none" w:sz="0" w:space="0" w:color="auto"/>
        <w:bottom w:val="none" w:sz="0" w:space="0" w:color="auto"/>
        <w:right w:val="none" w:sz="0" w:space="0" w:color="auto"/>
      </w:divBdr>
    </w:div>
    <w:div w:id="153954215">
      <w:bodyDiv w:val="1"/>
      <w:marLeft w:val="0"/>
      <w:marRight w:val="0"/>
      <w:marTop w:val="0"/>
      <w:marBottom w:val="0"/>
      <w:divBdr>
        <w:top w:val="none" w:sz="0" w:space="0" w:color="auto"/>
        <w:left w:val="none" w:sz="0" w:space="0" w:color="auto"/>
        <w:bottom w:val="none" w:sz="0" w:space="0" w:color="auto"/>
        <w:right w:val="none" w:sz="0" w:space="0" w:color="auto"/>
      </w:divBdr>
    </w:div>
    <w:div w:id="520247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hyperlink" Target="https://www.tga.gov.au/product-information-pi" TargetMode="External"/><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header" Target="header5.xml"/><Relationship Id="rId36" Type="http://schemas.openxmlformats.org/officeDocument/2006/relationships/footer" Target="footer4.xml"/><Relationship Id="rId10" Type="http://schemas.openxmlformats.org/officeDocument/2006/relationships/hyperlink" Target="mailto:tga.copyright@tga.gov.au" TargetMode="External"/><Relationship Id="rId19" Type="http://schemas.openxmlformats.org/officeDocument/2006/relationships/image" Target="media/image6.emf"/><Relationship Id="rId31" Type="http://schemas.openxmlformats.org/officeDocument/2006/relationships/hyperlink" Target="https://www.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9.emf"/><Relationship Id="rId27" Type="http://schemas.openxmlformats.org/officeDocument/2006/relationships/header" Target="header4.xml"/><Relationship Id="rId30" Type="http://schemas.openxmlformats.org/officeDocument/2006/relationships/hyperlink" Target="mailto:info@tga.gov.au" TargetMode="External"/><Relationship Id="rId35"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lmj\AppData\Local\Hewlett-Packard\HP%20TRIM\TEMP\HPTRIM.756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8133A-BD94-4B68-9D5D-DBC2AE274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60</TotalTime>
  <Pages>70</Pages>
  <Words>26589</Words>
  <Characters>149166</Characters>
  <Application>Microsoft Office Word</Application>
  <DocSecurity>0</DocSecurity>
  <Lines>3044</Lines>
  <Paragraphs>1740</Paragraphs>
  <ScaleCrop>false</ScaleCrop>
  <HeadingPairs>
    <vt:vector size="2" baseType="variant">
      <vt:variant>
        <vt:lpstr>Title</vt:lpstr>
      </vt:variant>
      <vt:variant>
        <vt:i4>1</vt:i4>
      </vt:variant>
    </vt:vector>
  </HeadingPairs>
  <TitlesOfParts>
    <vt:vector size="1" baseType="lpstr">
      <vt:lpstr>Australian Public Assessment Report for pirfenidone</vt:lpstr>
    </vt:vector>
  </TitlesOfParts>
  <Company>Department of Health Therapeutic Goods Administration</Company>
  <LinksUpToDate>false</LinksUpToDate>
  <CharactersWithSpaces>174015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pirfenidone</dc:title>
  <dc:subject>prescription medicine</dc:subject>
  <dc:creator>Therapeutic Goods Administration</dc:creator>
  <cp:keywords>AusPARs</cp:keywords>
  <cp:lastModifiedBy>STARKEY, Paige</cp:lastModifiedBy>
  <cp:revision>6</cp:revision>
  <cp:lastPrinted>2015-09-22T23:39:00Z</cp:lastPrinted>
  <dcterms:created xsi:type="dcterms:W3CDTF">2016-08-24T06:29:00Z</dcterms:created>
  <dcterms:modified xsi:type="dcterms:W3CDTF">2016-08-26T06:04:00Z</dcterms:modified>
  <cp:category/>
</cp:coreProperties>
</file>