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6D" w:rsidRPr="007120F8" w:rsidRDefault="00EB286D" w:rsidP="008C7C6E">
      <w:bookmarkStart w:id="0" w:name="_GoBack"/>
      <w:bookmarkEnd w:id="0"/>
      <w:r w:rsidRPr="008C7C6E">
        <w:rPr>
          <w:rFonts w:ascii="Minion" w:hAnsi="Minion"/>
          <w:b/>
          <w:sz w:val="28"/>
        </w:rPr>
        <w:t>NAME OF THE MEDICINE</w:t>
      </w:r>
    </w:p>
    <w:p w:rsidR="00EB286D" w:rsidRPr="00EB286D" w:rsidRDefault="00EB286D" w:rsidP="00EB286D">
      <w:pPr>
        <w:pStyle w:val="Heading1"/>
      </w:pPr>
      <w:r w:rsidRPr="00EB286D">
        <w:t>ESBRIET®</w:t>
      </w:r>
    </w:p>
    <w:p w:rsidR="00EB286D" w:rsidRPr="00EB286D" w:rsidRDefault="00EB286D" w:rsidP="00EB286D">
      <w:pPr>
        <w:rPr>
          <w:rFonts w:ascii="Minion" w:hAnsi="Minion"/>
        </w:rPr>
      </w:pPr>
      <w:r w:rsidRPr="00EB286D">
        <w:rPr>
          <w:rFonts w:ascii="Minion" w:hAnsi="Minion"/>
        </w:rPr>
        <w:t>Pirfenidone</w:t>
      </w:r>
    </w:p>
    <w:p w:rsidR="00EB286D" w:rsidRPr="00EB286D" w:rsidRDefault="00EB286D" w:rsidP="00EB286D">
      <w:pPr>
        <w:rPr>
          <w:rFonts w:ascii="Minion" w:hAnsi="Minion"/>
        </w:rPr>
      </w:pPr>
      <w:r w:rsidRPr="00EB286D">
        <w:rPr>
          <w:rFonts w:ascii="Minion" w:hAnsi="Minion" w:cs="Times New Roman"/>
          <w:noProof/>
          <w:lang w:val="en-AU" w:eastAsia="en-AU"/>
        </w:rPr>
        <w:drawing>
          <wp:inline distT="0" distB="0" distL="0" distR="0" wp14:anchorId="1890395F" wp14:editId="6FF5B206">
            <wp:extent cx="2450349" cy="1129883"/>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png"/>
                    <pic:cNvPicPr/>
                  </pic:nvPicPr>
                  <pic:blipFill>
                    <a:blip r:embed="rId8">
                      <a:extLst>
                        <a:ext uri="{28A0092B-C50C-407E-A947-70E740481C1C}">
                          <a14:useLocalDpi xmlns:a14="http://schemas.microsoft.com/office/drawing/2010/main" val="0"/>
                        </a:ext>
                      </a:extLst>
                    </a:blip>
                    <a:stretch>
                      <a:fillRect/>
                    </a:stretch>
                  </pic:blipFill>
                  <pic:spPr>
                    <a:xfrm>
                      <a:off x="0" y="0"/>
                      <a:ext cx="2460314" cy="1134478"/>
                    </a:xfrm>
                    <a:prstGeom prst="rect">
                      <a:avLst/>
                    </a:prstGeom>
                  </pic:spPr>
                </pic:pic>
              </a:graphicData>
            </a:graphic>
          </wp:inline>
        </w:drawing>
      </w:r>
    </w:p>
    <w:p w:rsidR="00EB286D" w:rsidRPr="00EB286D" w:rsidRDefault="00EB286D" w:rsidP="00EB286D">
      <w:pPr>
        <w:rPr>
          <w:rFonts w:ascii="Minion" w:hAnsi="Minion"/>
        </w:rPr>
      </w:pPr>
      <w:r w:rsidRPr="00EB286D">
        <w:rPr>
          <w:rFonts w:ascii="Minion" w:hAnsi="Minion"/>
        </w:rPr>
        <w:t>CAS: 53179-13-8</w:t>
      </w:r>
      <w:r w:rsidRPr="00EB286D">
        <w:rPr>
          <w:rFonts w:ascii="Minion" w:hAnsi="Minion"/>
        </w:rPr>
        <w:tab/>
      </w:r>
    </w:p>
    <w:p w:rsidR="00EB286D" w:rsidRPr="00EB286D" w:rsidRDefault="00EB286D" w:rsidP="00EB286D">
      <w:pPr>
        <w:pStyle w:val="Heading2"/>
      </w:pPr>
      <w:r w:rsidRPr="00EB286D">
        <w:t>DESCRIPTION</w:t>
      </w:r>
    </w:p>
    <w:p w:rsidR="00EB286D" w:rsidRPr="00EB286D" w:rsidRDefault="00EB286D" w:rsidP="00EB286D">
      <w:pPr>
        <w:rPr>
          <w:rFonts w:ascii="Minion" w:hAnsi="Minion"/>
        </w:rPr>
      </w:pPr>
      <w:r w:rsidRPr="00EB286D">
        <w:rPr>
          <w:rFonts w:ascii="Minion" w:hAnsi="Minion"/>
        </w:rPr>
        <w:t>The chemical name of pirfenidone is 5-methyl-1-phenyl-2-1(H)-pyridone. It has a molecular formula of C</w:t>
      </w:r>
      <w:r w:rsidRPr="008C7C6E">
        <w:rPr>
          <w:rFonts w:ascii="Minion" w:hAnsi="Minion"/>
          <w:vertAlign w:val="subscript"/>
        </w:rPr>
        <w:t>12</w:t>
      </w:r>
      <w:r w:rsidRPr="00EB286D">
        <w:rPr>
          <w:rFonts w:ascii="Minion" w:hAnsi="Minion"/>
        </w:rPr>
        <w:t>H</w:t>
      </w:r>
      <w:r w:rsidRPr="008C7C6E">
        <w:rPr>
          <w:rFonts w:ascii="Minion" w:hAnsi="Minion"/>
          <w:vertAlign w:val="subscript"/>
        </w:rPr>
        <w:t>11</w:t>
      </w:r>
      <w:r w:rsidRPr="00EB286D">
        <w:rPr>
          <w:rFonts w:ascii="Minion" w:hAnsi="Minion"/>
        </w:rPr>
        <w:t xml:space="preserve">NO and a molecular weight of 185.23. </w:t>
      </w:r>
    </w:p>
    <w:p w:rsidR="00EB286D" w:rsidRPr="00EB286D" w:rsidRDefault="00EB286D" w:rsidP="00EB286D">
      <w:pPr>
        <w:rPr>
          <w:rFonts w:ascii="Minion" w:hAnsi="Minion"/>
        </w:rPr>
      </w:pPr>
      <w:r w:rsidRPr="00EB286D">
        <w:rPr>
          <w:rFonts w:ascii="Minion" w:hAnsi="Minion"/>
        </w:rPr>
        <w:t xml:space="preserve">Pirfenidone is a white to pale yellow, non-hygroscopic powder. It is </w:t>
      </w:r>
      <w:r w:rsidR="000B6C47">
        <w:rPr>
          <w:rFonts w:ascii="Minion" w:hAnsi="Minion"/>
        </w:rPr>
        <w:t>freely</w:t>
      </w:r>
      <w:r w:rsidRPr="00EB286D">
        <w:rPr>
          <w:rFonts w:ascii="Minion" w:hAnsi="Minion"/>
        </w:rPr>
        <w:t xml:space="preserve"> soluble in methanol, ethyl alcohol, acetone and chloroform</w:t>
      </w:r>
      <w:r w:rsidR="000B6C47">
        <w:rPr>
          <w:rFonts w:ascii="Minion" w:hAnsi="Minion"/>
        </w:rPr>
        <w:t>. Sparingly soluble</w:t>
      </w:r>
      <w:r w:rsidRPr="00EB286D">
        <w:rPr>
          <w:rFonts w:ascii="Minion" w:hAnsi="Minion"/>
        </w:rPr>
        <w:t xml:space="preserve"> </w:t>
      </w:r>
      <w:proofErr w:type="gramStart"/>
      <w:r w:rsidRPr="00EB286D">
        <w:rPr>
          <w:rFonts w:ascii="Minion" w:hAnsi="Minion"/>
        </w:rPr>
        <w:t>in  1.0</w:t>
      </w:r>
      <w:proofErr w:type="gramEnd"/>
      <w:r w:rsidRPr="00EB286D">
        <w:rPr>
          <w:rFonts w:ascii="Minion" w:hAnsi="Minion"/>
        </w:rPr>
        <w:t xml:space="preserve"> N HCl</w:t>
      </w:r>
      <w:r w:rsidR="000B6C47">
        <w:rPr>
          <w:rFonts w:ascii="Minion" w:hAnsi="Minion"/>
        </w:rPr>
        <w:t xml:space="preserve">, </w:t>
      </w:r>
      <w:r w:rsidR="000B6C47" w:rsidRPr="00EB286D">
        <w:rPr>
          <w:rFonts w:ascii="Minion" w:hAnsi="Minion"/>
        </w:rPr>
        <w:t>water</w:t>
      </w:r>
      <w:r w:rsidRPr="00EB286D">
        <w:rPr>
          <w:rFonts w:ascii="Minion" w:hAnsi="Minion"/>
        </w:rPr>
        <w:t xml:space="preserve"> </w:t>
      </w:r>
      <w:r w:rsidR="000B6C47">
        <w:rPr>
          <w:rFonts w:ascii="Minion" w:hAnsi="Minion"/>
        </w:rPr>
        <w:t xml:space="preserve">and 0.1N sodium </w:t>
      </w:r>
      <w:r w:rsidR="005301D8">
        <w:rPr>
          <w:rFonts w:ascii="Minion" w:hAnsi="Minion"/>
        </w:rPr>
        <w:t>hydroxide.</w:t>
      </w:r>
      <w:r w:rsidR="005301D8" w:rsidRPr="00EB286D">
        <w:rPr>
          <w:rFonts w:ascii="Minion" w:hAnsi="Minion"/>
        </w:rPr>
        <w:t xml:space="preserve"> The</w:t>
      </w:r>
      <w:r w:rsidRPr="00EB286D">
        <w:rPr>
          <w:rFonts w:ascii="Minion" w:hAnsi="Minion"/>
        </w:rPr>
        <w:t xml:space="preserve"> melting point is approximately 109°C.</w:t>
      </w:r>
    </w:p>
    <w:p w:rsidR="00EB286D" w:rsidRPr="00EB286D" w:rsidRDefault="00EB286D" w:rsidP="00EB286D">
      <w:pPr>
        <w:rPr>
          <w:rFonts w:ascii="Minion" w:hAnsi="Minion"/>
        </w:rPr>
      </w:pPr>
      <w:r w:rsidRPr="00EB286D">
        <w:rPr>
          <w:rFonts w:ascii="Minion" w:hAnsi="Minion"/>
        </w:rPr>
        <w:t xml:space="preserve">ESBRIET is available as a white hard gelatin capsule for oral administration containing 267 mg of pirfenidone and the following inactive ingredients: </w:t>
      </w:r>
      <w:r w:rsidR="000B6C47">
        <w:rPr>
          <w:rFonts w:ascii="Minion" w:hAnsi="Minion"/>
        </w:rPr>
        <w:t xml:space="preserve"> </w:t>
      </w:r>
      <w:r w:rsidRPr="00EB286D">
        <w:rPr>
          <w:rFonts w:ascii="Minion" w:hAnsi="Minion"/>
        </w:rPr>
        <w:t>microcrystalline</w:t>
      </w:r>
      <w:r w:rsidR="000B6C47">
        <w:rPr>
          <w:rFonts w:ascii="Minion" w:hAnsi="Minion"/>
        </w:rPr>
        <w:t xml:space="preserve"> cellulose</w:t>
      </w:r>
      <w:r w:rsidRPr="00EB286D">
        <w:rPr>
          <w:rFonts w:ascii="Minion" w:hAnsi="Minion"/>
        </w:rPr>
        <w:t>, croscarmellose sodium, povidone, and magnesium stearate. In addition, the capsule shell contains gelatin and titanium dioxide. The capsule brown printing ink includes shellac, iron oxide black, iron oxide red, iron oxide yellow, propylene glycol, ammonium hydroxide.</w:t>
      </w:r>
      <w:r w:rsidRPr="00EB286D">
        <w:rPr>
          <w:rFonts w:ascii="Minion" w:hAnsi="Minion"/>
        </w:rPr>
        <w:tab/>
      </w:r>
    </w:p>
    <w:p w:rsidR="00EB286D" w:rsidRPr="00EB286D" w:rsidRDefault="00EB286D" w:rsidP="00EB286D">
      <w:pPr>
        <w:pStyle w:val="Heading2"/>
      </w:pPr>
      <w:r w:rsidRPr="00EB286D">
        <w:t>PHARMACOLOGY</w:t>
      </w:r>
    </w:p>
    <w:p w:rsidR="00EB286D" w:rsidRPr="00EB286D" w:rsidRDefault="00EB286D" w:rsidP="00EB286D">
      <w:pPr>
        <w:pStyle w:val="Heading3"/>
      </w:pPr>
      <w:r w:rsidRPr="00EB286D">
        <w:t>Pharmacodynamics</w:t>
      </w:r>
    </w:p>
    <w:p w:rsidR="00A32F0B" w:rsidRDefault="00A32F0B" w:rsidP="00EB286D">
      <w:pPr>
        <w:rPr>
          <w:rFonts w:ascii="Minion" w:hAnsi="Minion"/>
        </w:rPr>
      </w:pPr>
      <w:r w:rsidRPr="00A32F0B">
        <w:rPr>
          <w:rFonts w:ascii="Minion" w:hAnsi="Minion"/>
        </w:rPr>
        <w:t xml:space="preserve">The mechanism of action of pirfenidone has not been fully established. </w:t>
      </w:r>
      <w:r>
        <w:rPr>
          <w:rFonts w:ascii="Minion" w:hAnsi="Minion"/>
        </w:rPr>
        <w:t>Idiopathic pulmonary fibrosis (</w:t>
      </w:r>
      <w:r w:rsidRPr="00A32F0B">
        <w:rPr>
          <w:rFonts w:ascii="Minion" w:hAnsi="Minion"/>
        </w:rPr>
        <w:t>IPF</w:t>
      </w:r>
      <w:r>
        <w:rPr>
          <w:rFonts w:ascii="Minion" w:hAnsi="Minion"/>
        </w:rPr>
        <w:t>)</w:t>
      </w:r>
      <w:r w:rsidRPr="00A32F0B">
        <w:rPr>
          <w:rFonts w:ascii="Minion" w:hAnsi="Minion"/>
        </w:rPr>
        <w:t xml:space="preserve"> is a chronic fibrotic and inflammatory pulmonary disease affected by the synthesis and release of pro-inflammatory cytokines including tumour necrosis factor-alpha (TNF-α) and interleukin-1-beta (IL-1β). Existing data indicate that pirfenidone exerts both anti-fibrotic and anti-inflammatory properties in animal models of inflammation and pulmonary fibrosis. </w:t>
      </w:r>
    </w:p>
    <w:p w:rsidR="00EB286D" w:rsidRPr="00EB286D" w:rsidRDefault="00A32F0B" w:rsidP="00EB286D">
      <w:pPr>
        <w:rPr>
          <w:rFonts w:ascii="Minion" w:hAnsi="Minion"/>
        </w:rPr>
      </w:pPr>
      <w:r w:rsidRPr="00A32F0B">
        <w:rPr>
          <w:rFonts w:ascii="Minion" w:hAnsi="Minion"/>
        </w:rPr>
        <w:t>Pirfenidone attenuated the release of pro-inflammatory and pro-fibrotic cytokines in response to inflammatory stimuli in mice at clinically relevant doses. In addition, pirfenidone was able to prevent the development of lung fibrosis when given prophylactically, and arrest further fibrosis development, in the bleomycin-induced model of lung fibrosis. Pirfenidone did not reverse established lung fibrosis in rats at clinically relevant doses.</w:t>
      </w:r>
    </w:p>
    <w:p w:rsidR="00EB286D" w:rsidRPr="00EB286D" w:rsidRDefault="00EB286D" w:rsidP="00EB286D">
      <w:pPr>
        <w:pStyle w:val="Heading3"/>
      </w:pPr>
      <w:r w:rsidRPr="00EB286D">
        <w:lastRenderedPageBreak/>
        <w:t>Pharmacokinetics</w:t>
      </w:r>
    </w:p>
    <w:p w:rsidR="00EB286D" w:rsidRPr="00EB286D" w:rsidRDefault="00EB286D" w:rsidP="00EB286D">
      <w:pPr>
        <w:pStyle w:val="Heading4"/>
      </w:pPr>
      <w:r w:rsidRPr="00EB286D">
        <w:t>Absorption</w:t>
      </w:r>
    </w:p>
    <w:p w:rsidR="00EB286D" w:rsidRPr="00EB286D" w:rsidRDefault="00EB286D" w:rsidP="00EB286D">
      <w:pPr>
        <w:rPr>
          <w:rFonts w:ascii="Minion" w:hAnsi="Minion"/>
        </w:rPr>
      </w:pPr>
      <w:r w:rsidRPr="00EB286D">
        <w:rPr>
          <w:rFonts w:ascii="Minion" w:hAnsi="Minion"/>
        </w:rPr>
        <w:t>Administration of ESBRIET with food results in a large reduction in Cmax (by 50%) and a smaller effect on AUC, compared to the fasted state. Following oral administration of a single dose of 801 mg to healthy older adult volunteers (50–66 years of age) in the fed state, the rate of pirfenidone absorption slowed, while the AUC in the fed state was approximately 80–85% of the AUC observed in the fasted state. A reduced incidence of adverse events (nausea and dizziness) was observed in fed subjects when compared to the fasted group. Therefore, it is recommended that ESBRIET be administered with food to reduce the incidence of nausea and dizziness.</w:t>
      </w:r>
    </w:p>
    <w:p w:rsidR="00EB286D" w:rsidRPr="00EB286D" w:rsidRDefault="00EB286D" w:rsidP="00EB286D">
      <w:pPr>
        <w:rPr>
          <w:rFonts w:ascii="Minion" w:hAnsi="Minion"/>
        </w:rPr>
      </w:pPr>
      <w:r w:rsidRPr="00EB286D">
        <w:rPr>
          <w:rFonts w:ascii="Minion" w:hAnsi="Minion"/>
        </w:rPr>
        <w:t>The bioavailability of pirfenidone has not been determined in humans.</w:t>
      </w:r>
      <w:r w:rsidRPr="00EB286D">
        <w:rPr>
          <w:rFonts w:ascii="Minion" w:hAnsi="Minion"/>
        </w:rPr>
        <w:tab/>
      </w:r>
    </w:p>
    <w:p w:rsidR="00EB286D" w:rsidRPr="00EB286D" w:rsidRDefault="00EB286D" w:rsidP="00EB286D">
      <w:pPr>
        <w:pStyle w:val="Heading4"/>
      </w:pPr>
      <w:r w:rsidRPr="00EB286D">
        <w:t>Distribution</w:t>
      </w:r>
    </w:p>
    <w:p w:rsidR="00EB286D" w:rsidRPr="00EB286D" w:rsidRDefault="00EB286D" w:rsidP="00EB286D">
      <w:pPr>
        <w:rPr>
          <w:rFonts w:ascii="Minion" w:hAnsi="Minion"/>
        </w:rPr>
      </w:pPr>
      <w:r w:rsidRPr="00EB286D">
        <w:rPr>
          <w:rFonts w:ascii="Minion" w:hAnsi="Minion"/>
        </w:rPr>
        <w:t>Pirfenidone binds to human plasma proteins, primarily to serum albumin. The overall mean binding ranged from 50% to</w:t>
      </w:r>
      <w:r w:rsidR="00A32F0B">
        <w:rPr>
          <w:rFonts w:ascii="Minion" w:hAnsi="Minion"/>
        </w:rPr>
        <w:t>62</w:t>
      </w:r>
      <w:r w:rsidRPr="00EB286D">
        <w:rPr>
          <w:rFonts w:ascii="Minion" w:hAnsi="Minion"/>
        </w:rPr>
        <w:t xml:space="preserve">% </w:t>
      </w:r>
      <w:proofErr w:type="gramStart"/>
      <w:r w:rsidRPr="00EB286D">
        <w:rPr>
          <w:rFonts w:ascii="Minion" w:hAnsi="Minion"/>
        </w:rPr>
        <w:t>in  studies</w:t>
      </w:r>
      <w:proofErr w:type="gramEnd"/>
      <w:r w:rsidR="00A32F0B">
        <w:rPr>
          <w:rFonts w:ascii="Minion" w:hAnsi="Minion"/>
        </w:rPr>
        <w:t xml:space="preserve"> conducted </w:t>
      </w:r>
      <w:r w:rsidR="00A32F0B" w:rsidRPr="00A32F0B">
        <w:rPr>
          <w:rFonts w:ascii="Minion" w:hAnsi="Minion"/>
          <w:i/>
        </w:rPr>
        <w:t>in vitro</w:t>
      </w:r>
      <w:r w:rsidRPr="00EB286D">
        <w:rPr>
          <w:rFonts w:ascii="Minion" w:hAnsi="Minion"/>
        </w:rPr>
        <w:t xml:space="preserve"> (1 to 100 μg/mL)</w:t>
      </w:r>
      <w:r w:rsidR="00A32F0B">
        <w:rPr>
          <w:rFonts w:ascii="Minion" w:hAnsi="Minion"/>
        </w:rPr>
        <w:t xml:space="preserve"> and </w:t>
      </w:r>
      <w:r w:rsidR="00A32F0B" w:rsidRPr="00A32F0B">
        <w:rPr>
          <w:rFonts w:ascii="Minion" w:hAnsi="Minion"/>
          <w:i/>
        </w:rPr>
        <w:t>ex vivo</w:t>
      </w:r>
      <w:r w:rsidRPr="00EB286D">
        <w:rPr>
          <w:rFonts w:ascii="Minion" w:hAnsi="Minion"/>
        </w:rPr>
        <w:t>. Mean apparent oral steady-state volume of distribution is approximately 70 L, indicating that pirfenidone distribution to tissues is modest.</w:t>
      </w:r>
    </w:p>
    <w:p w:rsidR="00EB286D" w:rsidRPr="00EB286D" w:rsidRDefault="00EB286D" w:rsidP="00EB286D">
      <w:pPr>
        <w:pStyle w:val="Heading4"/>
      </w:pPr>
      <w:r w:rsidRPr="00EB286D">
        <w:t>Metabolism</w:t>
      </w:r>
    </w:p>
    <w:p w:rsidR="00EB286D" w:rsidRPr="00EB286D" w:rsidRDefault="00EB286D" w:rsidP="00EB286D">
      <w:pPr>
        <w:rPr>
          <w:rFonts w:ascii="Minion" w:hAnsi="Minion"/>
        </w:rPr>
      </w:pPr>
      <w:r w:rsidRPr="00EB286D">
        <w:rPr>
          <w:rFonts w:ascii="Minion" w:hAnsi="Minion"/>
        </w:rPr>
        <w:t xml:space="preserve">In vitro metabolism studies with hepatic microsomes indicate that pirfenidone is metabolized primarily via CYP1A2 with lesser contribution from other CYP isoenzymes including CYP2C9, </w:t>
      </w:r>
      <w:proofErr w:type="gramStart"/>
      <w:r w:rsidRPr="00EB286D">
        <w:rPr>
          <w:rFonts w:ascii="Minion" w:hAnsi="Minion"/>
        </w:rPr>
        <w:t>2C19,</w:t>
      </w:r>
      <w:proofErr w:type="gramEnd"/>
      <w:r w:rsidRPr="00EB286D">
        <w:rPr>
          <w:rFonts w:ascii="Minion" w:hAnsi="Minion"/>
        </w:rPr>
        <w:t xml:space="preserve"> 2D6 and 2E1</w:t>
      </w:r>
      <w:r w:rsidR="002119BD">
        <w:rPr>
          <w:rFonts w:ascii="Minion" w:hAnsi="Minion"/>
        </w:rPr>
        <w:t xml:space="preserve"> (see INTERACTIONS WITH OTHER MEDICINES)</w:t>
      </w:r>
      <w:r w:rsidRPr="00EB286D">
        <w:rPr>
          <w:rFonts w:ascii="Minion" w:hAnsi="Minion"/>
        </w:rPr>
        <w:t>.</w:t>
      </w:r>
      <w:r w:rsidR="00A32F0B" w:rsidRPr="00EB286D" w:rsidDel="00A32F0B">
        <w:rPr>
          <w:rFonts w:ascii="Minion" w:hAnsi="Minion"/>
        </w:rPr>
        <w:t xml:space="preserve"> </w:t>
      </w:r>
      <w:proofErr w:type="gramStart"/>
      <w:r w:rsidRPr="00EB286D">
        <w:rPr>
          <w:rFonts w:ascii="Minion" w:hAnsi="Minion"/>
        </w:rPr>
        <w:t>e</w:t>
      </w:r>
      <w:proofErr w:type="gramEnd"/>
      <w:r w:rsidR="00A32F0B">
        <w:rPr>
          <w:rFonts w:ascii="Minion" w:hAnsi="Minion"/>
        </w:rPr>
        <w:t xml:space="preserve"> </w:t>
      </w:r>
      <w:r w:rsidR="00A32F0B" w:rsidRPr="00A32F0B">
        <w:rPr>
          <w:rFonts w:ascii="Minion" w:hAnsi="Minion"/>
        </w:rPr>
        <w:t>The major metabolite, 5-carboxy-pirfenidone, displays no or only very weak pharmacological activity</w:t>
      </w:r>
      <w:r w:rsidRPr="00EB286D">
        <w:rPr>
          <w:rFonts w:ascii="Minion" w:hAnsi="Minion"/>
        </w:rPr>
        <w:t>.</w:t>
      </w:r>
      <w:r w:rsidRPr="00EB286D">
        <w:rPr>
          <w:rFonts w:ascii="Minion" w:hAnsi="Minion"/>
        </w:rPr>
        <w:tab/>
      </w:r>
    </w:p>
    <w:p w:rsidR="00EB286D" w:rsidRPr="00EB286D" w:rsidRDefault="00EB286D" w:rsidP="00EB286D">
      <w:pPr>
        <w:pStyle w:val="Heading4"/>
      </w:pPr>
      <w:r w:rsidRPr="00EB286D">
        <w:t>Excretion</w:t>
      </w:r>
    </w:p>
    <w:p w:rsidR="00EB286D" w:rsidRDefault="00EB286D" w:rsidP="00EB286D">
      <w:pPr>
        <w:rPr>
          <w:rFonts w:ascii="Minion" w:hAnsi="Minion"/>
        </w:rPr>
      </w:pPr>
      <w:r w:rsidRPr="00EB286D">
        <w:rPr>
          <w:rFonts w:ascii="Minion" w:hAnsi="Minion"/>
        </w:rPr>
        <w:t>The oral clearance of pirfenidone appears modestly saturable. In a multiple dose, dose ranging study in healthy older adults administered doses ranging from 267 mg to 1335 mg three times a day, the mean clearance decreased by approximately 25% above a dose of 801 mg three times a day. Following single dose administration of pirfenidone in healthy older adults, the mean apparent terminal elimination half-life was approximately 2.4 hours. Approximately 80% of an orally administered dose of pirfenidone is cleared in the urine within 24 hours of dosing. The majority of pirfenidone is excreted as the 5-carboxy-pirfenidone metabolite (&gt;95% of that recovered), with less than 1% of pirfenidone excreted unchanged in urine.</w:t>
      </w:r>
      <w:r w:rsidRPr="00EB286D">
        <w:rPr>
          <w:rFonts w:ascii="Minion" w:hAnsi="Minion"/>
        </w:rPr>
        <w:tab/>
      </w:r>
    </w:p>
    <w:p w:rsidR="00C50366" w:rsidRPr="00C50366" w:rsidRDefault="00C50366" w:rsidP="00C50366">
      <w:pPr>
        <w:pStyle w:val="Heading4"/>
      </w:pPr>
      <w:r>
        <w:t>Pharmacokinetics in Special P</w:t>
      </w:r>
      <w:r w:rsidRPr="00C50366">
        <w:t>opulations</w:t>
      </w:r>
    </w:p>
    <w:p w:rsidR="00C50366" w:rsidRPr="003B128F" w:rsidRDefault="00C50366" w:rsidP="003B128F">
      <w:pPr>
        <w:pStyle w:val="Heading5"/>
      </w:pPr>
      <w:r w:rsidRPr="003B128F">
        <w:t>Hepatic impairment</w:t>
      </w:r>
    </w:p>
    <w:p w:rsidR="00C50366" w:rsidRPr="00C50366" w:rsidRDefault="00C50366" w:rsidP="00C50366">
      <w:pPr>
        <w:rPr>
          <w:rFonts w:ascii="Minion" w:hAnsi="Minion"/>
        </w:rPr>
      </w:pPr>
      <w:r w:rsidRPr="00C50366">
        <w:rPr>
          <w:rFonts w:ascii="Minion" w:hAnsi="Minion"/>
        </w:rPr>
        <w:t>The pharmacokinetics of pirfenidone and the 5</w:t>
      </w:r>
      <w:r w:rsidR="0044710D">
        <w:rPr>
          <w:rFonts w:ascii="Minion" w:hAnsi="Minion"/>
        </w:rPr>
        <w:t>-</w:t>
      </w:r>
      <w:r w:rsidRPr="00C50366">
        <w:rPr>
          <w:rFonts w:ascii="Minion" w:hAnsi="Minion"/>
        </w:rPr>
        <w:t xml:space="preserve">carboxy-pirfenidone metabolite were compared in subjects with moderate hepatic impairment (Child Pugh Class B) and in subjects with normal hepatic function. Results showed that there was a mean increase of 60% in pirfenidone exposure after a single dose of 801 mg pirfenidone (3 x 267 mg capsule) in patients with moderate hepatic impairment. Pirfenidone should be used with caution in patients with mild to moderate hepatic impairment and patients should be monitored closely for signs of toxicity especially if they are concomitantly taking a known CYP1A2 inhibitor (see </w:t>
      </w:r>
      <w:r w:rsidR="00C544AC">
        <w:rPr>
          <w:rFonts w:ascii="Minion" w:hAnsi="Minion"/>
        </w:rPr>
        <w:t>PRECA</w:t>
      </w:r>
      <w:r w:rsidR="00C13545">
        <w:rPr>
          <w:rFonts w:ascii="Minion" w:hAnsi="Minion"/>
        </w:rPr>
        <w:t>U</w:t>
      </w:r>
      <w:r w:rsidR="00C544AC">
        <w:rPr>
          <w:rFonts w:ascii="Minion" w:hAnsi="Minion"/>
        </w:rPr>
        <w:t xml:space="preserve">TIONS; </w:t>
      </w:r>
      <w:r w:rsidR="00C544AC">
        <w:rPr>
          <w:rFonts w:ascii="Minion" w:hAnsi="Minion"/>
        </w:rPr>
        <w:lastRenderedPageBreak/>
        <w:t>DOSAGE AND ADMINISTRATION</w:t>
      </w:r>
      <w:r w:rsidRPr="00C50366">
        <w:rPr>
          <w:rFonts w:ascii="Minion" w:hAnsi="Minion"/>
        </w:rPr>
        <w:t xml:space="preserve">). </w:t>
      </w:r>
      <w:r w:rsidR="00CD6AD6">
        <w:rPr>
          <w:rFonts w:ascii="Minion" w:hAnsi="Minion"/>
        </w:rPr>
        <w:t>ESBRIET</w:t>
      </w:r>
      <w:r w:rsidRPr="00C50366">
        <w:rPr>
          <w:rFonts w:ascii="Minion" w:hAnsi="Minion"/>
        </w:rPr>
        <w:t xml:space="preserve"> is contraindicated in severe hepatic impairment and end stage liver disease (see </w:t>
      </w:r>
      <w:r w:rsidR="00C13545">
        <w:rPr>
          <w:rFonts w:ascii="Minion" w:hAnsi="Minion"/>
        </w:rPr>
        <w:t xml:space="preserve">CONTRAINDICATIONS; </w:t>
      </w:r>
      <w:r w:rsidR="00C13545" w:rsidRPr="00C13545">
        <w:rPr>
          <w:rFonts w:ascii="Minion" w:hAnsi="Minion"/>
        </w:rPr>
        <w:t>PRECAUTIONS</w:t>
      </w:r>
      <w:r w:rsidRPr="00C50366">
        <w:rPr>
          <w:rFonts w:ascii="Minion" w:hAnsi="Minion"/>
        </w:rPr>
        <w:t>).</w:t>
      </w:r>
    </w:p>
    <w:p w:rsidR="00C50366" w:rsidRPr="00C50366" w:rsidRDefault="00C50366" w:rsidP="003B128F">
      <w:pPr>
        <w:pStyle w:val="Heading5"/>
      </w:pPr>
      <w:r w:rsidRPr="00C50366">
        <w:t>Renal impairment</w:t>
      </w:r>
    </w:p>
    <w:p w:rsidR="00C50366" w:rsidRPr="00C50366" w:rsidRDefault="00C50366" w:rsidP="00C50366">
      <w:pPr>
        <w:rPr>
          <w:rFonts w:ascii="Minion" w:hAnsi="Minion"/>
        </w:rPr>
      </w:pPr>
      <w:r w:rsidRPr="00C50366">
        <w:rPr>
          <w:rFonts w:ascii="Minion" w:hAnsi="Minion"/>
        </w:rPr>
        <w:t xml:space="preserve">No clinically relevant differences in the pharmacokinetics of pirfenidone were observed in subjects with mild to severe renal impairment compared with subjects with normal renal function. The parent substance is predominantly </w:t>
      </w:r>
      <w:proofErr w:type="spellStart"/>
      <w:r w:rsidRPr="00C50366">
        <w:rPr>
          <w:rFonts w:ascii="Minion" w:hAnsi="Minion"/>
        </w:rPr>
        <w:t>metabolised</w:t>
      </w:r>
      <w:proofErr w:type="spellEnd"/>
      <w:r w:rsidRPr="00C50366">
        <w:rPr>
          <w:rFonts w:ascii="Minion" w:hAnsi="Minion"/>
        </w:rPr>
        <w:t xml:space="preserve"> </w:t>
      </w:r>
      <w:proofErr w:type="gramStart"/>
      <w:r w:rsidRPr="00C50366">
        <w:rPr>
          <w:rFonts w:ascii="Minion" w:hAnsi="Minion"/>
        </w:rPr>
        <w:t xml:space="preserve">to 5 </w:t>
      </w:r>
      <w:proofErr w:type="spellStart"/>
      <w:r w:rsidRPr="00C50366">
        <w:rPr>
          <w:rFonts w:ascii="Minion" w:hAnsi="Minion"/>
        </w:rPr>
        <w:t>carboxy-pirfenidone</w:t>
      </w:r>
      <w:proofErr w:type="spellEnd"/>
      <w:r w:rsidRPr="00C50366">
        <w:rPr>
          <w:rFonts w:ascii="Minion" w:hAnsi="Minion"/>
        </w:rPr>
        <w:t>,</w:t>
      </w:r>
      <w:proofErr w:type="gramEnd"/>
      <w:r w:rsidRPr="00C50366">
        <w:rPr>
          <w:rFonts w:ascii="Minion" w:hAnsi="Minion"/>
        </w:rPr>
        <w:t xml:space="preserve"> and the pharmacokinetics of this metabolite is altered in subjects with moderate to severe renal impairment. However, the predicted amount of metabolite accumulation at steady state is not pharmacodynamically important because the terminal elimination </w:t>
      </w:r>
      <w:r w:rsidR="002E525B" w:rsidRPr="00C50366">
        <w:rPr>
          <w:rFonts w:ascii="Minion" w:hAnsi="Minion"/>
        </w:rPr>
        <w:t>half-life</w:t>
      </w:r>
      <w:r w:rsidRPr="00C50366">
        <w:rPr>
          <w:rFonts w:ascii="Minion" w:hAnsi="Minion"/>
        </w:rPr>
        <w:t xml:space="preserve"> is only 1–2 hours in these subjects. No dose adjustment is required in patients with mild to moderate renal impairment who are receiving pirfenidone. The use of pirfenidone is contraindicated in patients with severe renal impairment (CrCl &lt;30ml/min) or end stage renal disease requiring dialysis (</w:t>
      </w:r>
      <w:r w:rsidR="008C7C6E" w:rsidRPr="00C50366">
        <w:rPr>
          <w:rFonts w:ascii="Minion" w:hAnsi="Minion"/>
        </w:rPr>
        <w:t>see PRECAUTIONS</w:t>
      </w:r>
      <w:proofErr w:type="gramStart"/>
      <w:r w:rsidR="00C13545">
        <w:rPr>
          <w:rFonts w:ascii="Minion" w:hAnsi="Minion"/>
        </w:rPr>
        <w:t xml:space="preserve">; </w:t>
      </w:r>
      <w:r w:rsidR="00CD6AD6">
        <w:rPr>
          <w:rFonts w:ascii="Minion" w:hAnsi="Minion"/>
        </w:rPr>
        <w:t xml:space="preserve"> </w:t>
      </w:r>
      <w:r w:rsidR="00C13545">
        <w:rPr>
          <w:rFonts w:ascii="Minion" w:hAnsi="Minion"/>
        </w:rPr>
        <w:t>DOSAGE</w:t>
      </w:r>
      <w:proofErr w:type="gramEnd"/>
      <w:r w:rsidR="00C13545">
        <w:rPr>
          <w:rFonts w:ascii="Minion" w:hAnsi="Minion"/>
        </w:rPr>
        <w:t xml:space="preserve"> AND ADMINISTRATION</w:t>
      </w:r>
      <w:r w:rsidRPr="00C50366">
        <w:rPr>
          <w:rFonts w:ascii="Minion" w:hAnsi="Minion"/>
        </w:rPr>
        <w:t>).</w:t>
      </w:r>
    </w:p>
    <w:p w:rsidR="00C50366" w:rsidRPr="00EB286D" w:rsidRDefault="00C50366" w:rsidP="00C50366">
      <w:pPr>
        <w:rPr>
          <w:rFonts w:ascii="Minion" w:hAnsi="Minion"/>
        </w:rPr>
      </w:pPr>
      <w:r w:rsidRPr="00C50366">
        <w:rPr>
          <w:rFonts w:ascii="Minion" w:hAnsi="Minion"/>
        </w:rPr>
        <w:t>Population pharmacokinetic analyses from 4 studies in healthy subjects or subjects with renal impairment and one study in patients with IPF showed no clinically relevant effect of age, gender or body size on the pharmacokinetics of pirfenidone.</w:t>
      </w:r>
    </w:p>
    <w:p w:rsidR="00EB286D" w:rsidRPr="00EB286D" w:rsidRDefault="00EB286D" w:rsidP="00EB286D">
      <w:pPr>
        <w:pStyle w:val="Heading2"/>
      </w:pPr>
      <w:r w:rsidRPr="00EB286D">
        <w:t>CLINICAL TRIALS</w:t>
      </w:r>
    </w:p>
    <w:p w:rsidR="00EB286D" w:rsidRPr="00EB286D" w:rsidRDefault="00EB286D" w:rsidP="00EB286D">
      <w:pPr>
        <w:rPr>
          <w:rFonts w:ascii="Minion" w:hAnsi="Minion"/>
        </w:rPr>
      </w:pPr>
      <w:r w:rsidRPr="00EB286D">
        <w:rPr>
          <w:rFonts w:ascii="Minion" w:hAnsi="Minion"/>
        </w:rPr>
        <w:t xml:space="preserve">The clinical efficacy of ESBRIET has been studied in three multinational, Phase 3, </w:t>
      </w:r>
      <w:r w:rsidR="004B2F36" w:rsidRPr="00EB286D">
        <w:rPr>
          <w:rFonts w:ascii="Minion" w:hAnsi="Minion"/>
        </w:rPr>
        <w:t>multicenter</w:t>
      </w:r>
      <w:r w:rsidRPr="00EB286D">
        <w:rPr>
          <w:rFonts w:ascii="Minion" w:hAnsi="Minion"/>
        </w:rPr>
        <w:t>, randomized, double-blind, placebo-controlled studies in patients with idiopathic pulmonary fibrosis (IPF): PIPF 004, PIPF 006 (CAPACITY) and PIPF-016 (ASCEND).</w:t>
      </w:r>
    </w:p>
    <w:p w:rsidR="00EB286D" w:rsidRPr="00EB286D" w:rsidRDefault="00EB286D" w:rsidP="00EB286D">
      <w:pPr>
        <w:rPr>
          <w:rFonts w:ascii="Minion" w:hAnsi="Minion"/>
        </w:rPr>
      </w:pPr>
      <w:r w:rsidRPr="00EB286D">
        <w:rPr>
          <w:rFonts w:ascii="Minion" w:hAnsi="Minion"/>
        </w:rPr>
        <w:t>PIPF 004 and PIPF 006 compared treatment with ESBRIET 2403 mg/day to placebo. The studies were nearly identical in design, with few exceptions including an intermediate dose group (1197 mg/day) in PIPF 004. In both studies, treatment was administered three times daily for a minimum of 72 weeks. The primary endpoint in both studies was the change from baseline to Week 72 in percent predicted Forced Vital Capacity (FVC).</w:t>
      </w:r>
      <w:r w:rsidRPr="00EB286D">
        <w:rPr>
          <w:rFonts w:ascii="Minion" w:hAnsi="Minion"/>
        </w:rPr>
        <w:tab/>
      </w:r>
    </w:p>
    <w:p w:rsidR="00EB286D" w:rsidRPr="00EB286D" w:rsidRDefault="00EB286D" w:rsidP="00EB286D">
      <w:pPr>
        <w:rPr>
          <w:rFonts w:ascii="Minion" w:hAnsi="Minion"/>
        </w:rPr>
      </w:pPr>
      <w:r w:rsidRPr="00EB286D">
        <w:rPr>
          <w:rFonts w:ascii="Minion" w:hAnsi="Minion"/>
        </w:rPr>
        <w:t>In study PIPF 004, the decline in percent predicted FVC from baseline at Week 72 of treatment was significantly reduced in patients receiving ESBRIET (N = 174) compared with patients receiving placebo (N = 174; p = 0.001, rank ANCOVA). Treatment with ESBRIET also significantly reduced the decline in percent predicted FVC from baseline at Weeks 24 (p = 0.014), 36 (p &lt; 0.001), 48 (p &lt; 0.001), and 60 (p &lt; 0.001). At Week 72, a decline from baseline in percent predicted FVC of ≥10% (a threshold indicative of the risk of mortality in IPF) was seen in 20% of patients receiving ESBRIET compared to 35% receiving placebo (Table 1).</w:t>
      </w:r>
    </w:p>
    <w:p w:rsidR="00D46F1B" w:rsidRDefault="00D46F1B">
      <w:pPr>
        <w:rPr>
          <w:rFonts w:ascii="Minion" w:hAnsi="Minion"/>
          <w:b/>
        </w:rPr>
      </w:pPr>
      <w:r>
        <w:rPr>
          <w:rFonts w:ascii="Minion" w:hAnsi="Minion"/>
          <w:b/>
        </w:rPr>
        <w:br w:type="page"/>
      </w:r>
    </w:p>
    <w:p w:rsidR="00EB286D" w:rsidRPr="00EB286D" w:rsidRDefault="00EB286D" w:rsidP="00EB286D">
      <w:pPr>
        <w:rPr>
          <w:rFonts w:ascii="Minion" w:hAnsi="Minion"/>
          <w:b/>
        </w:rPr>
      </w:pPr>
      <w:r w:rsidRPr="00EB286D">
        <w:rPr>
          <w:rFonts w:ascii="Minion" w:hAnsi="Minion"/>
          <w:b/>
        </w:rPr>
        <w:lastRenderedPageBreak/>
        <w:t>Table 1: Categorical Assessment of Change from Baseline to Week 72 in Percent Predicted FVC in Study PIPF-004</w:t>
      </w:r>
    </w:p>
    <w:tbl>
      <w:tblPr>
        <w:tblStyle w:val="C-Table"/>
        <w:tblW w:w="6846" w:type="dxa"/>
        <w:jc w:val="center"/>
        <w:tblInd w:w="250" w:type="dxa"/>
        <w:tblLook w:val="04A0" w:firstRow="1" w:lastRow="0" w:firstColumn="1" w:lastColumn="0" w:noHBand="0" w:noVBand="1"/>
      </w:tblPr>
      <w:tblGrid>
        <w:gridCol w:w="4107"/>
        <w:gridCol w:w="1408"/>
        <w:gridCol w:w="1331"/>
      </w:tblGrid>
      <w:tr w:rsidR="00EB286D" w:rsidRPr="00EB286D" w:rsidTr="00C50366">
        <w:trPr>
          <w:cantSplit w:val="0"/>
          <w:jc w:val="center"/>
        </w:trPr>
        <w:tc>
          <w:tcPr>
            <w:tcW w:w="4107" w:type="dxa"/>
          </w:tcPr>
          <w:p w:rsidR="00EB286D" w:rsidRPr="00EB286D" w:rsidRDefault="00EB286D" w:rsidP="00EB286D">
            <w:pPr>
              <w:pStyle w:val="C-TableText"/>
              <w:keepNext/>
              <w:keepLines/>
              <w:jc w:val="both"/>
              <w:rPr>
                <w:rFonts w:ascii="Minion" w:hAnsi="Minion"/>
                <w:b/>
                <w:lang w:val="en-GB"/>
              </w:rPr>
            </w:pPr>
          </w:p>
        </w:tc>
        <w:tc>
          <w:tcPr>
            <w:tcW w:w="1408" w:type="dxa"/>
            <w:hideMark/>
          </w:tcPr>
          <w:p w:rsidR="00EB286D" w:rsidRPr="00EB286D" w:rsidRDefault="00EB286D" w:rsidP="00EB286D">
            <w:pPr>
              <w:pStyle w:val="C-TableText"/>
              <w:keepNext/>
              <w:keepLines/>
              <w:jc w:val="both"/>
              <w:rPr>
                <w:rFonts w:ascii="Minion" w:hAnsi="Minion"/>
                <w:b/>
              </w:rPr>
            </w:pPr>
            <w:r w:rsidRPr="00EB286D">
              <w:rPr>
                <w:rFonts w:ascii="Minion" w:hAnsi="Minion"/>
                <w:b/>
              </w:rPr>
              <w:t>Pirfenidone 2403 mg/day (N = 174)</w:t>
            </w:r>
          </w:p>
        </w:tc>
        <w:tc>
          <w:tcPr>
            <w:tcW w:w="1331" w:type="dxa"/>
            <w:hideMark/>
          </w:tcPr>
          <w:p w:rsidR="00EB286D" w:rsidRPr="00EB286D" w:rsidRDefault="00EB286D" w:rsidP="00EB286D">
            <w:pPr>
              <w:pStyle w:val="C-TableText"/>
              <w:keepNext/>
              <w:keepLines/>
              <w:jc w:val="both"/>
              <w:rPr>
                <w:rFonts w:ascii="Minion" w:hAnsi="Minion"/>
                <w:b/>
              </w:rPr>
            </w:pPr>
            <w:r w:rsidRPr="00EB286D">
              <w:rPr>
                <w:rFonts w:ascii="Minion" w:hAnsi="Minion"/>
                <w:b/>
              </w:rPr>
              <w:t>Placebo (N = 174)</w:t>
            </w:r>
          </w:p>
        </w:tc>
      </w:tr>
      <w:tr w:rsidR="00EB286D" w:rsidRPr="00EB286D" w:rsidTr="00C50366">
        <w:trPr>
          <w:cantSplit w:val="0"/>
          <w:jc w:val="center"/>
        </w:trPr>
        <w:tc>
          <w:tcPr>
            <w:tcW w:w="4107" w:type="dxa"/>
            <w:hideMark/>
          </w:tcPr>
          <w:p w:rsidR="00EB286D" w:rsidRPr="00EB286D" w:rsidRDefault="00EB286D" w:rsidP="00EB286D">
            <w:pPr>
              <w:pStyle w:val="C-TableText"/>
              <w:keepNext/>
              <w:keepLines/>
              <w:jc w:val="both"/>
              <w:rPr>
                <w:rFonts w:ascii="Minion" w:hAnsi="Minion"/>
              </w:rPr>
            </w:pPr>
            <w:r w:rsidRPr="00EB286D">
              <w:rPr>
                <w:rFonts w:ascii="Minion" w:hAnsi="Minion"/>
              </w:rPr>
              <w:t>Decline of ≥10% or death or lung transplant</w:t>
            </w:r>
          </w:p>
        </w:tc>
        <w:tc>
          <w:tcPr>
            <w:tcW w:w="1408" w:type="dxa"/>
            <w:hideMark/>
          </w:tcPr>
          <w:p w:rsidR="00EB286D" w:rsidRPr="00EB286D" w:rsidRDefault="00EB286D" w:rsidP="00EB286D">
            <w:pPr>
              <w:pStyle w:val="C-TableText"/>
              <w:keepNext/>
              <w:keepLines/>
              <w:jc w:val="both"/>
              <w:rPr>
                <w:rFonts w:ascii="Minion" w:hAnsi="Minion"/>
              </w:rPr>
            </w:pPr>
            <w:r w:rsidRPr="00EB286D">
              <w:rPr>
                <w:rFonts w:ascii="Minion" w:hAnsi="Minion"/>
              </w:rPr>
              <w:t>35 (20%)</w:t>
            </w:r>
          </w:p>
        </w:tc>
        <w:tc>
          <w:tcPr>
            <w:tcW w:w="1331" w:type="dxa"/>
            <w:hideMark/>
          </w:tcPr>
          <w:p w:rsidR="00EB286D" w:rsidRPr="00EB286D" w:rsidRDefault="00EB286D" w:rsidP="00EB286D">
            <w:pPr>
              <w:pStyle w:val="C-TableText"/>
              <w:keepNext/>
              <w:keepLines/>
              <w:jc w:val="both"/>
              <w:rPr>
                <w:rFonts w:ascii="Minion" w:hAnsi="Minion"/>
              </w:rPr>
            </w:pPr>
            <w:r w:rsidRPr="00EB286D">
              <w:rPr>
                <w:rFonts w:ascii="Minion" w:hAnsi="Minion"/>
              </w:rPr>
              <w:t>60 (35%)</w:t>
            </w:r>
          </w:p>
        </w:tc>
      </w:tr>
      <w:tr w:rsidR="00EB286D" w:rsidRPr="00EB286D" w:rsidTr="00C50366">
        <w:trPr>
          <w:cantSplit w:val="0"/>
          <w:jc w:val="center"/>
        </w:trPr>
        <w:tc>
          <w:tcPr>
            <w:tcW w:w="4107" w:type="dxa"/>
            <w:hideMark/>
          </w:tcPr>
          <w:p w:rsidR="00EB286D" w:rsidRPr="00EB286D" w:rsidRDefault="00EB286D" w:rsidP="00EB286D">
            <w:pPr>
              <w:pStyle w:val="C-TableText"/>
              <w:keepNext/>
              <w:keepLines/>
              <w:jc w:val="both"/>
              <w:rPr>
                <w:rFonts w:ascii="Minion" w:hAnsi="Minion"/>
              </w:rPr>
            </w:pPr>
            <w:r w:rsidRPr="00EB286D">
              <w:rPr>
                <w:rFonts w:ascii="Minion" w:hAnsi="Minion"/>
              </w:rPr>
              <w:t>Decline of less than 10%</w:t>
            </w:r>
          </w:p>
        </w:tc>
        <w:tc>
          <w:tcPr>
            <w:tcW w:w="1408" w:type="dxa"/>
            <w:hideMark/>
          </w:tcPr>
          <w:p w:rsidR="00EB286D" w:rsidRPr="00EB286D" w:rsidRDefault="00EB286D" w:rsidP="00EB286D">
            <w:pPr>
              <w:pStyle w:val="C-TableText"/>
              <w:keepNext/>
              <w:keepLines/>
              <w:jc w:val="both"/>
              <w:rPr>
                <w:rFonts w:ascii="Minion" w:hAnsi="Minion"/>
              </w:rPr>
            </w:pPr>
            <w:r w:rsidRPr="00EB286D">
              <w:rPr>
                <w:rFonts w:ascii="Minion" w:hAnsi="Minion"/>
              </w:rPr>
              <w:t>97 (56%)</w:t>
            </w:r>
          </w:p>
        </w:tc>
        <w:tc>
          <w:tcPr>
            <w:tcW w:w="1331" w:type="dxa"/>
            <w:hideMark/>
          </w:tcPr>
          <w:p w:rsidR="00EB286D" w:rsidRPr="00EB286D" w:rsidRDefault="00EB286D" w:rsidP="00EB286D">
            <w:pPr>
              <w:pStyle w:val="C-TableText"/>
              <w:keepNext/>
              <w:keepLines/>
              <w:jc w:val="both"/>
              <w:rPr>
                <w:rFonts w:ascii="Minion" w:hAnsi="Minion"/>
              </w:rPr>
            </w:pPr>
            <w:r w:rsidRPr="00EB286D">
              <w:rPr>
                <w:rFonts w:ascii="Minion" w:hAnsi="Minion"/>
              </w:rPr>
              <w:t>90 (52%)</w:t>
            </w:r>
          </w:p>
        </w:tc>
      </w:tr>
      <w:tr w:rsidR="00EB286D" w:rsidRPr="00EB286D" w:rsidTr="00C50366">
        <w:trPr>
          <w:cantSplit w:val="0"/>
          <w:jc w:val="center"/>
        </w:trPr>
        <w:tc>
          <w:tcPr>
            <w:tcW w:w="4107" w:type="dxa"/>
            <w:hideMark/>
          </w:tcPr>
          <w:p w:rsidR="00EB286D" w:rsidRPr="00EB286D" w:rsidRDefault="00EB286D" w:rsidP="00EB286D">
            <w:pPr>
              <w:pStyle w:val="C-TableText"/>
              <w:keepNext/>
              <w:keepLines/>
              <w:jc w:val="both"/>
              <w:rPr>
                <w:rFonts w:ascii="Minion" w:hAnsi="Minion"/>
              </w:rPr>
            </w:pPr>
            <w:r w:rsidRPr="00EB286D">
              <w:rPr>
                <w:rFonts w:ascii="Minion" w:hAnsi="Minion"/>
              </w:rPr>
              <w:t>No decline (FVC change &gt;0%)</w:t>
            </w:r>
          </w:p>
        </w:tc>
        <w:tc>
          <w:tcPr>
            <w:tcW w:w="1408" w:type="dxa"/>
            <w:hideMark/>
          </w:tcPr>
          <w:p w:rsidR="00EB286D" w:rsidRPr="00EB286D" w:rsidRDefault="00EB286D" w:rsidP="00EB286D">
            <w:pPr>
              <w:pStyle w:val="C-TableText"/>
              <w:keepNext/>
              <w:keepLines/>
              <w:jc w:val="both"/>
              <w:rPr>
                <w:rFonts w:ascii="Minion" w:hAnsi="Minion"/>
              </w:rPr>
            </w:pPr>
            <w:r w:rsidRPr="00EB286D">
              <w:rPr>
                <w:rFonts w:ascii="Minion" w:hAnsi="Minion"/>
              </w:rPr>
              <w:t>42 (24%)</w:t>
            </w:r>
          </w:p>
        </w:tc>
        <w:tc>
          <w:tcPr>
            <w:tcW w:w="1331" w:type="dxa"/>
            <w:hideMark/>
          </w:tcPr>
          <w:p w:rsidR="00EB286D" w:rsidRPr="00EB286D" w:rsidRDefault="00EB286D" w:rsidP="00EB286D">
            <w:pPr>
              <w:pStyle w:val="C-TableText"/>
              <w:keepNext/>
              <w:keepLines/>
              <w:jc w:val="both"/>
              <w:rPr>
                <w:rFonts w:ascii="Minion" w:hAnsi="Minion"/>
              </w:rPr>
            </w:pPr>
            <w:r w:rsidRPr="00EB286D">
              <w:rPr>
                <w:rFonts w:ascii="Minion" w:hAnsi="Minion"/>
              </w:rPr>
              <w:t>24 (14%)</w:t>
            </w:r>
          </w:p>
        </w:tc>
      </w:tr>
    </w:tbl>
    <w:p w:rsidR="00EB286D" w:rsidRPr="00EB286D" w:rsidRDefault="00EB286D" w:rsidP="00EB286D">
      <w:pPr>
        <w:rPr>
          <w:rFonts w:ascii="Minion" w:hAnsi="Minion"/>
        </w:rPr>
      </w:pPr>
    </w:p>
    <w:p w:rsidR="00EB286D" w:rsidRPr="00EB286D" w:rsidRDefault="00EB286D" w:rsidP="00EB286D">
      <w:pPr>
        <w:rPr>
          <w:rFonts w:ascii="Minion" w:hAnsi="Minion"/>
        </w:rPr>
      </w:pPr>
      <w:r w:rsidRPr="00EB286D">
        <w:rPr>
          <w:rFonts w:ascii="Minion" w:hAnsi="Minion"/>
        </w:rPr>
        <w:t>Although there was no difference between patients receiving ESBRIET compared to placebo in change from baseline to Week 72 of distance walked during a six minute walk test (6MWT) by the pre-specified rank ANCOVA, in an ad hoc analysis, 37% of patients receiving ESBRIET showed a decline of ≥50 m in 6MWT distance, compared to 47% of patients receiving placebo in PIPF-004.</w:t>
      </w:r>
    </w:p>
    <w:p w:rsidR="00EB286D" w:rsidRPr="00EB286D" w:rsidRDefault="00EB286D" w:rsidP="00EB286D">
      <w:pPr>
        <w:rPr>
          <w:rFonts w:ascii="Minion" w:hAnsi="Minion"/>
        </w:rPr>
      </w:pPr>
      <w:r w:rsidRPr="00EB286D">
        <w:rPr>
          <w:rFonts w:ascii="Minion" w:hAnsi="Minion"/>
        </w:rPr>
        <w:t>In study PIPF 006, treatment with ESBRIET (N = 171) did not reduce the decline in percent predicted FVC from baseline at Week 72 compared with placebo (N = 173; p = 0.501). However, treatment with ESBRIET reduced the decline in percent predicted FVC from baseline at Weeks 24 (p &lt; 0.001), 36 (p = 0.011), and 48 (p = 0.005). At Week 72, a decline in FVC of ≥10% was seen in 23% of patients receiving ESBRIET and 27% receiving placebo (Table 2).</w:t>
      </w:r>
    </w:p>
    <w:p w:rsidR="00EB286D" w:rsidRPr="00EB286D" w:rsidRDefault="00EB286D" w:rsidP="00C50366">
      <w:pPr>
        <w:rPr>
          <w:rFonts w:ascii="Minion" w:hAnsi="Minion"/>
          <w:b/>
        </w:rPr>
      </w:pPr>
      <w:r w:rsidRPr="00EB286D">
        <w:rPr>
          <w:rFonts w:ascii="Minion" w:hAnsi="Minion"/>
          <w:b/>
        </w:rPr>
        <w:t>Table 2: Categorical Assessment of Change from Baseline to Week 72 in Percent Predicted FVC in Study PIPF-006</w:t>
      </w:r>
    </w:p>
    <w:tbl>
      <w:tblPr>
        <w:tblStyle w:val="C-Table"/>
        <w:tblW w:w="7145" w:type="dxa"/>
        <w:jc w:val="center"/>
        <w:tblLook w:val="04A0" w:firstRow="1" w:lastRow="0" w:firstColumn="1" w:lastColumn="0" w:noHBand="0" w:noVBand="1"/>
      </w:tblPr>
      <w:tblGrid>
        <w:gridCol w:w="4197"/>
        <w:gridCol w:w="1563"/>
        <w:gridCol w:w="1385"/>
      </w:tblGrid>
      <w:tr w:rsidR="00EB286D" w:rsidRPr="00EB286D" w:rsidTr="00C50366">
        <w:trPr>
          <w:cantSplit w:val="0"/>
          <w:jc w:val="center"/>
        </w:trPr>
        <w:tc>
          <w:tcPr>
            <w:tcW w:w="4197" w:type="dxa"/>
          </w:tcPr>
          <w:p w:rsidR="00EB286D" w:rsidRPr="00EB286D" w:rsidRDefault="00EB286D" w:rsidP="00C50366">
            <w:pPr>
              <w:pStyle w:val="C-TableText"/>
              <w:keepNext/>
              <w:keepLines/>
              <w:jc w:val="both"/>
              <w:rPr>
                <w:rFonts w:ascii="Minion" w:hAnsi="Minion"/>
                <w:b/>
                <w:sz w:val="22"/>
                <w:szCs w:val="22"/>
              </w:rPr>
            </w:pPr>
          </w:p>
        </w:tc>
        <w:tc>
          <w:tcPr>
            <w:tcW w:w="1563" w:type="dxa"/>
            <w:hideMark/>
          </w:tcPr>
          <w:p w:rsidR="00EB286D" w:rsidRPr="00EB286D" w:rsidRDefault="00EB286D" w:rsidP="00EB286D">
            <w:pPr>
              <w:pStyle w:val="C-TableText"/>
              <w:keepNext/>
              <w:keepLines/>
              <w:jc w:val="both"/>
              <w:rPr>
                <w:rFonts w:ascii="Minion" w:hAnsi="Minion"/>
                <w:b/>
                <w:sz w:val="22"/>
                <w:szCs w:val="22"/>
              </w:rPr>
            </w:pPr>
            <w:r w:rsidRPr="00EB286D">
              <w:rPr>
                <w:rFonts w:ascii="Minion" w:hAnsi="Minion"/>
                <w:b/>
                <w:sz w:val="22"/>
                <w:szCs w:val="22"/>
              </w:rPr>
              <w:t>Pirfenidone 2403 mg/day (N = 171)</w:t>
            </w:r>
          </w:p>
        </w:tc>
        <w:tc>
          <w:tcPr>
            <w:tcW w:w="1385" w:type="dxa"/>
            <w:hideMark/>
          </w:tcPr>
          <w:p w:rsidR="00EB286D" w:rsidRPr="00EB286D" w:rsidRDefault="00EB286D" w:rsidP="00EB286D">
            <w:pPr>
              <w:pStyle w:val="C-TableText"/>
              <w:keepNext/>
              <w:keepLines/>
              <w:jc w:val="both"/>
              <w:rPr>
                <w:rFonts w:ascii="Minion" w:hAnsi="Minion"/>
                <w:b/>
                <w:sz w:val="22"/>
                <w:szCs w:val="22"/>
              </w:rPr>
            </w:pPr>
            <w:r w:rsidRPr="00EB286D">
              <w:rPr>
                <w:rFonts w:ascii="Minion" w:hAnsi="Minion"/>
                <w:b/>
                <w:sz w:val="22"/>
                <w:szCs w:val="22"/>
              </w:rPr>
              <w:t>Placebo (N = 173)</w:t>
            </w:r>
          </w:p>
        </w:tc>
      </w:tr>
      <w:tr w:rsidR="00EB286D" w:rsidRPr="00EB286D" w:rsidTr="00C50366">
        <w:trPr>
          <w:cantSplit w:val="0"/>
          <w:jc w:val="center"/>
        </w:trPr>
        <w:tc>
          <w:tcPr>
            <w:tcW w:w="4197"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Decline of ≥10% or death or lung transplant</w:t>
            </w:r>
          </w:p>
        </w:tc>
        <w:tc>
          <w:tcPr>
            <w:tcW w:w="1563"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39 (23%)</w:t>
            </w:r>
          </w:p>
        </w:tc>
        <w:tc>
          <w:tcPr>
            <w:tcW w:w="1385"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46 (27%)</w:t>
            </w:r>
          </w:p>
        </w:tc>
      </w:tr>
      <w:tr w:rsidR="00EB286D" w:rsidRPr="00EB286D" w:rsidTr="00C50366">
        <w:trPr>
          <w:cantSplit w:val="0"/>
          <w:jc w:val="center"/>
        </w:trPr>
        <w:tc>
          <w:tcPr>
            <w:tcW w:w="4197"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Decline of less than 10%</w:t>
            </w:r>
          </w:p>
        </w:tc>
        <w:tc>
          <w:tcPr>
            <w:tcW w:w="1563"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88 (52%)</w:t>
            </w:r>
          </w:p>
        </w:tc>
        <w:tc>
          <w:tcPr>
            <w:tcW w:w="1385"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89 (51%)</w:t>
            </w:r>
          </w:p>
        </w:tc>
      </w:tr>
      <w:tr w:rsidR="00EB286D" w:rsidRPr="00EB286D" w:rsidTr="00C50366">
        <w:trPr>
          <w:cantSplit w:val="0"/>
          <w:jc w:val="center"/>
        </w:trPr>
        <w:tc>
          <w:tcPr>
            <w:tcW w:w="4197"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No decline</w:t>
            </w:r>
            <w:r w:rsidRPr="00EB286D">
              <w:rPr>
                <w:rFonts w:ascii="Minion" w:hAnsi="Minion"/>
                <w:sz w:val="22"/>
                <w:szCs w:val="22"/>
                <w:vertAlign w:val="superscript"/>
              </w:rPr>
              <w:t xml:space="preserve"> </w:t>
            </w:r>
            <w:r w:rsidRPr="00EB286D">
              <w:rPr>
                <w:rFonts w:ascii="Minion" w:hAnsi="Minion"/>
                <w:sz w:val="22"/>
                <w:szCs w:val="22"/>
              </w:rPr>
              <w:t>(FVC change &gt;0%)</w:t>
            </w:r>
          </w:p>
        </w:tc>
        <w:tc>
          <w:tcPr>
            <w:tcW w:w="1563"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44 (26%)</w:t>
            </w:r>
          </w:p>
        </w:tc>
        <w:tc>
          <w:tcPr>
            <w:tcW w:w="1385"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38 (22%)</w:t>
            </w:r>
          </w:p>
        </w:tc>
      </w:tr>
    </w:tbl>
    <w:p w:rsidR="00EB286D" w:rsidRPr="00EB286D" w:rsidRDefault="00EB286D" w:rsidP="00EB286D">
      <w:pPr>
        <w:rPr>
          <w:rFonts w:ascii="Minion" w:hAnsi="Minion"/>
        </w:rPr>
      </w:pPr>
    </w:p>
    <w:p w:rsidR="00EB286D" w:rsidRPr="00EB286D" w:rsidRDefault="00EB286D" w:rsidP="00EB286D">
      <w:pPr>
        <w:rPr>
          <w:rFonts w:ascii="Minion" w:hAnsi="Minion"/>
        </w:rPr>
      </w:pPr>
      <w:r w:rsidRPr="00EB286D">
        <w:rPr>
          <w:rFonts w:ascii="Minion" w:hAnsi="Minion"/>
        </w:rPr>
        <w:t>The decline in 6MWT distance from baseline to Week 72 was significantly reduced compared with placebo (p &lt; 0.001, rank ANCOVA). Additionally, in an ad hoc analysis, 33% of patients receiving ESBRIET showed a decline of ≥50 m in 6MWT distance, compared to 47% of patients receiving placebo.</w:t>
      </w:r>
    </w:p>
    <w:p w:rsidR="00EB286D" w:rsidRPr="00EB286D" w:rsidRDefault="00EB286D" w:rsidP="00EB286D">
      <w:pPr>
        <w:rPr>
          <w:rFonts w:ascii="Minion" w:hAnsi="Minion"/>
        </w:rPr>
      </w:pPr>
      <w:r w:rsidRPr="00EB286D">
        <w:rPr>
          <w:rFonts w:ascii="Minion" w:hAnsi="Minion"/>
        </w:rPr>
        <w:t>In a pooled analysis of survival in PIPF 004 and PIPF 006 the mortality rate with ESBRIET 2403 mg/day group was 7.8% compared with 9.8% with placebo (HR 0.77 [95% CI, 0.47–1.28]).</w:t>
      </w:r>
    </w:p>
    <w:p w:rsidR="00C50366" w:rsidRDefault="00C50366" w:rsidP="00EB286D">
      <w:pPr>
        <w:rPr>
          <w:rFonts w:ascii="Minion" w:hAnsi="Minion"/>
        </w:rPr>
      </w:pPr>
      <w:r w:rsidRPr="00C50366">
        <w:rPr>
          <w:rFonts w:ascii="Minion" w:hAnsi="Minion"/>
        </w:rPr>
        <w:t xml:space="preserve">PIPF-016 compared treatment with </w:t>
      </w:r>
      <w:r w:rsidR="00AA577B" w:rsidRPr="00C50366">
        <w:rPr>
          <w:rFonts w:ascii="Minion" w:hAnsi="Minion"/>
        </w:rPr>
        <w:t>E</w:t>
      </w:r>
      <w:r w:rsidR="00AA577B">
        <w:rPr>
          <w:rFonts w:ascii="Minion" w:hAnsi="Minion"/>
        </w:rPr>
        <w:t xml:space="preserve">SBRIET </w:t>
      </w:r>
      <w:r w:rsidR="00AA577B" w:rsidRPr="00C50366">
        <w:rPr>
          <w:rFonts w:ascii="Minion" w:hAnsi="Minion"/>
        </w:rPr>
        <w:t>2,403</w:t>
      </w:r>
      <w:r w:rsidRPr="00C50366">
        <w:rPr>
          <w:rFonts w:ascii="Minion" w:hAnsi="Minion"/>
        </w:rPr>
        <w:t xml:space="preserve"> mg/day to placebo. Treatment was administered three times daily for 52 weeks. The primary endpoint was the change from Baseline to Week 52 in percent predicted FVC. In a total of 555 patients, the median baseline </w:t>
      </w:r>
      <w:r w:rsidRPr="00C50366">
        <w:rPr>
          <w:rFonts w:ascii="Minion" w:hAnsi="Minion"/>
        </w:rPr>
        <w:lastRenderedPageBreak/>
        <w:t>percent predicted FVC and %DLCO were 68% (range: 48–91%) and 42% (range: 27–170%), respectively. Two percent of patients had percent predicted FVC below 50% and 21% of patients had a percent predicted DLCO below 35% at Baseline.</w:t>
      </w:r>
    </w:p>
    <w:p w:rsidR="00EB286D" w:rsidRPr="00EB286D" w:rsidRDefault="00EB286D" w:rsidP="00EB286D">
      <w:pPr>
        <w:rPr>
          <w:rFonts w:ascii="Minion" w:hAnsi="Minion"/>
        </w:rPr>
      </w:pPr>
      <w:r w:rsidRPr="00EB286D">
        <w:rPr>
          <w:rFonts w:ascii="Minion" w:hAnsi="Minion"/>
        </w:rPr>
        <w:t>In study PIPF-016, the decline in percent predicted FVC from baseline at Week 52 of treatment was significantly reduced in patients receiving ESBRIET (N = 278) compared with patients receiving placebo (N = 277; p&lt;0.000001, rank ANCOVA). Treatment with ESBRIET also significantly reduced the decline in percent predicted FVC from baseline at Weeks 13 (p &lt; 0.000001), 26 (p &lt; 0.000001), and 39 (p = 0.000002). At Week 52, a decline from baseline in percent predicted FVC of ≥10% or death was seen in 17% of patients receiving ESBRIET compared to 32% receiving placebo (Table 3).</w:t>
      </w:r>
    </w:p>
    <w:p w:rsidR="00EB286D" w:rsidRPr="00EB286D" w:rsidRDefault="00EB286D" w:rsidP="00EB286D">
      <w:pPr>
        <w:rPr>
          <w:rFonts w:ascii="Minion" w:hAnsi="Minion"/>
          <w:b/>
        </w:rPr>
      </w:pPr>
      <w:r w:rsidRPr="00EB286D">
        <w:rPr>
          <w:rFonts w:ascii="Minion" w:hAnsi="Minion"/>
          <w:b/>
        </w:rPr>
        <w:t>Table 3: Categorical Assessment of Change from Baseline to Week 52 in Percent Predicted FVC in Study PIPF-016</w:t>
      </w:r>
    </w:p>
    <w:tbl>
      <w:tblPr>
        <w:tblStyle w:val="C-Table"/>
        <w:tblW w:w="7145" w:type="dxa"/>
        <w:jc w:val="center"/>
        <w:tblLook w:val="04A0" w:firstRow="1" w:lastRow="0" w:firstColumn="1" w:lastColumn="0" w:noHBand="0" w:noVBand="1"/>
      </w:tblPr>
      <w:tblGrid>
        <w:gridCol w:w="4197"/>
        <w:gridCol w:w="1563"/>
        <w:gridCol w:w="1385"/>
      </w:tblGrid>
      <w:tr w:rsidR="00EB286D" w:rsidRPr="00EB286D" w:rsidTr="00C50366">
        <w:trPr>
          <w:cantSplit w:val="0"/>
          <w:jc w:val="center"/>
        </w:trPr>
        <w:tc>
          <w:tcPr>
            <w:tcW w:w="4197" w:type="dxa"/>
          </w:tcPr>
          <w:p w:rsidR="00EB286D" w:rsidRPr="00EB286D" w:rsidRDefault="00EB286D" w:rsidP="00EB286D">
            <w:pPr>
              <w:pStyle w:val="C-TableText"/>
              <w:keepNext/>
              <w:keepLines/>
              <w:jc w:val="both"/>
              <w:rPr>
                <w:rFonts w:ascii="Minion" w:hAnsi="Minion"/>
                <w:b/>
                <w:sz w:val="22"/>
                <w:szCs w:val="22"/>
              </w:rPr>
            </w:pPr>
          </w:p>
        </w:tc>
        <w:tc>
          <w:tcPr>
            <w:tcW w:w="1563" w:type="dxa"/>
            <w:hideMark/>
          </w:tcPr>
          <w:p w:rsidR="00EB286D" w:rsidRPr="00EB286D" w:rsidRDefault="00EB286D" w:rsidP="00EB286D">
            <w:pPr>
              <w:pStyle w:val="C-TableText"/>
              <w:keepNext/>
              <w:keepLines/>
              <w:jc w:val="both"/>
              <w:rPr>
                <w:rFonts w:ascii="Minion" w:hAnsi="Minion"/>
                <w:b/>
                <w:sz w:val="22"/>
                <w:szCs w:val="22"/>
              </w:rPr>
            </w:pPr>
            <w:r w:rsidRPr="00EB286D">
              <w:rPr>
                <w:rFonts w:ascii="Minion" w:hAnsi="Minion"/>
                <w:b/>
                <w:sz w:val="22"/>
                <w:szCs w:val="22"/>
              </w:rPr>
              <w:t>Pirfenidone 2403 mg/day (N = 278)</w:t>
            </w:r>
          </w:p>
        </w:tc>
        <w:tc>
          <w:tcPr>
            <w:tcW w:w="1385" w:type="dxa"/>
            <w:hideMark/>
          </w:tcPr>
          <w:p w:rsidR="00EB286D" w:rsidRPr="00EB286D" w:rsidRDefault="00EB286D" w:rsidP="00EB286D">
            <w:pPr>
              <w:pStyle w:val="C-TableText"/>
              <w:keepNext/>
              <w:keepLines/>
              <w:jc w:val="both"/>
              <w:rPr>
                <w:rFonts w:ascii="Minion" w:hAnsi="Minion"/>
                <w:b/>
                <w:sz w:val="22"/>
                <w:szCs w:val="22"/>
              </w:rPr>
            </w:pPr>
            <w:r w:rsidRPr="00EB286D">
              <w:rPr>
                <w:rFonts w:ascii="Minion" w:hAnsi="Minion"/>
                <w:b/>
                <w:sz w:val="22"/>
                <w:szCs w:val="22"/>
              </w:rPr>
              <w:t>Placebo (N = 277)</w:t>
            </w:r>
          </w:p>
        </w:tc>
      </w:tr>
      <w:tr w:rsidR="00EB286D" w:rsidRPr="00EB286D" w:rsidTr="00C50366">
        <w:trPr>
          <w:cantSplit w:val="0"/>
          <w:jc w:val="center"/>
        </w:trPr>
        <w:tc>
          <w:tcPr>
            <w:tcW w:w="4197"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 xml:space="preserve">Decline of ≥10% or death </w:t>
            </w:r>
          </w:p>
        </w:tc>
        <w:tc>
          <w:tcPr>
            <w:tcW w:w="1563"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46 (17%)</w:t>
            </w:r>
          </w:p>
        </w:tc>
        <w:tc>
          <w:tcPr>
            <w:tcW w:w="1385"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88 (32%)</w:t>
            </w:r>
          </w:p>
        </w:tc>
      </w:tr>
      <w:tr w:rsidR="00EB286D" w:rsidRPr="00EB286D" w:rsidTr="00C50366">
        <w:trPr>
          <w:cantSplit w:val="0"/>
          <w:jc w:val="center"/>
        </w:trPr>
        <w:tc>
          <w:tcPr>
            <w:tcW w:w="4197"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Decline of less than 10%</w:t>
            </w:r>
          </w:p>
        </w:tc>
        <w:tc>
          <w:tcPr>
            <w:tcW w:w="1563"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169 (61%)</w:t>
            </w:r>
          </w:p>
        </w:tc>
        <w:tc>
          <w:tcPr>
            <w:tcW w:w="1385"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162 (58%)</w:t>
            </w:r>
          </w:p>
        </w:tc>
      </w:tr>
      <w:tr w:rsidR="00EB286D" w:rsidRPr="00EB286D" w:rsidTr="00C50366">
        <w:trPr>
          <w:cantSplit w:val="0"/>
          <w:jc w:val="center"/>
        </w:trPr>
        <w:tc>
          <w:tcPr>
            <w:tcW w:w="4197"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No decline</w:t>
            </w:r>
            <w:r w:rsidRPr="00EB286D">
              <w:rPr>
                <w:rFonts w:ascii="Minion" w:hAnsi="Minion"/>
                <w:sz w:val="22"/>
                <w:szCs w:val="22"/>
                <w:vertAlign w:val="superscript"/>
              </w:rPr>
              <w:t xml:space="preserve"> </w:t>
            </w:r>
            <w:r w:rsidRPr="00EB286D">
              <w:rPr>
                <w:rFonts w:ascii="Minion" w:hAnsi="Minion"/>
                <w:sz w:val="22"/>
                <w:szCs w:val="22"/>
              </w:rPr>
              <w:t>(FVC change &gt;0%)</w:t>
            </w:r>
          </w:p>
        </w:tc>
        <w:tc>
          <w:tcPr>
            <w:tcW w:w="1563"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63 (23%)</w:t>
            </w:r>
          </w:p>
        </w:tc>
        <w:tc>
          <w:tcPr>
            <w:tcW w:w="1385" w:type="dxa"/>
            <w:hideMark/>
          </w:tcPr>
          <w:p w:rsidR="00EB286D" w:rsidRPr="00EB286D" w:rsidRDefault="00EB286D" w:rsidP="00EB286D">
            <w:pPr>
              <w:pStyle w:val="C-TableText"/>
              <w:keepNext/>
              <w:keepLines/>
              <w:jc w:val="both"/>
              <w:rPr>
                <w:rFonts w:ascii="Minion" w:hAnsi="Minion"/>
                <w:sz w:val="22"/>
                <w:szCs w:val="22"/>
              </w:rPr>
            </w:pPr>
            <w:r w:rsidRPr="00EB286D">
              <w:rPr>
                <w:rFonts w:ascii="Minion" w:hAnsi="Minion"/>
                <w:sz w:val="22"/>
                <w:szCs w:val="22"/>
              </w:rPr>
              <w:t>27 (10%)</w:t>
            </w:r>
          </w:p>
        </w:tc>
      </w:tr>
    </w:tbl>
    <w:p w:rsidR="00EB286D" w:rsidRPr="00EB286D" w:rsidRDefault="00EB286D" w:rsidP="00EB286D">
      <w:pPr>
        <w:rPr>
          <w:rFonts w:ascii="Minion" w:hAnsi="Minion"/>
        </w:rPr>
      </w:pPr>
    </w:p>
    <w:p w:rsidR="00EB286D" w:rsidRPr="00EB286D" w:rsidRDefault="00EB286D" w:rsidP="00EB286D">
      <w:pPr>
        <w:rPr>
          <w:rFonts w:ascii="Minion" w:hAnsi="Minion"/>
        </w:rPr>
      </w:pPr>
      <w:r w:rsidRPr="00EB286D">
        <w:rPr>
          <w:rFonts w:ascii="Minion" w:hAnsi="Minion"/>
        </w:rPr>
        <w:t xml:space="preserve">The decline in distance walked during a 6MWT from baseline to Week 52 was significantly reduced in patients receiving ESBRIET compared with patients receiving placebo in PIPF-016 (p=0.036, rank ANCOVA); 26% of patients receiving ESBRIET showed a decline of ≥50 m in 6MWT distance compared to 36% of patients receiving placebo. </w:t>
      </w:r>
    </w:p>
    <w:p w:rsidR="00EB286D" w:rsidRPr="00EB286D" w:rsidRDefault="00EB286D" w:rsidP="00EB286D">
      <w:pPr>
        <w:rPr>
          <w:rFonts w:ascii="Minion" w:hAnsi="Minion"/>
        </w:rPr>
      </w:pPr>
      <w:r w:rsidRPr="00EB286D">
        <w:rPr>
          <w:rFonts w:ascii="Minion" w:hAnsi="Minion"/>
        </w:rPr>
        <w:t>In a pre-specified pooled analysis of studies PIPF-016, PIPF-004, and PIPF-006 at Month 12, all-cause mortality was significantly lower in ESBRIET 2403 mg/day group (3.5%, 22 of 623 patients) compared with placebo (6.7%, 42 of 624 patients), resulting in a 48% reduction in the risk of all-cause mortality within the first 12 months (HR 0.52 [95% CI, 0.31–0.87], p = 0.0107, log-rank test).</w:t>
      </w:r>
    </w:p>
    <w:p w:rsidR="00EB286D" w:rsidRPr="00EB286D" w:rsidRDefault="00EB286D" w:rsidP="00EB286D">
      <w:pPr>
        <w:pStyle w:val="Heading2"/>
      </w:pPr>
      <w:r w:rsidRPr="00EB286D">
        <w:t>INDICATIONS</w:t>
      </w:r>
    </w:p>
    <w:p w:rsidR="00EB286D" w:rsidRPr="00EB286D" w:rsidRDefault="00EB286D" w:rsidP="00EB286D">
      <w:pPr>
        <w:rPr>
          <w:rFonts w:ascii="Minion" w:hAnsi="Minion"/>
        </w:rPr>
      </w:pPr>
      <w:r w:rsidRPr="00EB286D">
        <w:rPr>
          <w:rFonts w:ascii="Minion" w:hAnsi="Minion"/>
        </w:rPr>
        <w:t>ESBRIET is indicated for the treatment of idiopathic pulmonary fibrosis (IPF)</w:t>
      </w:r>
    </w:p>
    <w:p w:rsidR="00EB286D" w:rsidRPr="00EB286D" w:rsidRDefault="00EB286D" w:rsidP="00EB286D">
      <w:pPr>
        <w:pStyle w:val="Heading2"/>
      </w:pPr>
      <w:r w:rsidRPr="00EB286D">
        <w:t>CONTRAINDICATIONS</w:t>
      </w:r>
    </w:p>
    <w:p w:rsidR="00EB286D" w:rsidRPr="00EB286D" w:rsidRDefault="00EB286D" w:rsidP="00EB286D">
      <w:pPr>
        <w:pStyle w:val="ListParagraph"/>
        <w:numPr>
          <w:ilvl w:val="0"/>
          <w:numId w:val="2"/>
        </w:numPr>
        <w:rPr>
          <w:rFonts w:ascii="Minion" w:hAnsi="Minion"/>
        </w:rPr>
      </w:pPr>
      <w:r w:rsidRPr="00EB286D">
        <w:rPr>
          <w:rFonts w:ascii="Minion" w:hAnsi="Minion"/>
        </w:rPr>
        <w:t>Hypersensitivity to the active substance or to any of the excipients</w:t>
      </w:r>
    </w:p>
    <w:p w:rsidR="00EB286D" w:rsidRDefault="00EB286D" w:rsidP="00EB286D">
      <w:pPr>
        <w:pStyle w:val="ListParagraph"/>
        <w:numPr>
          <w:ilvl w:val="0"/>
          <w:numId w:val="2"/>
        </w:numPr>
        <w:rPr>
          <w:rFonts w:ascii="Minion" w:hAnsi="Minion"/>
        </w:rPr>
      </w:pPr>
      <w:r w:rsidRPr="00EB286D">
        <w:rPr>
          <w:rFonts w:ascii="Minion" w:hAnsi="Minion"/>
        </w:rPr>
        <w:t>Concomitant use of fluvoxamine (see INTERACTIONS WITH OTHER MEDICINES)</w:t>
      </w:r>
    </w:p>
    <w:p w:rsidR="006E4E1A" w:rsidRPr="006E4E1A" w:rsidRDefault="006E4E1A" w:rsidP="006E4E1A">
      <w:pPr>
        <w:pStyle w:val="ListParagraph"/>
        <w:numPr>
          <w:ilvl w:val="0"/>
          <w:numId w:val="2"/>
        </w:numPr>
        <w:rPr>
          <w:rFonts w:ascii="Minion" w:hAnsi="Minion"/>
        </w:rPr>
      </w:pPr>
      <w:r w:rsidRPr="006E4E1A">
        <w:rPr>
          <w:rFonts w:ascii="Minion" w:hAnsi="Minion"/>
        </w:rPr>
        <w:t xml:space="preserve">History of angioedema with pirfenidone (see </w:t>
      </w:r>
      <w:r>
        <w:rPr>
          <w:rFonts w:ascii="Minion" w:hAnsi="Minion"/>
        </w:rPr>
        <w:t>PRECAUTIONS</w:t>
      </w:r>
      <w:r w:rsidRPr="006E4E1A">
        <w:rPr>
          <w:rFonts w:ascii="Minion" w:hAnsi="Minion"/>
        </w:rPr>
        <w:t>).</w:t>
      </w:r>
    </w:p>
    <w:p w:rsidR="006E4E1A" w:rsidRDefault="006E4E1A" w:rsidP="006E4E1A">
      <w:pPr>
        <w:pStyle w:val="ListParagraph"/>
        <w:numPr>
          <w:ilvl w:val="0"/>
          <w:numId w:val="2"/>
        </w:numPr>
        <w:rPr>
          <w:rFonts w:ascii="Minion" w:hAnsi="Minion"/>
        </w:rPr>
      </w:pPr>
      <w:r w:rsidRPr="006E4E1A">
        <w:rPr>
          <w:rFonts w:ascii="Minion" w:hAnsi="Minion"/>
        </w:rPr>
        <w:t>Severe hepatic impairment or end stage liver disease (</w:t>
      </w:r>
      <w:proofErr w:type="gramStart"/>
      <w:r w:rsidRPr="006E4E1A">
        <w:rPr>
          <w:rFonts w:ascii="Minion" w:hAnsi="Minion"/>
        </w:rPr>
        <w:t xml:space="preserve">see </w:t>
      </w:r>
      <w:r>
        <w:rPr>
          <w:rFonts w:ascii="Minion" w:hAnsi="Minion"/>
        </w:rPr>
        <w:t xml:space="preserve"> PHARMACOLOGY</w:t>
      </w:r>
      <w:proofErr w:type="gramEnd"/>
      <w:r>
        <w:rPr>
          <w:rFonts w:ascii="Minion" w:hAnsi="Minion"/>
        </w:rPr>
        <w:t>, Pharmacokinetics in Special Populations and PRECAUTIONS</w:t>
      </w:r>
      <w:r w:rsidRPr="006E4E1A">
        <w:rPr>
          <w:rFonts w:ascii="Minion" w:hAnsi="Minion"/>
        </w:rPr>
        <w:t>).</w:t>
      </w:r>
    </w:p>
    <w:p w:rsidR="006E4E1A" w:rsidRPr="00EB286D" w:rsidRDefault="006E4E1A" w:rsidP="006E4E1A">
      <w:pPr>
        <w:pStyle w:val="ListParagraph"/>
        <w:numPr>
          <w:ilvl w:val="0"/>
          <w:numId w:val="2"/>
        </w:numPr>
        <w:rPr>
          <w:rFonts w:ascii="Minion" w:hAnsi="Minion"/>
        </w:rPr>
      </w:pPr>
      <w:r w:rsidRPr="006E4E1A">
        <w:rPr>
          <w:rFonts w:ascii="Minion" w:hAnsi="Minion"/>
        </w:rPr>
        <w:lastRenderedPageBreak/>
        <w:t xml:space="preserve">Severe renal impairment (CrCl &lt;30 ml/min) or end stage renal disease requiring dialysis (see </w:t>
      </w:r>
      <w:r>
        <w:rPr>
          <w:rFonts w:ascii="Minion" w:hAnsi="Minion"/>
        </w:rPr>
        <w:t>PHARMACOLOGY, Pharmacokinetics in Special Populations and PRECAUTIONS</w:t>
      </w:r>
      <w:r w:rsidRPr="006E4E1A">
        <w:rPr>
          <w:rFonts w:ascii="Minion" w:hAnsi="Minion"/>
        </w:rPr>
        <w:t>).</w:t>
      </w:r>
    </w:p>
    <w:p w:rsidR="00EB286D" w:rsidRPr="00EB286D" w:rsidRDefault="00EB286D" w:rsidP="00EB286D">
      <w:pPr>
        <w:pStyle w:val="Heading2"/>
      </w:pPr>
      <w:r w:rsidRPr="00EB286D">
        <w:t>PRECAUTIONS</w:t>
      </w:r>
    </w:p>
    <w:p w:rsidR="00EB286D" w:rsidRPr="00EB286D" w:rsidRDefault="00EB286D" w:rsidP="00EB286D">
      <w:pPr>
        <w:pStyle w:val="Heading3"/>
      </w:pPr>
      <w:r w:rsidRPr="00EB286D">
        <w:t>Hepatic Function</w:t>
      </w:r>
    </w:p>
    <w:p w:rsidR="00EB286D" w:rsidRPr="00EB286D" w:rsidRDefault="00C13545" w:rsidP="00EB286D">
      <w:pPr>
        <w:rPr>
          <w:rFonts w:ascii="Minion" w:hAnsi="Minion"/>
        </w:rPr>
      </w:pPr>
      <w:r w:rsidRPr="00C13545">
        <w:rPr>
          <w:rFonts w:ascii="Minion" w:hAnsi="Minion"/>
        </w:rPr>
        <w:t>Increases in ALT and AST &gt;3 × ULN have been reported in patients treated with ESBRIET. Rarely these have been associated with concomitant elevations in bilirubin. Patients treated with ESBRIET 2403 mg/day in the three Phase 3 trials had a higher incidence of elevations in ALT or AST ≥3 × ULN than placebo patients (3.7% vs. 0.8%, respectively). Elevations ≥10 × ULN in ALT or AST occurred in 0.3% of patients in the ESBRIET 2403 mg/day group and in 0.2% of patients in the placebo group. Increases in ALT and AST ≥3 × ULN were reversible with dose modification or treatment discontinuation. No cases of liver</w:t>
      </w:r>
      <w:r w:rsidRPr="00C13545" w:rsidDel="006E4E1A">
        <w:rPr>
          <w:rFonts w:ascii="Minion" w:hAnsi="Minion"/>
        </w:rPr>
        <w:t xml:space="preserve"> </w:t>
      </w:r>
      <w:r w:rsidRPr="00C13545">
        <w:rPr>
          <w:rFonts w:ascii="Minion" w:hAnsi="Minion"/>
        </w:rPr>
        <w:t xml:space="preserve">transplant or death due to liver failure that were related to ESBRIET have been reported. However, the combination of transaminase elevations and elevated bilirubin without evidence of obstruction is generally recognized as an important predictor of severe liver </w:t>
      </w:r>
      <w:proofErr w:type="gramStart"/>
      <w:r w:rsidRPr="00C13545">
        <w:rPr>
          <w:rFonts w:ascii="Minion" w:hAnsi="Minion"/>
        </w:rPr>
        <w:t>injury, that</w:t>
      </w:r>
      <w:proofErr w:type="gramEnd"/>
      <w:r w:rsidRPr="00C13545">
        <w:rPr>
          <w:rFonts w:ascii="Minion" w:hAnsi="Minion"/>
        </w:rPr>
        <w:t xml:space="preserve"> could lead to death or the need for liver transplants in some patients. Conduct liver function tests (ALT, AST, and bilirubin) prior to the initiation of therapy with ESBRIET in all patients, then monthly for the first 6 months and every 3 months thereafter. Dosage modifications or interruption may be necessary for liver enzyme elevations</w:t>
      </w:r>
      <w:r w:rsidRPr="00C13545" w:rsidDel="006E4E1A">
        <w:rPr>
          <w:rFonts w:ascii="Minion" w:hAnsi="Minion"/>
        </w:rPr>
        <w:t xml:space="preserve"> </w:t>
      </w:r>
      <w:r w:rsidR="00EB286D" w:rsidRPr="00EB286D">
        <w:rPr>
          <w:rFonts w:ascii="Minion" w:hAnsi="Minion"/>
        </w:rPr>
        <w:t>(</w:t>
      </w:r>
      <w:r w:rsidR="00D67DA7">
        <w:rPr>
          <w:rFonts w:ascii="Minion" w:hAnsi="Minion"/>
        </w:rPr>
        <w:t xml:space="preserve">see </w:t>
      </w:r>
      <w:r w:rsidR="00EB286D" w:rsidRPr="00EB286D">
        <w:rPr>
          <w:rFonts w:ascii="Minion" w:hAnsi="Minion"/>
        </w:rPr>
        <w:t>DOSAGE AND ADMINISTRATION).</w:t>
      </w:r>
    </w:p>
    <w:p w:rsidR="00EB286D" w:rsidRPr="00EB286D" w:rsidRDefault="00EB286D" w:rsidP="00EB286D">
      <w:pPr>
        <w:pStyle w:val="Heading3"/>
      </w:pPr>
      <w:r w:rsidRPr="00EB286D">
        <w:t>Photosensitivity Reaction and Rash</w:t>
      </w:r>
    </w:p>
    <w:p w:rsidR="00EB286D" w:rsidRPr="00EB286D" w:rsidRDefault="00EB286D" w:rsidP="00EB286D">
      <w:pPr>
        <w:rPr>
          <w:rFonts w:ascii="Minion" w:hAnsi="Minion"/>
        </w:rPr>
      </w:pPr>
      <w:r w:rsidRPr="00EB286D">
        <w:rPr>
          <w:rFonts w:ascii="Minion" w:hAnsi="Minion"/>
        </w:rPr>
        <w:t>Exposure to direct sunlight (including sunlamps) should be avoided or minimized during treatment with ESBRIET. Patients should be instructed to use an effective sunblock daily, to wear clothing that protects against sun exposure, and to avoid other medicinal products known to cause photosensitivity. Patients should be instructed to report symptoms of photosensitivity reaction or rash to their physician. Dose adjustments or temporary treatment discontinuation may be necessary for photosensitivity reaction or rash (</w:t>
      </w:r>
      <w:r w:rsidR="002B50E9">
        <w:rPr>
          <w:rFonts w:ascii="Minion" w:hAnsi="Minion"/>
        </w:rPr>
        <w:t xml:space="preserve">see </w:t>
      </w:r>
      <w:r w:rsidRPr="00EB286D">
        <w:rPr>
          <w:rFonts w:ascii="Minion" w:hAnsi="Minion"/>
        </w:rPr>
        <w:t>DOSAGE AND ADMINISTRATION).</w:t>
      </w:r>
      <w:r w:rsidRPr="00EB286D">
        <w:rPr>
          <w:rFonts w:ascii="Minion" w:hAnsi="Minion"/>
        </w:rPr>
        <w:tab/>
      </w:r>
    </w:p>
    <w:p w:rsidR="00EB286D" w:rsidRPr="00EB286D" w:rsidRDefault="00EB286D" w:rsidP="00EB286D">
      <w:pPr>
        <w:pStyle w:val="Heading3"/>
      </w:pPr>
      <w:r w:rsidRPr="00EB286D">
        <w:t>Cigarette Smoking and Inducers of CYP1A2</w:t>
      </w:r>
    </w:p>
    <w:p w:rsidR="00EB286D" w:rsidRPr="00EB286D" w:rsidRDefault="00EB286D" w:rsidP="00EB286D">
      <w:pPr>
        <w:rPr>
          <w:rFonts w:ascii="Minion" w:hAnsi="Minion"/>
        </w:rPr>
      </w:pPr>
      <w:r w:rsidRPr="00EB286D">
        <w:rPr>
          <w:rFonts w:ascii="Minion" w:hAnsi="Minion"/>
        </w:rPr>
        <w:t>A Phase 1 interaction study evaluated the effect of cigarette smoking (CYP1A2 inducer) on the pharmacokinetics of ESBRIET. The exposure to pirfenidone in smokers was 50% of that observed in non-smokers. Smoking has the potential to induce hepatic enzyme production and thus increase clearance and decrease exposure to ESBRIET. Concomitant use of strong inducers of CYP1A2 including smoking should be avoided during ESBRIET therapy based on the observed relationship between cigarette smoking and its potential to induce CYP1A2. Patients should be encouraged to discontinue use of strong inducers of CYP1A2 and to stop smoking before and during treatment with pirfenidone.</w:t>
      </w:r>
    </w:p>
    <w:p w:rsidR="00EB286D" w:rsidRPr="00EB286D" w:rsidRDefault="00EB286D" w:rsidP="00EB286D">
      <w:pPr>
        <w:pStyle w:val="Heading3"/>
      </w:pPr>
      <w:r w:rsidRPr="00EB286D">
        <w:t>Effects on fertility</w:t>
      </w:r>
    </w:p>
    <w:p w:rsidR="00A32F0B" w:rsidRPr="00A32F0B" w:rsidRDefault="00A32F0B" w:rsidP="00A32F0B">
      <w:pPr>
        <w:rPr>
          <w:rFonts w:ascii="Minion" w:hAnsi="Minion"/>
        </w:rPr>
      </w:pPr>
      <w:r w:rsidRPr="00A32F0B">
        <w:rPr>
          <w:rFonts w:ascii="Minion" w:hAnsi="Minion"/>
        </w:rPr>
        <w:t xml:space="preserve">Fertility indices were unaffected in male and female rats treated with pirfenidone at oral doses up to 1000 mg/kg/day. However, prolongation of the </w:t>
      </w:r>
      <w:proofErr w:type="spellStart"/>
      <w:r w:rsidRPr="00A32F0B">
        <w:rPr>
          <w:rFonts w:ascii="Minion" w:hAnsi="Minion"/>
        </w:rPr>
        <w:t>oestrous</w:t>
      </w:r>
      <w:proofErr w:type="spellEnd"/>
      <w:r w:rsidRPr="00A32F0B">
        <w:rPr>
          <w:rFonts w:ascii="Minion" w:hAnsi="Minion"/>
        </w:rPr>
        <w:t xml:space="preserve"> cycle and a high incidence of irregular cycles </w:t>
      </w:r>
      <w:proofErr w:type="gramStart"/>
      <w:r w:rsidRPr="00A32F0B">
        <w:rPr>
          <w:rFonts w:ascii="Minion" w:hAnsi="Minion"/>
        </w:rPr>
        <w:t>was</w:t>
      </w:r>
      <w:proofErr w:type="gramEnd"/>
      <w:r w:rsidRPr="00A32F0B">
        <w:rPr>
          <w:rFonts w:ascii="Minion" w:hAnsi="Minion"/>
        </w:rPr>
        <w:t xml:space="preserve"> observed in rats at doses ≥450 mg/kg/day (1.7-times the maximum recommended human dose based on body surface area).</w:t>
      </w:r>
    </w:p>
    <w:p w:rsidR="00EB286D" w:rsidRPr="00EB286D" w:rsidRDefault="00EB286D" w:rsidP="00EB286D">
      <w:pPr>
        <w:pStyle w:val="Heading3"/>
      </w:pPr>
      <w:r w:rsidRPr="00EB286D">
        <w:lastRenderedPageBreak/>
        <w:t>Use in pregnancy – Category B3</w:t>
      </w:r>
    </w:p>
    <w:p w:rsidR="00EB286D" w:rsidRPr="00EB286D" w:rsidRDefault="00EB286D" w:rsidP="00EB286D">
      <w:pPr>
        <w:rPr>
          <w:rFonts w:ascii="Minion" w:hAnsi="Minion"/>
        </w:rPr>
      </w:pPr>
      <w:r w:rsidRPr="00EB286D">
        <w:rPr>
          <w:rFonts w:ascii="Minion" w:hAnsi="Minion"/>
        </w:rPr>
        <w:t>There are no data from the use of ESBRIET in pregnant women.</w:t>
      </w:r>
    </w:p>
    <w:p w:rsidR="00EB286D" w:rsidRPr="00EB286D" w:rsidRDefault="00EB286D" w:rsidP="00EB286D">
      <w:pPr>
        <w:rPr>
          <w:rFonts w:ascii="Minion" w:hAnsi="Minion"/>
        </w:rPr>
      </w:pPr>
      <w:r w:rsidRPr="00EB286D">
        <w:rPr>
          <w:rFonts w:ascii="Minion" w:hAnsi="Minion"/>
        </w:rPr>
        <w:t>In animals, placental transfer of pirfenidone and/or its metabolites occurs with the potential for accumulation of pirfenidone and/or its metabolites in amniotic fluid.</w:t>
      </w:r>
      <w:r w:rsidR="00A32F0B">
        <w:rPr>
          <w:rFonts w:ascii="Minion" w:hAnsi="Minion"/>
        </w:rPr>
        <w:t xml:space="preserve"> </w:t>
      </w:r>
      <w:r w:rsidR="00A32F0B" w:rsidRPr="00A32F0B">
        <w:rPr>
          <w:rFonts w:ascii="Minion" w:hAnsi="Minion"/>
        </w:rPr>
        <w:t>Pirfenidone was not teratogenic in rats or rabbits at oral doses up to 1000 mg/kg/day and 300 mg/kg/day in the respective species (approximately 4 and 2 times the maximum recommended human dose on a body surface area basis). In rats, treatment at ≥450 mg/kg/day was associated with delayed fetal ossification, and at 1000 mg/kg/day,</w:t>
      </w:r>
      <w:r w:rsidR="00A32F0B">
        <w:rPr>
          <w:rFonts w:ascii="Minion" w:hAnsi="Minion"/>
        </w:rPr>
        <w:t xml:space="preserve"> </w:t>
      </w:r>
      <w:r w:rsidR="006B3301">
        <w:rPr>
          <w:rFonts w:ascii="Minion" w:hAnsi="Minion"/>
        </w:rPr>
        <w:t>p</w:t>
      </w:r>
      <w:r w:rsidRPr="00EB286D">
        <w:rPr>
          <w:rFonts w:ascii="Minion" w:hAnsi="Minion"/>
        </w:rPr>
        <w:t>rolongation of gestation and reduction in fetal viability</w:t>
      </w:r>
      <w:r w:rsidR="001C6355">
        <w:rPr>
          <w:rFonts w:ascii="Minion" w:hAnsi="Minion"/>
        </w:rPr>
        <w:t xml:space="preserve"> were observed (the doses being approximately 2 to 4 times the MRHD)</w:t>
      </w:r>
      <w:r w:rsidRPr="00EB286D">
        <w:rPr>
          <w:rFonts w:ascii="Minion" w:hAnsi="Minion"/>
        </w:rPr>
        <w:t xml:space="preserve">. As a precautionary measure, it is preferable to avoid the use of ESBRIET during pregnancy. </w:t>
      </w:r>
    </w:p>
    <w:p w:rsidR="00EB286D" w:rsidRPr="00EB286D" w:rsidRDefault="00EB286D" w:rsidP="00EB286D">
      <w:pPr>
        <w:pStyle w:val="Heading3"/>
      </w:pPr>
      <w:r w:rsidRPr="00EB286D">
        <w:t>Use in lactation</w:t>
      </w:r>
    </w:p>
    <w:p w:rsidR="00EB286D" w:rsidRPr="00EB286D" w:rsidRDefault="00EB286D" w:rsidP="00EB286D">
      <w:pPr>
        <w:rPr>
          <w:rFonts w:ascii="Minion" w:hAnsi="Minion"/>
        </w:rPr>
      </w:pPr>
      <w:r w:rsidRPr="00EB286D">
        <w:rPr>
          <w:rFonts w:ascii="Minion" w:hAnsi="Minion"/>
        </w:rPr>
        <w:t xml:space="preserve">It is unknown whether pirfenidone or its metabolites are excreted in human milk. </w:t>
      </w:r>
      <w:r w:rsidR="001C6355">
        <w:rPr>
          <w:rFonts w:ascii="Minion" w:hAnsi="Minion"/>
        </w:rPr>
        <w:t>Studies in lactating rats</w:t>
      </w:r>
      <w:r w:rsidRPr="00EB286D">
        <w:rPr>
          <w:rFonts w:ascii="Minion" w:hAnsi="Minion"/>
        </w:rPr>
        <w:t xml:space="preserve"> have shown excretion of pirfenidone and/or its metabolites in milk with the potential for accumulation of pirfenidone and/or its metabolites in milk. </w:t>
      </w:r>
      <w:r w:rsidR="001C6355" w:rsidRPr="001C6355">
        <w:rPr>
          <w:rFonts w:ascii="Minion" w:hAnsi="Minion"/>
        </w:rPr>
        <w:t xml:space="preserve">Postnatal body weight gain was reduced in the offspring of rats that received oral doses of pirfenidone at ≥300 mg/kg/day (approximately equal to the MRHD on a body surface area basis) during gestation and lactation. </w:t>
      </w:r>
      <w:r w:rsidRPr="00EB286D">
        <w:rPr>
          <w:rFonts w:ascii="Minion" w:hAnsi="Minion"/>
        </w:rPr>
        <w:t>A risk to the breastfeeding child cannot be excluded.</w:t>
      </w:r>
    </w:p>
    <w:p w:rsidR="00EB286D" w:rsidRPr="00EB286D" w:rsidRDefault="00EB286D" w:rsidP="00EB286D">
      <w:pPr>
        <w:rPr>
          <w:rFonts w:ascii="Minion" w:hAnsi="Minion"/>
        </w:rPr>
      </w:pPr>
      <w:r w:rsidRPr="00EB286D">
        <w:rPr>
          <w:rFonts w:ascii="Minion" w:hAnsi="Minion"/>
        </w:rPr>
        <w:t>A decision must be made whether to discontinue breast feeding or to discontinue from ESBRIET therapy, taking into account the benefit of breast feeding for the child and the benefit of ESBRIET therapy for the mother.</w:t>
      </w:r>
      <w:r w:rsidRPr="00EB286D">
        <w:rPr>
          <w:rFonts w:ascii="Minion" w:hAnsi="Minion"/>
        </w:rPr>
        <w:tab/>
      </w:r>
    </w:p>
    <w:p w:rsidR="00EB286D" w:rsidRPr="00EB286D" w:rsidRDefault="00EB286D" w:rsidP="00EB286D">
      <w:pPr>
        <w:pStyle w:val="Heading3"/>
      </w:pPr>
      <w:r w:rsidRPr="00EB286D">
        <w:t>Paediatric use</w:t>
      </w:r>
    </w:p>
    <w:p w:rsidR="00EB286D" w:rsidRPr="00EB286D" w:rsidRDefault="00EB286D" w:rsidP="00EB286D">
      <w:pPr>
        <w:rPr>
          <w:rFonts w:ascii="Minion" w:hAnsi="Minion"/>
        </w:rPr>
      </w:pPr>
      <w:r w:rsidRPr="00EB286D">
        <w:rPr>
          <w:rFonts w:ascii="Minion" w:hAnsi="Minion"/>
        </w:rPr>
        <w:t xml:space="preserve">The safety and efficacy of ESBRIET in paediatric patients has not been established. </w:t>
      </w:r>
      <w:r w:rsidRPr="00EB286D">
        <w:rPr>
          <w:rFonts w:ascii="Minion" w:hAnsi="Minion"/>
        </w:rPr>
        <w:tab/>
      </w:r>
    </w:p>
    <w:p w:rsidR="00EB286D" w:rsidRPr="00EB286D" w:rsidRDefault="00EB286D" w:rsidP="00EB286D">
      <w:pPr>
        <w:pStyle w:val="Heading3"/>
      </w:pPr>
      <w:r w:rsidRPr="00EB286D">
        <w:t>Use in the elderly</w:t>
      </w:r>
    </w:p>
    <w:p w:rsidR="00EB286D" w:rsidRPr="00EB286D" w:rsidRDefault="00EB286D" w:rsidP="00EB286D">
      <w:pPr>
        <w:rPr>
          <w:rFonts w:ascii="Minion" w:hAnsi="Minion"/>
        </w:rPr>
      </w:pPr>
      <w:r w:rsidRPr="00EB286D">
        <w:rPr>
          <w:rFonts w:ascii="Minion" w:hAnsi="Minion"/>
        </w:rPr>
        <w:t>No overall differences in safety or effectiveness were observed between older and younger patients. No dosage adjustment is required based upon age.</w:t>
      </w:r>
      <w:r w:rsidRPr="00EB286D">
        <w:rPr>
          <w:rFonts w:ascii="Minion" w:hAnsi="Minion"/>
        </w:rPr>
        <w:tab/>
      </w:r>
    </w:p>
    <w:p w:rsidR="00EB286D" w:rsidRPr="00EB286D" w:rsidRDefault="00EB286D" w:rsidP="00EB286D">
      <w:pPr>
        <w:pStyle w:val="Heading3"/>
      </w:pPr>
      <w:r w:rsidRPr="00EB286D">
        <w:t>Genotoxicity</w:t>
      </w:r>
    </w:p>
    <w:p w:rsidR="00EB286D" w:rsidRPr="00EB286D" w:rsidRDefault="001C6355" w:rsidP="00EB286D">
      <w:pPr>
        <w:rPr>
          <w:rFonts w:ascii="Minion" w:hAnsi="Minion"/>
        </w:rPr>
      </w:pPr>
      <w:r w:rsidRPr="001C6355">
        <w:rPr>
          <w:rFonts w:ascii="Minion" w:hAnsi="Minion"/>
        </w:rPr>
        <w:t xml:space="preserve">Pirfenidone showed no indication of genotoxic activity in assays for bacterial mutagenicity, for chromosomal aberrations in vitro in mammalian cells, for </w:t>
      </w:r>
      <w:proofErr w:type="spellStart"/>
      <w:r w:rsidRPr="001C6355">
        <w:rPr>
          <w:rFonts w:ascii="Minion" w:hAnsi="Minion"/>
        </w:rPr>
        <w:t>clastogenicity</w:t>
      </w:r>
      <w:proofErr w:type="spellEnd"/>
      <w:r w:rsidRPr="001C6355">
        <w:rPr>
          <w:rFonts w:ascii="Minion" w:hAnsi="Minion"/>
        </w:rPr>
        <w:t xml:space="preserve"> in vivo in mice, and for DNA damage in rats. No significant mutagenic activity was observed with pirfenidone in bacteria when tested under UV exposure</w:t>
      </w:r>
      <w:r w:rsidR="00EB286D" w:rsidRPr="00EB286D">
        <w:rPr>
          <w:rFonts w:ascii="Minion" w:hAnsi="Minion"/>
        </w:rPr>
        <w:t>.</w:t>
      </w:r>
    </w:p>
    <w:p w:rsidR="00EB286D" w:rsidRPr="00EB286D" w:rsidRDefault="00EB286D" w:rsidP="00EB286D">
      <w:pPr>
        <w:pStyle w:val="Heading3"/>
      </w:pPr>
      <w:r w:rsidRPr="00EB286D">
        <w:t>Carcinogenicity</w:t>
      </w:r>
    </w:p>
    <w:p w:rsidR="00EB286D" w:rsidRPr="00EB286D" w:rsidRDefault="00EB286D" w:rsidP="00EB286D">
      <w:pPr>
        <w:rPr>
          <w:rFonts w:ascii="Minion" w:hAnsi="Minion"/>
        </w:rPr>
      </w:pPr>
      <w:r w:rsidRPr="00EB286D">
        <w:rPr>
          <w:rFonts w:ascii="Minion" w:hAnsi="Minion"/>
        </w:rPr>
        <w:t xml:space="preserve"> An increased incidence of liver tumours</w:t>
      </w:r>
      <w:r w:rsidR="001C6355">
        <w:rPr>
          <w:rFonts w:ascii="Minion" w:hAnsi="Minion"/>
        </w:rPr>
        <w:t xml:space="preserve"> (hepatocellular adenomas and carcinomas, and </w:t>
      </w:r>
      <w:proofErr w:type="spellStart"/>
      <w:r w:rsidR="001C6355">
        <w:rPr>
          <w:rFonts w:ascii="Minion" w:hAnsi="Minion"/>
        </w:rPr>
        <w:t>hepatoblastomas</w:t>
      </w:r>
      <w:proofErr w:type="spellEnd"/>
      <w:r w:rsidR="001C6355">
        <w:rPr>
          <w:rFonts w:ascii="Minion" w:hAnsi="Minion"/>
        </w:rPr>
        <w:t>)</w:t>
      </w:r>
      <w:r w:rsidRPr="00EB286D">
        <w:rPr>
          <w:rFonts w:ascii="Minion" w:hAnsi="Minion"/>
        </w:rPr>
        <w:t xml:space="preserve"> was observed in</w:t>
      </w:r>
      <w:r w:rsidR="001C6355">
        <w:rPr>
          <w:rFonts w:ascii="Minion" w:hAnsi="Minion"/>
        </w:rPr>
        <w:t xml:space="preserve"> 2-year</w:t>
      </w:r>
      <w:r w:rsidRPr="00EB286D">
        <w:rPr>
          <w:rFonts w:ascii="Minion" w:hAnsi="Minion"/>
        </w:rPr>
        <w:t xml:space="preserve"> carcinogenicity studies conducted </w:t>
      </w:r>
      <w:r w:rsidR="001C6355">
        <w:rPr>
          <w:rFonts w:ascii="Minion" w:hAnsi="Minion"/>
        </w:rPr>
        <w:t xml:space="preserve">by the oral route </w:t>
      </w:r>
      <w:r w:rsidRPr="00EB286D">
        <w:rPr>
          <w:rFonts w:ascii="Minion" w:hAnsi="Minion"/>
        </w:rPr>
        <w:t xml:space="preserve">in rats and mice. </w:t>
      </w:r>
      <w:r w:rsidR="001C6355" w:rsidRPr="001C6355">
        <w:rPr>
          <w:rFonts w:ascii="Minion" w:hAnsi="Minion"/>
        </w:rPr>
        <w:t xml:space="preserve">This occurred at doses ≥750 mg/kg/day and ≥800 mg/kg/day in the respective species, associated with systemic exposure (plasma AUC) less than that of patients at the maximum recommended human dose. </w:t>
      </w:r>
      <w:r w:rsidRPr="00EB286D">
        <w:rPr>
          <w:rFonts w:ascii="Minion" w:hAnsi="Minion"/>
        </w:rPr>
        <w:t xml:space="preserve">These hepatic findings are consistent with an induction of hepatic microsomal enzymes, an effect which has not been observed in patients receiving ESBRIET. These findings are considered </w:t>
      </w:r>
      <w:r w:rsidR="001C6355">
        <w:rPr>
          <w:rFonts w:ascii="Minion" w:hAnsi="Minion"/>
        </w:rPr>
        <w:t xml:space="preserve">unlikely to be </w:t>
      </w:r>
      <w:r w:rsidRPr="00EB286D">
        <w:rPr>
          <w:rFonts w:ascii="Minion" w:hAnsi="Minion"/>
        </w:rPr>
        <w:t>relevant to humans</w:t>
      </w:r>
      <w:r w:rsidR="001C6355">
        <w:rPr>
          <w:rFonts w:ascii="Minion" w:hAnsi="Minion"/>
        </w:rPr>
        <w:t xml:space="preserve"> but this cannot be excluded</w:t>
      </w:r>
      <w:r w:rsidRPr="00EB286D">
        <w:rPr>
          <w:rFonts w:ascii="Minion" w:hAnsi="Minion"/>
        </w:rPr>
        <w:t>.</w:t>
      </w:r>
    </w:p>
    <w:p w:rsidR="00EB286D" w:rsidRPr="00EB286D" w:rsidRDefault="00EB286D" w:rsidP="00EB286D">
      <w:pPr>
        <w:rPr>
          <w:rFonts w:ascii="Minion" w:hAnsi="Minion"/>
        </w:rPr>
      </w:pPr>
      <w:r w:rsidRPr="00EB286D">
        <w:rPr>
          <w:rFonts w:ascii="Minion" w:hAnsi="Minion"/>
        </w:rPr>
        <w:lastRenderedPageBreak/>
        <w:t xml:space="preserve">A statistically significant increase in uterine tumours </w:t>
      </w:r>
      <w:r w:rsidR="001C6355">
        <w:rPr>
          <w:rFonts w:ascii="Minion" w:hAnsi="Minion"/>
        </w:rPr>
        <w:t xml:space="preserve">(adenocarcinoma) </w:t>
      </w:r>
      <w:r w:rsidRPr="00EB286D">
        <w:rPr>
          <w:rFonts w:ascii="Minion" w:hAnsi="Minion"/>
        </w:rPr>
        <w:t xml:space="preserve">was observed in female rats administered 1500 mg/kg/day, </w:t>
      </w:r>
      <w:r w:rsidR="001C6355">
        <w:rPr>
          <w:rFonts w:ascii="Minion" w:hAnsi="Minion"/>
        </w:rPr>
        <w:t xml:space="preserve">yielding systemic exposure (plasma AUC) similar to that in patients at </w:t>
      </w:r>
      <w:r w:rsidRPr="00EB286D">
        <w:rPr>
          <w:rFonts w:ascii="Minion" w:hAnsi="Minion"/>
        </w:rPr>
        <w:t xml:space="preserve">the </w:t>
      </w:r>
      <w:r w:rsidR="001C6355">
        <w:rPr>
          <w:rFonts w:ascii="Minion" w:hAnsi="Minion"/>
        </w:rPr>
        <w:t xml:space="preserve">maximum recommended </w:t>
      </w:r>
      <w:r w:rsidRPr="00EB286D">
        <w:rPr>
          <w:rFonts w:ascii="Minion" w:hAnsi="Minion"/>
        </w:rPr>
        <w:t xml:space="preserve">human dose of 2403 mg/day. </w:t>
      </w:r>
      <w:r w:rsidR="001C6355">
        <w:rPr>
          <w:rFonts w:ascii="Minion" w:hAnsi="Minion"/>
        </w:rPr>
        <w:t xml:space="preserve"> The relevance of this finding to humans is unclear</w:t>
      </w:r>
      <w:r w:rsidRPr="00EB286D">
        <w:rPr>
          <w:rFonts w:ascii="Minion" w:hAnsi="Minion"/>
        </w:rPr>
        <w:t>.</w:t>
      </w:r>
    </w:p>
    <w:p w:rsidR="00EB286D" w:rsidRPr="00EB286D" w:rsidRDefault="00EB286D" w:rsidP="00EB286D">
      <w:pPr>
        <w:pStyle w:val="Heading3"/>
      </w:pPr>
      <w:r w:rsidRPr="00EB286D">
        <w:t>Use in renal impairment</w:t>
      </w:r>
    </w:p>
    <w:p w:rsidR="00EB286D" w:rsidRPr="00EB286D" w:rsidRDefault="00EB286D" w:rsidP="00EB286D">
      <w:pPr>
        <w:rPr>
          <w:rFonts w:ascii="Minion" w:hAnsi="Minion"/>
        </w:rPr>
      </w:pPr>
      <w:r w:rsidRPr="00EB286D">
        <w:rPr>
          <w:rFonts w:ascii="Minion" w:hAnsi="Minion"/>
        </w:rPr>
        <w:t>ESBRIET should be used with caution in patients with mild, moderate, or severe renal impairment.</w:t>
      </w:r>
    </w:p>
    <w:p w:rsidR="00EB286D" w:rsidRPr="00EB286D" w:rsidRDefault="00EB286D" w:rsidP="00EB286D">
      <w:pPr>
        <w:rPr>
          <w:rFonts w:ascii="Minion" w:hAnsi="Minion"/>
        </w:rPr>
      </w:pPr>
      <w:r w:rsidRPr="00EB286D">
        <w:rPr>
          <w:rFonts w:ascii="Minion" w:hAnsi="Minion"/>
        </w:rPr>
        <w:t>The safety, efficacy, and pharmacokinetics of ESBRIET have not been studied in patients with end-stage renal disease requiring dialysis. Use of ESBRIET in patients with end-stage renal diseases requiring dialysis is not recommended.</w:t>
      </w:r>
    </w:p>
    <w:p w:rsidR="00EB286D" w:rsidRPr="00EB286D" w:rsidRDefault="00EB286D" w:rsidP="00EB286D">
      <w:pPr>
        <w:pStyle w:val="Heading3"/>
      </w:pPr>
      <w:r w:rsidRPr="00EB286D">
        <w:t>Use in hepatic impairment</w:t>
      </w:r>
    </w:p>
    <w:p w:rsidR="00EB286D" w:rsidRPr="00EB286D" w:rsidRDefault="00EB286D" w:rsidP="00EB286D">
      <w:pPr>
        <w:rPr>
          <w:rFonts w:ascii="Minion" w:hAnsi="Minion"/>
        </w:rPr>
      </w:pPr>
      <w:r w:rsidRPr="00EB286D">
        <w:rPr>
          <w:rFonts w:ascii="Minion" w:hAnsi="Minion"/>
        </w:rPr>
        <w:t>ESBRIET should be used with caution in patients with mild to moderate hepatic impairment</w:t>
      </w:r>
      <w:r w:rsidR="006E4E1A">
        <w:rPr>
          <w:rFonts w:ascii="Minion" w:hAnsi="Minion"/>
        </w:rPr>
        <w:t xml:space="preserve"> (see PRECAUTIONS</w:t>
      </w:r>
      <w:r w:rsidR="00E2127F">
        <w:rPr>
          <w:rFonts w:ascii="Minion" w:hAnsi="Minion"/>
        </w:rPr>
        <w:t>/</w:t>
      </w:r>
      <w:r w:rsidR="006E4E1A">
        <w:rPr>
          <w:rFonts w:ascii="Minion" w:hAnsi="Minion"/>
        </w:rPr>
        <w:t xml:space="preserve"> Hepatic Function)</w:t>
      </w:r>
      <w:r w:rsidRPr="00EB286D">
        <w:rPr>
          <w:rFonts w:ascii="Minion" w:hAnsi="Minion"/>
        </w:rPr>
        <w:t>.</w:t>
      </w:r>
    </w:p>
    <w:p w:rsidR="00EB286D" w:rsidRDefault="00EB286D" w:rsidP="00EB286D">
      <w:pPr>
        <w:rPr>
          <w:rFonts w:ascii="Minion" w:hAnsi="Minion"/>
        </w:rPr>
      </w:pPr>
      <w:r w:rsidRPr="00EB286D">
        <w:rPr>
          <w:rFonts w:ascii="Minion" w:hAnsi="Minion"/>
        </w:rPr>
        <w:t>The safety, efficacy, and pharmacokinetics of ESBRIET have not been studied in patients with severe hepatic impairment or end stage liver disease. ESBRIET is</w:t>
      </w:r>
      <w:r w:rsidR="006E4E1A">
        <w:rPr>
          <w:rFonts w:ascii="Minion" w:hAnsi="Minion"/>
        </w:rPr>
        <w:t xml:space="preserve"> contraindicated</w:t>
      </w:r>
      <w:r w:rsidRPr="00EB286D">
        <w:rPr>
          <w:rFonts w:ascii="Minion" w:hAnsi="Minion"/>
        </w:rPr>
        <w:t xml:space="preserve"> in patients with severe hepatic impairment or end stage liver disease.</w:t>
      </w:r>
    </w:p>
    <w:p w:rsidR="007120F8" w:rsidRPr="007527B8" w:rsidRDefault="007120F8" w:rsidP="007120F8">
      <w:pPr>
        <w:pStyle w:val="Heading3"/>
      </w:pPr>
      <w:r w:rsidRPr="007527B8">
        <w:t>A</w:t>
      </w:r>
      <w:r>
        <w:t>ngioedema</w:t>
      </w:r>
    </w:p>
    <w:p w:rsidR="00FA1B03" w:rsidRPr="00FA1B03" w:rsidRDefault="007120F8" w:rsidP="00FA1B03">
      <w:r w:rsidRPr="00FA1B03">
        <w:rPr>
          <w:rFonts w:ascii="Minion" w:hAnsi="Minion"/>
        </w:rPr>
        <w:t xml:space="preserve">Reports of angioedema (some serious) such as swelling of the face, lips and/or tongue which may be associated with difficulty breathing or wheezing have been received in association with use of </w:t>
      </w:r>
      <w:r w:rsidR="00603DF6">
        <w:rPr>
          <w:rFonts w:ascii="Minion" w:hAnsi="Minion"/>
        </w:rPr>
        <w:t>ESBRIET</w:t>
      </w:r>
      <w:r w:rsidRPr="00FA1B03">
        <w:rPr>
          <w:rFonts w:ascii="Minion" w:hAnsi="Minion"/>
        </w:rPr>
        <w:t xml:space="preserve"> in the post-marketing setting. Therefore, patients who develop signs or symptoms of angioedema following administration </w:t>
      </w:r>
      <w:r w:rsidR="006B3301" w:rsidRPr="00FA1B03">
        <w:rPr>
          <w:rFonts w:ascii="Minion" w:hAnsi="Minion"/>
        </w:rPr>
        <w:t xml:space="preserve">of </w:t>
      </w:r>
      <w:r w:rsidR="006B3301">
        <w:rPr>
          <w:rFonts w:ascii="Minion" w:hAnsi="Minion"/>
        </w:rPr>
        <w:t>ESBRIET</w:t>
      </w:r>
      <w:r w:rsidRPr="00FA1B03">
        <w:rPr>
          <w:rFonts w:ascii="Minion" w:hAnsi="Minion"/>
        </w:rPr>
        <w:t xml:space="preserve"> should immediately discontinue treatment. Patients with angioedema should be managed according to standard of care. </w:t>
      </w:r>
      <w:r w:rsidR="00603DF6">
        <w:rPr>
          <w:rFonts w:ascii="Minion" w:hAnsi="Minion"/>
        </w:rPr>
        <w:t xml:space="preserve"> ESBRIET</w:t>
      </w:r>
      <w:r w:rsidRPr="00FA1B03">
        <w:rPr>
          <w:rFonts w:ascii="Minion" w:hAnsi="Minion"/>
        </w:rPr>
        <w:t xml:space="preserve"> should not be used in patients with a history of angioedema due to </w:t>
      </w:r>
      <w:r w:rsidR="00603DF6">
        <w:rPr>
          <w:rFonts w:ascii="Minion" w:hAnsi="Minion"/>
        </w:rPr>
        <w:t>ESBRIET</w:t>
      </w:r>
      <w:r w:rsidRPr="00FA1B03">
        <w:rPr>
          <w:rFonts w:ascii="Minion" w:hAnsi="Minion"/>
        </w:rPr>
        <w:t xml:space="preserve"> (</w:t>
      </w:r>
      <w:r w:rsidR="00FA1B03" w:rsidRPr="00FA1B03">
        <w:rPr>
          <w:rFonts w:ascii="Minion" w:hAnsi="Minion"/>
        </w:rPr>
        <w:t>see CONTRAINDICATIONS</w:t>
      </w:r>
      <w:r w:rsidRPr="00FA1B03">
        <w:rPr>
          <w:rFonts w:ascii="Minion" w:hAnsi="Minion"/>
        </w:rPr>
        <w:t>).</w:t>
      </w:r>
    </w:p>
    <w:p w:rsidR="007120F8" w:rsidRPr="007527B8" w:rsidRDefault="007120F8" w:rsidP="007120F8">
      <w:pPr>
        <w:pStyle w:val="Heading3"/>
      </w:pPr>
      <w:r>
        <w:t>Dizziness</w:t>
      </w:r>
    </w:p>
    <w:p w:rsidR="007120F8" w:rsidRPr="00EB286D" w:rsidRDefault="007120F8" w:rsidP="007120F8">
      <w:pPr>
        <w:rPr>
          <w:rFonts w:ascii="Minion" w:hAnsi="Minion"/>
        </w:rPr>
      </w:pPr>
      <w:r w:rsidRPr="007120F8">
        <w:rPr>
          <w:rFonts w:ascii="Minion" w:hAnsi="Minion"/>
        </w:rPr>
        <w:t xml:space="preserve">Dizziness has been reported in patients taking </w:t>
      </w:r>
      <w:r w:rsidR="00603DF6">
        <w:rPr>
          <w:rFonts w:ascii="Minion" w:hAnsi="Minion"/>
        </w:rPr>
        <w:t>ESBRIET</w:t>
      </w:r>
      <w:r w:rsidRPr="007120F8">
        <w:rPr>
          <w:rFonts w:ascii="Minion" w:hAnsi="Minion"/>
        </w:rPr>
        <w:t xml:space="preserve">. Therefore, patients should know how they react to this medicinal product before they engage in activities requiring mental alertness or coordination (see </w:t>
      </w:r>
      <w:r>
        <w:rPr>
          <w:rFonts w:ascii="Minion" w:hAnsi="Minion"/>
        </w:rPr>
        <w:t xml:space="preserve">PRECAUTIONS, Ability to </w:t>
      </w:r>
      <w:proofErr w:type="gramStart"/>
      <w:r>
        <w:rPr>
          <w:rFonts w:ascii="Minion" w:hAnsi="Minion"/>
        </w:rPr>
        <w:t>Drive</w:t>
      </w:r>
      <w:proofErr w:type="gramEnd"/>
      <w:r>
        <w:rPr>
          <w:rFonts w:ascii="Minion" w:hAnsi="Minion"/>
        </w:rPr>
        <w:t xml:space="preserve"> or Operate Machinery</w:t>
      </w:r>
      <w:r w:rsidRPr="007120F8">
        <w:rPr>
          <w:rFonts w:ascii="Minion" w:hAnsi="Minion"/>
        </w:rPr>
        <w:t xml:space="preserve">). In clinical studies, most patients who experienced dizziness had a single event, and most events resolved, with a median duration of 22 days. If dizziness does not improve or if it worsens in severity, dose adjustment or even discontinuation </w:t>
      </w:r>
      <w:r w:rsidR="00D46F1B" w:rsidRPr="007120F8">
        <w:rPr>
          <w:rFonts w:ascii="Minion" w:hAnsi="Minion"/>
        </w:rPr>
        <w:t xml:space="preserve">of </w:t>
      </w:r>
      <w:r w:rsidR="00D46F1B">
        <w:rPr>
          <w:rFonts w:ascii="Minion" w:hAnsi="Minion"/>
        </w:rPr>
        <w:t>ESBRIET</w:t>
      </w:r>
      <w:r w:rsidRPr="007120F8">
        <w:rPr>
          <w:rFonts w:ascii="Minion" w:hAnsi="Minion"/>
        </w:rPr>
        <w:t xml:space="preserve"> may be warranted.</w:t>
      </w:r>
    </w:p>
    <w:p w:rsidR="007120F8" w:rsidRPr="007120F8" w:rsidRDefault="007120F8" w:rsidP="00AA577B">
      <w:pPr>
        <w:pStyle w:val="Heading3"/>
      </w:pPr>
      <w:r w:rsidRPr="007120F8">
        <w:t>Fatigue</w:t>
      </w:r>
    </w:p>
    <w:p w:rsidR="007120F8" w:rsidRPr="00F62917" w:rsidRDefault="007120F8" w:rsidP="00F62917">
      <w:pPr>
        <w:rPr>
          <w:rFonts w:ascii="Minion" w:hAnsi="Minion"/>
        </w:rPr>
      </w:pPr>
      <w:r w:rsidRPr="00F62917">
        <w:rPr>
          <w:rFonts w:ascii="Minion" w:hAnsi="Minion"/>
        </w:rPr>
        <w:t xml:space="preserve">Fatigue has been reported in patients taking </w:t>
      </w:r>
      <w:r w:rsidR="00603DF6">
        <w:rPr>
          <w:rFonts w:ascii="Minion" w:hAnsi="Minion"/>
        </w:rPr>
        <w:t>ESBRIET</w:t>
      </w:r>
      <w:r w:rsidRPr="00F62917">
        <w:rPr>
          <w:rFonts w:ascii="Minion" w:hAnsi="Minion"/>
        </w:rPr>
        <w:t xml:space="preserve">. Therefore, patients should know how they react to this medicinal product before they engage in activities requiring mental alertness or coordination (see PRECAUTIONS, Ability to </w:t>
      </w:r>
      <w:proofErr w:type="gramStart"/>
      <w:r w:rsidRPr="00F62917">
        <w:rPr>
          <w:rFonts w:ascii="Minion" w:hAnsi="Minion"/>
        </w:rPr>
        <w:t>Drive</w:t>
      </w:r>
      <w:proofErr w:type="gramEnd"/>
      <w:r w:rsidRPr="00F62917">
        <w:rPr>
          <w:rFonts w:ascii="Minion" w:hAnsi="Minion"/>
        </w:rPr>
        <w:t xml:space="preserve"> or Operate Machinery).</w:t>
      </w:r>
    </w:p>
    <w:p w:rsidR="007120F8" w:rsidRPr="007527B8" w:rsidRDefault="007120F8" w:rsidP="007120F8">
      <w:pPr>
        <w:pStyle w:val="Heading3"/>
      </w:pPr>
      <w:r>
        <w:t>Weight Loss</w:t>
      </w:r>
    </w:p>
    <w:p w:rsidR="007120F8" w:rsidRPr="007120F8" w:rsidRDefault="007120F8" w:rsidP="00A667BD">
      <w:r w:rsidRPr="007120F8">
        <w:rPr>
          <w:rFonts w:ascii="Minion" w:hAnsi="Minion"/>
        </w:rPr>
        <w:t xml:space="preserve">Weight loss has been reported in patients treated with </w:t>
      </w:r>
      <w:r w:rsidR="00603DF6">
        <w:rPr>
          <w:rFonts w:ascii="Minion" w:hAnsi="Minion"/>
        </w:rPr>
        <w:t>ESBRIET</w:t>
      </w:r>
      <w:r w:rsidRPr="007120F8">
        <w:rPr>
          <w:rFonts w:ascii="Minion" w:hAnsi="Minion"/>
        </w:rPr>
        <w:t xml:space="preserve"> (see </w:t>
      </w:r>
      <w:r w:rsidR="002A11CD">
        <w:rPr>
          <w:rFonts w:ascii="Minion" w:hAnsi="Minion"/>
        </w:rPr>
        <w:t>A</w:t>
      </w:r>
      <w:r w:rsidR="00A667BD">
        <w:rPr>
          <w:rFonts w:ascii="Minion" w:hAnsi="Minion"/>
        </w:rPr>
        <w:t>DVERSE</w:t>
      </w:r>
      <w:r w:rsidR="002A11CD">
        <w:rPr>
          <w:rFonts w:ascii="Minion" w:hAnsi="Minion"/>
        </w:rPr>
        <w:t xml:space="preserve"> E</w:t>
      </w:r>
      <w:r w:rsidR="00A667BD">
        <w:rPr>
          <w:rFonts w:ascii="Minion" w:hAnsi="Minion"/>
        </w:rPr>
        <w:t>FFECTS</w:t>
      </w:r>
      <w:r w:rsidRPr="007120F8">
        <w:rPr>
          <w:rFonts w:ascii="Minion" w:hAnsi="Minion"/>
        </w:rPr>
        <w:t>). Physicians should monitor patients’ weight, and when appropriate encourage increased caloric intake if weight loss is considered to be of clinical significance</w:t>
      </w:r>
      <w:r w:rsidR="00EA279E">
        <w:rPr>
          <w:rFonts w:ascii="Minion" w:hAnsi="Minion"/>
        </w:rPr>
        <w:t>.</w:t>
      </w:r>
    </w:p>
    <w:p w:rsidR="007527B8" w:rsidRPr="007527B8" w:rsidRDefault="007527B8" w:rsidP="00AA577B">
      <w:pPr>
        <w:pStyle w:val="Heading3"/>
      </w:pPr>
      <w:r w:rsidRPr="007527B8">
        <w:lastRenderedPageBreak/>
        <w:t xml:space="preserve">Ability to Drive </w:t>
      </w:r>
      <w:r w:rsidR="00AA577B">
        <w:t>or Operate Machinery</w:t>
      </w:r>
    </w:p>
    <w:p w:rsidR="007527B8" w:rsidRPr="00EB286D" w:rsidRDefault="007527B8" w:rsidP="007527B8">
      <w:pPr>
        <w:rPr>
          <w:rFonts w:ascii="Minion" w:hAnsi="Minion"/>
        </w:rPr>
      </w:pPr>
      <w:r w:rsidRPr="007527B8">
        <w:rPr>
          <w:rFonts w:ascii="Minion" w:hAnsi="Minion"/>
        </w:rPr>
        <w:t>No studies on the effects of the ability to drive and use machines have been performed. E</w:t>
      </w:r>
      <w:r w:rsidR="00AA577B">
        <w:rPr>
          <w:rFonts w:ascii="Minion" w:hAnsi="Minion"/>
        </w:rPr>
        <w:t>SBRIET</w:t>
      </w:r>
      <w:r w:rsidRPr="007527B8">
        <w:rPr>
          <w:rFonts w:ascii="Minion" w:hAnsi="Minion"/>
        </w:rPr>
        <w:t xml:space="preserve"> may cause dizziness and fatigue, which could influence the ability to drive or use machines.</w:t>
      </w:r>
    </w:p>
    <w:p w:rsidR="00EB286D" w:rsidRPr="00EB286D" w:rsidRDefault="00EB286D" w:rsidP="00EB286D">
      <w:pPr>
        <w:pStyle w:val="Heading2"/>
      </w:pPr>
      <w:r w:rsidRPr="00EB286D">
        <w:t>INTERACTIONS WITH OTHER MEDICINES</w:t>
      </w:r>
    </w:p>
    <w:p w:rsidR="00EB286D" w:rsidRDefault="00EB286D" w:rsidP="00EB286D">
      <w:pPr>
        <w:rPr>
          <w:rFonts w:ascii="Minion" w:hAnsi="Minion"/>
        </w:rPr>
      </w:pPr>
      <w:r w:rsidRPr="00EB286D">
        <w:rPr>
          <w:rFonts w:ascii="Minion" w:hAnsi="Minion"/>
        </w:rPr>
        <w:t>Pirfenidone is metabolized primarily via CYP1A2 with minor contributions from other CYP isoenzymes including CYP2C9, 2C19, 2D6 and 2E1.</w:t>
      </w:r>
    </w:p>
    <w:p w:rsidR="00EB286D" w:rsidRPr="00EB286D" w:rsidRDefault="00EB286D" w:rsidP="00EB286D">
      <w:pPr>
        <w:pStyle w:val="Heading4"/>
      </w:pPr>
      <w:r w:rsidRPr="00EB286D">
        <w:t>Fluvoxamine and Inhibitors of CYP1A2</w:t>
      </w:r>
    </w:p>
    <w:p w:rsidR="00EB286D" w:rsidRPr="00EB286D" w:rsidRDefault="00EB286D" w:rsidP="00EB286D">
      <w:pPr>
        <w:rPr>
          <w:rFonts w:ascii="Minion" w:hAnsi="Minion"/>
        </w:rPr>
      </w:pPr>
      <w:r w:rsidRPr="00EB286D">
        <w:rPr>
          <w:rFonts w:ascii="Minion" w:hAnsi="Minion"/>
        </w:rPr>
        <w:t>In a Phase 1 study, the co-administration of ESBRIET and fluvoxamine (a strong inhibitor of CYP1A2 with inhibitory effects on other CYP isoenzymes [CYP2C9, 2C19, and 2D6]) resulted in a 4 fold increase in exposure to pirfenidone in non-smokers.</w:t>
      </w:r>
    </w:p>
    <w:p w:rsidR="00EB286D" w:rsidRPr="00EB286D" w:rsidRDefault="00EB286D" w:rsidP="00EB286D">
      <w:pPr>
        <w:rPr>
          <w:rFonts w:ascii="Minion" w:hAnsi="Minion"/>
        </w:rPr>
      </w:pPr>
      <w:r w:rsidRPr="00EB286D">
        <w:rPr>
          <w:rFonts w:ascii="Minion" w:hAnsi="Minion"/>
        </w:rPr>
        <w:t>ESBRIET is contraindicated in patients with concomitant use of fluvoxamine (see CONTRAINDICATIONS). Fluvoxamine should be discontinued prior to the initiation of ESBRIET therapy and avoided during ESBRIET therapy due to the reduced clearance of pirfenidone.</w:t>
      </w:r>
    </w:p>
    <w:p w:rsidR="00EB286D" w:rsidRPr="00EB286D" w:rsidRDefault="00EB286D" w:rsidP="00EB286D">
      <w:pPr>
        <w:rPr>
          <w:rFonts w:ascii="Minion" w:hAnsi="Minion"/>
        </w:rPr>
      </w:pPr>
      <w:r w:rsidRPr="00EB286D">
        <w:rPr>
          <w:rFonts w:ascii="Minion" w:hAnsi="Minion"/>
        </w:rPr>
        <w:t>In vitro-in vivo extrapolations indicate that strong and selective inhibitors of CYP1A2 have the potential to increase the exposure to pirfenidone by approximately 2 to 4 fold. If concomitant use of ESBRIET with a strong and selective inhibitor of CYP1A2 cannot be avoided, the dose of ESBRIET should be reduced to 801 mg daily (one capsule, three times a day). Patients should be closely monitored for emergence of adverse reactions associated with ESBRIET therapy. Discontinue ESBRIET if necessary (see DOSAGE AND ADMINISTRATION)</w:t>
      </w:r>
    </w:p>
    <w:p w:rsidR="00EB286D" w:rsidRPr="00EB286D" w:rsidRDefault="00EB286D" w:rsidP="00EB286D">
      <w:pPr>
        <w:rPr>
          <w:rFonts w:ascii="Minion" w:hAnsi="Minion"/>
        </w:rPr>
      </w:pPr>
      <w:r w:rsidRPr="00EB286D">
        <w:rPr>
          <w:rFonts w:ascii="Minion" w:hAnsi="Minion"/>
        </w:rPr>
        <w:t>Co-administration of ESBRIET and 750 mg of ciprofloxacin (a moderate and selective inhibitor of CYP1A2) increased the exposure to pirfenidone by 81%. If ciprofloxacin at the dose of 750 mg twice daily cannot be avoided, the dose of ESBRIET should be reduced to 1602 mg daily (two capsules, three times a day). ESBRIET should be used with caution when ciprofloxacin is used at a dose of 250 mg or 500 mg once or twice daily.</w:t>
      </w:r>
    </w:p>
    <w:p w:rsidR="00EB286D" w:rsidRPr="00EB286D" w:rsidRDefault="00EB286D" w:rsidP="00EB286D">
      <w:pPr>
        <w:rPr>
          <w:rFonts w:ascii="Minion" w:hAnsi="Minion"/>
        </w:rPr>
      </w:pPr>
      <w:r w:rsidRPr="00EB286D">
        <w:rPr>
          <w:rFonts w:ascii="Minion" w:hAnsi="Minion"/>
        </w:rPr>
        <w:t>ESBRIET should be used with caution in patients treated with other moderate inhibitors of CYP1A2.</w:t>
      </w:r>
    </w:p>
    <w:p w:rsidR="00EB286D" w:rsidRPr="00EB286D" w:rsidRDefault="00EB286D" w:rsidP="00EB286D">
      <w:pPr>
        <w:rPr>
          <w:rFonts w:ascii="Minion" w:hAnsi="Minion"/>
        </w:rPr>
      </w:pPr>
      <w:r w:rsidRPr="00EB286D">
        <w:rPr>
          <w:rFonts w:ascii="Minion" w:hAnsi="Minion"/>
        </w:rPr>
        <w:t xml:space="preserve">Agents or combinations of agents that are moderate or strong inhibitors of both CYP1A2 and one or more other CYP isoenzymes involved in the metabolism of pirfenidone (i.e., CYP2C9, 2C19, 2D6, and 2E1) should be avoided during ESBRIET treatment. </w:t>
      </w:r>
    </w:p>
    <w:p w:rsidR="00EB286D" w:rsidRPr="00EB286D" w:rsidRDefault="00EB286D" w:rsidP="00EB286D">
      <w:pPr>
        <w:pStyle w:val="Heading4"/>
      </w:pPr>
      <w:r w:rsidRPr="00EB286D">
        <w:t>Inducers of CYP1A2</w:t>
      </w:r>
    </w:p>
    <w:p w:rsidR="00EB286D" w:rsidRPr="00EB286D" w:rsidRDefault="00EB286D" w:rsidP="00EB286D">
      <w:pPr>
        <w:rPr>
          <w:rFonts w:ascii="Minion" w:hAnsi="Minion"/>
        </w:rPr>
      </w:pPr>
      <w:r w:rsidRPr="00EB286D">
        <w:rPr>
          <w:rFonts w:ascii="Minion" w:hAnsi="Minion"/>
        </w:rPr>
        <w:t>In the case of moderate inducers of CYP1A2 (e.g., omeprazole), concomitant use may theoretically result in a lowering of pirfenidone plasma levels.</w:t>
      </w:r>
    </w:p>
    <w:p w:rsidR="00EB286D" w:rsidRDefault="00EB286D" w:rsidP="00EB286D">
      <w:pPr>
        <w:rPr>
          <w:rFonts w:ascii="Minion" w:hAnsi="Minion"/>
        </w:rPr>
      </w:pPr>
      <w:r w:rsidRPr="00EB286D">
        <w:rPr>
          <w:rFonts w:ascii="Minion" w:hAnsi="Minion"/>
        </w:rPr>
        <w:t>Co-administration of medicinal products that act as potent inducers of both CYP1A2 and the other CYP isoenzymes involved in the metabolism of pirfenidone (e.g., rifampicin) may result in significant lowering of pirfenidone plasma levels. These medicinal products should be avoided whenever possible.</w:t>
      </w:r>
    </w:p>
    <w:p w:rsidR="001C6355" w:rsidRDefault="001C6355" w:rsidP="001C6355">
      <w:pPr>
        <w:pStyle w:val="Heading4"/>
      </w:pPr>
      <w:r w:rsidRPr="001C6355">
        <w:lastRenderedPageBreak/>
        <w:t xml:space="preserve">Effects of pirfenidone on transporters </w:t>
      </w:r>
    </w:p>
    <w:p w:rsidR="001C6355" w:rsidRPr="00EB286D" w:rsidRDefault="001C6355" w:rsidP="001C6355">
      <w:pPr>
        <w:rPr>
          <w:rFonts w:ascii="Minion" w:hAnsi="Minion"/>
        </w:rPr>
      </w:pPr>
      <w:r w:rsidRPr="001C6355">
        <w:rPr>
          <w:rFonts w:ascii="Minion" w:hAnsi="Minion"/>
        </w:rPr>
        <w:t xml:space="preserve">Pirfenidone is not a substrate for P-glycoprotein. In vitro, pirfenidone inhibited P-glycoprotein-mediated transport by approximately 30% at 1 </w:t>
      </w:r>
      <w:proofErr w:type="spellStart"/>
      <w:r w:rsidRPr="001C6355">
        <w:rPr>
          <w:rFonts w:ascii="Minion" w:hAnsi="Minion"/>
        </w:rPr>
        <w:t>mM</w:t>
      </w:r>
      <w:proofErr w:type="spellEnd"/>
      <w:r w:rsidRPr="001C6355">
        <w:rPr>
          <w:rFonts w:ascii="Minion" w:hAnsi="Minion"/>
        </w:rPr>
        <w:t xml:space="preserve">, the highest concentration tested. The predicted intestinal concentration of pirfenidone at the MRHD is 1.7 </w:t>
      </w:r>
      <w:proofErr w:type="spellStart"/>
      <w:r w:rsidRPr="001C6355">
        <w:rPr>
          <w:rFonts w:ascii="Minion" w:hAnsi="Minion"/>
        </w:rPr>
        <w:t>mM.</w:t>
      </w:r>
      <w:proofErr w:type="spellEnd"/>
      <w:r w:rsidRPr="001C6355">
        <w:rPr>
          <w:rFonts w:ascii="Minion" w:hAnsi="Minion"/>
        </w:rPr>
        <w:t xml:space="preserve"> Therefore, pirfenidone may inhibit intestinal P-glycoprotein during clinical use. The effects of pirfenidone on other transport proteins have not been investigated.</w:t>
      </w:r>
    </w:p>
    <w:p w:rsidR="00EB286D" w:rsidRPr="00EB286D" w:rsidRDefault="00EB286D" w:rsidP="00EB286D">
      <w:pPr>
        <w:pStyle w:val="Heading2"/>
      </w:pPr>
      <w:r w:rsidRPr="00EB286D">
        <w:t>ADVERSE EFFECTS</w:t>
      </w:r>
    </w:p>
    <w:p w:rsidR="00804BDA" w:rsidRDefault="00804BDA" w:rsidP="00453F3B">
      <w:pPr>
        <w:pStyle w:val="Heading4"/>
      </w:pPr>
      <w:r>
        <w:t>Clinical Trials</w:t>
      </w:r>
    </w:p>
    <w:p w:rsidR="00EB286D" w:rsidRPr="00EB286D" w:rsidRDefault="00EB286D" w:rsidP="0018164E">
      <w:pPr>
        <w:spacing w:line="240" w:lineRule="auto"/>
        <w:rPr>
          <w:rFonts w:ascii="Minion" w:hAnsi="Minion"/>
        </w:rPr>
      </w:pPr>
      <w:r w:rsidRPr="00EB286D">
        <w:rPr>
          <w:rFonts w:ascii="Minion" w:hAnsi="Minion"/>
        </w:rPr>
        <w:t>The safety of ESBRIET has been evaluated in clinical studies including 1650 volunteers and patients.</w:t>
      </w:r>
    </w:p>
    <w:p w:rsidR="00EB286D" w:rsidRPr="00EB286D" w:rsidRDefault="00EB286D" w:rsidP="0018164E">
      <w:pPr>
        <w:spacing w:line="240" w:lineRule="auto"/>
        <w:rPr>
          <w:rFonts w:ascii="Minion" w:hAnsi="Minion"/>
        </w:rPr>
      </w:pPr>
      <w:r w:rsidRPr="00EB286D">
        <w:rPr>
          <w:rFonts w:ascii="Minion" w:hAnsi="Minion"/>
        </w:rPr>
        <w:t>More than 170 patients have been investigated in open studies for more than five years and some for up to 10 years.</w:t>
      </w:r>
    </w:p>
    <w:p w:rsidR="00EB286D" w:rsidRPr="00EB286D" w:rsidRDefault="00EB286D" w:rsidP="0018164E">
      <w:pPr>
        <w:spacing w:line="240" w:lineRule="auto"/>
        <w:rPr>
          <w:rFonts w:ascii="Minion" w:hAnsi="Minion"/>
        </w:rPr>
      </w:pPr>
      <w:r w:rsidRPr="00EB286D">
        <w:rPr>
          <w:rFonts w:ascii="Minion" w:hAnsi="Minion"/>
        </w:rPr>
        <w:t>The most commonly reported adverse reactions during clinical study experience with ESBRIET at a dose of 2403 mg/day compared to placebo, respectively, were nausea (32.4% versus 12.2%), rash (26.2% versus 7.7%), diarrhoea (18.8% versus 14.4%), fatigue (18.5% versus 10.4%), dyspepsia (16.1% versus 5.0%), anorexia (11.4% versus 3.5%), headache (10.1% versus 7.7%), and photosensitivity reaction (9.3% versus 1.1%).</w:t>
      </w:r>
    </w:p>
    <w:p w:rsidR="00EB286D" w:rsidRPr="00EB286D" w:rsidRDefault="00EB286D" w:rsidP="0018164E">
      <w:pPr>
        <w:spacing w:line="240" w:lineRule="auto"/>
        <w:rPr>
          <w:rFonts w:ascii="Minion" w:hAnsi="Minion"/>
        </w:rPr>
      </w:pPr>
      <w:r w:rsidRPr="00EB286D">
        <w:rPr>
          <w:rFonts w:ascii="Minion" w:hAnsi="Minion"/>
        </w:rPr>
        <w:t>Serious adverse reactions were recorded at similar frequencies among patients treated with 2403 mg/day of ESBRIET and placebo in clinical studies.</w:t>
      </w:r>
    </w:p>
    <w:p w:rsidR="00815294" w:rsidRDefault="002E525B" w:rsidP="0018164E">
      <w:pPr>
        <w:spacing w:line="240" w:lineRule="auto"/>
        <w:rPr>
          <w:rFonts w:ascii="Minion" w:hAnsi="Minion"/>
        </w:rPr>
      </w:pPr>
      <w:r w:rsidRPr="002E525B">
        <w:rPr>
          <w:rFonts w:ascii="Minion" w:hAnsi="Minion"/>
        </w:rPr>
        <w:t>The most common adverse reactions with an incidence of ≥10% and more frequent in the ESBRIET than placebo treat</w:t>
      </w:r>
      <w:r>
        <w:rPr>
          <w:rFonts w:ascii="Minion" w:hAnsi="Minion"/>
        </w:rPr>
        <w:t>ment group are listed in Table 4</w:t>
      </w:r>
      <w:r w:rsidRPr="002E525B">
        <w:rPr>
          <w:rFonts w:ascii="Minion" w:hAnsi="Minion"/>
        </w:rPr>
        <w:t>.</w:t>
      </w:r>
    </w:p>
    <w:p w:rsidR="003B128F" w:rsidRDefault="003B128F">
      <w:pPr>
        <w:rPr>
          <w:rFonts w:ascii="Minion" w:hAnsi="Minion"/>
        </w:rPr>
      </w:pPr>
      <w:r>
        <w:rPr>
          <w:rFonts w:ascii="Minion" w:hAnsi="Minion"/>
        </w:rPr>
        <w:br w:type="page"/>
      </w:r>
    </w:p>
    <w:p w:rsidR="00804BDA" w:rsidRDefault="00804BDA" w:rsidP="00804BDA">
      <w:pPr>
        <w:spacing w:line="240" w:lineRule="auto"/>
        <w:rPr>
          <w:rFonts w:ascii="Minion" w:hAnsi="Minion"/>
          <w:b/>
        </w:rPr>
      </w:pPr>
      <w:r w:rsidRPr="00C36F29">
        <w:rPr>
          <w:rFonts w:ascii="Minion" w:hAnsi="Minion"/>
          <w:b/>
        </w:rPr>
        <w:lastRenderedPageBreak/>
        <w:t>Table 4</w:t>
      </w:r>
      <w:r w:rsidRPr="00C36F29">
        <w:rPr>
          <w:rFonts w:ascii="Minion" w:hAnsi="Minion"/>
          <w:b/>
        </w:rPr>
        <w:tab/>
      </w:r>
      <w:r>
        <w:rPr>
          <w:rFonts w:ascii="Minion" w:hAnsi="Minion"/>
          <w:b/>
        </w:rPr>
        <w:t xml:space="preserve">  </w:t>
      </w:r>
      <w:r w:rsidR="00BB7D1D" w:rsidRPr="00BB7D1D">
        <w:rPr>
          <w:rFonts w:ascii="Minion" w:hAnsi="Minion"/>
          <w:b/>
        </w:rPr>
        <w:t xml:space="preserve">Adverse </w:t>
      </w:r>
      <w:r w:rsidR="00BB7D1D">
        <w:rPr>
          <w:rFonts w:ascii="Minion" w:hAnsi="Minion"/>
          <w:b/>
        </w:rPr>
        <w:t>r</w:t>
      </w:r>
      <w:r w:rsidR="00BB7D1D" w:rsidRPr="00BB7D1D">
        <w:rPr>
          <w:rFonts w:ascii="Minion" w:hAnsi="Minion"/>
          <w:b/>
        </w:rPr>
        <w:t xml:space="preserve">eactions </w:t>
      </w:r>
      <w:r w:rsidR="00BB7D1D">
        <w:rPr>
          <w:rFonts w:ascii="Minion" w:hAnsi="Minion"/>
          <w:b/>
        </w:rPr>
        <w:t>o</w:t>
      </w:r>
      <w:r w:rsidR="00BB7D1D" w:rsidRPr="00BB7D1D">
        <w:rPr>
          <w:rFonts w:ascii="Minion" w:hAnsi="Minion"/>
          <w:b/>
        </w:rPr>
        <w:t>ccurring in ≥10% of ESBRIET-</w:t>
      </w:r>
      <w:r w:rsidR="00BB7D1D">
        <w:rPr>
          <w:rFonts w:ascii="Minion" w:hAnsi="Minion"/>
          <w:b/>
        </w:rPr>
        <w:t>t</w:t>
      </w:r>
      <w:r w:rsidR="00BB7D1D" w:rsidRPr="00BB7D1D">
        <w:rPr>
          <w:rFonts w:ascii="Minion" w:hAnsi="Minion"/>
          <w:b/>
        </w:rPr>
        <w:t xml:space="preserve">reated </w:t>
      </w:r>
      <w:r w:rsidR="00BB7D1D">
        <w:rPr>
          <w:rFonts w:ascii="Minion" w:hAnsi="Minion"/>
          <w:b/>
        </w:rPr>
        <w:t>p</w:t>
      </w:r>
      <w:r w:rsidR="00BB7D1D" w:rsidRPr="00BB7D1D">
        <w:rPr>
          <w:rFonts w:ascii="Minion" w:hAnsi="Minion"/>
          <w:b/>
        </w:rPr>
        <w:t xml:space="preserve">atients and </w:t>
      </w:r>
      <w:r w:rsidR="00BB7D1D">
        <w:rPr>
          <w:rFonts w:ascii="Minion" w:hAnsi="Minion"/>
          <w:b/>
        </w:rPr>
        <w:t>m</w:t>
      </w:r>
      <w:r w:rsidR="00BB7D1D" w:rsidRPr="00BB7D1D">
        <w:rPr>
          <w:rFonts w:ascii="Minion" w:hAnsi="Minion"/>
          <w:b/>
        </w:rPr>
        <w:t xml:space="preserve">ore </w:t>
      </w:r>
      <w:r w:rsidR="00BB7D1D">
        <w:rPr>
          <w:rFonts w:ascii="Minion" w:hAnsi="Minion"/>
          <w:b/>
        </w:rPr>
        <w:t>c</w:t>
      </w:r>
      <w:r w:rsidR="00BB7D1D" w:rsidRPr="00BB7D1D">
        <w:rPr>
          <w:rFonts w:ascii="Minion" w:hAnsi="Minion"/>
          <w:b/>
        </w:rPr>
        <w:t xml:space="preserve">ommonly </w:t>
      </w:r>
      <w:r w:rsidR="00BB7D1D">
        <w:rPr>
          <w:rFonts w:ascii="Minion" w:hAnsi="Minion"/>
          <w:b/>
        </w:rPr>
        <w:t>t</w:t>
      </w:r>
      <w:r w:rsidR="00BB7D1D" w:rsidRPr="00BB7D1D">
        <w:rPr>
          <w:rFonts w:ascii="Minion" w:hAnsi="Minion"/>
          <w:b/>
        </w:rPr>
        <w:t xml:space="preserve">han </w:t>
      </w:r>
      <w:r w:rsidR="00BB7D1D">
        <w:rPr>
          <w:rFonts w:ascii="Minion" w:hAnsi="Minion"/>
          <w:b/>
        </w:rPr>
        <w:t>p</w:t>
      </w:r>
      <w:r w:rsidR="00BB7D1D" w:rsidRPr="00BB7D1D">
        <w:rPr>
          <w:rFonts w:ascii="Minion" w:hAnsi="Minion"/>
          <w:b/>
        </w:rPr>
        <w:t xml:space="preserve">lacebo in </w:t>
      </w:r>
      <w:r w:rsidR="00A561E0">
        <w:rPr>
          <w:rFonts w:ascii="Minion" w:hAnsi="Minion"/>
          <w:b/>
        </w:rPr>
        <w:t>p</w:t>
      </w:r>
      <w:r w:rsidR="00BB7D1D">
        <w:rPr>
          <w:rFonts w:ascii="Minion" w:hAnsi="Minion"/>
          <w:b/>
        </w:rPr>
        <w:t xml:space="preserve">ivotal </w:t>
      </w:r>
      <w:r w:rsidR="00BB7D1D" w:rsidRPr="00BB7D1D">
        <w:rPr>
          <w:rFonts w:ascii="Minion" w:hAnsi="Minion"/>
          <w:b/>
        </w:rPr>
        <w:t>Studies</w:t>
      </w:r>
    </w:p>
    <w:tbl>
      <w:tblPr>
        <w:tblW w:w="4769" w:type="pct"/>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2837"/>
        <w:gridCol w:w="2248"/>
      </w:tblGrid>
      <w:tr w:rsidR="00BB7D1D" w:rsidRPr="00BB7D1D" w:rsidTr="00BB7D1D">
        <w:trPr>
          <w:jc w:val="center"/>
        </w:trPr>
        <w:tc>
          <w:tcPr>
            <w:tcW w:w="2116" w:type="pct"/>
            <w:vMerge w:val="restart"/>
            <w:tcBorders>
              <w:top w:val="single" w:sz="4" w:space="0" w:color="auto"/>
              <w:left w:val="single" w:sz="4" w:space="0" w:color="auto"/>
              <w:bottom w:val="single" w:sz="4" w:space="0" w:color="auto"/>
              <w:right w:val="single" w:sz="4" w:space="0" w:color="auto"/>
            </w:tcBorders>
            <w:vAlign w:val="center"/>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b/>
                <w:bCs/>
              </w:rPr>
              <w:t>Adverse Reaction</w:t>
            </w:r>
          </w:p>
        </w:tc>
        <w:tc>
          <w:tcPr>
            <w:tcW w:w="2884" w:type="pct"/>
            <w:gridSpan w:val="2"/>
            <w:tcBorders>
              <w:top w:val="single" w:sz="4" w:space="0" w:color="auto"/>
              <w:left w:val="single" w:sz="4" w:space="0" w:color="auto"/>
              <w:bottom w:val="single" w:sz="4" w:space="0" w:color="auto"/>
              <w:right w:val="single" w:sz="4" w:space="0" w:color="auto"/>
            </w:tcBorders>
            <w:hideMark/>
          </w:tcPr>
          <w:p w:rsidR="00BB7D1D" w:rsidRPr="00BB7D1D" w:rsidRDefault="00BB7D1D">
            <w:pPr>
              <w:keepNext/>
              <w:keepLines/>
              <w:widowControl w:val="0"/>
              <w:autoSpaceDE w:val="0"/>
              <w:autoSpaceDN w:val="0"/>
              <w:adjustRightInd w:val="0"/>
              <w:spacing w:before="20" w:after="20"/>
              <w:jc w:val="center"/>
              <w:rPr>
                <w:rFonts w:ascii="Minion" w:hAnsi="Minion"/>
                <w:b/>
                <w:bCs/>
              </w:rPr>
            </w:pPr>
            <w:r w:rsidRPr="00BB7D1D">
              <w:rPr>
                <w:rFonts w:ascii="Minion" w:hAnsi="Minion"/>
                <w:b/>
                <w:bCs/>
              </w:rPr>
              <w:t>% of Patients (0</w:t>
            </w:r>
            <w:r w:rsidRPr="00BB7D1D">
              <w:rPr>
                <w:rFonts w:ascii="Minion" w:hAnsi="Minion"/>
              </w:rPr>
              <w:t xml:space="preserve"> </w:t>
            </w:r>
            <w:r w:rsidRPr="00BB7D1D">
              <w:rPr>
                <w:rFonts w:ascii="Minion" w:hAnsi="Minion"/>
                <w:b/>
              </w:rPr>
              <w:t xml:space="preserve">to </w:t>
            </w:r>
            <w:r w:rsidRPr="00BB7D1D">
              <w:rPr>
                <w:rFonts w:ascii="Minion" w:hAnsi="Minion"/>
                <w:b/>
                <w:bCs/>
              </w:rPr>
              <w:t>118 Weeks)</w:t>
            </w:r>
          </w:p>
        </w:tc>
      </w:tr>
      <w:tr w:rsidR="00BB7D1D" w:rsidRPr="00BB7D1D" w:rsidTr="00BB7D1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B7D1D" w:rsidRPr="008C7C6E" w:rsidRDefault="00BB7D1D">
            <w:pPr>
              <w:rPr>
                <w:rFonts w:ascii="Minion" w:hAnsi="Minion"/>
              </w:rPr>
            </w:pPr>
          </w:p>
        </w:tc>
        <w:tc>
          <w:tcPr>
            <w:tcW w:w="1609" w:type="pct"/>
            <w:tcBorders>
              <w:top w:val="single" w:sz="4" w:space="0" w:color="auto"/>
              <w:left w:val="single" w:sz="4" w:space="0" w:color="auto"/>
              <w:bottom w:val="single" w:sz="4" w:space="0" w:color="auto"/>
              <w:right w:val="single" w:sz="4" w:space="0" w:color="auto"/>
            </w:tcBorders>
            <w:hideMark/>
          </w:tcPr>
          <w:p w:rsidR="00BB7D1D" w:rsidRPr="008C7C6E" w:rsidRDefault="00BB7D1D">
            <w:pPr>
              <w:keepNext/>
              <w:keepLines/>
              <w:widowControl w:val="0"/>
              <w:autoSpaceDE w:val="0"/>
              <w:autoSpaceDN w:val="0"/>
              <w:adjustRightInd w:val="0"/>
              <w:spacing w:before="20" w:after="20"/>
              <w:jc w:val="center"/>
              <w:rPr>
                <w:rFonts w:ascii="Minion" w:hAnsi="Minion"/>
                <w:b/>
              </w:rPr>
            </w:pPr>
            <w:r w:rsidRPr="008C7C6E">
              <w:rPr>
                <w:rFonts w:ascii="Minion" w:hAnsi="Minion"/>
                <w:b/>
                <w:bCs/>
              </w:rPr>
              <w:t>ESBRIET 2403 </w:t>
            </w:r>
            <w:r w:rsidRPr="008C7C6E">
              <w:rPr>
                <w:rFonts w:ascii="Minion" w:hAnsi="Minion"/>
                <w:b/>
              </w:rPr>
              <w:t>m</w:t>
            </w:r>
            <w:r w:rsidRPr="008C7C6E">
              <w:rPr>
                <w:rFonts w:ascii="Minion" w:hAnsi="Minion"/>
                <w:b/>
                <w:bCs/>
              </w:rPr>
              <w:t>g/day</w:t>
            </w:r>
            <w:r w:rsidRPr="008C7C6E">
              <w:rPr>
                <w:rFonts w:ascii="Minion" w:hAnsi="Minion"/>
                <w:b/>
                <w:bCs/>
              </w:rPr>
              <w:br/>
              <w:t>(N = 623)</w:t>
            </w:r>
          </w:p>
        </w:tc>
        <w:tc>
          <w:tcPr>
            <w:tcW w:w="1275" w:type="pct"/>
            <w:tcBorders>
              <w:top w:val="single" w:sz="4" w:space="0" w:color="auto"/>
              <w:left w:val="single" w:sz="4" w:space="0" w:color="auto"/>
              <w:bottom w:val="single" w:sz="4" w:space="0" w:color="auto"/>
              <w:right w:val="single" w:sz="4" w:space="0" w:color="auto"/>
            </w:tcBorders>
            <w:hideMark/>
          </w:tcPr>
          <w:p w:rsidR="00BB7D1D" w:rsidRPr="008C7C6E" w:rsidRDefault="00BB7D1D">
            <w:pPr>
              <w:keepNext/>
              <w:keepLines/>
              <w:widowControl w:val="0"/>
              <w:autoSpaceDE w:val="0"/>
              <w:autoSpaceDN w:val="0"/>
              <w:adjustRightInd w:val="0"/>
              <w:spacing w:before="20" w:after="20"/>
              <w:jc w:val="center"/>
              <w:rPr>
                <w:rFonts w:ascii="Minion" w:hAnsi="Minion"/>
                <w:b/>
              </w:rPr>
            </w:pPr>
            <w:r w:rsidRPr="008C7C6E">
              <w:rPr>
                <w:rFonts w:ascii="Minion" w:hAnsi="Minion"/>
                <w:b/>
                <w:bCs/>
              </w:rPr>
              <w:t>Placebo</w:t>
            </w:r>
            <w:r w:rsidRPr="008C7C6E">
              <w:rPr>
                <w:rFonts w:ascii="Minion" w:hAnsi="Minion"/>
                <w:b/>
                <w:bCs/>
              </w:rPr>
              <w:br/>
              <w:t>(N = 624)</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Nausea</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36%</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16%</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Rash</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30%</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10%</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vertAlign w:val="superscript"/>
              </w:rPr>
            </w:pPr>
            <w:r w:rsidRPr="00BB7D1D">
              <w:rPr>
                <w:rFonts w:ascii="Minion" w:hAnsi="Minion"/>
              </w:rPr>
              <w:t>Abdominal Pain</w:t>
            </w:r>
            <w:r w:rsidRPr="00BB7D1D">
              <w:rPr>
                <w:rFonts w:ascii="Minion" w:hAnsi="Minion"/>
                <w:vertAlign w:val="superscript"/>
              </w:rPr>
              <w:t>1</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24%</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15%</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Upper Respiratory Tract Infection</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27%</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25%</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Diarrhea</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26%</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20%</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Fatigue</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26%</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19%</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Headache</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22%</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19%</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Dyspepsia</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19%</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7%</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Dizziness</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18%</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11%</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Vomiting</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13%</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6%</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Anorexia</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13%</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5%</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Gastro-esophageal Reflux Disease</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11%</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7%</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Sinusitis</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11%</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10%</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Insomnia</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10%</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7%</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Weight Decreased</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10%</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5%</w:t>
            </w:r>
          </w:p>
        </w:tc>
      </w:tr>
      <w:tr w:rsidR="00BB7D1D" w:rsidRPr="00BB7D1D" w:rsidTr="00BB7D1D">
        <w:trPr>
          <w:jc w:val="center"/>
        </w:trPr>
        <w:tc>
          <w:tcPr>
            <w:tcW w:w="2116"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ind w:left="-30"/>
              <w:rPr>
                <w:rFonts w:ascii="Minion" w:hAnsi="Minion"/>
              </w:rPr>
            </w:pPr>
            <w:r w:rsidRPr="00BB7D1D">
              <w:rPr>
                <w:rFonts w:ascii="Minion" w:hAnsi="Minion"/>
              </w:rPr>
              <w:t>Arthralgia</w:t>
            </w:r>
          </w:p>
        </w:tc>
        <w:tc>
          <w:tcPr>
            <w:tcW w:w="1609"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10%</w:t>
            </w:r>
          </w:p>
        </w:tc>
        <w:tc>
          <w:tcPr>
            <w:tcW w:w="1275" w:type="pct"/>
            <w:tcBorders>
              <w:top w:val="single" w:sz="4" w:space="0" w:color="auto"/>
              <w:left w:val="single" w:sz="4" w:space="0" w:color="auto"/>
              <w:bottom w:val="single" w:sz="4" w:space="0" w:color="auto"/>
              <w:right w:val="single" w:sz="4" w:space="0" w:color="auto"/>
            </w:tcBorders>
            <w:vAlign w:val="bottom"/>
            <w:hideMark/>
          </w:tcPr>
          <w:p w:rsidR="00BB7D1D" w:rsidRPr="00BB7D1D" w:rsidRDefault="00BB7D1D">
            <w:pPr>
              <w:keepNext/>
              <w:keepLines/>
              <w:widowControl w:val="0"/>
              <w:autoSpaceDE w:val="0"/>
              <w:autoSpaceDN w:val="0"/>
              <w:adjustRightInd w:val="0"/>
              <w:spacing w:before="20" w:after="20"/>
              <w:jc w:val="center"/>
              <w:rPr>
                <w:rFonts w:ascii="Minion" w:hAnsi="Minion"/>
              </w:rPr>
            </w:pPr>
            <w:r w:rsidRPr="00BB7D1D">
              <w:rPr>
                <w:rFonts w:ascii="Minion" w:hAnsi="Minion"/>
              </w:rPr>
              <w:t>7%</w:t>
            </w:r>
          </w:p>
        </w:tc>
      </w:tr>
      <w:tr w:rsidR="00BB7D1D" w:rsidRPr="00A561E0" w:rsidTr="00BB7D1D">
        <w:trPr>
          <w:trHeight w:val="206"/>
          <w:jc w:val="center"/>
        </w:trPr>
        <w:tc>
          <w:tcPr>
            <w:tcW w:w="5000" w:type="pct"/>
            <w:gridSpan w:val="3"/>
            <w:tcBorders>
              <w:top w:val="single" w:sz="4" w:space="0" w:color="auto"/>
              <w:left w:val="single" w:sz="4" w:space="0" w:color="auto"/>
              <w:bottom w:val="single" w:sz="4" w:space="0" w:color="auto"/>
              <w:right w:val="single" w:sz="4" w:space="0" w:color="auto"/>
            </w:tcBorders>
            <w:vAlign w:val="bottom"/>
            <w:hideMark/>
          </w:tcPr>
          <w:p w:rsidR="00BB7D1D" w:rsidRPr="00A561E0" w:rsidRDefault="00BB7D1D">
            <w:pPr>
              <w:keepNext/>
              <w:keepLines/>
              <w:widowControl w:val="0"/>
              <w:autoSpaceDE w:val="0"/>
              <w:autoSpaceDN w:val="0"/>
              <w:adjustRightInd w:val="0"/>
              <w:spacing w:before="20" w:after="20"/>
              <w:ind w:left="-30"/>
              <w:rPr>
                <w:rFonts w:ascii="Minion" w:hAnsi="Minion"/>
              </w:rPr>
            </w:pPr>
            <w:r w:rsidRPr="00A561E0">
              <w:rPr>
                <w:rFonts w:ascii="Minion" w:hAnsi="Minion"/>
                <w:sz w:val="20"/>
                <w:szCs w:val="20"/>
                <w:vertAlign w:val="superscript"/>
              </w:rPr>
              <w:t>1</w:t>
            </w:r>
            <w:r w:rsidRPr="00A561E0">
              <w:rPr>
                <w:rFonts w:ascii="Minion" w:hAnsi="Minion"/>
                <w:sz w:val="20"/>
                <w:szCs w:val="20"/>
              </w:rPr>
              <w:t xml:space="preserve"> Includes abdominal pain, upper abdominal pain, abdominal distension, and stomach discomfort</w:t>
            </w:r>
            <w:r w:rsidRPr="00A561E0">
              <w:rPr>
                <w:rFonts w:ascii="Minion" w:hAnsi="Minion"/>
              </w:rPr>
              <w:t>.</w:t>
            </w:r>
          </w:p>
        </w:tc>
      </w:tr>
    </w:tbl>
    <w:p w:rsidR="00BB7D1D" w:rsidRPr="00C36F29" w:rsidRDefault="00BB7D1D" w:rsidP="00804BDA">
      <w:pPr>
        <w:spacing w:line="240" w:lineRule="auto"/>
        <w:rPr>
          <w:rFonts w:ascii="Minion" w:hAnsi="Minion"/>
          <w:b/>
        </w:rPr>
      </w:pPr>
    </w:p>
    <w:p w:rsidR="002E525B" w:rsidRDefault="002E525B" w:rsidP="002E525B">
      <w:pPr>
        <w:pStyle w:val="Heading4"/>
      </w:pPr>
      <w:r>
        <w:t>Post marketing experience</w:t>
      </w:r>
    </w:p>
    <w:p w:rsidR="00A561E0" w:rsidRPr="00A561E0" w:rsidRDefault="00A561E0" w:rsidP="00815294">
      <w:pPr>
        <w:rPr>
          <w:rFonts w:ascii="Minion" w:hAnsi="Minion"/>
          <w:bCs/>
          <w:color w:val="000000"/>
          <w:sz w:val="24"/>
          <w:szCs w:val="24"/>
        </w:rPr>
      </w:pPr>
      <w:r w:rsidRPr="00A561E0">
        <w:rPr>
          <w:rFonts w:ascii="Minion" w:hAnsi="Minion"/>
          <w:bCs/>
          <w:color w:val="000000"/>
          <w:sz w:val="24"/>
          <w:szCs w:val="24"/>
        </w:rPr>
        <w:t>In addition to adverse reactions identified from clinical trials the following adverse reactions have been identified during post</w:t>
      </w:r>
      <w:r w:rsidR="005354A8">
        <w:rPr>
          <w:rFonts w:ascii="Minion" w:hAnsi="Minion"/>
          <w:bCs/>
          <w:color w:val="000000"/>
          <w:sz w:val="24"/>
          <w:szCs w:val="24"/>
        </w:rPr>
        <w:t xml:space="preserve"> </w:t>
      </w:r>
      <w:r w:rsidRPr="00A561E0">
        <w:rPr>
          <w:rFonts w:ascii="Minion" w:hAnsi="Minion"/>
          <w:bCs/>
          <w:color w:val="000000"/>
          <w:sz w:val="24"/>
          <w:szCs w:val="24"/>
        </w:rPr>
        <w:t>approval use of pirfenidone.  Because these reactions are reported voluntarily from a population of uncertain size, it is not always possible to reliably estimate their frequency.</w:t>
      </w:r>
    </w:p>
    <w:p w:rsidR="00815294" w:rsidRPr="00815294" w:rsidRDefault="00815294" w:rsidP="00815294">
      <w:pPr>
        <w:rPr>
          <w:rFonts w:ascii="Minion" w:hAnsi="Minion"/>
          <w:bCs/>
          <w:color w:val="000000"/>
          <w:sz w:val="24"/>
          <w:szCs w:val="24"/>
        </w:rPr>
      </w:pPr>
      <w:r w:rsidRPr="00815294">
        <w:rPr>
          <w:rFonts w:ascii="Minion" w:hAnsi="Minion"/>
          <w:bCs/>
          <w:i/>
          <w:color w:val="000000"/>
          <w:sz w:val="24"/>
          <w:szCs w:val="24"/>
        </w:rPr>
        <w:t>Blood and Lymphatic System Disorders</w:t>
      </w:r>
      <w:r>
        <w:rPr>
          <w:rFonts w:ascii="Minion" w:hAnsi="Minion"/>
          <w:bCs/>
          <w:i/>
          <w:color w:val="000000"/>
          <w:sz w:val="24"/>
          <w:szCs w:val="24"/>
        </w:rPr>
        <w:t xml:space="preserve">: </w:t>
      </w:r>
      <w:r w:rsidRPr="00815294">
        <w:rPr>
          <w:rFonts w:ascii="Minion" w:hAnsi="Minion"/>
          <w:bCs/>
          <w:color w:val="000000"/>
          <w:sz w:val="24"/>
          <w:szCs w:val="24"/>
        </w:rPr>
        <w:t>Agranulocytosis</w:t>
      </w:r>
      <w:r w:rsidR="005354A8">
        <w:rPr>
          <w:rFonts w:ascii="Minion" w:hAnsi="Minion"/>
          <w:bCs/>
          <w:color w:val="000000"/>
          <w:sz w:val="24"/>
          <w:szCs w:val="24"/>
        </w:rPr>
        <w:t xml:space="preserve"> </w:t>
      </w:r>
    </w:p>
    <w:p w:rsidR="00815294" w:rsidRPr="00815294" w:rsidRDefault="00815294" w:rsidP="00815294">
      <w:pPr>
        <w:rPr>
          <w:rFonts w:ascii="Minion" w:hAnsi="Minion"/>
          <w:bCs/>
          <w:color w:val="000000"/>
          <w:sz w:val="24"/>
          <w:szCs w:val="24"/>
        </w:rPr>
      </w:pPr>
      <w:r w:rsidRPr="00815294">
        <w:rPr>
          <w:rFonts w:ascii="Minion" w:hAnsi="Minion"/>
          <w:bCs/>
          <w:i/>
          <w:color w:val="000000"/>
          <w:sz w:val="24"/>
          <w:szCs w:val="24"/>
        </w:rPr>
        <w:t>Immune System Disorders</w:t>
      </w:r>
      <w:r>
        <w:rPr>
          <w:rFonts w:ascii="Minion" w:hAnsi="Minion"/>
          <w:bCs/>
          <w:i/>
          <w:color w:val="000000"/>
          <w:sz w:val="24"/>
          <w:szCs w:val="24"/>
        </w:rPr>
        <w:t xml:space="preserve">: </w:t>
      </w:r>
      <w:r w:rsidRPr="00815294">
        <w:rPr>
          <w:rFonts w:ascii="Minion" w:hAnsi="Minion"/>
          <w:bCs/>
          <w:color w:val="000000"/>
          <w:sz w:val="24"/>
          <w:szCs w:val="24"/>
        </w:rPr>
        <w:t xml:space="preserve">Angioedema </w:t>
      </w:r>
    </w:p>
    <w:p w:rsidR="00815294" w:rsidRPr="00815294" w:rsidRDefault="00815294" w:rsidP="00815294">
      <w:pPr>
        <w:rPr>
          <w:rFonts w:ascii="Minion" w:hAnsi="Minion"/>
          <w:bCs/>
          <w:color w:val="000000"/>
          <w:sz w:val="24"/>
          <w:szCs w:val="24"/>
        </w:rPr>
      </w:pPr>
      <w:r w:rsidRPr="00815294">
        <w:rPr>
          <w:rFonts w:ascii="Minion" w:hAnsi="Minion"/>
          <w:bCs/>
          <w:i/>
          <w:color w:val="000000"/>
          <w:sz w:val="24"/>
          <w:szCs w:val="24"/>
        </w:rPr>
        <w:t>Hepatobiliary Disorders</w:t>
      </w:r>
      <w:r>
        <w:rPr>
          <w:rFonts w:ascii="Minion" w:hAnsi="Minion"/>
          <w:bCs/>
          <w:i/>
          <w:color w:val="000000"/>
          <w:sz w:val="24"/>
          <w:szCs w:val="24"/>
        </w:rPr>
        <w:t xml:space="preserve">: </w:t>
      </w:r>
      <w:r w:rsidRPr="00815294">
        <w:rPr>
          <w:rFonts w:ascii="Minion" w:hAnsi="Minion"/>
          <w:bCs/>
          <w:color w:val="000000"/>
          <w:sz w:val="24"/>
          <w:szCs w:val="24"/>
        </w:rPr>
        <w:t xml:space="preserve">Bilirubin increased in combination with increases of ALT and AST </w:t>
      </w:r>
    </w:p>
    <w:p w:rsidR="00EB286D" w:rsidRPr="00EB286D" w:rsidRDefault="00EB286D" w:rsidP="00EB286D">
      <w:pPr>
        <w:pStyle w:val="Heading2"/>
      </w:pPr>
      <w:r w:rsidRPr="00EB286D">
        <w:t>DOSAGE AND ADMINISTRATION</w:t>
      </w:r>
    </w:p>
    <w:p w:rsidR="00A00E06" w:rsidRPr="002E525B" w:rsidRDefault="00A00E06" w:rsidP="002E525B">
      <w:pPr>
        <w:rPr>
          <w:rFonts w:ascii="Minion" w:hAnsi="Minion"/>
        </w:rPr>
      </w:pPr>
      <w:r w:rsidRPr="002E525B">
        <w:rPr>
          <w:rFonts w:ascii="Minion" w:hAnsi="Minion"/>
        </w:rPr>
        <w:t>Treatment with ESBRIET should be initiated by physicians experienced in the diagnosis and treatment of IPF</w:t>
      </w:r>
      <w:r>
        <w:rPr>
          <w:rFonts w:ascii="Minion" w:hAnsi="Minion"/>
        </w:rPr>
        <w:t>.</w:t>
      </w:r>
    </w:p>
    <w:p w:rsidR="00EB286D" w:rsidRPr="00EB286D" w:rsidRDefault="00EB286D" w:rsidP="00EB286D">
      <w:pPr>
        <w:pStyle w:val="Heading3"/>
      </w:pPr>
      <w:r w:rsidRPr="00EB286D">
        <w:lastRenderedPageBreak/>
        <w:t>Adults</w:t>
      </w:r>
    </w:p>
    <w:p w:rsidR="00EB286D" w:rsidRPr="00EB286D" w:rsidRDefault="00EB286D" w:rsidP="00EB286D">
      <w:pPr>
        <w:rPr>
          <w:rFonts w:ascii="Minion" w:hAnsi="Minion"/>
        </w:rPr>
      </w:pPr>
      <w:r w:rsidRPr="00EB286D">
        <w:rPr>
          <w:rFonts w:ascii="Minion" w:hAnsi="Minion"/>
        </w:rPr>
        <w:t>Upon initiating treatment, the dose should be titrated to the recommended daily dose of nine capsules per day over a 14 day period as follows:</w:t>
      </w:r>
    </w:p>
    <w:p w:rsidR="00EB286D" w:rsidRPr="00EB286D" w:rsidRDefault="00EB286D" w:rsidP="00EB286D">
      <w:pPr>
        <w:rPr>
          <w:rFonts w:ascii="Minion" w:hAnsi="Minion"/>
        </w:rPr>
      </w:pPr>
      <w:r w:rsidRPr="00EB286D">
        <w:rPr>
          <w:rFonts w:ascii="Minion" w:hAnsi="Minion"/>
        </w:rPr>
        <w:t>•</w:t>
      </w:r>
      <w:r w:rsidRPr="00EB286D">
        <w:rPr>
          <w:rFonts w:ascii="Minion" w:hAnsi="Minion"/>
        </w:rPr>
        <w:tab/>
        <w:t>Days 1 to 7: one capsule, three times a day (801 mg/day)</w:t>
      </w:r>
    </w:p>
    <w:p w:rsidR="00EB286D" w:rsidRPr="00EB286D" w:rsidRDefault="00EB286D" w:rsidP="00EB286D">
      <w:pPr>
        <w:rPr>
          <w:rFonts w:ascii="Minion" w:hAnsi="Minion"/>
        </w:rPr>
      </w:pPr>
      <w:r w:rsidRPr="00EB286D">
        <w:rPr>
          <w:rFonts w:ascii="Minion" w:hAnsi="Minion"/>
        </w:rPr>
        <w:t>•</w:t>
      </w:r>
      <w:r w:rsidRPr="00EB286D">
        <w:rPr>
          <w:rFonts w:ascii="Minion" w:hAnsi="Minion"/>
        </w:rPr>
        <w:tab/>
        <w:t>Days 8 to 14: two capsules, three times a day (1602 mg/day)</w:t>
      </w:r>
    </w:p>
    <w:p w:rsidR="00EB286D" w:rsidRPr="00EB286D" w:rsidRDefault="00EB286D" w:rsidP="00EB286D">
      <w:pPr>
        <w:rPr>
          <w:rFonts w:ascii="Minion" w:hAnsi="Minion"/>
        </w:rPr>
      </w:pPr>
      <w:r w:rsidRPr="00EB286D">
        <w:rPr>
          <w:rFonts w:ascii="Minion" w:hAnsi="Minion"/>
        </w:rPr>
        <w:t>•</w:t>
      </w:r>
      <w:r w:rsidRPr="00EB286D">
        <w:rPr>
          <w:rFonts w:ascii="Minion" w:hAnsi="Minion"/>
        </w:rPr>
        <w:tab/>
        <w:t>Day 15 onward: three capsules, three times a day (2403 mg/day)</w:t>
      </w:r>
    </w:p>
    <w:p w:rsidR="00EB286D" w:rsidRPr="00EB286D" w:rsidRDefault="00EB286D" w:rsidP="00EB286D">
      <w:pPr>
        <w:rPr>
          <w:rFonts w:ascii="Minion" w:hAnsi="Minion"/>
        </w:rPr>
      </w:pPr>
      <w:r w:rsidRPr="00EB286D">
        <w:rPr>
          <w:rFonts w:ascii="Minion" w:hAnsi="Minion"/>
        </w:rPr>
        <w:t>The recommended daily dose of ESBRIET for patients with IPF is three 267 mg capsules three times a day with food for a total of 2403 mg/day.</w:t>
      </w:r>
    </w:p>
    <w:p w:rsidR="00EB286D" w:rsidRPr="00EB286D" w:rsidRDefault="00EB286D" w:rsidP="00EB286D">
      <w:pPr>
        <w:rPr>
          <w:rFonts w:ascii="Minion" w:hAnsi="Minion"/>
        </w:rPr>
      </w:pPr>
      <w:r w:rsidRPr="00EB286D">
        <w:rPr>
          <w:rFonts w:ascii="Minion" w:hAnsi="Minion"/>
        </w:rPr>
        <w:t>Doses above 2403 mg/day are not recommended for any patient.</w:t>
      </w:r>
    </w:p>
    <w:p w:rsidR="00EB286D" w:rsidRPr="00EB286D" w:rsidRDefault="00EB286D" w:rsidP="00EB286D">
      <w:pPr>
        <w:rPr>
          <w:rFonts w:ascii="Minion" w:hAnsi="Minion"/>
        </w:rPr>
      </w:pPr>
      <w:r w:rsidRPr="00EB286D">
        <w:rPr>
          <w:rFonts w:ascii="Minion" w:hAnsi="Minion"/>
        </w:rPr>
        <w:t>Patients who miss 14 consecutive days or more of ESBRIET treatment should re-initiate therapy by undergoing the initial 2 week titration regimen up to the recommended daily dose.</w:t>
      </w:r>
    </w:p>
    <w:p w:rsidR="00EB286D" w:rsidRPr="00EB286D" w:rsidRDefault="00EB286D" w:rsidP="00EB286D">
      <w:pPr>
        <w:rPr>
          <w:rFonts w:ascii="Minion" w:hAnsi="Minion"/>
        </w:rPr>
      </w:pPr>
      <w:r w:rsidRPr="00EB286D">
        <w:rPr>
          <w:rFonts w:ascii="Minion" w:hAnsi="Minion"/>
        </w:rPr>
        <w:t xml:space="preserve">For treatment interruption of less than 14 consecutive days, the dose can be resumed at the previous recommended daily dose without titration. </w:t>
      </w:r>
    </w:p>
    <w:p w:rsidR="00EB286D" w:rsidRPr="00060F5A" w:rsidRDefault="00EB286D" w:rsidP="00EB286D">
      <w:pPr>
        <w:rPr>
          <w:rFonts w:ascii="Minion" w:hAnsi="Minion"/>
          <w:u w:val="single"/>
        </w:rPr>
      </w:pPr>
      <w:r w:rsidRPr="00060F5A">
        <w:rPr>
          <w:rFonts w:ascii="Minion" w:hAnsi="Minion"/>
          <w:u w:val="single"/>
        </w:rPr>
        <w:t>Dose Adjustments and Other Considerations</w:t>
      </w:r>
    </w:p>
    <w:p w:rsidR="00EB286D" w:rsidRPr="00EB286D" w:rsidRDefault="00EB286D" w:rsidP="00EB286D">
      <w:pPr>
        <w:rPr>
          <w:rFonts w:ascii="Minion" w:hAnsi="Minion"/>
        </w:rPr>
      </w:pPr>
      <w:r w:rsidRPr="00060F5A">
        <w:rPr>
          <w:rFonts w:ascii="Minion" w:hAnsi="Minion"/>
          <w:i/>
        </w:rPr>
        <w:t>Gastrointestinal events</w:t>
      </w:r>
      <w:r w:rsidRPr="00EB286D">
        <w:rPr>
          <w:rFonts w:ascii="Minion" w:hAnsi="Minion"/>
        </w:rPr>
        <w:t>: In patients who experience intolerance to therapy due to gastrointestinal side effects, patients should be reminded to take the medicinal product with food. If symptoms persist ESBRIET may be reduced to 1–2 capsules (267 mg – 534 mg) 2–3 times/day with food with re-escalation to the recommended daily dose as tolerated. If symptoms continue, patients may be instructed to interrupt treatment for 1 to 2 weeks to allow symptoms to resolve.</w:t>
      </w:r>
    </w:p>
    <w:p w:rsidR="00EB286D" w:rsidRPr="00EB286D" w:rsidRDefault="00EB286D" w:rsidP="00EB286D">
      <w:pPr>
        <w:rPr>
          <w:rFonts w:ascii="Minion" w:hAnsi="Minion"/>
        </w:rPr>
      </w:pPr>
      <w:r w:rsidRPr="00060F5A">
        <w:rPr>
          <w:rFonts w:ascii="Minion" w:hAnsi="Minion"/>
          <w:i/>
        </w:rPr>
        <w:t>Photosensitivity reaction or rash:</w:t>
      </w:r>
      <w:r w:rsidRPr="00EB286D">
        <w:rPr>
          <w:rFonts w:ascii="Minion" w:hAnsi="Minion"/>
        </w:rPr>
        <w:t xml:space="preserve"> Patients who experience a mild to moderate photosensitivity reaction or rash should be reminded of the instruction to use a sunblock daily and to avoid sun exposure (see PRECAUTIONS). The dose of ESBRIET may be reduced </w:t>
      </w:r>
      <w:proofErr w:type="gramStart"/>
      <w:r w:rsidRPr="00EB286D">
        <w:rPr>
          <w:rFonts w:ascii="Minion" w:hAnsi="Minion"/>
        </w:rPr>
        <w:t>to 3 capsules/day (1 capsule three times daily)</w:t>
      </w:r>
      <w:proofErr w:type="gramEnd"/>
      <w:r w:rsidRPr="00EB286D">
        <w:rPr>
          <w:rFonts w:ascii="Minion" w:hAnsi="Minion"/>
        </w:rPr>
        <w:t>. If the rash persists after 7 days, ESBRIET should be discontinued for 15 days, with re escalation to the recommended daily dose in the same manner as the dose escalation period.</w:t>
      </w:r>
    </w:p>
    <w:p w:rsidR="00EB286D" w:rsidRPr="00EB286D" w:rsidRDefault="00EB286D" w:rsidP="00EB286D">
      <w:pPr>
        <w:rPr>
          <w:rFonts w:ascii="Minion" w:hAnsi="Minion"/>
        </w:rPr>
      </w:pPr>
      <w:r w:rsidRPr="00EB286D">
        <w:rPr>
          <w:rFonts w:ascii="Minion" w:hAnsi="Minion"/>
        </w:rPr>
        <w:t>Patients who experience severe photosensitivity reaction or rash should be instructed to interrupt the dose and to seek medical advice (see PRECAUTIONS). Once the rash has resolved, ESBRIET may be reintroduced and re-escalated up to the recommended daily dose at the discretion of the physician.</w:t>
      </w:r>
    </w:p>
    <w:p w:rsidR="00EB286D" w:rsidRPr="00EB286D" w:rsidRDefault="00EB286D" w:rsidP="00EB286D">
      <w:pPr>
        <w:rPr>
          <w:rFonts w:ascii="Minion" w:hAnsi="Minion"/>
        </w:rPr>
      </w:pPr>
      <w:r w:rsidRPr="00060F5A">
        <w:rPr>
          <w:rFonts w:ascii="Minion" w:hAnsi="Minion"/>
          <w:i/>
        </w:rPr>
        <w:t>Hepatic function</w:t>
      </w:r>
      <w:r w:rsidRPr="00EB286D">
        <w:rPr>
          <w:rFonts w:ascii="Minion" w:hAnsi="Minion"/>
        </w:rPr>
        <w:t>: In the event of significant elevation of alanine and /or aspartate aminotransferases (ALT/AST) with or without bilirubin elevation, the dose of ESBRIET should be adjusted or treatment discontinued</w:t>
      </w:r>
      <w:r w:rsidR="00E2127F">
        <w:rPr>
          <w:rFonts w:ascii="Minion" w:hAnsi="Minion"/>
        </w:rPr>
        <w:t xml:space="preserve"> (see</w:t>
      </w:r>
      <w:r w:rsidR="00E2127F" w:rsidRPr="00E2127F">
        <w:t xml:space="preserve"> </w:t>
      </w:r>
      <w:r w:rsidR="00E2127F" w:rsidRPr="00E2127F">
        <w:rPr>
          <w:rFonts w:ascii="Minion" w:hAnsi="Minion"/>
        </w:rPr>
        <w:t>DOSAGE AND ADMINISTRATION/Recommendations in case of elevations in ALT, AST and serum bilirubin</w:t>
      </w:r>
      <w:proofErr w:type="gramStart"/>
      <w:r w:rsidR="00E2127F">
        <w:rPr>
          <w:rFonts w:ascii="Minion" w:hAnsi="Minion"/>
        </w:rPr>
        <w:t xml:space="preserve">)  </w:t>
      </w:r>
      <w:r w:rsidRPr="00EB286D">
        <w:rPr>
          <w:rFonts w:ascii="Minion" w:hAnsi="Minion"/>
        </w:rPr>
        <w:t>.</w:t>
      </w:r>
      <w:proofErr w:type="gramEnd"/>
    </w:p>
    <w:p w:rsidR="00EB286D" w:rsidRPr="00EB286D" w:rsidRDefault="00EB286D" w:rsidP="00EB286D">
      <w:pPr>
        <w:rPr>
          <w:rFonts w:ascii="Minion" w:hAnsi="Minion"/>
        </w:rPr>
      </w:pPr>
      <w:r w:rsidRPr="00060F5A">
        <w:rPr>
          <w:rFonts w:ascii="Minion" w:hAnsi="Minion"/>
          <w:i/>
        </w:rPr>
        <w:t>Recommendations in case of elevations in ALT, AST and serum bilirubin</w:t>
      </w:r>
      <w:r w:rsidRPr="00EB286D">
        <w:rPr>
          <w:rFonts w:ascii="Minion" w:hAnsi="Minion"/>
        </w:rPr>
        <w:t xml:space="preserve">: If a patient exhibits an aminotransferase elevation &gt;3 to ≤5 × ULN after starting ESBRIET therapy, confounding </w:t>
      </w:r>
      <w:r w:rsidRPr="00EB286D">
        <w:rPr>
          <w:rFonts w:ascii="Minion" w:hAnsi="Minion"/>
        </w:rPr>
        <w:lastRenderedPageBreak/>
        <w:t>medicinal products should be discontinued, other causes excluded, and the patient monitored closely. If clinically appropriate the dose of ESBRIET should be reduced or interrupted. Once liver function tests are within normal limits ESBRIET may be re-escalated to the recommended daily dose if tolerated.</w:t>
      </w:r>
    </w:p>
    <w:p w:rsidR="00EB286D" w:rsidRPr="00EB286D" w:rsidRDefault="00EB286D" w:rsidP="00EB286D">
      <w:pPr>
        <w:rPr>
          <w:rFonts w:ascii="Minion" w:hAnsi="Minion"/>
        </w:rPr>
      </w:pPr>
      <w:r w:rsidRPr="00EB286D">
        <w:rPr>
          <w:rFonts w:ascii="Minion" w:hAnsi="Minion"/>
        </w:rPr>
        <w:t>If a patient exhibits an aminotransferase elevation to ≤5 × ULN accompanied by symptoms or hyperbilirubinemia, ESBRIET should be discontinued and the patient should not be rechallenged.</w:t>
      </w:r>
    </w:p>
    <w:p w:rsidR="00EB286D" w:rsidRPr="00EB286D" w:rsidRDefault="00EB286D" w:rsidP="00EB286D">
      <w:pPr>
        <w:rPr>
          <w:rFonts w:ascii="Minion" w:hAnsi="Minion"/>
        </w:rPr>
      </w:pPr>
      <w:r w:rsidRPr="00EB286D">
        <w:rPr>
          <w:rFonts w:ascii="Minion" w:hAnsi="Minion"/>
        </w:rPr>
        <w:t>If a patient exhibits an aminotransferase elevation to &gt;5 × ULN, ESBRIET should be discontinued and the patient should not be rechallenged.</w:t>
      </w:r>
      <w:r w:rsidRPr="00EB286D">
        <w:rPr>
          <w:rFonts w:ascii="Minion" w:hAnsi="Minion"/>
        </w:rPr>
        <w:tab/>
      </w:r>
    </w:p>
    <w:p w:rsidR="00EB286D" w:rsidRPr="00EB286D" w:rsidRDefault="00EB286D" w:rsidP="00EB286D">
      <w:pPr>
        <w:pStyle w:val="Heading3"/>
      </w:pPr>
      <w:r w:rsidRPr="00EB286D">
        <w:t>Special Populations</w:t>
      </w:r>
    </w:p>
    <w:p w:rsidR="00EB286D" w:rsidRPr="00EB286D" w:rsidRDefault="00EB286D" w:rsidP="00EB286D">
      <w:pPr>
        <w:pStyle w:val="Heading4"/>
      </w:pPr>
      <w:r w:rsidRPr="00EB286D">
        <w:t>Elderly</w:t>
      </w:r>
    </w:p>
    <w:p w:rsidR="00EB286D" w:rsidRPr="00EB286D" w:rsidRDefault="00EB286D" w:rsidP="00EB286D">
      <w:pPr>
        <w:rPr>
          <w:rFonts w:ascii="Minion" w:hAnsi="Minion"/>
        </w:rPr>
      </w:pPr>
      <w:r w:rsidRPr="00EB286D">
        <w:rPr>
          <w:rFonts w:ascii="Minion" w:hAnsi="Minion"/>
        </w:rPr>
        <w:t>No dose adjustment is necessary in patients 65 years and older (see PRECAUTIONS/Use in elderly).</w:t>
      </w:r>
    </w:p>
    <w:p w:rsidR="00EB286D" w:rsidRPr="00EB286D" w:rsidRDefault="00EB286D" w:rsidP="00EB286D">
      <w:pPr>
        <w:pStyle w:val="Heading4"/>
      </w:pPr>
      <w:r w:rsidRPr="00EB286D">
        <w:t>Hepatic impairment</w:t>
      </w:r>
    </w:p>
    <w:p w:rsidR="00EB286D" w:rsidRPr="00EB286D" w:rsidRDefault="00EB286D" w:rsidP="00EB286D">
      <w:pPr>
        <w:rPr>
          <w:rFonts w:ascii="Minion" w:hAnsi="Minion"/>
        </w:rPr>
      </w:pPr>
      <w:r w:rsidRPr="00EB286D">
        <w:rPr>
          <w:rFonts w:ascii="Minion" w:hAnsi="Minion"/>
        </w:rPr>
        <w:t>No dose adjustment is necessary in patients with mild to moderate hepatic impairment (i.e., Child-Pugh Class A and B). However, since plasma levels of pirfenidone may be increased in some individuals with mild to moderate hepatic impairment, caution should be used with ESBRIET treatment in this population. Patients should be monitored closely for signs of toxicity especially if concomitantly taking a known CYP1A2 inhibitor (see PREAUTIONS and INETRACTIONS WITH OTHER MEDICINES). ESBRIET has not been studied in patients with severe hepatic impairment or end stage liver disease, and it should not be used in patients with these conditions (see PRECAUTIONS). It is recommended to monitor liver function during treatment, and dose adjustments may be necessary in the event of elevations (see PRECAUTIONS</w:t>
      </w:r>
      <w:r w:rsidR="00903981">
        <w:rPr>
          <w:rFonts w:ascii="Minion" w:hAnsi="Minion"/>
        </w:rPr>
        <w:t xml:space="preserve"> and DOSAGE </w:t>
      </w:r>
      <w:r w:rsidR="00E2127F">
        <w:rPr>
          <w:rFonts w:ascii="Minion" w:hAnsi="Minion"/>
        </w:rPr>
        <w:t>AND ADMINISTRATION/</w:t>
      </w:r>
      <w:r w:rsidR="00903981" w:rsidRPr="00903981">
        <w:rPr>
          <w:rFonts w:ascii="Minion" w:hAnsi="Minion"/>
        </w:rPr>
        <w:t>Recommendations in case of elevations in ALT, AST and serum bilirubin</w:t>
      </w:r>
      <w:r w:rsidRPr="00EB286D">
        <w:rPr>
          <w:rFonts w:ascii="Minion" w:hAnsi="Minion"/>
        </w:rPr>
        <w:t>).</w:t>
      </w:r>
    </w:p>
    <w:p w:rsidR="00EB286D" w:rsidRPr="00EB286D" w:rsidRDefault="00EB286D" w:rsidP="00EB286D">
      <w:pPr>
        <w:pStyle w:val="Heading4"/>
      </w:pPr>
      <w:r w:rsidRPr="00EB286D">
        <w:t>Renal impairment</w:t>
      </w:r>
    </w:p>
    <w:p w:rsidR="00EB286D" w:rsidRDefault="00EB286D" w:rsidP="00EB286D">
      <w:pPr>
        <w:rPr>
          <w:rFonts w:ascii="Minion" w:hAnsi="Minion"/>
        </w:rPr>
      </w:pPr>
      <w:r w:rsidRPr="00EB286D">
        <w:rPr>
          <w:rFonts w:ascii="Minion" w:hAnsi="Minion"/>
        </w:rPr>
        <w:t>No dose adjustment is necessary in patients with mild to moderate renal impairment. ESBRIET therapy should not be used in patients with severe renal impairment (CrCl &lt;30 mL/min) or end-stage renal disease requiring dialysis (see PRECAUTIONS).</w:t>
      </w:r>
      <w:r w:rsidRPr="00EB286D">
        <w:rPr>
          <w:rFonts w:ascii="Minion" w:hAnsi="Minion"/>
        </w:rPr>
        <w:tab/>
      </w:r>
    </w:p>
    <w:p w:rsidR="00EB286D" w:rsidRPr="00EB286D" w:rsidRDefault="00EB286D" w:rsidP="0085496C">
      <w:pPr>
        <w:pStyle w:val="Heading2"/>
      </w:pPr>
      <w:r w:rsidRPr="00EB286D">
        <w:t>OVERDOSAGE</w:t>
      </w:r>
    </w:p>
    <w:p w:rsidR="00EB286D" w:rsidRPr="00EB286D" w:rsidRDefault="00EB286D" w:rsidP="00EB286D">
      <w:pPr>
        <w:rPr>
          <w:rFonts w:ascii="Minion" w:hAnsi="Minion"/>
        </w:rPr>
      </w:pPr>
      <w:r w:rsidRPr="00EB286D">
        <w:rPr>
          <w:rFonts w:ascii="Minion" w:hAnsi="Minion"/>
        </w:rPr>
        <w:t xml:space="preserve">There is limited clinical experience with overdose. </w:t>
      </w:r>
      <w:r w:rsidR="009A7347" w:rsidRPr="009A7347">
        <w:rPr>
          <w:rFonts w:ascii="Minion" w:hAnsi="Minion"/>
        </w:rPr>
        <w:t xml:space="preserve"> Multiple dosages of ESBRIET up to a dose of 4</w:t>
      </w:r>
      <w:r w:rsidR="009A7347">
        <w:rPr>
          <w:rFonts w:ascii="Minion" w:hAnsi="Minion"/>
        </w:rPr>
        <w:t>806 mg/</w:t>
      </w:r>
      <w:r w:rsidR="009A7347" w:rsidRPr="009A7347">
        <w:rPr>
          <w:rFonts w:ascii="Minion" w:hAnsi="Minion"/>
        </w:rPr>
        <w:t xml:space="preserve">day were administered as </w:t>
      </w:r>
      <w:r w:rsidR="009A7347">
        <w:rPr>
          <w:rFonts w:ascii="Minion" w:hAnsi="Minion"/>
        </w:rPr>
        <w:t>six</w:t>
      </w:r>
      <w:r w:rsidR="009A7347" w:rsidRPr="009A7347">
        <w:rPr>
          <w:rFonts w:ascii="Minion" w:hAnsi="Minion"/>
        </w:rPr>
        <w:t xml:space="preserve"> 267 mg capsules three times daily to healthy adult volunteers over a 12-day dose escalation</w:t>
      </w:r>
      <w:r w:rsidR="009A7347">
        <w:rPr>
          <w:rFonts w:ascii="Minion" w:hAnsi="Minion"/>
        </w:rPr>
        <w:t xml:space="preserve"> period</w:t>
      </w:r>
      <w:r w:rsidR="009A7347" w:rsidRPr="009A7347">
        <w:rPr>
          <w:rFonts w:ascii="Minion" w:hAnsi="Minion"/>
        </w:rPr>
        <w:t>.</w:t>
      </w:r>
      <w:r w:rsidR="009A7347">
        <w:rPr>
          <w:rFonts w:ascii="Minion" w:hAnsi="Minion"/>
        </w:rPr>
        <w:t xml:space="preserve"> Adverse reactions were mild, transient and consistent with most frequently reported adverse reactions for pirfenidone.</w:t>
      </w:r>
    </w:p>
    <w:p w:rsidR="00EB286D" w:rsidRPr="00EB286D" w:rsidRDefault="00EB286D" w:rsidP="00EB286D">
      <w:pPr>
        <w:rPr>
          <w:rFonts w:ascii="Minion" w:hAnsi="Minion"/>
        </w:rPr>
      </w:pPr>
      <w:r w:rsidRPr="00EB286D">
        <w:rPr>
          <w:rFonts w:ascii="Minion" w:hAnsi="Minion"/>
        </w:rPr>
        <w:t>In the event of a suspected overdose, supportive medical care should be provided including monitoring of vital signs and close observation of the clinical status of the patient.</w:t>
      </w:r>
    </w:p>
    <w:p w:rsidR="00EB286D" w:rsidRPr="00EB286D" w:rsidRDefault="00EB286D" w:rsidP="00EB286D">
      <w:pPr>
        <w:rPr>
          <w:rFonts w:ascii="Minion" w:hAnsi="Minion"/>
        </w:rPr>
      </w:pPr>
      <w:r w:rsidRPr="00EB286D">
        <w:rPr>
          <w:rFonts w:ascii="Minion" w:hAnsi="Minion"/>
        </w:rPr>
        <w:t>For information on the management of overdose, contact the Poison Information Centre on 131126 (Australia).</w:t>
      </w:r>
    </w:p>
    <w:p w:rsidR="00EB286D" w:rsidRPr="00EB286D" w:rsidRDefault="00EB286D" w:rsidP="0085496C">
      <w:pPr>
        <w:pStyle w:val="Heading2"/>
      </w:pPr>
      <w:r w:rsidRPr="00EB286D">
        <w:lastRenderedPageBreak/>
        <w:t>PRESENTATION AND STORAGE CONDITIONS</w:t>
      </w:r>
    </w:p>
    <w:p w:rsidR="00EB286D" w:rsidRPr="00EB286D" w:rsidRDefault="00EB286D" w:rsidP="00EB286D">
      <w:pPr>
        <w:rPr>
          <w:rFonts w:ascii="Minion" w:hAnsi="Minion"/>
        </w:rPr>
      </w:pPr>
      <w:r w:rsidRPr="00EB286D">
        <w:rPr>
          <w:rFonts w:ascii="Minion" w:hAnsi="Minion"/>
        </w:rPr>
        <w:t>ESBRIET 267 mg hard capsules are available in high-density polyethylene (HDPE) bottles of 270 capsules.</w:t>
      </w:r>
    </w:p>
    <w:p w:rsidR="00EB286D" w:rsidRPr="00EB286D" w:rsidRDefault="00EB286D" w:rsidP="00EB286D">
      <w:pPr>
        <w:rPr>
          <w:rFonts w:ascii="Minion" w:hAnsi="Minion"/>
        </w:rPr>
      </w:pPr>
      <w:r w:rsidRPr="00EB286D">
        <w:rPr>
          <w:rFonts w:ascii="Minion" w:hAnsi="Minion"/>
        </w:rPr>
        <w:t xml:space="preserve">ESBRIET 267 mg </w:t>
      </w:r>
      <w:proofErr w:type="gramStart"/>
      <w:r w:rsidRPr="00EB286D">
        <w:rPr>
          <w:rFonts w:ascii="Minion" w:hAnsi="Minion"/>
        </w:rPr>
        <w:t>are</w:t>
      </w:r>
      <w:proofErr w:type="gramEnd"/>
      <w:r w:rsidRPr="00EB286D">
        <w:rPr>
          <w:rFonts w:ascii="Minion" w:hAnsi="Minion"/>
        </w:rPr>
        <w:t xml:space="preserve"> hard gelatin capsule</w:t>
      </w:r>
      <w:r w:rsidR="004B2F36">
        <w:rPr>
          <w:rFonts w:ascii="Minion" w:hAnsi="Minion"/>
        </w:rPr>
        <w:t>s</w:t>
      </w:r>
      <w:r w:rsidRPr="00EB286D">
        <w:rPr>
          <w:rFonts w:ascii="Minion" w:hAnsi="Minion"/>
        </w:rPr>
        <w:t xml:space="preserve"> with a white opaque </w:t>
      </w:r>
      <w:r w:rsidR="004B2F36" w:rsidRPr="00EB286D">
        <w:rPr>
          <w:rFonts w:ascii="Minion" w:hAnsi="Minion"/>
        </w:rPr>
        <w:t>body and</w:t>
      </w:r>
      <w:r w:rsidRPr="00EB286D">
        <w:rPr>
          <w:rFonts w:ascii="Minion" w:hAnsi="Minion"/>
        </w:rPr>
        <w:t xml:space="preserve"> a white opaque cap printed with “</w:t>
      </w:r>
      <w:r w:rsidR="00E41C50">
        <w:rPr>
          <w:rFonts w:ascii="Minion" w:hAnsi="Minion"/>
        </w:rPr>
        <w:t>PFD</w:t>
      </w:r>
      <w:r w:rsidRPr="00EB286D">
        <w:rPr>
          <w:rFonts w:ascii="Minion" w:hAnsi="Minion"/>
        </w:rPr>
        <w:t xml:space="preserve">” and “267 mg” in brown ink. </w:t>
      </w:r>
    </w:p>
    <w:p w:rsidR="00EB286D" w:rsidRPr="00EB286D" w:rsidRDefault="000B6C47" w:rsidP="00EB286D">
      <w:pPr>
        <w:rPr>
          <w:rFonts w:ascii="Minion" w:hAnsi="Minion"/>
        </w:rPr>
      </w:pPr>
      <w:r>
        <w:rPr>
          <w:rFonts w:ascii="Minion" w:hAnsi="Minion"/>
        </w:rPr>
        <w:t>S</w:t>
      </w:r>
      <w:r w:rsidR="00EB286D" w:rsidRPr="00EB286D">
        <w:rPr>
          <w:rFonts w:ascii="Minion" w:hAnsi="Minion"/>
        </w:rPr>
        <w:t xml:space="preserve">tore </w:t>
      </w:r>
      <w:r>
        <w:rPr>
          <w:rFonts w:ascii="Minion" w:hAnsi="Minion"/>
        </w:rPr>
        <w:t xml:space="preserve">below </w:t>
      </w:r>
      <w:r w:rsidR="00EB286D" w:rsidRPr="00EB286D">
        <w:rPr>
          <w:rFonts w:ascii="Minion" w:hAnsi="Minion"/>
        </w:rPr>
        <w:t>30ºC</w:t>
      </w:r>
      <w:r>
        <w:rPr>
          <w:rFonts w:ascii="Minion" w:hAnsi="Minion"/>
        </w:rPr>
        <w:t>.</w:t>
      </w:r>
    </w:p>
    <w:p w:rsidR="00EB286D" w:rsidRPr="00EB286D" w:rsidRDefault="00EB286D" w:rsidP="0085496C">
      <w:pPr>
        <w:pStyle w:val="Heading2"/>
      </w:pPr>
      <w:r w:rsidRPr="00EB286D">
        <w:t xml:space="preserve">DISPOSAL OF MEDICINES </w:t>
      </w:r>
    </w:p>
    <w:p w:rsidR="00EB286D" w:rsidRPr="00EB286D" w:rsidRDefault="00EB286D" w:rsidP="00EB286D">
      <w:pPr>
        <w:rPr>
          <w:rFonts w:ascii="Minion" w:hAnsi="Minion"/>
        </w:rPr>
      </w:pPr>
      <w:r w:rsidRPr="00EB286D">
        <w:rPr>
          <w:rFonts w:ascii="Minion" w:hAnsi="Minion"/>
        </w:rPr>
        <w:t xml:space="preserve">The release of medicines into the environment should be minimised. Medicines should not be disposed of via wastewater and disposal through household waste should be avoided. Unused or expired medicine should be returned to a pharmacy for disposal. </w:t>
      </w:r>
    </w:p>
    <w:p w:rsidR="00EB286D" w:rsidRPr="00EB286D" w:rsidRDefault="00EB286D" w:rsidP="0085496C">
      <w:pPr>
        <w:pStyle w:val="Heading2"/>
      </w:pPr>
      <w:r w:rsidRPr="00EB286D">
        <w:t>NAME AND ADDRESS OF THE SPONSOR</w:t>
      </w:r>
    </w:p>
    <w:p w:rsidR="001709EF" w:rsidRDefault="00EB286D" w:rsidP="001709EF">
      <w:pPr>
        <w:spacing w:line="240" w:lineRule="auto"/>
        <w:rPr>
          <w:rFonts w:ascii="Minion" w:hAnsi="Minion"/>
        </w:rPr>
      </w:pPr>
      <w:r w:rsidRPr="00EB286D">
        <w:rPr>
          <w:rFonts w:ascii="Minion" w:hAnsi="Minion"/>
        </w:rPr>
        <w:t>Roche Products Pty Limited</w:t>
      </w:r>
    </w:p>
    <w:p w:rsidR="00EB286D" w:rsidRPr="00EB286D" w:rsidRDefault="00EB286D" w:rsidP="001709EF">
      <w:pPr>
        <w:spacing w:line="240" w:lineRule="auto"/>
        <w:rPr>
          <w:rFonts w:ascii="Minion" w:hAnsi="Minion"/>
        </w:rPr>
      </w:pPr>
      <w:r w:rsidRPr="00EB286D">
        <w:rPr>
          <w:rFonts w:ascii="Minion" w:hAnsi="Minion"/>
        </w:rPr>
        <w:t>ABN 70 000 132 865</w:t>
      </w:r>
    </w:p>
    <w:p w:rsidR="00EB286D" w:rsidRPr="00EB286D" w:rsidRDefault="00EB286D" w:rsidP="001709EF">
      <w:pPr>
        <w:spacing w:line="240" w:lineRule="auto"/>
        <w:rPr>
          <w:rFonts w:ascii="Minion" w:hAnsi="Minion"/>
        </w:rPr>
      </w:pPr>
      <w:r>
        <w:rPr>
          <w:rFonts w:ascii="Minion" w:hAnsi="Minion"/>
        </w:rPr>
        <w:t>4-</w:t>
      </w:r>
      <w:r w:rsidRPr="00EB286D">
        <w:rPr>
          <w:rFonts w:ascii="Minion" w:hAnsi="Minion"/>
        </w:rPr>
        <w:t>10 Inman Road</w:t>
      </w:r>
      <w:r w:rsidR="001709EF">
        <w:rPr>
          <w:rFonts w:ascii="Minion" w:hAnsi="Minion"/>
        </w:rPr>
        <w:t xml:space="preserve">, </w:t>
      </w:r>
      <w:r w:rsidRPr="00EB286D">
        <w:rPr>
          <w:rFonts w:ascii="Minion" w:hAnsi="Minion"/>
        </w:rPr>
        <w:t>Dee Why   NSW   2099</w:t>
      </w:r>
    </w:p>
    <w:p w:rsidR="00EB286D" w:rsidRPr="00EB286D" w:rsidRDefault="00EB286D" w:rsidP="001709EF">
      <w:pPr>
        <w:spacing w:line="240" w:lineRule="auto"/>
        <w:rPr>
          <w:rFonts w:ascii="Minion" w:hAnsi="Minion"/>
        </w:rPr>
      </w:pPr>
      <w:r w:rsidRPr="00EB286D">
        <w:rPr>
          <w:rFonts w:ascii="Minion" w:hAnsi="Minion"/>
        </w:rPr>
        <w:t>AUSTRALIA</w:t>
      </w:r>
    </w:p>
    <w:p w:rsidR="00EB286D" w:rsidRPr="00EB286D" w:rsidRDefault="00EB286D" w:rsidP="00EB286D">
      <w:pPr>
        <w:rPr>
          <w:rFonts w:ascii="Minion" w:hAnsi="Minion"/>
        </w:rPr>
      </w:pPr>
      <w:r w:rsidRPr="00EB286D">
        <w:rPr>
          <w:rFonts w:ascii="Minion" w:hAnsi="Minion"/>
        </w:rPr>
        <w:t>Medical enquiries: 1800 233 950</w:t>
      </w:r>
    </w:p>
    <w:p w:rsidR="00EB286D" w:rsidRPr="00EB286D" w:rsidRDefault="00EB286D" w:rsidP="001709EF">
      <w:pPr>
        <w:spacing w:line="240" w:lineRule="auto"/>
        <w:rPr>
          <w:rFonts w:ascii="Minion" w:hAnsi="Minion"/>
        </w:rPr>
      </w:pPr>
      <w:r w:rsidRPr="00EB286D">
        <w:rPr>
          <w:rFonts w:ascii="Minion" w:hAnsi="Minion"/>
        </w:rPr>
        <w:t>Roche Products (New Zealand) Limited</w:t>
      </w:r>
    </w:p>
    <w:p w:rsidR="00EB286D" w:rsidRPr="00EB286D" w:rsidRDefault="00EB286D" w:rsidP="001709EF">
      <w:pPr>
        <w:spacing w:line="240" w:lineRule="auto"/>
        <w:rPr>
          <w:rFonts w:ascii="Minion" w:hAnsi="Minion"/>
        </w:rPr>
      </w:pPr>
      <w:r w:rsidRPr="00EB286D">
        <w:rPr>
          <w:rFonts w:ascii="Minion" w:hAnsi="Minion"/>
        </w:rPr>
        <w:t xml:space="preserve">PO Box 109113 </w:t>
      </w:r>
      <w:proofErr w:type="spellStart"/>
      <w:r w:rsidRPr="00EB286D">
        <w:rPr>
          <w:rFonts w:ascii="Minion" w:hAnsi="Minion"/>
        </w:rPr>
        <w:t>Newmarket</w:t>
      </w:r>
      <w:proofErr w:type="spellEnd"/>
    </w:p>
    <w:p w:rsidR="00EB286D" w:rsidRPr="00EB286D" w:rsidRDefault="00EB286D" w:rsidP="001709EF">
      <w:pPr>
        <w:spacing w:line="240" w:lineRule="auto"/>
        <w:rPr>
          <w:rFonts w:ascii="Minion" w:hAnsi="Minion"/>
        </w:rPr>
      </w:pPr>
      <w:r w:rsidRPr="00EB286D">
        <w:rPr>
          <w:rFonts w:ascii="Minion" w:hAnsi="Minion"/>
        </w:rPr>
        <w:t>Auckland 1149</w:t>
      </w:r>
    </w:p>
    <w:p w:rsidR="00EB286D" w:rsidRPr="00EB286D" w:rsidRDefault="00EB286D" w:rsidP="001709EF">
      <w:pPr>
        <w:spacing w:line="240" w:lineRule="auto"/>
        <w:rPr>
          <w:rFonts w:ascii="Minion" w:hAnsi="Minion"/>
        </w:rPr>
      </w:pPr>
      <w:r w:rsidRPr="00EB286D">
        <w:rPr>
          <w:rFonts w:ascii="Minion" w:hAnsi="Minion"/>
        </w:rPr>
        <w:t>NEW ZEALAND</w:t>
      </w:r>
    </w:p>
    <w:p w:rsidR="00EB286D" w:rsidRPr="00EB286D" w:rsidRDefault="00EB286D" w:rsidP="00EB286D">
      <w:pPr>
        <w:rPr>
          <w:rFonts w:ascii="Minion" w:hAnsi="Minion"/>
        </w:rPr>
      </w:pPr>
      <w:r w:rsidRPr="00EB286D">
        <w:rPr>
          <w:rFonts w:ascii="Minion" w:hAnsi="Minion"/>
        </w:rPr>
        <w:t>Medical enquiries: 0800 656 464</w:t>
      </w:r>
    </w:p>
    <w:p w:rsidR="00EB286D" w:rsidRPr="00EB286D" w:rsidRDefault="00EB286D" w:rsidP="0085496C">
      <w:pPr>
        <w:pStyle w:val="Heading2"/>
      </w:pPr>
      <w:r w:rsidRPr="00EB286D">
        <w:t>POISON SCHEDULE OF THE MEDICINE</w:t>
      </w:r>
    </w:p>
    <w:p w:rsidR="00EB286D" w:rsidRPr="00EB286D" w:rsidRDefault="00EB286D" w:rsidP="00EB286D">
      <w:pPr>
        <w:rPr>
          <w:rFonts w:ascii="Minion" w:hAnsi="Minion"/>
        </w:rPr>
      </w:pPr>
      <w:r w:rsidRPr="00EB286D">
        <w:rPr>
          <w:rFonts w:ascii="Minion" w:hAnsi="Minion"/>
        </w:rPr>
        <w:t>Schedule 4 – Prescription Only Medicine</w:t>
      </w:r>
    </w:p>
    <w:p w:rsidR="00EB286D" w:rsidRPr="00EB286D" w:rsidRDefault="00EB286D" w:rsidP="0085496C">
      <w:pPr>
        <w:pStyle w:val="Heading2"/>
      </w:pPr>
      <w:r w:rsidRPr="00EB286D">
        <w:t>DATE OF FIRST INCLUSION IN THE AUSTRALIAN REGISTER OF THERAPEUTIC GOODS (THE ARTG)</w:t>
      </w:r>
    </w:p>
    <w:p w:rsidR="004F1794" w:rsidRPr="00EB286D" w:rsidRDefault="00CB7A2C" w:rsidP="00EB286D">
      <w:pPr>
        <w:rPr>
          <w:rFonts w:ascii="Minion" w:hAnsi="Minion"/>
        </w:rPr>
      </w:pPr>
      <w:r>
        <w:rPr>
          <w:rFonts w:ascii="Minion" w:hAnsi="Minion"/>
        </w:rPr>
        <w:t>29 February 2016</w:t>
      </w:r>
      <w:r w:rsidR="00EB286D" w:rsidRPr="00EB286D">
        <w:rPr>
          <w:rFonts w:ascii="Minion" w:hAnsi="Minion"/>
        </w:rPr>
        <w:tab/>
      </w:r>
    </w:p>
    <w:sectPr w:rsidR="004F1794" w:rsidRPr="00EB286D" w:rsidSect="00CF1F5A">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1F7" w:rsidRDefault="00D951F7" w:rsidP="00CF1F5A">
      <w:pPr>
        <w:spacing w:after="0" w:line="240" w:lineRule="auto"/>
      </w:pPr>
      <w:r>
        <w:separator/>
      </w:r>
    </w:p>
  </w:endnote>
  <w:endnote w:type="continuationSeparator" w:id="0">
    <w:p w:rsidR="00D951F7" w:rsidRDefault="00D951F7" w:rsidP="00CF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mago">
    <w:altName w:val="Segoe UI"/>
    <w:charset w:val="00"/>
    <w:family w:val="auto"/>
    <w:pitch w:val="variable"/>
    <w:sig w:usb0="00000001" w:usb1="5000205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Cambria Math"/>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5936"/>
      <w:docPartObj>
        <w:docPartGallery w:val="Page Numbers (Bottom of Page)"/>
        <w:docPartUnique/>
      </w:docPartObj>
    </w:sdtPr>
    <w:sdtEndPr>
      <w:rPr>
        <w:noProof/>
      </w:rPr>
    </w:sdtEndPr>
    <w:sdtContent>
      <w:p w:rsidR="008D6D17" w:rsidRDefault="008D6D17">
        <w:pPr>
          <w:pStyle w:val="Footer"/>
          <w:jc w:val="right"/>
        </w:pPr>
        <w:r>
          <w:fldChar w:fldCharType="begin"/>
        </w:r>
        <w:r>
          <w:instrText xml:space="preserve"> PAGE   \* MERGEFORMAT </w:instrText>
        </w:r>
        <w:r>
          <w:fldChar w:fldCharType="separate"/>
        </w:r>
        <w:r w:rsidR="00945F2B">
          <w:rPr>
            <w:noProof/>
          </w:rPr>
          <w:t>2</w:t>
        </w:r>
        <w:r>
          <w:rPr>
            <w:noProof/>
          </w:rPr>
          <w:fldChar w:fldCharType="end"/>
        </w:r>
      </w:p>
    </w:sdtContent>
  </w:sdt>
  <w:p w:rsidR="008D6D17" w:rsidRPr="00822768" w:rsidRDefault="000B6C47">
    <w:pPr>
      <w:pStyle w:val="Footer"/>
      <w:rPr>
        <w:rFonts w:ascii="Minion" w:hAnsi="Minion"/>
        <w:sz w:val="20"/>
      </w:rPr>
    </w:pPr>
    <w:r w:rsidRPr="00822768">
      <w:rPr>
        <w:rFonts w:ascii="Minion" w:hAnsi="Minion"/>
        <w:sz w:val="20"/>
      </w:rPr>
      <w:t xml:space="preserve">ESBRIET </w:t>
    </w:r>
    <w:r w:rsidR="00A667BD">
      <w:rPr>
        <w:rFonts w:ascii="Minion" w:hAnsi="Minion"/>
        <w:sz w:val="20"/>
      </w:rPr>
      <w:t>15</w:t>
    </w:r>
    <w:r w:rsidR="003B128F">
      <w:rPr>
        <w:rFonts w:ascii="Minion" w:hAnsi="Minion"/>
        <w:sz w:val="20"/>
      </w:rPr>
      <w:t>1103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881915"/>
      <w:docPartObj>
        <w:docPartGallery w:val="Page Numbers (Bottom of Page)"/>
        <w:docPartUnique/>
      </w:docPartObj>
    </w:sdtPr>
    <w:sdtEndPr>
      <w:rPr>
        <w:noProof/>
      </w:rPr>
    </w:sdtEndPr>
    <w:sdtContent>
      <w:p w:rsidR="008D6D17" w:rsidRDefault="008D6D17">
        <w:pPr>
          <w:pStyle w:val="Footer"/>
          <w:jc w:val="right"/>
        </w:pPr>
        <w:r>
          <w:fldChar w:fldCharType="begin"/>
        </w:r>
        <w:r>
          <w:instrText xml:space="preserve"> PAGE   \* MERGEFORMAT </w:instrText>
        </w:r>
        <w:r>
          <w:fldChar w:fldCharType="separate"/>
        </w:r>
        <w:r w:rsidR="00945F2B">
          <w:rPr>
            <w:noProof/>
          </w:rPr>
          <w:t>1</w:t>
        </w:r>
        <w:r>
          <w:rPr>
            <w:noProof/>
          </w:rPr>
          <w:fldChar w:fldCharType="end"/>
        </w:r>
      </w:p>
    </w:sdtContent>
  </w:sdt>
  <w:p w:rsidR="008D6D17" w:rsidRPr="008D6D17" w:rsidRDefault="008D6D17">
    <w:pPr>
      <w:pStyle w:val="Footer"/>
      <w:rPr>
        <w:sz w:val="16"/>
      </w:rPr>
    </w:pPr>
    <w:r>
      <w:rPr>
        <w:sz w:val="16"/>
      </w:rPr>
      <w:t xml:space="preserve">ESBRIET </w:t>
    </w:r>
    <w:r w:rsidR="00A667BD">
      <w:rPr>
        <w:sz w:val="16"/>
      </w:rPr>
      <w:t>15</w:t>
    </w:r>
    <w:r w:rsidR="00940820">
      <w:rPr>
        <w:sz w:val="16"/>
      </w:rPr>
      <w:t>1103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1F7" w:rsidRDefault="00D951F7" w:rsidP="00CF1F5A">
      <w:pPr>
        <w:spacing w:after="0" w:line="240" w:lineRule="auto"/>
      </w:pPr>
      <w:r>
        <w:separator/>
      </w:r>
    </w:p>
  </w:footnote>
  <w:footnote w:type="continuationSeparator" w:id="0">
    <w:p w:rsidR="00D951F7" w:rsidRDefault="00D951F7" w:rsidP="00CF1F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2B" w:rsidRDefault="00945F2B" w:rsidP="00945F2B">
    <w:pPr>
      <w:pStyle w:val="Header"/>
      <w:tabs>
        <w:tab w:val="left" w:pos="1530"/>
      </w:tabs>
    </w:pPr>
    <w:r>
      <w:tab/>
    </w:r>
  </w:p>
  <w:tbl>
    <w:tblPr>
      <w:tblStyle w:val="TableGrid"/>
      <w:tblW w:w="0" w:type="auto"/>
      <w:shd w:val="clear" w:color="auto" w:fill="E4F2E0"/>
      <w:tblLook w:val="04A0" w:firstRow="1" w:lastRow="0" w:firstColumn="1" w:lastColumn="0" w:noHBand="0" w:noVBand="1"/>
    </w:tblPr>
    <w:tblGrid>
      <w:gridCol w:w="8188"/>
    </w:tblGrid>
    <w:tr w:rsidR="00945F2B" w:rsidTr="00513CA1">
      <w:tc>
        <w:tcPr>
          <w:tcW w:w="8188" w:type="dxa"/>
          <w:shd w:val="clear" w:color="auto" w:fill="E4F2E0"/>
        </w:tcPr>
        <w:p w:rsidR="00945F2B" w:rsidRPr="00CA17E5" w:rsidRDefault="00945F2B" w:rsidP="00513CA1">
          <w:pPr>
            <w:rPr>
              <w:rFonts w:asciiTheme="majorHAnsi" w:hAnsiTheme="majorHAnsi"/>
              <w:b/>
              <w:sz w:val="20"/>
              <w:szCs w:val="20"/>
            </w:rPr>
          </w:pPr>
          <w:r w:rsidRPr="00CA17E5">
            <w:rPr>
              <w:rFonts w:asciiTheme="majorHAnsi" w:hAnsiTheme="majorHAnsi"/>
              <w:b/>
              <w:sz w:val="20"/>
              <w:szCs w:val="20"/>
            </w:rPr>
            <w:t xml:space="preserve">Attachment 1: Product information for </w:t>
          </w:r>
          <w:proofErr w:type="spellStart"/>
          <w:r w:rsidRPr="00CA17E5">
            <w:rPr>
              <w:rFonts w:asciiTheme="majorHAnsi" w:hAnsiTheme="majorHAnsi"/>
              <w:b/>
              <w:sz w:val="20"/>
              <w:szCs w:val="20"/>
            </w:rPr>
            <w:t>AusPAR</w:t>
          </w:r>
          <w:proofErr w:type="spellEnd"/>
          <w:r w:rsidRPr="00CA17E5">
            <w:rPr>
              <w:rFonts w:asciiTheme="majorHAnsi" w:hAnsiTheme="majorHAnsi"/>
              <w:b/>
              <w:sz w:val="20"/>
              <w:szCs w:val="20"/>
            </w:rPr>
            <w:t xml:space="preserve"> Esbriet </w:t>
          </w:r>
          <w:proofErr w:type="spellStart"/>
          <w:r w:rsidRPr="00CA17E5">
            <w:rPr>
              <w:rFonts w:asciiTheme="majorHAnsi" w:hAnsiTheme="majorHAnsi"/>
              <w:b/>
              <w:sz w:val="20"/>
              <w:szCs w:val="20"/>
            </w:rPr>
            <w:t>Pirfenidone</w:t>
          </w:r>
          <w:proofErr w:type="spellEnd"/>
          <w:r w:rsidRPr="00CA17E5">
            <w:rPr>
              <w:rFonts w:asciiTheme="majorHAnsi" w:hAnsiTheme="majorHAnsi"/>
              <w:b/>
              <w:sz w:val="20"/>
              <w:szCs w:val="20"/>
            </w:rPr>
            <w:t xml:space="preserve"> Roche Products Australia Pty Ltd PM-2015-00413-1-5 Final 9 August 2016. This Product Information was approved at the time this </w:t>
          </w:r>
          <w:proofErr w:type="spellStart"/>
          <w:r w:rsidRPr="00CA17E5">
            <w:rPr>
              <w:rFonts w:asciiTheme="majorHAnsi" w:hAnsiTheme="majorHAnsi"/>
              <w:b/>
              <w:sz w:val="20"/>
              <w:szCs w:val="20"/>
            </w:rPr>
            <w:t>AusPAR</w:t>
          </w:r>
          <w:proofErr w:type="spellEnd"/>
          <w:r w:rsidRPr="00CA17E5">
            <w:rPr>
              <w:rFonts w:asciiTheme="majorHAnsi" w:hAnsiTheme="majorHAnsi"/>
              <w:b/>
              <w:sz w:val="20"/>
              <w:szCs w:val="20"/>
            </w:rPr>
            <w:t xml:space="preserve"> was published.</w:t>
          </w:r>
        </w:p>
      </w:tc>
    </w:tr>
  </w:tbl>
  <w:p w:rsidR="00CF1F5A" w:rsidRDefault="00945F2B" w:rsidP="00945F2B">
    <w:pPr>
      <w:pStyle w:val="Header"/>
      <w:tabs>
        <w:tab w:val="left" w:pos="153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188"/>
    </w:tblGrid>
    <w:tr w:rsidR="00945F2B" w:rsidTr="00513CA1">
      <w:tc>
        <w:tcPr>
          <w:tcW w:w="8188" w:type="dxa"/>
          <w:shd w:val="clear" w:color="auto" w:fill="E4F2E0"/>
        </w:tcPr>
        <w:p w:rsidR="00945F2B" w:rsidRPr="00CA17E5" w:rsidRDefault="00945F2B" w:rsidP="00513CA1">
          <w:pPr>
            <w:rPr>
              <w:rFonts w:asciiTheme="majorHAnsi" w:hAnsiTheme="majorHAnsi"/>
              <w:b/>
              <w:sz w:val="20"/>
              <w:szCs w:val="20"/>
            </w:rPr>
          </w:pPr>
          <w:r w:rsidRPr="00CA17E5">
            <w:rPr>
              <w:rFonts w:asciiTheme="majorHAnsi" w:hAnsiTheme="majorHAnsi"/>
              <w:b/>
              <w:sz w:val="20"/>
              <w:szCs w:val="20"/>
            </w:rPr>
            <w:t xml:space="preserve">Attachment 1: Product information for </w:t>
          </w:r>
          <w:proofErr w:type="spellStart"/>
          <w:r w:rsidRPr="00CA17E5">
            <w:rPr>
              <w:rFonts w:asciiTheme="majorHAnsi" w:hAnsiTheme="majorHAnsi"/>
              <w:b/>
              <w:sz w:val="20"/>
              <w:szCs w:val="20"/>
            </w:rPr>
            <w:t>AusPAR</w:t>
          </w:r>
          <w:proofErr w:type="spellEnd"/>
          <w:r w:rsidRPr="00CA17E5">
            <w:rPr>
              <w:rFonts w:asciiTheme="majorHAnsi" w:hAnsiTheme="majorHAnsi"/>
              <w:b/>
              <w:sz w:val="20"/>
              <w:szCs w:val="20"/>
            </w:rPr>
            <w:t xml:space="preserve"> Esbriet </w:t>
          </w:r>
          <w:proofErr w:type="spellStart"/>
          <w:r w:rsidRPr="00CA17E5">
            <w:rPr>
              <w:rFonts w:asciiTheme="majorHAnsi" w:hAnsiTheme="majorHAnsi"/>
              <w:b/>
              <w:sz w:val="20"/>
              <w:szCs w:val="20"/>
            </w:rPr>
            <w:t>Pirfenidone</w:t>
          </w:r>
          <w:proofErr w:type="spellEnd"/>
          <w:r w:rsidRPr="00CA17E5">
            <w:rPr>
              <w:rFonts w:asciiTheme="majorHAnsi" w:hAnsiTheme="majorHAnsi"/>
              <w:b/>
              <w:sz w:val="20"/>
              <w:szCs w:val="20"/>
            </w:rPr>
            <w:t xml:space="preserve"> Roche Products Australia Pty Ltd PM-2015-00413-1-5 Final 9 August 2016. This Product Information was approved at the time this </w:t>
          </w:r>
          <w:proofErr w:type="spellStart"/>
          <w:r w:rsidRPr="00CA17E5">
            <w:rPr>
              <w:rFonts w:asciiTheme="majorHAnsi" w:hAnsiTheme="majorHAnsi"/>
              <w:b/>
              <w:sz w:val="20"/>
              <w:szCs w:val="20"/>
            </w:rPr>
            <w:t>AusPAR</w:t>
          </w:r>
          <w:proofErr w:type="spellEnd"/>
          <w:r w:rsidRPr="00CA17E5">
            <w:rPr>
              <w:rFonts w:asciiTheme="majorHAnsi" w:hAnsiTheme="majorHAnsi"/>
              <w:b/>
              <w:sz w:val="20"/>
              <w:szCs w:val="20"/>
            </w:rPr>
            <w:t xml:space="preserve"> was published.</w:t>
          </w:r>
        </w:p>
      </w:tc>
    </w:tr>
  </w:tbl>
  <w:p w:rsidR="00CF1F5A" w:rsidRDefault="00CF1F5A" w:rsidP="00CF1F5A">
    <w:pPr>
      <w:pStyle w:val="Header"/>
      <w:jc w:val="right"/>
    </w:pPr>
    <w:r>
      <w:rPr>
        <w:noProof/>
        <w:lang w:val="en-AU" w:eastAsia="en-AU"/>
      </w:rPr>
      <w:drawing>
        <wp:inline distT="0" distB="0" distL="0" distR="0" wp14:anchorId="35ABEAA1" wp14:editId="1F54EA0C">
          <wp:extent cx="552450" cy="28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he logo.jpg"/>
                  <pic:cNvPicPr/>
                </pic:nvPicPr>
                <pic:blipFill>
                  <a:blip r:embed="rId1">
                    <a:extLst>
                      <a:ext uri="{28A0092B-C50C-407E-A947-70E740481C1C}">
                        <a14:useLocalDpi xmlns:a14="http://schemas.microsoft.com/office/drawing/2010/main" val="0"/>
                      </a:ext>
                    </a:extLst>
                  </a:blip>
                  <a:stretch>
                    <a:fillRect/>
                  </a:stretch>
                </pic:blipFill>
                <pic:spPr>
                  <a:xfrm>
                    <a:off x="0" y="0"/>
                    <a:ext cx="552450" cy="2857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E2C8B"/>
    <w:multiLevelType w:val="hybridMultilevel"/>
    <w:tmpl w:val="321E0412"/>
    <w:lvl w:ilvl="0" w:tplc="59B0093A">
      <w:numFmt w:val="bullet"/>
      <w:lvlText w:val="•"/>
      <w:lvlJc w:val="left"/>
      <w:pPr>
        <w:ind w:left="1080" w:hanging="720"/>
      </w:pPr>
      <w:rPr>
        <w:rFonts w:ascii="Imago" w:eastAsiaTheme="minorHAnsi" w:hAnsi="Imago"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77F66A24"/>
    <w:multiLevelType w:val="hybridMultilevel"/>
    <w:tmpl w:val="6066B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6D"/>
    <w:rsid w:val="000005C6"/>
    <w:rsid w:val="00001644"/>
    <w:rsid w:val="000016A2"/>
    <w:rsid w:val="00002DC0"/>
    <w:rsid w:val="000044AB"/>
    <w:rsid w:val="00004F9D"/>
    <w:rsid w:val="0000676B"/>
    <w:rsid w:val="0000694F"/>
    <w:rsid w:val="00010226"/>
    <w:rsid w:val="00011AC3"/>
    <w:rsid w:val="00011BB1"/>
    <w:rsid w:val="00012219"/>
    <w:rsid w:val="0001225D"/>
    <w:rsid w:val="00012AB8"/>
    <w:rsid w:val="000142F6"/>
    <w:rsid w:val="00015B9D"/>
    <w:rsid w:val="00015E66"/>
    <w:rsid w:val="00020095"/>
    <w:rsid w:val="0002013A"/>
    <w:rsid w:val="00020226"/>
    <w:rsid w:val="000215AD"/>
    <w:rsid w:val="000224C5"/>
    <w:rsid w:val="00022A70"/>
    <w:rsid w:val="00022EA7"/>
    <w:rsid w:val="00023BC5"/>
    <w:rsid w:val="00030BFA"/>
    <w:rsid w:val="00031539"/>
    <w:rsid w:val="00031C69"/>
    <w:rsid w:val="0003318A"/>
    <w:rsid w:val="000332D6"/>
    <w:rsid w:val="00034889"/>
    <w:rsid w:val="00034C7F"/>
    <w:rsid w:val="00035373"/>
    <w:rsid w:val="0003669B"/>
    <w:rsid w:val="00040308"/>
    <w:rsid w:val="000407E3"/>
    <w:rsid w:val="00040EFE"/>
    <w:rsid w:val="00040FA9"/>
    <w:rsid w:val="000416D9"/>
    <w:rsid w:val="000427D9"/>
    <w:rsid w:val="000438A8"/>
    <w:rsid w:val="00043DE0"/>
    <w:rsid w:val="00047D34"/>
    <w:rsid w:val="0005011B"/>
    <w:rsid w:val="00050209"/>
    <w:rsid w:val="00050E50"/>
    <w:rsid w:val="000519C3"/>
    <w:rsid w:val="00051D1F"/>
    <w:rsid w:val="00057B76"/>
    <w:rsid w:val="00060279"/>
    <w:rsid w:val="00060407"/>
    <w:rsid w:val="00060AC3"/>
    <w:rsid w:val="00060F5A"/>
    <w:rsid w:val="00061274"/>
    <w:rsid w:val="00061992"/>
    <w:rsid w:val="00061CF5"/>
    <w:rsid w:val="000624AD"/>
    <w:rsid w:val="00062EE7"/>
    <w:rsid w:val="0006376F"/>
    <w:rsid w:val="00065186"/>
    <w:rsid w:val="00065C68"/>
    <w:rsid w:val="0006640B"/>
    <w:rsid w:val="000674D2"/>
    <w:rsid w:val="00067F24"/>
    <w:rsid w:val="000706D7"/>
    <w:rsid w:val="00071906"/>
    <w:rsid w:val="00072CDC"/>
    <w:rsid w:val="0007375F"/>
    <w:rsid w:val="000748CC"/>
    <w:rsid w:val="00074B50"/>
    <w:rsid w:val="00074C4D"/>
    <w:rsid w:val="00075B01"/>
    <w:rsid w:val="00075B79"/>
    <w:rsid w:val="00076094"/>
    <w:rsid w:val="00076E46"/>
    <w:rsid w:val="00077DFA"/>
    <w:rsid w:val="00080360"/>
    <w:rsid w:val="00080E4B"/>
    <w:rsid w:val="0008283E"/>
    <w:rsid w:val="0008344D"/>
    <w:rsid w:val="00083762"/>
    <w:rsid w:val="00084374"/>
    <w:rsid w:val="000844AD"/>
    <w:rsid w:val="00084E60"/>
    <w:rsid w:val="00085A5E"/>
    <w:rsid w:val="00085A6C"/>
    <w:rsid w:val="0009010E"/>
    <w:rsid w:val="00090AA3"/>
    <w:rsid w:val="00090BAA"/>
    <w:rsid w:val="00091D8D"/>
    <w:rsid w:val="00092197"/>
    <w:rsid w:val="000924A3"/>
    <w:rsid w:val="0009284C"/>
    <w:rsid w:val="00092A0E"/>
    <w:rsid w:val="00092CBD"/>
    <w:rsid w:val="000939E4"/>
    <w:rsid w:val="00093A4F"/>
    <w:rsid w:val="00093BBF"/>
    <w:rsid w:val="00094180"/>
    <w:rsid w:val="0009429E"/>
    <w:rsid w:val="000A06E6"/>
    <w:rsid w:val="000A3179"/>
    <w:rsid w:val="000A3771"/>
    <w:rsid w:val="000A42DF"/>
    <w:rsid w:val="000A4356"/>
    <w:rsid w:val="000A45E8"/>
    <w:rsid w:val="000A4F43"/>
    <w:rsid w:val="000A4F8D"/>
    <w:rsid w:val="000A56EA"/>
    <w:rsid w:val="000A5911"/>
    <w:rsid w:val="000A5A38"/>
    <w:rsid w:val="000A7610"/>
    <w:rsid w:val="000B010B"/>
    <w:rsid w:val="000B1754"/>
    <w:rsid w:val="000B1DDE"/>
    <w:rsid w:val="000B515A"/>
    <w:rsid w:val="000B6C47"/>
    <w:rsid w:val="000B798D"/>
    <w:rsid w:val="000C18A9"/>
    <w:rsid w:val="000C3734"/>
    <w:rsid w:val="000C501E"/>
    <w:rsid w:val="000C550F"/>
    <w:rsid w:val="000C6561"/>
    <w:rsid w:val="000C66F9"/>
    <w:rsid w:val="000C70AB"/>
    <w:rsid w:val="000C7965"/>
    <w:rsid w:val="000D0EB4"/>
    <w:rsid w:val="000D10D6"/>
    <w:rsid w:val="000D1B00"/>
    <w:rsid w:val="000D302C"/>
    <w:rsid w:val="000D33E6"/>
    <w:rsid w:val="000D493C"/>
    <w:rsid w:val="000D6255"/>
    <w:rsid w:val="000E0E58"/>
    <w:rsid w:val="000E150D"/>
    <w:rsid w:val="000E25E3"/>
    <w:rsid w:val="000E3196"/>
    <w:rsid w:val="000E3A27"/>
    <w:rsid w:val="000E3D79"/>
    <w:rsid w:val="000E3FBD"/>
    <w:rsid w:val="000E40F3"/>
    <w:rsid w:val="000E7195"/>
    <w:rsid w:val="000F0484"/>
    <w:rsid w:val="000F04C1"/>
    <w:rsid w:val="000F2C46"/>
    <w:rsid w:val="000F486C"/>
    <w:rsid w:val="000F4DD8"/>
    <w:rsid w:val="000F74FB"/>
    <w:rsid w:val="000F760B"/>
    <w:rsid w:val="001003A7"/>
    <w:rsid w:val="00100595"/>
    <w:rsid w:val="001015F9"/>
    <w:rsid w:val="0010170C"/>
    <w:rsid w:val="00101870"/>
    <w:rsid w:val="001034F8"/>
    <w:rsid w:val="001040C0"/>
    <w:rsid w:val="00104A67"/>
    <w:rsid w:val="00106361"/>
    <w:rsid w:val="001073D2"/>
    <w:rsid w:val="001077D8"/>
    <w:rsid w:val="001102D4"/>
    <w:rsid w:val="00111801"/>
    <w:rsid w:val="00112360"/>
    <w:rsid w:val="0011286D"/>
    <w:rsid w:val="00112CFC"/>
    <w:rsid w:val="00113232"/>
    <w:rsid w:val="0011366E"/>
    <w:rsid w:val="001140F1"/>
    <w:rsid w:val="00116832"/>
    <w:rsid w:val="00117F5C"/>
    <w:rsid w:val="0012242E"/>
    <w:rsid w:val="001225CA"/>
    <w:rsid w:val="001226ED"/>
    <w:rsid w:val="001237BC"/>
    <w:rsid w:val="0012456C"/>
    <w:rsid w:val="00124FDD"/>
    <w:rsid w:val="0012559C"/>
    <w:rsid w:val="001255D0"/>
    <w:rsid w:val="0012602A"/>
    <w:rsid w:val="001267E6"/>
    <w:rsid w:val="00127000"/>
    <w:rsid w:val="00127E89"/>
    <w:rsid w:val="00131472"/>
    <w:rsid w:val="00131B6B"/>
    <w:rsid w:val="00132B73"/>
    <w:rsid w:val="001335C1"/>
    <w:rsid w:val="001336E3"/>
    <w:rsid w:val="00133F2C"/>
    <w:rsid w:val="001340F3"/>
    <w:rsid w:val="00134711"/>
    <w:rsid w:val="0013476D"/>
    <w:rsid w:val="00136EF4"/>
    <w:rsid w:val="00137083"/>
    <w:rsid w:val="00137508"/>
    <w:rsid w:val="00141156"/>
    <w:rsid w:val="0014129F"/>
    <w:rsid w:val="00141C4F"/>
    <w:rsid w:val="00141D9B"/>
    <w:rsid w:val="001420B6"/>
    <w:rsid w:val="0014211B"/>
    <w:rsid w:val="0014346B"/>
    <w:rsid w:val="00145D2E"/>
    <w:rsid w:val="00146E72"/>
    <w:rsid w:val="0015127B"/>
    <w:rsid w:val="0015137C"/>
    <w:rsid w:val="00152378"/>
    <w:rsid w:val="00154A0A"/>
    <w:rsid w:val="0015534E"/>
    <w:rsid w:val="00155374"/>
    <w:rsid w:val="00155A18"/>
    <w:rsid w:val="001570C2"/>
    <w:rsid w:val="00157129"/>
    <w:rsid w:val="00160EB3"/>
    <w:rsid w:val="001614D3"/>
    <w:rsid w:val="0016173B"/>
    <w:rsid w:val="00162473"/>
    <w:rsid w:val="00162B7F"/>
    <w:rsid w:val="001638D2"/>
    <w:rsid w:val="00164877"/>
    <w:rsid w:val="00165B18"/>
    <w:rsid w:val="00165B58"/>
    <w:rsid w:val="00167431"/>
    <w:rsid w:val="00167E6E"/>
    <w:rsid w:val="001709EF"/>
    <w:rsid w:val="00170E23"/>
    <w:rsid w:val="00171616"/>
    <w:rsid w:val="00171F5D"/>
    <w:rsid w:val="00172C2A"/>
    <w:rsid w:val="00174F57"/>
    <w:rsid w:val="0017560F"/>
    <w:rsid w:val="00175AD3"/>
    <w:rsid w:val="00175D23"/>
    <w:rsid w:val="00175EFF"/>
    <w:rsid w:val="001761FF"/>
    <w:rsid w:val="00177342"/>
    <w:rsid w:val="00180FFF"/>
    <w:rsid w:val="001814B5"/>
    <w:rsid w:val="0018164E"/>
    <w:rsid w:val="001824F1"/>
    <w:rsid w:val="001826FD"/>
    <w:rsid w:val="0018304B"/>
    <w:rsid w:val="0018348C"/>
    <w:rsid w:val="00183AB5"/>
    <w:rsid w:val="0018451C"/>
    <w:rsid w:val="00184C29"/>
    <w:rsid w:val="00185109"/>
    <w:rsid w:val="0018510A"/>
    <w:rsid w:val="00185B3F"/>
    <w:rsid w:val="00185F97"/>
    <w:rsid w:val="00186DAC"/>
    <w:rsid w:val="0018725A"/>
    <w:rsid w:val="00187AD3"/>
    <w:rsid w:val="00190F97"/>
    <w:rsid w:val="00191A6D"/>
    <w:rsid w:val="00192791"/>
    <w:rsid w:val="00193DEF"/>
    <w:rsid w:val="001941AD"/>
    <w:rsid w:val="0019661D"/>
    <w:rsid w:val="00196EE3"/>
    <w:rsid w:val="001A0801"/>
    <w:rsid w:val="001A0879"/>
    <w:rsid w:val="001A0906"/>
    <w:rsid w:val="001A13FB"/>
    <w:rsid w:val="001A1566"/>
    <w:rsid w:val="001A294B"/>
    <w:rsid w:val="001A2F9B"/>
    <w:rsid w:val="001A3BF1"/>
    <w:rsid w:val="001A3CC2"/>
    <w:rsid w:val="001A45BA"/>
    <w:rsid w:val="001A4707"/>
    <w:rsid w:val="001A5083"/>
    <w:rsid w:val="001A54DD"/>
    <w:rsid w:val="001A592C"/>
    <w:rsid w:val="001A5D1B"/>
    <w:rsid w:val="001A5EA8"/>
    <w:rsid w:val="001B2434"/>
    <w:rsid w:val="001B2605"/>
    <w:rsid w:val="001B26EB"/>
    <w:rsid w:val="001B4329"/>
    <w:rsid w:val="001B4B48"/>
    <w:rsid w:val="001B6C63"/>
    <w:rsid w:val="001B709E"/>
    <w:rsid w:val="001B766A"/>
    <w:rsid w:val="001B7C53"/>
    <w:rsid w:val="001B7F5B"/>
    <w:rsid w:val="001C2E6D"/>
    <w:rsid w:val="001C36EA"/>
    <w:rsid w:val="001C39FB"/>
    <w:rsid w:val="001C3F4B"/>
    <w:rsid w:val="001C400F"/>
    <w:rsid w:val="001C6355"/>
    <w:rsid w:val="001C7073"/>
    <w:rsid w:val="001D0EE8"/>
    <w:rsid w:val="001D16CC"/>
    <w:rsid w:val="001D1DEE"/>
    <w:rsid w:val="001D1E79"/>
    <w:rsid w:val="001D35B6"/>
    <w:rsid w:val="001D3975"/>
    <w:rsid w:val="001D6516"/>
    <w:rsid w:val="001D6766"/>
    <w:rsid w:val="001D750E"/>
    <w:rsid w:val="001E0720"/>
    <w:rsid w:val="001E115C"/>
    <w:rsid w:val="001E26B5"/>
    <w:rsid w:val="001E2D07"/>
    <w:rsid w:val="001E3508"/>
    <w:rsid w:val="001E460B"/>
    <w:rsid w:val="001E5206"/>
    <w:rsid w:val="001E7592"/>
    <w:rsid w:val="001F0C6A"/>
    <w:rsid w:val="001F10AF"/>
    <w:rsid w:val="001F1A74"/>
    <w:rsid w:val="001F2844"/>
    <w:rsid w:val="001F2A39"/>
    <w:rsid w:val="001F2B67"/>
    <w:rsid w:val="001F46A2"/>
    <w:rsid w:val="001F4C31"/>
    <w:rsid w:val="001F4E80"/>
    <w:rsid w:val="001F5283"/>
    <w:rsid w:val="001F58EF"/>
    <w:rsid w:val="001F595E"/>
    <w:rsid w:val="001F6742"/>
    <w:rsid w:val="001F6EF3"/>
    <w:rsid w:val="001F7259"/>
    <w:rsid w:val="001F745A"/>
    <w:rsid w:val="001F763B"/>
    <w:rsid w:val="0020050F"/>
    <w:rsid w:val="00200958"/>
    <w:rsid w:val="00200A9C"/>
    <w:rsid w:val="00201855"/>
    <w:rsid w:val="00201C9B"/>
    <w:rsid w:val="00202E4C"/>
    <w:rsid w:val="00203723"/>
    <w:rsid w:val="00203B63"/>
    <w:rsid w:val="00203E56"/>
    <w:rsid w:val="0020508B"/>
    <w:rsid w:val="002052DE"/>
    <w:rsid w:val="002065FB"/>
    <w:rsid w:val="002072A8"/>
    <w:rsid w:val="002076CA"/>
    <w:rsid w:val="00207A2A"/>
    <w:rsid w:val="002103EA"/>
    <w:rsid w:val="00210AB1"/>
    <w:rsid w:val="00210FD4"/>
    <w:rsid w:val="002119BD"/>
    <w:rsid w:val="002131A0"/>
    <w:rsid w:val="00213238"/>
    <w:rsid w:val="002135B7"/>
    <w:rsid w:val="00213A0B"/>
    <w:rsid w:val="002140EC"/>
    <w:rsid w:val="002146E0"/>
    <w:rsid w:val="00220D7D"/>
    <w:rsid w:val="00221DAC"/>
    <w:rsid w:val="0022263C"/>
    <w:rsid w:val="002242D5"/>
    <w:rsid w:val="002250C7"/>
    <w:rsid w:val="002254CE"/>
    <w:rsid w:val="002264DB"/>
    <w:rsid w:val="00227531"/>
    <w:rsid w:val="0022766B"/>
    <w:rsid w:val="00227B35"/>
    <w:rsid w:val="002311F3"/>
    <w:rsid w:val="002316BB"/>
    <w:rsid w:val="002332C7"/>
    <w:rsid w:val="0023340F"/>
    <w:rsid w:val="002335E1"/>
    <w:rsid w:val="002340B0"/>
    <w:rsid w:val="002344F0"/>
    <w:rsid w:val="00235038"/>
    <w:rsid w:val="0023513B"/>
    <w:rsid w:val="002352EF"/>
    <w:rsid w:val="00235806"/>
    <w:rsid w:val="00237566"/>
    <w:rsid w:val="00240916"/>
    <w:rsid w:val="00240CF3"/>
    <w:rsid w:val="00241867"/>
    <w:rsid w:val="0024301C"/>
    <w:rsid w:val="00243820"/>
    <w:rsid w:val="00244415"/>
    <w:rsid w:val="00244C2A"/>
    <w:rsid w:val="00245690"/>
    <w:rsid w:val="00245A88"/>
    <w:rsid w:val="00245BB8"/>
    <w:rsid w:val="00246612"/>
    <w:rsid w:val="002474BA"/>
    <w:rsid w:val="002501C5"/>
    <w:rsid w:val="00250F19"/>
    <w:rsid w:val="00251D5F"/>
    <w:rsid w:val="002530FA"/>
    <w:rsid w:val="00254FAB"/>
    <w:rsid w:val="002555E1"/>
    <w:rsid w:val="00255798"/>
    <w:rsid w:val="00255C9E"/>
    <w:rsid w:val="00255DE8"/>
    <w:rsid w:val="00261765"/>
    <w:rsid w:val="0026376D"/>
    <w:rsid w:val="00264171"/>
    <w:rsid w:val="00264461"/>
    <w:rsid w:val="00266291"/>
    <w:rsid w:val="00266608"/>
    <w:rsid w:val="00266E31"/>
    <w:rsid w:val="0026731B"/>
    <w:rsid w:val="00267E30"/>
    <w:rsid w:val="00270682"/>
    <w:rsid w:val="00270A5B"/>
    <w:rsid w:val="00270F8B"/>
    <w:rsid w:val="00271030"/>
    <w:rsid w:val="00272CD3"/>
    <w:rsid w:val="002735FC"/>
    <w:rsid w:val="00273EA7"/>
    <w:rsid w:val="00274F49"/>
    <w:rsid w:val="002761B1"/>
    <w:rsid w:val="00277516"/>
    <w:rsid w:val="0028154B"/>
    <w:rsid w:val="002818AB"/>
    <w:rsid w:val="00282129"/>
    <w:rsid w:val="00282880"/>
    <w:rsid w:val="00282D5D"/>
    <w:rsid w:val="002849EA"/>
    <w:rsid w:val="002850F2"/>
    <w:rsid w:val="00286073"/>
    <w:rsid w:val="00286286"/>
    <w:rsid w:val="00286A9E"/>
    <w:rsid w:val="00286C74"/>
    <w:rsid w:val="00286DFB"/>
    <w:rsid w:val="002873E6"/>
    <w:rsid w:val="00290B0B"/>
    <w:rsid w:val="002926A0"/>
    <w:rsid w:val="0029476D"/>
    <w:rsid w:val="0029479E"/>
    <w:rsid w:val="00295D2C"/>
    <w:rsid w:val="00297920"/>
    <w:rsid w:val="00297CC0"/>
    <w:rsid w:val="002A06FA"/>
    <w:rsid w:val="002A11CD"/>
    <w:rsid w:val="002A1EAE"/>
    <w:rsid w:val="002A2808"/>
    <w:rsid w:val="002A293A"/>
    <w:rsid w:val="002A2B23"/>
    <w:rsid w:val="002A35C3"/>
    <w:rsid w:val="002A4581"/>
    <w:rsid w:val="002A4AE6"/>
    <w:rsid w:val="002A5A49"/>
    <w:rsid w:val="002A6591"/>
    <w:rsid w:val="002A74CF"/>
    <w:rsid w:val="002A75D2"/>
    <w:rsid w:val="002A7F3E"/>
    <w:rsid w:val="002B00DE"/>
    <w:rsid w:val="002B0CFE"/>
    <w:rsid w:val="002B46EE"/>
    <w:rsid w:val="002B50E9"/>
    <w:rsid w:val="002B5F72"/>
    <w:rsid w:val="002C0DFB"/>
    <w:rsid w:val="002C169F"/>
    <w:rsid w:val="002C16B2"/>
    <w:rsid w:val="002C1E6A"/>
    <w:rsid w:val="002C58B4"/>
    <w:rsid w:val="002C7423"/>
    <w:rsid w:val="002D0281"/>
    <w:rsid w:val="002D148D"/>
    <w:rsid w:val="002D23B8"/>
    <w:rsid w:val="002D26CB"/>
    <w:rsid w:val="002D2F66"/>
    <w:rsid w:val="002D3059"/>
    <w:rsid w:val="002D404C"/>
    <w:rsid w:val="002D5B47"/>
    <w:rsid w:val="002D658C"/>
    <w:rsid w:val="002D7206"/>
    <w:rsid w:val="002D7828"/>
    <w:rsid w:val="002E2B1C"/>
    <w:rsid w:val="002E5161"/>
    <w:rsid w:val="002E525B"/>
    <w:rsid w:val="002E5399"/>
    <w:rsid w:val="002E7F99"/>
    <w:rsid w:val="002F050F"/>
    <w:rsid w:val="002F244C"/>
    <w:rsid w:val="002F51D9"/>
    <w:rsid w:val="002F546F"/>
    <w:rsid w:val="002F5BFE"/>
    <w:rsid w:val="002F6202"/>
    <w:rsid w:val="002F6F11"/>
    <w:rsid w:val="00300C72"/>
    <w:rsid w:val="0030187E"/>
    <w:rsid w:val="003023C4"/>
    <w:rsid w:val="00303039"/>
    <w:rsid w:val="003030EE"/>
    <w:rsid w:val="0030458A"/>
    <w:rsid w:val="00304930"/>
    <w:rsid w:val="00304E18"/>
    <w:rsid w:val="003063C7"/>
    <w:rsid w:val="00306573"/>
    <w:rsid w:val="0030682E"/>
    <w:rsid w:val="00306AFC"/>
    <w:rsid w:val="00310805"/>
    <w:rsid w:val="003123B3"/>
    <w:rsid w:val="003124B3"/>
    <w:rsid w:val="00314AD3"/>
    <w:rsid w:val="00314FFB"/>
    <w:rsid w:val="00316C60"/>
    <w:rsid w:val="003178F2"/>
    <w:rsid w:val="0031799A"/>
    <w:rsid w:val="00320032"/>
    <w:rsid w:val="00320776"/>
    <w:rsid w:val="0032222D"/>
    <w:rsid w:val="00322D84"/>
    <w:rsid w:val="0032327B"/>
    <w:rsid w:val="00323D61"/>
    <w:rsid w:val="00324E03"/>
    <w:rsid w:val="00325305"/>
    <w:rsid w:val="00325685"/>
    <w:rsid w:val="00325DFC"/>
    <w:rsid w:val="00326E39"/>
    <w:rsid w:val="0033064B"/>
    <w:rsid w:val="00331F38"/>
    <w:rsid w:val="003342E6"/>
    <w:rsid w:val="00334C59"/>
    <w:rsid w:val="003373D3"/>
    <w:rsid w:val="00340536"/>
    <w:rsid w:val="003406E7"/>
    <w:rsid w:val="00340A21"/>
    <w:rsid w:val="00340A34"/>
    <w:rsid w:val="00340CE9"/>
    <w:rsid w:val="00341385"/>
    <w:rsid w:val="00341588"/>
    <w:rsid w:val="00341718"/>
    <w:rsid w:val="00341C04"/>
    <w:rsid w:val="00342468"/>
    <w:rsid w:val="00342EB3"/>
    <w:rsid w:val="0034411A"/>
    <w:rsid w:val="00344413"/>
    <w:rsid w:val="00344942"/>
    <w:rsid w:val="00344D1C"/>
    <w:rsid w:val="00344D28"/>
    <w:rsid w:val="00345A97"/>
    <w:rsid w:val="003504D8"/>
    <w:rsid w:val="00351B58"/>
    <w:rsid w:val="00352153"/>
    <w:rsid w:val="00354770"/>
    <w:rsid w:val="003547F2"/>
    <w:rsid w:val="0035791B"/>
    <w:rsid w:val="003606FD"/>
    <w:rsid w:val="00361D6F"/>
    <w:rsid w:val="003624D7"/>
    <w:rsid w:val="00363889"/>
    <w:rsid w:val="003638A0"/>
    <w:rsid w:val="00364AFD"/>
    <w:rsid w:val="00365522"/>
    <w:rsid w:val="00366DDC"/>
    <w:rsid w:val="00370466"/>
    <w:rsid w:val="0037181F"/>
    <w:rsid w:val="00371FAA"/>
    <w:rsid w:val="00372BA6"/>
    <w:rsid w:val="003733D7"/>
    <w:rsid w:val="00375B2F"/>
    <w:rsid w:val="00376343"/>
    <w:rsid w:val="0037689A"/>
    <w:rsid w:val="00376A20"/>
    <w:rsid w:val="00376D31"/>
    <w:rsid w:val="00376D7A"/>
    <w:rsid w:val="00382B19"/>
    <w:rsid w:val="00382C55"/>
    <w:rsid w:val="00382C65"/>
    <w:rsid w:val="00382D9C"/>
    <w:rsid w:val="003838D2"/>
    <w:rsid w:val="00383D61"/>
    <w:rsid w:val="00384D94"/>
    <w:rsid w:val="00385D2C"/>
    <w:rsid w:val="00387C8E"/>
    <w:rsid w:val="00387F04"/>
    <w:rsid w:val="00391BCC"/>
    <w:rsid w:val="003923CC"/>
    <w:rsid w:val="0039274D"/>
    <w:rsid w:val="00392857"/>
    <w:rsid w:val="00392D9D"/>
    <w:rsid w:val="00393A5E"/>
    <w:rsid w:val="00393BAE"/>
    <w:rsid w:val="00394054"/>
    <w:rsid w:val="003974D1"/>
    <w:rsid w:val="00397968"/>
    <w:rsid w:val="003A0FCB"/>
    <w:rsid w:val="003A1162"/>
    <w:rsid w:val="003A14A0"/>
    <w:rsid w:val="003A26A2"/>
    <w:rsid w:val="003A30C2"/>
    <w:rsid w:val="003A3B90"/>
    <w:rsid w:val="003A3CF7"/>
    <w:rsid w:val="003A3F12"/>
    <w:rsid w:val="003A41E8"/>
    <w:rsid w:val="003A438B"/>
    <w:rsid w:val="003A5B29"/>
    <w:rsid w:val="003A6CD1"/>
    <w:rsid w:val="003A7505"/>
    <w:rsid w:val="003A7959"/>
    <w:rsid w:val="003A7BF5"/>
    <w:rsid w:val="003B03C4"/>
    <w:rsid w:val="003B128F"/>
    <w:rsid w:val="003B195F"/>
    <w:rsid w:val="003B29ED"/>
    <w:rsid w:val="003B2E91"/>
    <w:rsid w:val="003B3569"/>
    <w:rsid w:val="003B3B79"/>
    <w:rsid w:val="003B4BAF"/>
    <w:rsid w:val="003B5C99"/>
    <w:rsid w:val="003B6344"/>
    <w:rsid w:val="003B6521"/>
    <w:rsid w:val="003B6B53"/>
    <w:rsid w:val="003B7348"/>
    <w:rsid w:val="003B7521"/>
    <w:rsid w:val="003B7DEF"/>
    <w:rsid w:val="003C026F"/>
    <w:rsid w:val="003C0481"/>
    <w:rsid w:val="003C0D76"/>
    <w:rsid w:val="003C15A9"/>
    <w:rsid w:val="003C3CB1"/>
    <w:rsid w:val="003C5580"/>
    <w:rsid w:val="003C568F"/>
    <w:rsid w:val="003C5E96"/>
    <w:rsid w:val="003C6465"/>
    <w:rsid w:val="003C7AC9"/>
    <w:rsid w:val="003D0035"/>
    <w:rsid w:val="003D03B2"/>
    <w:rsid w:val="003D3963"/>
    <w:rsid w:val="003D3A8D"/>
    <w:rsid w:val="003D3ACD"/>
    <w:rsid w:val="003D433E"/>
    <w:rsid w:val="003D438D"/>
    <w:rsid w:val="003D6983"/>
    <w:rsid w:val="003D7747"/>
    <w:rsid w:val="003D796E"/>
    <w:rsid w:val="003D7FFD"/>
    <w:rsid w:val="003E117A"/>
    <w:rsid w:val="003E1733"/>
    <w:rsid w:val="003E1A69"/>
    <w:rsid w:val="003E24B0"/>
    <w:rsid w:val="003E2E07"/>
    <w:rsid w:val="003E3DAF"/>
    <w:rsid w:val="003E5178"/>
    <w:rsid w:val="003E5431"/>
    <w:rsid w:val="003E5558"/>
    <w:rsid w:val="003E5DC3"/>
    <w:rsid w:val="003E6A71"/>
    <w:rsid w:val="003E6D05"/>
    <w:rsid w:val="003F0313"/>
    <w:rsid w:val="003F04CB"/>
    <w:rsid w:val="003F09AC"/>
    <w:rsid w:val="003F421B"/>
    <w:rsid w:val="003F4686"/>
    <w:rsid w:val="003F5125"/>
    <w:rsid w:val="003F547B"/>
    <w:rsid w:val="003F60B6"/>
    <w:rsid w:val="003F6805"/>
    <w:rsid w:val="003F69A6"/>
    <w:rsid w:val="003F7020"/>
    <w:rsid w:val="003F7D4A"/>
    <w:rsid w:val="00400902"/>
    <w:rsid w:val="004019E5"/>
    <w:rsid w:val="00404213"/>
    <w:rsid w:val="004045C6"/>
    <w:rsid w:val="00405415"/>
    <w:rsid w:val="00406B42"/>
    <w:rsid w:val="00407896"/>
    <w:rsid w:val="00410930"/>
    <w:rsid w:val="00411196"/>
    <w:rsid w:val="0041368A"/>
    <w:rsid w:val="0041450F"/>
    <w:rsid w:val="00414712"/>
    <w:rsid w:val="00415C6F"/>
    <w:rsid w:val="00416038"/>
    <w:rsid w:val="004169B5"/>
    <w:rsid w:val="00416A10"/>
    <w:rsid w:val="00421A06"/>
    <w:rsid w:val="00422A3D"/>
    <w:rsid w:val="00424356"/>
    <w:rsid w:val="004246E9"/>
    <w:rsid w:val="004256E3"/>
    <w:rsid w:val="00425C77"/>
    <w:rsid w:val="00426019"/>
    <w:rsid w:val="0042626E"/>
    <w:rsid w:val="00427FB4"/>
    <w:rsid w:val="00430185"/>
    <w:rsid w:val="00430D95"/>
    <w:rsid w:val="00431A6A"/>
    <w:rsid w:val="004320DD"/>
    <w:rsid w:val="00433B54"/>
    <w:rsid w:val="00434FF6"/>
    <w:rsid w:val="0043501D"/>
    <w:rsid w:val="004351FA"/>
    <w:rsid w:val="00435870"/>
    <w:rsid w:val="00436AE9"/>
    <w:rsid w:val="00436C0C"/>
    <w:rsid w:val="00436C89"/>
    <w:rsid w:val="004374B2"/>
    <w:rsid w:val="00440534"/>
    <w:rsid w:val="004417E6"/>
    <w:rsid w:val="004418E4"/>
    <w:rsid w:val="00441B68"/>
    <w:rsid w:val="004437AA"/>
    <w:rsid w:val="00443C60"/>
    <w:rsid w:val="00443F8F"/>
    <w:rsid w:val="00444AC1"/>
    <w:rsid w:val="00444D77"/>
    <w:rsid w:val="00445281"/>
    <w:rsid w:val="0044710D"/>
    <w:rsid w:val="00447E84"/>
    <w:rsid w:val="0045178D"/>
    <w:rsid w:val="00451964"/>
    <w:rsid w:val="00452AFE"/>
    <w:rsid w:val="00452B5B"/>
    <w:rsid w:val="00453B23"/>
    <w:rsid w:val="00453D94"/>
    <w:rsid w:val="00453F3B"/>
    <w:rsid w:val="00454249"/>
    <w:rsid w:val="004544A8"/>
    <w:rsid w:val="00457682"/>
    <w:rsid w:val="004604D0"/>
    <w:rsid w:val="004632F1"/>
    <w:rsid w:val="00463F34"/>
    <w:rsid w:val="004649EA"/>
    <w:rsid w:val="00464D82"/>
    <w:rsid w:val="00466011"/>
    <w:rsid w:val="004678F8"/>
    <w:rsid w:val="004702E6"/>
    <w:rsid w:val="004710C8"/>
    <w:rsid w:val="0047193F"/>
    <w:rsid w:val="00471F7D"/>
    <w:rsid w:val="0047225F"/>
    <w:rsid w:val="00473433"/>
    <w:rsid w:val="00473FA7"/>
    <w:rsid w:val="0047472D"/>
    <w:rsid w:val="00476650"/>
    <w:rsid w:val="00477925"/>
    <w:rsid w:val="00477F64"/>
    <w:rsid w:val="00480641"/>
    <w:rsid w:val="004810B9"/>
    <w:rsid w:val="00481A5D"/>
    <w:rsid w:val="00481D96"/>
    <w:rsid w:val="00482119"/>
    <w:rsid w:val="0048254D"/>
    <w:rsid w:val="004830F3"/>
    <w:rsid w:val="004836C1"/>
    <w:rsid w:val="00483E43"/>
    <w:rsid w:val="00483EBD"/>
    <w:rsid w:val="004853B3"/>
    <w:rsid w:val="00485B1F"/>
    <w:rsid w:val="00486013"/>
    <w:rsid w:val="0048646D"/>
    <w:rsid w:val="004923BE"/>
    <w:rsid w:val="00495217"/>
    <w:rsid w:val="00495570"/>
    <w:rsid w:val="00496698"/>
    <w:rsid w:val="00496719"/>
    <w:rsid w:val="00496B46"/>
    <w:rsid w:val="00496E76"/>
    <w:rsid w:val="00496F39"/>
    <w:rsid w:val="004A063D"/>
    <w:rsid w:val="004A0E3F"/>
    <w:rsid w:val="004A1720"/>
    <w:rsid w:val="004A1ED9"/>
    <w:rsid w:val="004A35D3"/>
    <w:rsid w:val="004A3DE7"/>
    <w:rsid w:val="004A4F04"/>
    <w:rsid w:val="004A5C81"/>
    <w:rsid w:val="004A6887"/>
    <w:rsid w:val="004A6932"/>
    <w:rsid w:val="004A69AD"/>
    <w:rsid w:val="004A7C40"/>
    <w:rsid w:val="004A7D80"/>
    <w:rsid w:val="004B0827"/>
    <w:rsid w:val="004B1C83"/>
    <w:rsid w:val="004B2F36"/>
    <w:rsid w:val="004B3B71"/>
    <w:rsid w:val="004B4B77"/>
    <w:rsid w:val="004B5A96"/>
    <w:rsid w:val="004B680E"/>
    <w:rsid w:val="004B6CA5"/>
    <w:rsid w:val="004C04C8"/>
    <w:rsid w:val="004C0D8C"/>
    <w:rsid w:val="004C100E"/>
    <w:rsid w:val="004C143D"/>
    <w:rsid w:val="004C1986"/>
    <w:rsid w:val="004C229E"/>
    <w:rsid w:val="004C2DF4"/>
    <w:rsid w:val="004C3928"/>
    <w:rsid w:val="004C43FB"/>
    <w:rsid w:val="004C440F"/>
    <w:rsid w:val="004C49A8"/>
    <w:rsid w:val="004C4C53"/>
    <w:rsid w:val="004C4E27"/>
    <w:rsid w:val="004C5D69"/>
    <w:rsid w:val="004C75B2"/>
    <w:rsid w:val="004D18ED"/>
    <w:rsid w:val="004D26B7"/>
    <w:rsid w:val="004D4018"/>
    <w:rsid w:val="004D4117"/>
    <w:rsid w:val="004D4B58"/>
    <w:rsid w:val="004D67CA"/>
    <w:rsid w:val="004D695D"/>
    <w:rsid w:val="004D6E37"/>
    <w:rsid w:val="004D766E"/>
    <w:rsid w:val="004D78B5"/>
    <w:rsid w:val="004E0198"/>
    <w:rsid w:val="004E06D6"/>
    <w:rsid w:val="004E0E58"/>
    <w:rsid w:val="004E135D"/>
    <w:rsid w:val="004E156B"/>
    <w:rsid w:val="004E2AC2"/>
    <w:rsid w:val="004E2C2B"/>
    <w:rsid w:val="004E384E"/>
    <w:rsid w:val="004E3ECB"/>
    <w:rsid w:val="004E55A6"/>
    <w:rsid w:val="004E6947"/>
    <w:rsid w:val="004E7608"/>
    <w:rsid w:val="004F0835"/>
    <w:rsid w:val="004F0BBB"/>
    <w:rsid w:val="004F1794"/>
    <w:rsid w:val="004F45FC"/>
    <w:rsid w:val="004F550E"/>
    <w:rsid w:val="004F5AC6"/>
    <w:rsid w:val="004F5B7D"/>
    <w:rsid w:val="005002F8"/>
    <w:rsid w:val="00501175"/>
    <w:rsid w:val="005022F0"/>
    <w:rsid w:val="0050244F"/>
    <w:rsid w:val="005024DE"/>
    <w:rsid w:val="00503009"/>
    <w:rsid w:val="005048B5"/>
    <w:rsid w:val="00506B36"/>
    <w:rsid w:val="00506C49"/>
    <w:rsid w:val="00507419"/>
    <w:rsid w:val="005076B9"/>
    <w:rsid w:val="0050780B"/>
    <w:rsid w:val="00507C12"/>
    <w:rsid w:val="00510D3A"/>
    <w:rsid w:val="00510E17"/>
    <w:rsid w:val="00511A6E"/>
    <w:rsid w:val="005120CA"/>
    <w:rsid w:val="00512183"/>
    <w:rsid w:val="0051478F"/>
    <w:rsid w:val="00514881"/>
    <w:rsid w:val="00514F11"/>
    <w:rsid w:val="00515841"/>
    <w:rsid w:val="00516229"/>
    <w:rsid w:val="00516345"/>
    <w:rsid w:val="00517974"/>
    <w:rsid w:val="00517D4C"/>
    <w:rsid w:val="005202B4"/>
    <w:rsid w:val="00520970"/>
    <w:rsid w:val="00520CD7"/>
    <w:rsid w:val="00521C27"/>
    <w:rsid w:val="00522CFD"/>
    <w:rsid w:val="00522E45"/>
    <w:rsid w:val="00523600"/>
    <w:rsid w:val="00523A86"/>
    <w:rsid w:val="00525C35"/>
    <w:rsid w:val="00526715"/>
    <w:rsid w:val="0052756D"/>
    <w:rsid w:val="005301D8"/>
    <w:rsid w:val="00531A21"/>
    <w:rsid w:val="00533826"/>
    <w:rsid w:val="00534085"/>
    <w:rsid w:val="005346B1"/>
    <w:rsid w:val="005354A8"/>
    <w:rsid w:val="00535FD9"/>
    <w:rsid w:val="005369F2"/>
    <w:rsid w:val="00540259"/>
    <w:rsid w:val="00540474"/>
    <w:rsid w:val="005416C1"/>
    <w:rsid w:val="005424DD"/>
    <w:rsid w:val="00543332"/>
    <w:rsid w:val="0054394C"/>
    <w:rsid w:val="00543BDF"/>
    <w:rsid w:val="0054477D"/>
    <w:rsid w:val="00544B6F"/>
    <w:rsid w:val="005453EE"/>
    <w:rsid w:val="00546148"/>
    <w:rsid w:val="00546A6C"/>
    <w:rsid w:val="00546BC1"/>
    <w:rsid w:val="00546EDF"/>
    <w:rsid w:val="0054728E"/>
    <w:rsid w:val="00547CC3"/>
    <w:rsid w:val="00547DA9"/>
    <w:rsid w:val="0055085E"/>
    <w:rsid w:val="0055209A"/>
    <w:rsid w:val="005520F0"/>
    <w:rsid w:val="005542AA"/>
    <w:rsid w:val="00554913"/>
    <w:rsid w:val="00554961"/>
    <w:rsid w:val="00555018"/>
    <w:rsid w:val="005551DC"/>
    <w:rsid w:val="00556112"/>
    <w:rsid w:val="00556641"/>
    <w:rsid w:val="00556B94"/>
    <w:rsid w:val="00557103"/>
    <w:rsid w:val="00561A45"/>
    <w:rsid w:val="00561F5A"/>
    <w:rsid w:val="00562629"/>
    <w:rsid w:val="00563E17"/>
    <w:rsid w:val="005659E2"/>
    <w:rsid w:val="0056630A"/>
    <w:rsid w:val="005666D9"/>
    <w:rsid w:val="00567704"/>
    <w:rsid w:val="00567B58"/>
    <w:rsid w:val="00567EA6"/>
    <w:rsid w:val="005702E3"/>
    <w:rsid w:val="00570E65"/>
    <w:rsid w:val="00572969"/>
    <w:rsid w:val="00572BCC"/>
    <w:rsid w:val="0057306B"/>
    <w:rsid w:val="0057478D"/>
    <w:rsid w:val="00574A56"/>
    <w:rsid w:val="0057524C"/>
    <w:rsid w:val="0057595B"/>
    <w:rsid w:val="005768D8"/>
    <w:rsid w:val="00577FBA"/>
    <w:rsid w:val="00584278"/>
    <w:rsid w:val="00586049"/>
    <w:rsid w:val="0058719B"/>
    <w:rsid w:val="0058747E"/>
    <w:rsid w:val="00591567"/>
    <w:rsid w:val="00592CB9"/>
    <w:rsid w:val="0059502B"/>
    <w:rsid w:val="00595EC8"/>
    <w:rsid w:val="00596345"/>
    <w:rsid w:val="00597CE4"/>
    <w:rsid w:val="005A0863"/>
    <w:rsid w:val="005A0C74"/>
    <w:rsid w:val="005A0E7F"/>
    <w:rsid w:val="005A13D6"/>
    <w:rsid w:val="005A1694"/>
    <w:rsid w:val="005A2752"/>
    <w:rsid w:val="005A287C"/>
    <w:rsid w:val="005A47DF"/>
    <w:rsid w:val="005A6570"/>
    <w:rsid w:val="005A661E"/>
    <w:rsid w:val="005A7799"/>
    <w:rsid w:val="005B009F"/>
    <w:rsid w:val="005B0165"/>
    <w:rsid w:val="005B132D"/>
    <w:rsid w:val="005B17D9"/>
    <w:rsid w:val="005B1E96"/>
    <w:rsid w:val="005B2660"/>
    <w:rsid w:val="005B3F9D"/>
    <w:rsid w:val="005B4F71"/>
    <w:rsid w:val="005B50F9"/>
    <w:rsid w:val="005B511B"/>
    <w:rsid w:val="005B5A83"/>
    <w:rsid w:val="005B5C50"/>
    <w:rsid w:val="005B5CF3"/>
    <w:rsid w:val="005B65A9"/>
    <w:rsid w:val="005B6A3F"/>
    <w:rsid w:val="005B6F7A"/>
    <w:rsid w:val="005C164C"/>
    <w:rsid w:val="005C20F9"/>
    <w:rsid w:val="005C226E"/>
    <w:rsid w:val="005C26ED"/>
    <w:rsid w:val="005C4C19"/>
    <w:rsid w:val="005C5251"/>
    <w:rsid w:val="005C5ABE"/>
    <w:rsid w:val="005C6937"/>
    <w:rsid w:val="005C76FE"/>
    <w:rsid w:val="005C777F"/>
    <w:rsid w:val="005C7EAF"/>
    <w:rsid w:val="005D07FB"/>
    <w:rsid w:val="005D1DE0"/>
    <w:rsid w:val="005D3894"/>
    <w:rsid w:val="005D3BDE"/>
    <w:rsid w:val="005D4889"/>
    <w:rsid w:val="005D4A7C"/>
    <w:rsid w:val="005D5C68"/>
    <w:rsid w:val="005D7424"/>
    <w:rsid w:val="005D7BEE"/>
    <w:rsid w:val="005D7FA2"/>
    <w:rsid w:val="005E0671"/>
    <w:rsid w:val="005E09E6"/>
    <w:rsid w:val="005E2A9F"/>
    <w:rsid w:val="005E2DEA"/>
    <w:rsid w:val="005E382C"/>
    <w:rsid w:val="005E4F30"/>
    <w:rsid w:val="005E5AD0"/>
    <w:rsid w:val="005E7299"/>
    <w:rsid w:val="005F05DD"/>
    <w:rsid w:val="005F1801"/>
    <w:rsid w:val="005F1D85"/>
    <w:rsid w:val="005F3DEA"/>
    <w:rsid w:val="005F4882"/>
    <w:rsid w:val="005F51B8"/>
    <w:rsid w:val="005F643F"/>
    <w:rsid w:val="005F6715"/>
    <w:rsid w:val="005F6D01"/>
    <w:rsid w:val="005F7632"/>
    <w:rsid w:val="005F78B4"/>
    <w:rsid w:val="00601535"/>
    <w:rsid w:val="00601E23"/>
    <w:rsid w:val="0060346A"/>
    <w:rsid w:val="00603926"/>
    <w:rsid w:val="00603DF6"/>
    <w:rsid w:val="006048E4"/>
    <w:rsid w:val="006055EB"/>
    <w:rsid w:val="00610348"/>
    <w:rsid w:val="006112CE"/>
    <w:rsid w:val="00612CDC"/>
    <w:rsid w:val="00612F6F"/>
    <w:rsid w:val="0061451D"/>
    <w:rsid w:val="006146A1"/>
    <w:rsid w:val="00615A62"/>
    <w:rsid w:val="00615F55"/>
    <w:rsid w:val="006171C1"/>
    <w:rsid w:val="0061738F"/>
    <w:rsid w:val="0061775F"/>
    <w:rsid w:val="00620C45"/>
    <w:rsid w:val="00621F96"/>
    <w:rsid w:val="006224F7"/>
    <w:rsid w:val="00622A41"/>
    <w:rsid w:val="00622B38"/>
    <w:rsid w:val="00622C9C"/>
    <w:rsid w:val="006236A6"/>
    <w:rsid w:val="006239A0"/>
    <w:rsid w:val="00623D48"/>
    <w:rsid w:val="00625295"/>
    <w:rsid w:val="0062544F"/>
    <w:rsid w:val="0062662A"/>
    <w:rsid w:val="00626749"/>
    <w:rsid w:val="00627407"/>
    <w:rsid w:val="00631247"/>
    <w:rsid w:val="00631CA1"/>
    <w:rsid w:val="006327A5"/>
    <w:rsid w:val="006327F2"/>
    <w:rsid w:val="00632DEC"/>
    <w:rsid w:val="00633C6F"/>
    <w:rsid w:val="006342BF"/>
    <w:rsid w:val="006376B9"/>
    <w:rsid w:val="006405F9"/>
    <w:rsid w:val="006416AC"/>
    <w:rsid w:val="00642492"/>
    <w:rsid w:val="00642717"/>
    <w:rsid w:val="00642B9B"/>
    <w:rsid w:val="00643B93"/>
    <w:rsid w:val="006448A6"/>
    <w:rsid w:val="00645A65"/>
    <w:rsid w:val="006470EB"/>
    <w:rsid w:val="006479A3"/>
    <w:rsid w:val="00647B0E"/>
    <w:rsid w:val="00652BB5"/>
    <w:rsid w:val="00652E40"/>
    <w:rsid w:val="0065329B"/>
    <w:rsid w:val="00653AC3"/>
    <w:rsid w:val="00656385"/>
    <w:rsid w:val="00656A20"/>
    <w:rsid w:val="00656F38"/>
    <w:rsid w:val="00657726"/>
    <w:rsid w:val="00660C73"/>
    <w:rsid w:val="00660F2D"/>
    <w:rsid w:val="00662329"/>
    <w:rsid w:val="00662679"/>
    <w:rsid w:val="006646F1"/>
    <w:rsid w:val="00665288"/>
    <w:rsid w:val="00665EB9"/>
    <w:rsid w:val="00666118"/>
    <w:rsid w:val="006667BA"/>
    <w:rsid w:val="0066724B"/>
    <w:rsid w:val="0067171B"/>
    <w:rsid w:val="00671905"/>
    <w:rsid w:val="00673191"/>
    <w:rsid w:val="0067350A"/>
    <w:rsid w:val="00673E98"/>
    <w:rsid w:val="006741ED"/>
    <w:rsid w:val="00674FD2"/>
    <w:rsid w:val="0067555C"/>
    <w:rsid w:val="00675BFB"/>
    <w:rsid w:val="006767A1"/>
    <w:rsid w:val="0067727B"/>
    <w:rsid w:val="00677417"/>
    <w:rsid w:val="00682656"/>
    <w:rsid w:val="00682905"/>
    <w:rsid w:val="006832F3"/>
    <w:rsid w:val="00684B73"/>
    <w:rsid w:val="00684F7A"/>
    <w:rsid w:val="006852D0"/>
    <w:rsid w:val="0068587B"/>
    <w:rsid w:val="00686005"/>
    <w:rsid w:val="00687C8B"/>
    <w:rsid w:val="006911CA"/>
    <w:rsid w:val="00691455"/>
    <w:rsid w:val="0069151F"/>
    <w:rsid w:val="00691832"/>
    <w:rsid w:val="006925A7"/>
    <w:rsid w:val="00692F63"/>
    <w:rsid w:val="0069310C"/>
    <w:rsid w:val="00693873"/>
    <w:rsid w:val="00693EF5"/>
    <w:rsid w:val="006940CF"/>
    <w:rsid w:val="00694E20"/>
    <w:rsid w:val="00695393"/>
    <w:rsid w:val="00696349"/>
    <w:rsid w:val="006965C7"/>
    <w:rsid w:val="00697487"/>
    <w:rsid w:val="006A0A65"/>
    <w:rsid w:val="006A1C05"/>
    <w:rsid w:val="006A230A"/>
    <w:rsid w:val="006A3BA1"/>
    <w:rsid w:val="006A4B83"/>
    <w:rsid w:val="006A61CB"/>
    <w:rsid w:val="006B133A"/>
    <w:rsid w:val="006B27F6"/>
    <w:rsid w:val="006B3133"/>
    <w:rsid w:val="006B3301"/>
    <w:rsid w:val="006B358C"/>
    <w:rsid w:val="006B4CEC"/>
    <w:rsid w:val="006B51C3"/>
    <w:rsid w:val="006B58EB"/>
    <w:rsid w:val="006B60B6"/>
    <w:rsid w:val="006B6AE3"/>
    <w:rsid w:val="006B73F5"/>
    <w:rsid w:val="006C01C3"/>
    <w:rsid w:val="006C0C9D"/>
    <w:rsid w:val="006C158E"/>
    <w:rsid w:val="006C5077"/>
    <w:rsid w:val="006C582D"/>
    <w:rsid w:val="006C5E5A"/>
    <w:rsid w:val="006C6B68"/>
    <w:rsid w:val="006C767A"/>
    <w:rsid w:val="006D0291"/>
    <w:rsid w:val="006D0CA0"/>
    <w:rsid w:val="006D1CE7"/>
    <w:rsid w:val="006D2024"/>
    <w:rsid w:val="006D269B"/>
    <w:rsid w:val="006D3BF2"/>
    <w:rsid w:val="006D3C90"/>
    <w:rsid w:val="006D3EB3"/>
    <w:rsid w:val="006D5F5B"/>
    <w:rsid w:val="006D6599"/>
    <w:rsid w:val="006D6C73"/>
    <w:rsid w:val="006D7CBB"/>
    <w:rsid w:val="006E0EF8"/>
    <w:rsid w:val="006E1603"/>
    <w:rsid w:val="006E1640"/>
    <w:rsid w:val="006E17E9"/>
    <w:rsid w:val="006E1BC7"/>
    <w:rsid w:val="006E2C62"/>
    <w:rsid w:val="006E2F37"/>
    <w:rsid w:val="006E3FA0"/>
    <w:rsid w:val="006E4E1A"/>
    <w:rsid w:val="006E7C48"/>
    <w:rsid w:val="006F18C6"/>
    <w:rsid w:val="006F2652"/>
    <w:rsid w:val="006F2AEF"/>
    <w:rsid w:val="006F44AC"/>
    <w:rsid w:val="006F4B40"/>
    <w:rsid w:val="006F4C26"/>
    <w:rsid w:val="006F4F48"/>
    <w:rsid w:val="006F6010"/>
    <w:rsid w:val="007000A2"/>
    <w:rsid w:val="00700564"/>
    <w:rsid w:val="00701C18"/>
    <w:rsid w:val="00702EF2"/>
    <w:rsid w:val="007033BF"/>
    <w:rsid w:val="00703B15"/>
    <w:rsid w:val="007055BA"/>
    <w:rsid w:val="007058C3"/>
    <w:rsid w:val="007064F5"/>
    <w:rsid w:val="00707739"/>
    <w:rsid w:val="0071187F"/>
    <w:rsid w:val="007120F8"/>
    <w:rsid w:val="007122D7"/>
    <w:rsid w:val="00712997"/>
    <w:rsid w:val="00712A15"/>
    <w:rsid w:val="00720F69"/>
    <w:rsid w:val="0072105E"/>
    <w:rsid w:val="00721AE2"/>
    <w:rsid w:val="0072229E"/>
    <w:rsid w:val="00722E97"/>
    <w:rsid w:val="0072334C"/>
    <w:rsid w:val="00724435"/>
    <w:rsid w:val="00724AE1"/>
    <w:rsid w:val="00725050"/>
    <w:rsid w:val="00726CEC"/>
    <w:rsid w:val="00727FFA"/>
    <w:rsid w:val="00731910"/>
    <w:rsid w:val="007325DC"/>
    <w:rsid w:val="0073283C"/>
    <w:rsid w:val="0073317E"/>
    <w:rsid w:val="007332DD"/>
    <w:rsid w:val="0073394F"/>
    <w:rsid w:val="00733BFE"/>
    <w:rsid w:val="00733F20"/>
    <w:rsid w:val="007367B4"/>
    <w:rsid w:val="0073709D"/>
    <w:rsid w:val="00737839"/>
    <w:rsid w:val="00737E04"/>
    <w:rsid w:val="00740A5E"/>
    <w:rsid w:val="00741EE0"/>
    <w:rsid w:val="007437AB"/>
    <w:rsid w:val="00743EE4"/>
    <w:rsid w:val="00744A76"/>
    <w:rsid w:val="00744AF6"/>
    <w:rsid w:val="00744FD5"/>
    <w:rsid w:val="00745982"/>
    <w:rsid w:val="0074654E"/>
    <w:rsid w:val="00750B06"/>
    <w:rsid w:val="00751E9A"/>
    <w:rsid w:val="007527B8"/>
    <w:rsid w:val="0075445B"/>
    <w:rsid w:val="00754EF0"/>
    <w:rsid w:val="00755535"/>
    <w:rsid w:val="007558F1"/>
    <w:rsid w:val="00755C52"/>
    <w:rsid w:val="007563CB"/>
    <w:rsid w:val="00760477"/>
    <w:rsid w:val="00760BFC"/>
    <w:rsid w:val="00760E08"/>
    <w:rsid w:val="00760F01"/>
    <w:rsid w:val="00761EE4"/>
    <w:rsid w:val="00762DF2"/>
    <w:rsid w:val="00763772"/>
    <w:rsid w:val="0076390C"/>
    <w:rsid w:val="00763935"/>
    <w:rsid w:val="00763C70"/>
    <w:rsid w:val="00763E21"/>
    <w:rsid w:val="00763E57"/>
    <w:rsid w:val="00764CB8"/>
    <w:rsid w:val="007662EA"/>
    <w:rsid w:val="00767924"/>
    <w:rsid w:val="00767EB4"/>
    <w:rsid w:val="00770068"/>
    <w:rsid w:val="00770266"/>
    <w:rsid w:val="00770AA7"/>
    <w:rsid w:val="00770C74"/>
    <w:rsid w:val="00773707"/>
    <w:rsid w:val="00773B63"/>
    <w:rsid w:val="007759D4"/>
    <w:rsid w:val="00775C42"/>
    <w:rsid w:val="007761D7"/>
    <w:rsid w:val="0077719B"/>
    <w:rsid w:val="007772EB"/>
    <w:rsid w:val="0077733C"/>
    <w:rsid w:val="00780036"/>
    <w:rsid w:val="00780CAF"/>
    <w:rsid w:val="00782A25"/>
    <w:rsid w:val="00782A6A"/>
    <w:rsid w:val="00782C00"/>
    <w:rsid w:val="00782DF7"/>
    <w:rsid w:val="00782E83"/>
    <w:rsid w:val="0078344E"/>
    <w:rsid w:val="00784455"/>
    <w:rsid w:val="00784855"/>
    <w:rsid w:val="007848BA"/>
    <w:rsid w:val="00784A7C"/>
    <w:rsid w:val="00784C29"/>
    <w:rsid w:val="007850D5"/>
    <w:rsid w:val="00786922"/>
    <w:rsid w:val="00787552"/>
    <w:rsid w:val="007876C9"/>
    <w:rsid w:val="00787E2D"/>
    <w:rsid w:val="00787E97"/>
    <w:rsid w:val="00790AD1"/>
    <w:rsid w:val="00791160"/>
    <w:rsid w:val="00792079"/>
    <w:rsid w:val="00797759"/>
    <w:rsid w:val="007A084B"/>
    <w:rsid w:val="007A1CFA"/>
    <w:rsid w:val="007A2087"/>
    <w:rsid w:val="007A29BB"/>
    <w:rsid w:val="007A3584"/>
    <w:rsid w:val="007A4A8D"/>
    <w:rsid w:val="007A5A82"/>
    <w:rsid w:val="007A5B97"/>
    <w:rsid w:val="007A6900"/>
    <w:rsid w:val="007B0D85"/>
    <w:rsid w:val="007B1773"/>
    <w:rsid w:val="007B1AE6"/>
    <w:rsid w:val="007B28B9"/>
    <w:rsid w:val="007B56BC"/>
    <w:rsid w:val="007B7507"/>
    <w:rsid w:val="007C05F2"/>
    <w:rsid w:val="007C0F37"/>
    <w:rsid w:val="007C203C"/>
    <w:rsid w:val="007C20BC"/>
    <w:rsid w:val="007C4500"/>
    <w:rsid w:val="007C5183"/>
    <w:rsid w:val="007C5C51"/>
    <w:rsid w:val="007C6389"/>
    <w:rsid w:val="007C6B2E"/>
    <w:rsid w:val="007C6F59"/>
    <w:rsid w:val="007D0D00"/>
    <w:rsid w:val="007D13DE"/>
    <w:rsid w:val="007D3300"/>
    <w:rsid w:val="007D36AF"/>
    <w:rsid w:val="007D3B28"/>
    <w:rsid w:val="007D43DA"/>
    <w:rsid w:val="007D490E"/>
    <w:rsid w:val="007D4995"/>
    <w:rsid w:val="007D764A"/>
    <w:rsid w:val="007E09A3"/>
    <w:rsid w:val="007E154E"/>
    <w:rsid w:val="007E1883"/>
    <w:rsid w:val="007E2410"/>
    <w:rsid w:val="007E2740"/>
    <w:rsid w:val="007E2D84"/>
    <w:rsid w:val="007E3FBF"/>
    <w:rsid w:val="007E59E3"/>
    <w:rsid w:val="007E5B21"/>
    <w:rsid w:val="007E70F1"/>
    <w:rsid w:val="007E7716"/>
    <w:rsid w:val="007F0B13"/>
    <w:rsid w:val="007F131C"/>
    <w:rsid w:val="007F1679"/>
    <w:rsid w:val="007F1A2E"/>
    <w:rsid w:val="007F2335"/>
    <w:rsid w:val="007F30D0"/>
    <w:rsid w:val="007F3820"/>
    <w:rsid w:val="007F47D2"/>
    <w:rsid w:val="007F6D8A"/>
    <w:rsid w:val="007F71C6"/>
    <w:rsid w:val="007F7300"/>
    <w:rsid w:val="008016CA"/>
    <w:rsid w:val="008038B3"/>
    <w:rsid w:val="00803F00"/>
    <w:rsid w:val="0080418B"/>
    <w:rsid w:val="00804BDA"/>
    <w:rsid w:val="00805625"/>
    <w:rsid w:val="0080641E"/>
    <w:rsid w:val="00807089"/>
    <w:rsid w:val="00810CA9"/>
    <w:rsid w:val="0081366E"/>
    <w:rsid w:val="00813AE7"/>
    <w:rsid w:val="00813C1C"/>
    <w:rsid w:val="00814872"/>
    <w:rsid w:val="00815294"/>
    <w:rsid w:val="008155FA"/>
    <w:rsid w:val="008158B5"/>
    <w:rsid w:val="008160A1"/>
    <w:rsid w:val="00816559"/>
    <w:rsid w:val="0081663B"/>
    <w:rsid w:val="008167F5"/>
    <w:rsid w:val="0081783E"/>
    <w:rsid w:val="00822768"/>
    <w:rsid w:val="008242AF"/>
    <w:rsid w:val="008259BA"/>
    <w:rsid w:val="00825A9A"/>
    <w:rsid w:val="00825A9B"/>
    <w:rsid w:val="008274B6"/>
    <w:rsid w:val="008318AA"/>
    <w:rsid w:val="00831912"/>
    <w:rsid w:val="00831A3C"/>
    <w:rsid w:val="008331DA"/>
    <w:rsid w:val="00834FA4"/>
    <w:rsid w:val="00835A66"/>
    <w:rsid w:val="008401D4"/>
    <w:rsid w:val="00841ABF"/>
    <w:rsid w:val="00841BCA"/>
    <w:rsid w:val="008435F4"/>
    <w:rsid w:val="00844010"/>
    <w:rsid w:val="00844131"/>
    <w:rsid w:val="00844632"/>
    <w:rsid w:val="0084559C"/>
    <w:rsid w:val="00845C8A"/>
    <w:rsid w:val="00846244"/>
    <w:rsid w:val="0084658E"/>
    <w:rsid w:val="00847CA8"/>
    <w:rsid w:val="0085179C"/>
    <w:rsid w:val="00851B27"/>
    <w:rsid w:val="00851DCA"/>
    <w:rsid w:val="00851EEA"/>
    <w:rsid w:val="008521A9"/>
    <w:rsid w:val="00852FDD"/>
    <w:rsid w:val="00854691"/>
    <w:rsid w:val="0085496C"/>
    <w:rsid w:val="008560EE"/>
    <w:rsid w:val="0085636F"/>
    <w:rsid w:val="00857930"/>
    <w:rsid w:val="00857E13"/>
    <w:rsid w:val="0086044D"/>
    <w:rsid w:val="0086242A"/>
    <w:rsid w:val="00862589"/>
    <w:rsid w:val="00862605"/>
    <w:rsid w:val="0086634A"/>
    <w:rsid w:val="00866511"/>
    <w:rsid w:val="0086668A"/>
    <w:rsid w:val="00866CEA"/>
    <w:rsid w:val="008718C0"/>
    <w:rsid w:val="0087203B"/>
    <w:rsid w:val="008723C5"/>
    <w:rsid w:val="00872651"/>
    <w:rsid w:val="00873AE7"/>
    <w:rsid w:val="00873F6A"/>
    <w:rsid w:val="00874068"/>
    <w:rsid w:val="0087463B"/>
    <w:rsid w:val="0087480D"/>
    <w:rsid w:val="00874A3E"/>
    <w:rsid w:val="00875C0C"/>
    <w:rsid w:val="0087612E"/>
    <w:rsid w:val="0087686E"/>
    <w:rsid w:val="00877D02"/>
    <w:rsid w:val="00880B16"/>
    <w:rsid w:val="008816DF"/>
    <w:rsid w:val="00881938"/>
    <w:rsid w:val="00881989"/>
    <w:rsid w:val="00883A16"/>
    <w:rsid w:val="00884036"/>
    <w:rsid w:val="00885228"/>
    <w:rsid w:val="008856D0"/>
    <w:rsid w:val="00885C10"/>
    <w:rsid w:val="00885F76"/>
    <w:rsid w:val="00887000"/>
    <w:rsid w:val="008901E2"/>
    <w:rsid w:val="00890AC8"/>
    <w:rsid w:val="00891082"/>
    <w:rsid w:val="00891766"/>
    <w:rsid w:val="0089199F"/>
    <w:rsid w:val="00891C64"/>
    <w:rsid w:val="00891FDD"/>
    <w:rsid w:val="008947F0"/>
    <w:rsid w:val="00894EA3"/>
    <w:rsid w:val="00895C47"/>
    <w:rsid w:val="00897355"/>
    <w:rsid w:val="0089789A"/>
    <w:rsid w:val="00897F8A"/>
    <w:rsid w:val="008A2110"/>
    <w:rsid w:val="008A339F"/>
    <w:rsid w:val="008A392E"/>
    <w:rsid w:val="008A5E04"/>
    <w:rsid w:val="008A6201"/>
    <w:rsid w:val="008A705E"/>
    <w:rsid w:val="008A7BB8"/>
    <w:rsid w:val="008B0866"/>
    <w:rsid w:val="008B0A3F"/>
    <w:rsid w:val="008B103E"/>
    <w:rsid w:val="008B1A3E"/>
    <w:rsid w:val="008B23F7"/>
    <w:rsid w:val="008B2D24"/>
    <w:rsid w:val="008B3391"/>
    <w:rsid w:val="008B3B42"/>
    <w:rsid w:val="008B4669"/>
    <w:rsid w:val="008B4845"/>
    <w:rsid w:val="008B4BF5"/>
    <w:rsid w:val="008B580A"/>
    <w:rsid w:val="008B6056"/>
    <w:rsid w:val="008B6AA6"/>
    <w:rsid w:val="008B711B"/>
    <w:rsid w:val="008B74F6"/>
    <w:rsid w:val="008B761F"/>
    <w:rsid w:val="008B7EE2"/>
    <w:rsid w:val="008C0673"/>
    <w:rsid w:val="008C31E1"/>
    <w:rsid w:val="008C3A04"/>
    <w:rsid w:val="008C6330"/>
    <w:rsid w:val="008C69B5"/>
    <w:rsid w:val="008C6BDE"/>
    <w:rsid w:val="008C7C6E"/>
    <w:rsid w:val="008D0476"/>
    <w:rsid w:val="008D141C"/>
    <w:rsid w:val="008D161C"/>
    <w:rsid w:val="008D2C64"/>
    <w:rsid w:val="008D337B"/>
    <w:rsid w:val="008D3C73"/>
    <w:rsid w:val="008D3F99"/>
    <w:rsid w:val="008D43FA"/>
    <w:rsid w:val="008D4BFF"/>
    <w:rsid w:val="008D5AAE"/>
    <w:rsid w:val="008D6778"/>
    <w:rsid w:val="008D6D17"/>
    <w:rsid w:val="008E0A88"/>
    <w:rsid w:val="008E0F1C"/>
    <w:rsid w:val="008E10EB"/>
    <w:rsid w:val="008E21D0"/>
    <w:rsid w:val="008E2CB9"/>
    <w:rsid w:val="008E2E8A"/>
    <w:rsid w:val="008E31F1"/>
    <w:rsid w:val="008E54E6"/>
    <w:rsid w:val="008E66CA"/>
    <w:rsid w:val="008E6AA3"/>
    <w:rsid w:val="008E6FC3"/>
    <w:rsid w:val="008E7537"/>
    <w:rsid w:val="008E7E14"/>
    <w:rsid w:val="008F20A2"/>
    <w:rsid w:val="008F40CA"/>
    <w:rsid w:val="008F5DBE"/>
    <w:rsid w:val="008F6600"/>
    <w:rsid w:val="008F6EB8"/>
    <w:rsid w:val="0090274B"/>
    <w:rsid w:val="00902AA1"/>
    <w:rsid w:val="00903981"/>
    <w:rsid w:val="009041D5"/>
    <w:rsid w:val="00904F99"/>
    <w:rsid w:val="0090670B"/>
    <w:rsid w:val="009102B0"/>
    <w:rsid w:val="00910A07"/>
    <w:rsid w:val="00911342"/>
    <w:rsid w:val="009137FC"/>
    <w:rsid w:val="00913B37"/>
    <w:rsid w:val="00913D6B"/>
    <w:rsid w:val="00914868"/>
    <w:rsid w:val="00915C4E"/>
    <w:rsid w:val="00916B42"/>
    <w:rsid w:val="00916BE6"/>
    <w:rsid w:val="00920728"/>
    <w:rsid w:val="00921092"/>
    <w:rsid w:val="00922BCE"/>
    <w:rsid w:val="00922DFD"/>
    <w:rsid w:val="009275E6"/>
    <w:rsid w:val="00927F73"/>
    <w:rsid w:val="00930EF5"/>
    <w:rsid w:val="00931F23"/>
    <w:rsid w:val="009323CE"/>
    <w:rsid w:val="009323D6"/>
    <w:rsid w:val="0093291B"/>
    <w:rsid w:val="00932BF3"/>
    <w:rsid w:val="00933354"/>
    <w:rsid w:val="009341E5"/>
    <w:rsid w:val="009354F1"/>
    <w:rsid w:val="009359BA"/>
    <w:rsid w:val="009368B7"/>
    <w:rsid w:val="00936EE8"/>
    <w:rsid w:val="00937CF6"/>
    <w:rsid w:val="00940820"/>
    <w:rsid w:val="00941573"/>
    <w:rsid w:val="00942187"/>
    <w:rsid w:val="009435F0"/>
    <w:rsid w:val="00944DCA"/>
    <w:rsid w:val="0094548A"/>
    <w:rsid w:val="00945F2B"/>
    <w:rsid w:val="00947584"/>
    <w:rsid w:val="00952DB3"/>
    <w:rsid w:val="00952E81"/>
    <w:rsid w:val="009539C7"/>
    <w:rsid w:val="009541FA"/>
    <w:rsid w:val="009542B9"/>
    <w:rsid w:val="00955107"/>
    <w:rsid w:val="00960658"/>
    <w:rsid w:val="009610AE"/>
    <w:rsid w:val="00962C60"/>
    <w:rsid w:val="0096348E"/>
    <w:rsid w:val="00963BF4"/>
    <w:rsid w:val="00963D91"/>
    <w:rsid w:val="009641A1"/>
    <w:rsid w:val="00971066"/>
    <w:rsid w:val="00972153"/>
    <w:rsid w:val="00972254"/>
    <w:rsid w:val="00973DA6"/>
    <w:rsid w:val="0097549C"/>
    <w:rsid w:val="00975BE2"/>
    <w:rsid w:val="00977583"/>
    <w:rsid w:val="00977B4B"/>
    <w:rsid w:val="00977C78"/>
    <w:rsid w:val="00977CDE"/>
    <w:rsid w:val="00980DFF"/>
    <w:rsid w:val="00982BA7"/>
    <w:rsid w:val="009831E3"/>
    <w:rsid w:val="009835B1"/>
    <w:rsid w:val="00983690"/>
    <w:rsid w:val="00983AC5"/>
    <w:rsid w:val="00983CEF"/>
    <w:rsid w:val="00984732"/>
    <w:rsid w:val="00985A1C"/>
    <w:rsid w:val="00985C74"/>
    <w:rsid w:val="00985CAA"/>
    <w:rsid w:val="00985D91"/>
    <w:rsid w:val="00986F8F"/>
    <w:rsid w:val="009871BC"/>
    <w:rsid w:val="009878BB"/>
    <w:rsid w:val="009903E2"/>
    <w:rsid w:val="00990D10"/>
    <w:rsid w:val="00990FC7"/>
    <w:rsid w:val="009911D2"/>
    <w:rsid w:val="009916C5"/>
    <w:rsid w:val="00991DC6"/>
    <w:rsid w:val="00992311"/>
    <w:rsid w:val="0099341A"/>
    <w:rsid w:val="0099365A"/>
    <w:rsid w:val="009937A5"/>
    <w:rsid w:val="00994421"/>
    <w:rsid w:val="00994612"/>
    <w:rsid w:val="0099512C"/>
    <w:rsid w:val="009951CD"/>
    <w:rsid w:val="00997606"/>
    <w:rsid w:val="009A07D4"/>
    <w:rsid w:val="009A12FC"/>
    <w:rsid w:val="009A1408"/>
    <w:rsid w:val="009A1BAA"/>
    <w:rsid w:val="009A4919"/>
    <w:rsid w:val="009A4B76"/>
    <w:rsid w:val="009A5ABB"/>
    <w:rsid w:val="009A61B2"/>
    <w:rsid w:val="009A72FE"/>
    <w:rsid w:val="009A7347"/>
    <w:rsid w:val="009A7C15"/>
    <w:rsid w:val="009B05A4"/>
    <w:rsid w:val="009B08E0"/>
    <w:rsid w:val="009B0B35"/>
    <w:rsid w:val="009B0B50"/>
    <w:rsid w:val="009B4628"/>
    <w:rsid w:val="009B542E"/>
    <w:rsid w:val="009B652F"/>
    <w:rsid w:val="009B6E53"/>
    <w:rsid w:val="009B7080"/>
    <w:rsid w:val="009B761D"/>
    <w:rsid w:val="009C1355"/>
    <w:rsid w:val="009C17E1"/>
    <w:rsid w:val="009C27FC"/>
    <w:rsid w:val="009C30EB"/>
    <w:rsid w:val="009C477D"/>
    <w:rsid w:val="009C48F4"/>
    <w:rsid w:val="009C4A9D"/>
    <w:rsid w:val="009C5E68"/>
    <w:rsid w:val="009C6271"/>
    <w:rsid w:val="009C6469"/>
    <w:rsid w:val="009D0097"/>
    <w:rsid w:val="009D0624"/>
    <w:rsid w:val="009D0DF7"/>
    <w:rsid w:val="009D1D36"/>
    <w:rsid w:val="009D3EF1"/>
    <w:rsid w:val="009D5485"/>
    <w:rsid w:val="009D60CF"/>
    <w:rsid w:val="009D647F"/>
    <w:rsid w:val="009E03A5"/>
    <w:rsid w:val="009E1EBC"/>
    <w:rsid w:val="009E3358"/>
    <w:rsid w:val="009E346E"/>
    <w:rsid w:val="009E48FB"/>
    <w:rsid w:val="009E5C9F"/>
    <w:rsid w:val="009E66FD"/>
    <w:rsid w:val="009E69A7"/>
    <w:rsid w:val="009F01AA"/>
    <w:rsid w:val="009F07F1"/>
    <w:rsid w:val="009F1DEA"/>
    <w:rsid w:val="009F3260"/>
    <w:rsid w:val="009F3682"/>
    <w:rsid w:val="009F4231"/>
    <w:rsid w:val="009F5189"/>
    <w:rsid w:val="009F5452"/>
    <w:rsid w:val="009F5958"/>
    <w:rsid w:val="009F6258"/>
    <w:rsid w:val="009F783D"/>
    <w:rsid w:val="009F7FB7"/>
    <w:rsid w:val="00A00E06"/>
    <w:rsid w:val="00A00E74"/>
    <w:rsid w:val="00A01AAB"/>
    <w:rsid w:val="00A02BDB"/>
    <w:rsid w:val="00A02D3E"/>
    <w:rsid w:val="00A03DA6"/>
    <w:rsid w:val="00A061BA"/>
    <w:rsid w:val="00A06F31"/>
    <w:rsid w:val="00A074F9"/>
    <w:rsid w:val="00A11AEA"/>
    <w:rsid w:val="00A128EF"/>
    <w:rsid w:val="00A145DA"/>
    <w:rsid w:val="00A151B8"/>
    <w:rsid w:val="00A15E7D"/>
    <w:rsid w:val="00A179B2"/>
    <w:rsid w:val="00A20309"/>
    <w:rsid w:val="00A204B0"/>
    <w:rsid w:val="00A20639"/>
    <w:rsid w:val="00A20AE3"/>
    <w:rsid w:val="00A210F5"/>
    <w:rsid w:val="00A22188"/>
    <w:rsid w:val="00A221D9"/>
    <w:rsid w:val="00A23ED5"/>
    <w:rsid w:val="00A24021"/>
    <w:rsid w:val="00A251BD"/>
    <w:rsid w:val="00A26808"/>
    <w:rsid w:val="00A26D64"/>
    <w:rsid w:val="00A30763"/>
    <w:rsid w:val="00A32393"/>
    <w:rsid w:val="00A32F0B"/>
    <w:rsid w:val="00A340FE"/>
    <w:rsid w:val="00A342B3"/>
    <w:rsid w:val="00A346CE"/>
    <w:rsid w:val="00A34EA2"/>
    <w:rsid w:val="00A351D3"/>
    <w:rsid w:val="00A3570D"/>
    <w:rsid w:val="00A36618"/>
    <w:rsid w:val="00A40D00"/>
    <w:rsid w:val="00A4191D"/>
    <w:rsid w:val="00A43A6D"/>
    <w:rsid w:val="00A44D4B"/>
    <w:rsid w:val="00A46B7C"/>
    <w:rsid w:val="00A470C4"/>
    <w:rsid w:val="00A50C52"/>
    <w:rsid w:val="00A51907"/>
    <w:rsid w:val="00A520A5"/>
    <w:rsid w:val="00A52628"/>
    <w:rsid w:val="00A53735"/>
    <w:rsid w:val="00A54267"/>
    <w:rsid w:val="00A550CE"/>
    <w:rsid w:val="00A561E0"/>
    <w:rsid w:val="00A56AB9"/>
    <w:rsid w:val="00A57CE2"/>
    <w:rsid w:val="00A6007E"/>
    <w:rsid w:val="00A60373"/>
    <w:rsid w:val="00A60472"/>
    <w:rsid w:val="00A64C91"/>
    <w:rsid w:val="00A64DCC"/>
    <w:rsid w:val="00A657B9"/>
    <w:rsid w:val="00A6627D"/>
    <w:rsid w:val="00A667BD"/>
    <w:rsid w:val="00A66FEC"/>
    <w:rsid w:val="00A67A55"/>
    <w:rsid w:val="00A67D4A"/>
    <w:rsid w:val="00A70946"/>
    <w:rsid w:val="00A714C1"/>
    <w:rsid w:val="00A71D66"/>
    <w:rsid w:val="00A72159"/>
    <w:rsid w:val="00A722EA"/>
    <w:rsid w:val="00A74FA6"/>
    <w:rsid w:val="00A75D6F"/>
    <w:rsid w:val="00A7607E"/>
    <w:rsid w:val="00A76DB8"/>
    <w:rsid w:val="00A77248"/>
    <w:rsid w:val="00A77A39"/>
    <w:rsid w:val="00A80612"/>
    <w:rsid w:val="00A8113C"/>
    <w:rsid w:val="00A81337"/>
    <w:rsid w:val="00A83FCA"/>
    <w:rsid w:val="00A85811"/>
    <w:rsid w:val="00A860E0"/>
    <w:rsid w:val="00A86D4F"/>
    <w:rsid w:val="00A91861"/>
    <w:rsid w:val="00A9787D"/>
    <w:rsid w:val="00AA0DA2"/>
    <w:rsid w:val="00AA2C19"/>
    <w:rsid w:val="00AA4260"/>
    <w:rsid w:val="00AA577B"/>
    <w:rsid w:val="00AA5907"/>
    <w:rsid w:val="00AA692D"/>
    <w:rsid w:val="00AA7620"/>
    <w:rsid w:val="00AA77E0"/>
    <w:rsid w:val="00AB1749"/>
    <w:rsid w:val="00AB177C"/>
    <w:rsid w:val="00AB1AA6"/>
    <w:rsid w:val="00AB1B33"/>
    <w:rsid w:val="00AB1CC8"/>
    <w:rsid w:val="00AB2222"/>
    <w:rsid w:val="00AB2361"/>
    <w:rsid w:val="00AB5A74"/>
    <w:rsid w:val="00AB5FD0"/>
    <w:rsid w:val="00AB6B95"/>
    <w:rsid w:val="00AB77A4"/>
    <w:rsid w:val="00AB7A1D"/>
    <w:rsid w:val="00AB7E75"/>
    <w:rsid w:val="00AC0907"/>
    <w:rsid w:val="00AC30B1"/>
    <w:rsid w:val="00AC3B60"/>
    <w:rsid w:val="00AC3E66"/>
    <w:rsid w:val="00AC4379"/>
    <w:rsid w:val="00AC4A94"/>
    <w:rsid w:val="00AC5124"/>
    <w:rsid w:val="00AC5708"/>
    <w:rsid w:val="00AC6DD5"/>
    <w:rsid w:val="00AC7076"/>
    <w:rsid w:val="00AC72F7"/>
    <w:rsid w:val="00AC7403"/>
    <w:rsid w:val="00AD0F7B"/>
    <w:rsid w:val="00AD3417"/>
    <w:rsid w:val="00AD3FF0"/>
    <w:rsid w:val="00AD4A20"/>
    <w:rsid w:val="00AD6298"/>
    <w:rsid w:val="00AD6517"/>
    <w:rsid w:val="00AD651E"/>
    <w:rsid w:val="00AD68E7"/>
    <w:rsid w:val="00AD6C83"/>
    <w:rsid w:val="00AE072B"/>
    <w:rsid w:val="00AE1D56"/>
    <w:rsid w:val="00AE1D68"/>
    <w:rsid w:val="00AE37E2"/>
    <w:rsid w:val="00AE4BA2"/>
    <w:rsid w:val="00AE51F5"/>
    <w:rsid w:val="00AE5CC6"/>
    <w:rsid w:val="00AE7A77"/>
    <w:rsid w:val="00AE7C79"/>
    <w:rsid w:val="00AF1F67"/>
    <w:rsid w:val="00AF2DAE"/>
    <w:rsid w:val="00AF2E06"/>
    <w:rsid w:val="00AF3348"/>
    <w:rsid w:val="00AF351D"/>
    <w:rsid w:val="00AF372F"/>
    <w:rsid w:val="00AF59FA"/>
    <w:rsid w:val="00AF5EA3"/>
    <w:rsid w:val="00AF63FD"/>
    <w:rsid w:val="00AF64AE"/>
    <w:rsid w:val="00AF6625"/>
    <w:rsid w:val="00AF7A05"/>
    <w:rsid w:val="00AF7E56"/>
    <w:rsid w:val="00B0109D"/>
    <w:rsid w:val="00B01E6C"/>
    <w:rsid w:val="00B03650"/>
    <w:rsid w:val="00B042E2"/>
    <w:rsid w:val="00B04758"/>
    <w:rsid w:val="00B0678C"/>
    <w:rsid w:val="00B06A43"/>
    <w:rsid w:val="00B0795E"/>
    <w:rsid w:val="00B10779"/>
    <w:rsid w:val="00B10FC0"/>
    <w:rsid w:val="00B11144"/>
    <w:rsid w:val="00B124A2"/>
    <w:rsid w:val="00B12D79"/>
    <w:rsid w:val="00B1356D"/>
    <w:rsid w:val="00B146A4"/>
    <w:rsid w:val="00B14913"/>
    <w:rsid w:val="00B155A2"/>
    <w:rsid w:val="00B163C3"/>
    <w:rsid w:val="00B1761E"/>
    <w:rsid w:val="00B17FE5"/>
    <w:rsid w:val="00B2247F"/>
    <w:rsid w:val="00B2273F"/>
    <w:rsid w:val="00B22A91"/>
    <w:rsid w:val="00B247FD"/>
    <w:rsid w:val="00B24C61"/>
    <w:rsid w:val="00B24F66"/>
    <w:rsid w:val="00B252BA"/>
    <w:rsid w:val="00B259E5"/>
    <w:rsid w:val="00B26ED9"/>
    <w:rsid w:val="00B27319"/>
    <w:rsid w:val="00B307DC"/>
    <w:rsid w:val="00B31276"/>
    <w:rsid w:val="00B319AD"/>
    <w:rsid w:val="00B31FF2"/>
    <w:rsid w:val="00B3234B"/>
    <w:rsid w:val="00B32473"/>
    <w:rsid w:val="00B32F7B"/>
    <w:rsid w:val="00B342E4"/>
    <w:rsid w:val="00B343A2"/>
    <w:rsid w:val="00B34966"/>
    <w:rsid w:val="00B352B5"/>
    <w:rsid w:val="00B355F9"/>
    <w:rsid w:val="00B35B46"/>
    <w:rsid w:val="00B35E52"/>
    <w:rsid w:val="00B407C0"/>
    <w:rsid w:val="00B40D8C"/>
    <w:rsid w:val="00B4251D"/>
    <w:rsid w:val="00B4263E"/>
    <w:rsid w:val="00B5009E"/>
    <w:rsid w:val="00B50D05"/>
    <w:rsid w:val="00B50DBA"/>
    <w:rsid w:val="00B528F4"/>
    <w:rsid w:val="00B5299B"/>
    <w:rsid w:val="00B52EA3"/>
    <w:rsid w:val="00B54A69"/>
    <w:rsid w:val="00B56BD5"/>
    <w:rsid w:val="00B57329"/>
    <w:rsid w:val="00B601A9"/>
    <w:rsid w:val="00B60263"/>
    <w:rsid w:val="00B609B5"/>
    <w:rsid w:val="00B61103"/>
    <w:rsid w:val="00B61440"/>
    <w:rsid w:val="00B617CA"/>
    <w:rsid w:val="00B61E5A"/>
    <w:rsid w:val="00B62337"/>
    <w:rsid w:val="00B64BAA"/>
    <w:rsid w:val="00B654D1"/>
    <w:rsid w:val="00B65BB1"/>
    <w:rsid w:val="00B721C5"/>
    <w:rsid w:val="00B72A31"/>
    <w:rsid w:val="00B73336"/>
    <w:rsid w:val="00B74027"/>
    <w:rsid w:val="00B74915"/>
    <w:rsid w:val="00B74A36"/>
    <w:rsid w:val="00B74FC0"/>
    <w:rsid w:val="00B75C0B"/>
    <w:rsid w:val="00B76C65"/>
    <w:rsid w:val="00B777D3"/>
    <w:rsid w:val="00B77A28"/>
    <w:rsid w:val="00B77D30"/>
    <w:rsid w:val="00B80B42"/>
    <w:rsid w:val="00B81B3D"/>
    <w:rsid w:val="00B83224"/>
    <w:rsid w:val="00B83871"/>
    <w:rsid w:val="00B8488F"/>
    <w:rsid w:val="00B84D15"/>
    <w:rsid w:val="00B868AA"/>
    <w:rsid w:val="00B87715"/>
    <w:rsid w:val="00B87B86"/>
    <w:rsid w:val="00B90CC9"/>
    <w:rsid w:val="00B91059"/>
    <w:rsid w:val="00B937AF"/>
    <w:rsid w:val="00B943D6"/>
    <w:rsid w:val="00B94E5C"/>
    <w:rsid w:val="00B9528E"/>
    <w:rsid w:val="00B954A3"/>
    <w:rsid w:val="00B95B70"/>
    <w:rsid w:val="00B95D71"/>
    <w:rsid w:val="00B95E3B"/>
    <w:rsid w:val="00B961CB"/>
    <w:rsid w:val="00B96BE2"/>
    <w:rsid w:val="00B975C2"/>
    <w:rsid w:val="00B97A34"/>
    <w:rsid w:val="00B97AE5"/>
    <w:rsid w:val="00BA00A8"/>
    <w:rsid w:val="00BA08A5"/>
    <w:rsid w:val="00BA0A17"/>
    <w:rsid w:val="00BA0B56"/>
    <w:rsid w:val="00BA1000"/>
    <w:rsid w:val="00BA109F"/>
    <w:rsid w:val="00BA1F34"/>
    <w:rsid w:val="00BA304E"/>
    <w:rsid w:val="00BA47B4"/>
    <w:rsid w:val="00BA4A08"/>
    <w:rsid w:val="00BA534A"/>
    <w:rsid w:val="00BA6840"/>
    <w:rsid w:val="00BA6E76"/>
    <w:rsid w:val="00BA77EB"/>
    <w:rsid w:val="00BB07A6"/>
    <w:rsid w:val="00BB1C19"/>
    <w:rsid w:val="00BB24A8"/>
    <w:rsid w:val="00BB3881"/>
    <w:rsid w:val="00BB5F29"/>
    <w:rsid w:val="00BB75D8"/>
    <w:rsid w:val="00BB7688"/>
    <w:rsid w:val="00BB7D1D"/>
    <w:rsid w:val="00BC0861"/>
    <w:rsid w:val="00BC229F"/>
    <w:rsid w:val="00BC3781"/>
    <w:rsid w:val="00BC47CA"/>
    <w:rsid w:val="00BC487D"/>
    <w:rsid w:val="00BC69CF"/>
    <w:rsid w:val="00BC7DD8"/>
    <w:rsid w:val="00BD09B9"/>
    <w:rsid w:val="00BD0C49"/>
    <w:rsid w:val="00BD1729"/>
    <w:rsid w:val="00BD2895"/>
    <w:rsid w:val="00BD28E4"/>
    <w:rsid w:val="00BD3522"/>
    <w:rsid w:val="00BD3853"/>
    <w:rsid w:val="00BD53BA"/>
    <w:rsid w:val="00BD6149"/>
    <w:rsid w:val="00BD626C"/>
    <w:rsid w:val="00BE3836"/>
    <w:rsid w:val="00BE383C"/>
    <w:rsid w:val="00BE4603"/>
    <w:rsid w:val="00BE489D"/>
    <w:rsid w:val="00BE57A3"/>
    <w:rsid w:val="00BF0D3F"/>
    <w:rsid w:val="00BF311A"/>
    <w:rsid w:val="00BF36E6"/>
    <w:rsid w:val="00BF462B"/>
    <w:rsid w:val="00BF469F"/>
    <w:rsid w:val="00BF63A1"/>
    <w:rsid w:val="00BF680C"/>
    <w:rsid w:val="00BF6AC8"/>
    <w:rsid w:val="00BF7BE3"/>
    <w:rsid w:val="00C0046E"/>
    <w:rsid w:val="00C0079C"/>
    <w:rsid w:val="00C0432C"/>
    <w:rsid w:val="00C054BD"/>
    <w:rsid w:val="00C06DFA"/>
    <w:rsid w:val="00C07D02"/>
    <w:rsid w:val="00C10583"/>
    <w:rsid w:val="00C1077F"/>
    <w:rsid w:val="00C10EBB"/>
    <w:rsid w:val="00C11F01"/>
    <w:rsid w:val="00C11FCE"/>
    <w:rsid w:val="00C121A5"/>
    <w:rsid w:val="00C131FD"/>
    <w:rsid w:val="00C13262"/>
    <w:rsid w:val="00C13545"/>
    <w:rsid w:val="00C166C8"/>
    <w:rsid w:val="00C16AFD"/>
    <w:rsid w:val="00C16BF2"/>
    <w:rsid w:val="00C20DF8"/>
    <w:rsid w:val="00C20EA2"/>
    <w:rsid w:val="00C21D05"/>
    <w:rsid w:val="00C23C15"/>
    <w:rsid w:val="00C25ACD"/>
    <w:rsid w:val="00C25B9F"/>
    <w:rsid w:val="00C265CA"/>
    <w:rsid w:val="00C266A8"/>
    <w:rsid w:val="00C272AD"/>
    <w:rsid w:val="00C27D4A"/>
    <w:rsid w:val="00C30386"/>
    <w:rsid w:val="00C30BFD"/>
    <w:rsid w:val="00C32134"/>
    <w:rsid w:val="00C322B5"/>
    <w:rsid w:val="00C32324"/>
    <w:rsid w:val="00C3264A"/>
    <w:rsid w:val="00C32A6F"/>
    <w:rsid w:val="00C34174"/>
    <w:rsid w:val="00C3490A"/>
    <w:rsid w:val="00C35AB8"/>
    <w:rsid w:val="00C3686A"/>
    <w:rsid w:val="00C36940"/>
    <w:rsid w:val="00C36E78"/>
    <w:rsid w:val="00C40367"/>
    <w:rsid w:val="00C40441"/>
    <w:rsid w:val="00C41B8F"/>
    <w:rsid w:val="00C41FA8"/>
    <w:rsid w:val="00C43E3E"/>
    <w:rsid w:val="00C453FC"/>
    <w:rsid w:val="00C458C8"/>
    <w:rsid w:val="00C50366"/>
    <w:rsid w:val="00C51843"/>
    <w:rsid w:val="00C525E7"/>
    <w:rsid w:val="00C534FD"/>
    <w:rsid w:val="00C544AC"/>
    <w:rsid w:val="00C54F26"/>
    <w:rsid w:val="00C54FDD"/>
    <w:rsid w:val="00C60D1D"/>
    <w:rsid w:val="00C60F8D"/>
    <w:rsid w:val="00C61860"/>
    <w:rsid w:val="00C62144"/>
    <w:rsid w:val="00C6239B"/>
    <w:rsid w:val="00C63ACD"/>
    <w:rsid w:val="00C6443B"/>
    <w:rsid w:val="00C64AF6"/>
    <w:rsid w:val="00C65474"/>
    <w:rsid w:val="00C66FA8"/>
    <w:rsid w:val="00C7141E"/>
    <w:rsid w:val="00C72920"/>
    <w:rsid w:val="00C73152"/>
    <w:rsid w:val="00C742FF"/>
    <w:rsid w:val="00C74501"/>
    <w:rsid w:val="00C7484C"/>
    <w:rsid w:val="00C74DDF"/>
    <w:rsid w:val="00C75042"/>
    <w:rsid w:val="00C75EF1"/>
    <w:rsid w:val="00C77023"/>
    <w:rsid w:val="00C80A9F"/>
    <w:rsid w:val="00C80D2F"/>
    <w:rsid w:val="00C82F7C"/>
    <w:rsid w:val="00C83173"/>
    <w:rsid w:val="00C84CD2"/>
    <w:rsid w:val="00C85F60"/>
    <w:rsid w:val="00C86700"/>
    <w:rsid w:val="00C86C5C"/>
    <w:rsid w:val="00C878B4"/>
    <w:rsid w:val="00C87D9B"/>
    <w:rsid w:val="00C90C0A"/>
    <w:rsid w:val="00C928EA"/>
    <w:rsid w:val="00C929D3"/>
    <w:rsid w:val="00C92B5F"/>
    <w:rsid w:val="00C9661B"/>
    <w:rsid w:val="00C97592"/>
    <w:rsid w:val="00CA028D"/>
    <w:rsid w:val="00CA0E2D"/>
    <w:rsid w:val="00CA29C6"/>
    <w:rsid w:val="00CA2B67"/>
    <w:rsid w:val="00CB0AA0"/>
    <w:rsid w:val="00CB16C4"/>
    <w:rsid w:val="00CB19CF"/>
    <w:rsid w:val="00CB1C1A"/>
    <w:rsid w:val="00CB4F32"/>
    <w:rsid w:val="00CB69FE"/>
    <w:rsid w:val="00CB71D8"/>
    <w:rsid w:val="00CB7A2C"/>
    <w:rsid w:val="00CC1394"/>
    <w:rsid w:val="00CC1B17"/>
    <w:rsid w:val="00CC3AF2"/>
    <w:rsid w:val="00CC5C12"/>
    <w:rsid w:val="00CD1FA5"/>
    <w:rsid w:val="00CD2022"/>
    <w:rsid w:val="00CD22E3"/>
    <w:rsid w:val="00CD25B5"/>
    <w:rsid w:val="00CD2C59"/>
    <w:rsid w:val="00CD2E6E"/>
    <w:rsid w:val="00CD4282"/>
    <w:rsid w:val="00CD4F27"/>
    <w:rsid w:val="00CD5827"/>
    <w:rsid w:val="00CD5E62"/>
    <w:rsid w:val="00CD6015"/>
    <w:rsid w:val="00CD62E0"/>
    <w:rsid w:val="00CD6AD6"/>
    <w:rsid w:val="00CD6BC6"/>
    <w:rsid w:val="00CD7181"/>
    <w:rsid w:val="00CD7B92"/>
    <w:rsid w:val="00CE060D"/>
    <w:rsid w:val="00CE0687"/>
    <w:rsid w:val="00CE074C"/>
    <w:rsid w:val="00CE217A"/>
    <w:rsid w:val="00CE33DB"/>
    <w:rsid w:val="00CE43C6"/>
    <w:rsid w:val="00CE54B0"/>
    <w:rsid w:val="00CE5BDC"/>
    <w:rsid w:val="00CE5D8E"/>
    <w:rsid w:val="00CE5F49"/>
    <w:rsid w:val="00CE6361"/>
    <w:rsid w:val="00CE6A38"/>
    <w:rsid w:val="00CE7A0B"/>
    <w:rsid w:val="00CF0280"/>
    <w:rsid w:val="00CF0CF3"/>
    <w:rsid w:val="00CF1488"/>
    <w:rsid w:val="00CF1804"/>
    <w:rsid w:val="00CF1CA7"/>
    <w:rsid w:val="00CF1DA7"/>
    <w:rsid w:val="00CF1F5A"/>
    <w:rsid w:val="00CF1F6D"/>
    <w:rsid w:val="00CF2177"/>
    <w:rsid w:val="00CF3558"/>
    <w:rsid w:val="00CF56E1"/>
    <w:rsid w:val="00CF6947"/>
    <w:rsid w:val="00CF6F2F"/>
    <w:rsid w:val="00CF7F9E"/>
    <w:rsid w:val="00D00A01"/>
    <w:rsid w:val="00D01631"/>
    <w:rsid w:val="00D021FD"/>
    <w:rsid w:val="00D03044"/>
    <w:rsid w:val="00D03D44"/>
    <w:rsid w:val="00D05399"/>
    <w:rsid w:val="00D06411"/>
    <w:rsid w:val="00D06693"/>
    <w:rsid w:val="00D067FE"/>
    <w:rsid w:val="00D06FB1"/>
    <w:rsid w:val="00D121BA"/>
    <w:rsid w:val="00D12230"/>
    <w:rsid w:val="00D14B76"/>
    <w:rsid w:val="00D151EB"/>
    <w:rsid w:val="00D15E8B"/>
    <w:rsid w:val="00D164B5"/>
    <w:rsid w:val="00D16613"/>
    <w:rsid w:val="00D1664E"/>
    <w:rsid w:val="00D16EDA"/>
    <w:rsid w:val="00D1796E"/>
    <w:rsid w:val="00D20F98"/>
    <w:rsid w:val="00D2282F"/>
    <w:rsid w:val="00D23011"/>
    <w:rsid w:val="00D232C4"/>
    <w:rsid w:val="00D23932"/>
    <w:rsid w:val="00D23C90"/>
    <w:rsid w:val="00D25104"/>
    <w:rsid w:val="00D2521C"/>
    <w:rsid w:val="00D25751"/>
    <w:rsid w:val="00D2775E"/>
    <w:rsid w:val="00D31485"/>
    <w:rsid w:val="00D32C38"/>
    <w:rsid w:val="00D32CE9"/>
    <w:rsid w:val="00D32EB7"/>
    <w:rsid w:val="00D34130"/>
    <w:rsid w:val="00D34C1A"/>
    <w:rsid w:val="00D34E09"/>
    <w:rsid w:val="00D3509C"/>
    <w:rsid w:val="00D35677"/>
    <w:rsid w:val="00D3570D"/>
    <w:rsid w:val="00D358B9"/>
    <w:rsid w:val="00D35A13"/>
    <w:rsid w:val="00D368D2"/>
    <w:rsid w:val="00D36B47"/>
    <w:rsid w:val="00D3700C"/>
    <w:rsid w:val="00D37BC3"/>
    <w:rsid w:val="00D405BD"/>
    <w:rsid w:val="00D40BDA"/>
    <w:rsid w:val="00D428A8"/>
    <w:rsid w:val="00D4572B"/>
    <w:rsid w:val="00D46068"/>
    <w:rsid w:val="00D46F1B"/>
    <w:rsid w:val="00D4714D"/>
    <w:rsid w:val="00D47BD0"/>
    <w:rsid w:val="00D51932"/>
    <w:rsid w:val="00D51B36"/>
    <w:rsid w:val="00D52F34"/>
    <w:rsid w:val="00D52FC5"/>
    <w:rsid w:val="00D5347F"/>
    <w:rsid w:val="00D536FF"/>
    <w:rsid w:val="00D54C9E"/>
    <w:rsid w:val="00D5573F"/>
    <w:rsid w:val="00D5642E"/>
    <w:rsid w:val="00D60F39"/>
    <w:rsid w:val="00D6215B"/>
    <w:rsid w:val="00D62195"/>
    <w:rsid w:val="00D62E05"/>
    <w:rsid w:val="00D630CC"/>
    <w:rsid w:val="00D63182"/>
    <w:rsid w:val="00D637B1"/>
    <w:rsid w:val="00D6476C"/>
    <w:rsid w:val="00D656BC"/>
    <w:rsid w:val="00D65C95"/>
    <w:rsid w:val="00D667C5"/>
    <w:rsid w:val="00D667EE"/>
    <w:rsid w:val="00D66FDF"/>
    <w:rsid w:val="00D67765"/>
    <w:rsid w:val="00D67DA7"/>
    <w:rsid w:val="00D700D3"/>
    <w:rsid w:val="00D701E1"/>
    <w:rsid w:val="00D7171C"/>
    <w:rsid w:val="00D72763"/>
    <w:rsid w:val="00D7399F"/>
    <w:rsid w:val="00D7527C"/>
    <w:rsid w:val="00D760FC"/>
    <w:rsid w:val="00D76507"/>
    <w:rsid w:val="00D76C32"/>
    <w:rsid w:val="00D76D15"/>
    <w:rsid w:val="00D76F34"/>
    <w:rsid w:val="00D7715E"/>
    <w:rsid w:val="00D81031"/>
    <w:rsid w:val="00D815A6"/>
    <w:rsid w:val="00D81EA6"/>
    <w:rsid w:val="00D82211"/>
    <w:rsid w:val="00D823E7"/>
    <w:rsid w:val="00D82ED9"/>
    <w:rsid w:val="00D83BFF"/>
    <w:rsid w:val="00D84B6D"/>
    <w:rsid w:val="00D84BB8"/>
    <w:rsid w:val="00D851AF"/>
    <w:rsid w:val="00D857C1"/>
    <w:rsid w:val="00D85EAA"/>
    <w:rsid w:val="00D86BC7"/>
    <w:rsid w:val="00D902DC"/>
    <w:rsid w:val="00D910E8"/>
    <w:rsid w:val="00D91815"/>
    <w:rsid w:val="00D91F83"/>
    <w:rsid w:val="00D93F85"/>
    <w:rsid w:val="00D94746"/>
    <w:rsid w:val="00D94AD7"/>
    <w:rsid w:val="00D94F8A"/>
    <w:rsid w:val="00D951F7"/>
    <w:rsid w:val="00D95E54"/>
    <w:rsid w:val="00D95FAE"/>
    <w:rsid w:val="00D962D2"/>
    <w:rsid w:val="00D97F90"/>
    <w:rsid w:val="00DA1355"/>
    <w:rsid w:val="00DA29F7"/>
    <w:rsid w:val="00DA4636"/>
    <w:rsid w:val="00DA4FDD"/>
    <w:rsid w:val="00DA6276"/>
    <w:rsid w:val="00DA6449"/>
    <w:rsid w:val="00DA6459"/>
    <w:rsid w:val="00DA66C9"/>
    <w:rsid w:val="00DA6E23"/>
    <w:rsid w:val="00DA732E"/>
    <w:rsid w:val="00DA770D"/>
    <w:rsid w:val="00DA7C99"/>
    <w:rsid w:val="00DB1332"/>
    <w:rsid w:val="00DB15C9"/>
    <w:rsid w:val="00DB190F"/>
    <w:rsid w:val="00DB3B05"/>
    <w:rsid w:val="00DB4872"/>
    <w:rsid w:val="00DB5F37"/>
    <w:rsid w:val="00DC0002"/>
    <w:rsid w:val="00DC04A9"/>
    <w:rsid w:val="00DC2784"/>
    <w:rsid w:val="00DC433E"/>
    <w:rsid w:val="00DC46AE"/>
    <w:rsid w:val="00DC5939"/>
    <w:rsid w:val="00DC6663"/>
    <w:rsid w:val="00DD270B"/>
    <w:rsid w:val="00DD2F04"/>
    <w:rsid w:val="00DD38A7"/>
    <w:rsid w:val="00DD3908"/>
    <w:rsid w:val="00DD5249"/>
    <w:rsid w:val="00DD561A"/>
    <w:rsid w:val="00DD5ADE"/>
    <w:rsid w:val="00DD6FE8"/>
    <w:rsid w:val="00DE1969"/>
    <w:rsid w:val="00DE242E"/>
    <w:rsid w:val="00DE40B8"/>
    <w:rsid w:val="00DE46A4"/>
    <w:rsid w:val="00DE489F"/>
    <w:rsid w:val="00DF05B0"/>
    <w:rsid w:val="00DF0848"/>
    <w:rsid w:val="00DF1255"/>
    <w:rsid w:val="00DF1C2C"/>
    <w:rsid w:val="00DF29A0"/>
    <w:rsid w:val="00DF2B9A"/>
    <w:rsid w:val="00DF331F"/>
    <w:rsid w:val="00DF6139"/>
    <w:rsid w:val="00DF630C"/>
    <w:rsid w:val="00E017E4"/>
    <w:rsid w:val="00E0216F"/>
    <w:rsid w:val="00E033F1"/>
    <w:rsid w:val="00E03CAE"/>
    <w:rsid w:val="00E04775"/>
    <w:rsid w:val="00E05027"/>
    <w:rsid w:val="00E07C33"/>
    <w:rsid w:val="00E12D69"/>
    <w:rsid w:val="00E16839"/>
    <w:rsid w:val="00E168C3"/>
    <w:rsid w:val="00E16C0C"/>
    <w:rsid w:val="00E1776D"/>
    <w:rsid w:val="00E2057C"/>
    <w:rsid w:val="00E2127F"/>
    <w:rsid w:val="00E21648"/>
    <w:rsid w:val="00E21AD8"/>
    <w:rsid w:val="00E2252A"/>
    <w:rsid w:val="00E233C3"/>
    <w:rsid w:val="00E2410D"/>
    <w:rsid w:val="00E25117"/>
    <w:rsid w:val="00E2729E"/>
    <w:rsid w:val="00E3117D"/>
    <w:rsid w:val="00E31392"/>
    <w:rsid w:val="00E315EE"/>
    <w:rsid w:val="00E31611"/>
    <w:rsid w:val="00E32A17"/>
    <w:rsid w:val="00E32B06"/>
    <w:rsid w:val="00E3433A"/>
    <w:rsid w:val="00E344FE"/>
    <w:rsid w:val="00E356C3"/>
    <w:rsid w:val="00E36B92"/>
    <w:rsid w:val="00E36E36"/>
    <w:rsid w:val="00E37179"/>
    <w:rsid w:val="00E40C49"/>
    <w:rsid w:val="00E41406"/>
    <w:rsid w:val="00E41A34"/>
    <w:rsid w:val="00E41C50"/>
    <w:rsid w:val="00E42812"/>
    <w:rsid w:val="00E429A4"/>
    <w:rsid w:val="00E43385"/>
    <w:rsid w:val="00E4439B"/>
    <w:rsid w:val="00E45574"/>
    <w:rsid w:val="00E46C2E"/>
    <w:rsid w:val="00E46E52"/>
    <w:rsid w:val="00E473AE"/>
    <w:rsid w:val="00E50530"/>
    <w:rsid w:val="00E50F52"/>
    <w:rsid w:val="00E515B2"/>
    <w:rsid w:val="00E52748"/>
    <w:rsid w:val="00E53424"/>
    <w:rsid w:val="00E53C1C"/>
    <w:rsid w:val="00E53F40"/>
    <w:rsid w:val="00E553EF"/>
    <w:rsid w:val="00E55552"/>
    <w:rsid w:val="00E575BC"/>
    <w:rsid w:val="00E576F6"/>
    <w:rsid w:val="00E60BAC"/>
    <w:rsid w:val="00E61882"/>
    <w:rsid w:val="00E61E7D"/>
    <w:rsid w:val="00E61E8C"/>
    <w:rsid w:val="00E62087"/>
    <w:rsid w:val="00E62159"/>
    <w:rsid w:val="00E62347"/>
    <w:rsid w:val="00E62B51"/>
    <w:rsid w:val="00E62D81"/>
    <w:rsid w:val="00E632F0"/>
    <w:rsid w:val="00E63F7A"/>
    <w:rsid w:val="00E70B58"/>
    <w:rsid w:val="00E71092"/>
    <w:rsid w:val="00E71907"/>
    <w:rsid w:val="00E71E24"/>
    <w:rsid w:val="00E7259F"/>
    <w:rsid w:val="00E741FD"/>
    <w:rsid w:val="00E75465"/>
    <w:rsid w:val="00E75AE0"/>
    <w:rsid w:val="00E75F61"/>
    <w:rsid w:val="00E765A5"/>
    <w:rsid w:val="00E7666A"/>
    <w:rsid w:val="00E81985"/>
    <w:rsid w:val="00E824AB"/>
    <w:rsid w:val="00E82DDE"/>
    <w:rsid w:val="00E82F83"/>
    <w:rsid w:val="00E83866"/>
    <w:rsid w:val="00E83BB6"/>
    <w:rsid w:val="00E8465A"/>
    <w:rsid w:val="00E84BBD"/>
    <w:rsid w:val="00E84E46"/>
    <w:rsid w:val="00E85DEF"/>
    <w:rsid w:val="00E85FCC"/>
    <w:rsid w:val="00E91545"/>
    <w:rsid w:val="00E91B28"/>
    <w:rsid w:val="00E93B86"/>
    <w:rsid w:val="00E947A9"/>
    <w:rsid w:val="00E94A65"/>
    <w:rsid w:val="00E94C67"/>
    <w:rsid w:val="00E951A0"/>
    <w:rsid w:val="00E95301"/>
    <w:rsid w:val="00E962D1"/>
    <w:rsid w:val="00E97523"/>
    <w:rsid w:val="00EA00D9"/>
    <w:rsid w:val="00EA0158"/>
    <w:rsid w:val="00EA21ED"/>
    <w:rsid w:val="00EA25AE"/>
    <w:rsid w:val="00EA279E"/>
    <w:rsid w:val="00EA3620"/>
    <w:rsid w:val="00EA3D40"/>
    <w:rsid w:val="00EA59F0"/>
    <w:rsid w:val="00EA6D0F"/>
    <w:rsid w:val="00EB1962"/>
    <w:rsid w:val="00EB286D"/>
    <w:rsid w:val="00EB35D2"/>
    <w:rsid w:val="00EB3B73"/>
    <w:rsid w:val="00EB494D"/>
    <w:rsid w:val="00EB4F5C"/>
    <w:rsid w:val="00EB58E6"/>
    <w:rsid w:val="00EB5D1C"/>
    <w:rsid w:val="00EB6532"/>
    <w:rsid w:val="00EB6549"/>
    <w:rsid w:val="00EB65F1"/>
    <w:rsid w:val="00EB6D8B"/>
    <w:rsid w:val="00EB7327"/>
    <w:rsid w:val="00EB7627"/>
    <w:rsid w:val="00EB7C7A"/>
    <w:rsid w:val="00EB7D90"/>
    <w:rsid w:val="00EC0920"/>
    <w:rsid w:val="00EC1D92"/>
    <w:rsid w:val="00EC1DE0"/>
    <w:rsid w:val="00EC222A"/>
    <w:rsid w:val="00EC3033"/>
    <w:rsid w:val="00EC43EF"/>
    <w:rsid w:val="00EC5D76"/>
    <w:rsid w:val="00EC6FAD"/>
    <w:rsid w:val="00EC703B"/>
    <w:rsid w:val="00EC7383"/>
    <w:rsid w:val="00EC7696"/>
    <w:rsid w:val="00ED051D"/>
    <w:rsid w:val="00ED09E7"/>
    <w:rsid w:val="00ED1844"/>
    <w:rsid w:val="00ED18DF"/>
    <w:rsid w:val="00ED28B7"/>
    <w:rsid w:val="00ED3101"/>
    <w:rsid w:val="00ED33DD"/>
    <w:rsid w:val="00ED362B"/>
    <w:rsid w:val="00ED404A"/>
    <w:rsid w:val="00ED406A"/>
    <w:rsid w:val="00ED43B7"/>
    <w:rsid w:val="00ED4F07"/>
    <w:rsid w:val="00ED5922"/>
    <w:rsid w:val="00ED665E"/>
    <w:rsid w:val="00ED7F80"/>
    <w:rsid w:val="00EE2984"/>
    <w:rsid w:val="00EE2B4F"/>
    <w:rsid w:val="00EE37C3"/>
    <w:rsid w:val="00EE3D84"/>
    <w:rsid w:val="00EE4243"/>
    <w:rsid w:val="00EE43E3"/>
    <w:rsid w:val="00EE5BC5"/>
    <w:rsid w:val="00EF1EB5"/>
    <w:rsid w:val="00EF4D53"/>
    <w:rsid w:val="00EF4E6E"/>
    <w:rsid w:val="00EF611A"/>
    <w:rsid w:val="00EF66CE"/>
    <w:rsid w:val="00EF6A5F"/>
    <w:rsid w:val="00F0162F"/>
    <w:rsid w:val="00F024F1"/>
    <w:rsid w:val="00F041AF"/>
    <w:rsid w:val="00F04A2F"/>
    <w:rsid w:val="00F05268"/>
    <w:rsid w:val="00F053C2"/>
    <w:rsid w:val="00F06E8E"/>
    <w:rsid w:val="00F07BA2"/>
    <w:rsid w:val="00F102B9"/>
    <w:rsid w:val="00F1168A"/>
    <w:rsid w:val="00F119E1"/>
    <w:rsid w:val="00F11AD2"/>
    <w:rsid w:val="00F1214C"/>
    <w:rsid w:val="00F122B6"/>
    <w:rsid w:val="00F12CED"/>
    <w:rsid w:val="00F130C7"/>
    <w:rsid w:val="00F1458F"/>
    <w:rsid w:val="00F14643"/>
    <w:rsid w:val="00F150A6"/>
    <w:rsid w:val="00F165C9"/>
    <w:rsid w:val="00F16CB1"/>
    <w:rsid w:val="00F16DAC"/>
    <w:rsid w:val="00F171DB"/>
    <w:rsid w:val="00F17363"/>
    <w:rsid w:val="00F174AB"/>
    <w:rsid w:val="00F17670"/>
    <w:rsid w:val="00F22DB5"/>
    <w:rsid w:val="00F2385A"/>
    <w:rsid w:val="00F2641A"/>
    <w:rsid w:val="00F2674F"/>
    <w:rsid w:val="00F26A3E"/>
    <w:rsid w:val="00F27E1A"/>
    <w:rsid w:val="00F30B1B"/>
    <w:rsid w:val="00F3143C"/>
    <w:rsid w:val="00F33341"/>
    <w:rsid w:val="00F335C1"/>
    <w:rsid w:val="00F34679"/>
    <w:rsid w:val="00F34B68"/>
    <w:rsid w:val="00F34C9E"/>
    <w:rsid w:val="00F34F04"/>
    <w:rsid w:val="00F3561C"/>
    <w:rsid w:val="00F35F20"/>
    <w:rsid w:val="00F40013"/>
    <w:rsid w:val="00F40147"/>
    <w:rsid w:val="00F4032A"/>
    <w:rsid w:val="00F41F78"/>
    <w:rsid w:val="00F436A5"/>
    <w:rsid w:val="00F44650"/>
    <w:rsid w:val="00F461F5"/>
    <w:rsid w:val="00F47A94"/>
    <w:rsid w:val="00F47FFB"/>
    <w:rsid w:val="00F51DEB"/>
    <w:rsid w:val="00F52989"/>
    <w:rsid w:val="00F53487"/>
    <w:rsid w:val="00F5370A"/>
    <w:rsid w:val="00F53AB1"/>
    <w:rsid w:val="00F54202"/>
    <w:rsid w:val="00F54999"/>
    <w:rsid w:val="00F54E80"/>
    <w:rsid w:val="00F566F9"/>
    <w:rsid w:val="00F5692F"/>
    <w:rsid w:val="00F57142"/>
    <w:rsid w:val="00F5725E"/>
    <w:rsid w:val="00F57F4F"/>
    <w:rsid w:val="00F603D3"/>
    <w:rsid w:val="00F60FE3"/>
    <w:rsid w:val="00F62116"/>
    <w:rsid w:val="00F62917"/>
    <w:rsid w:val="00F630AF"/>
    <w:rsid w:val="00F639CB"/>
    <w:rsid w:val="00F6600A"/>
    <w:rsid w:val="00F66FEA"/>
    <w:rsid w:val="00F67347"/>
    <w:rsid w:val="00F67491"/>
    <w:rsid w:val="00F6758F"/>
    <w:rsid w:val="00F67CA3"/>
    <w:rsid w:val="00F70A1E"/>
    <w:rsid w:val="00F70D2E"/>
    <w:rsid w:val="00F726DC"/>
    <w:rsid w:val="00F73C5D"/>
    <w:rsid w:val="00F73EB0"/>
    <w:rsid w:val="00F742BF"/>
    <w:rsid w:val="00F750BE"/>
    <w:rsid w:val="00F758EE"/>
    <w:rsid w:val="00F75BCA"/>
    <w:rsid w:val="00F8141C"/>
    <w:rsid w:val="00F81B0F"/>
    <w:rsid w:val="00F8206B"/>
    <w:rsid w:val="00F835BA"/>
    <w:rsid w:val="00F83671"/>
    <w:rsid w:val="00F83820"/>
    <w:rsid w:val="00F83852"/>
    <w:rsid w:val="00F85694"/>
    <w:rsid w:val="00F85E16"/>
    <w:rsid w:val="00F87A4F"/>
    <w:rsid w:val="00F87D7F"/>
    <w:rsid w:val="00F912B4"/>
    <w:rsid w:val="00F924B3"/>
    <w:rsid w:val="00F93262"/>
    <w:rsid w:val="00F93B48"/>
    <w:rsid w:val="00F94717"/>
    <w:rsid w:val="00F94B06"/>
    <w:rsid w:val="00F94D56"/>
    <w:rsid w:val="00F962B7"/>
    <w:rsid w:val="00FA027C"/>
    <w:rsid w:val="00FA1438"/>
    <w:rsid w:val="00FA1B03"/>
    <w:rsid w:val="00FA239B"/>
    <w:rsid w:val="00FA2C04"/>
    <w:rsid w:val="00FA2E74"/>
    <w:rsid w:val="00FA379C"/>
    <w:rsid w:val="00FA3DFC"/>
    <w:rsid w:val="00FA4058"/>
    <w:rsid w:val="00FA554A"/>
    <w:rsid w:val="00FA5DFA"/>
    <w:rsid w:val="00FA64CA"/>
    <w:rsid w:val="00FA660C"/>
    <w:rsid w:val="00FA7A3E"/>
    <w:rsid w:val="00FA7D1D"/>
    <w:rsid w:val="00FB1569"/>
    <w:rsid w:val="00FB196B"/>
    <w:rsid w:val="00FB2026"/>
    <w:rsid w:val="00FB205A"/>
    <w:rsid w:val="00FB2263"/>
    <w:rsid w:val="00FB2785"/>
    <w:rsid w:val="00FB2FB8"/>
    <w:rsid w:val="00FB37E8"/>
    <w:rsid w:val="00FB3E2B"/>
    <w:rsid w:val="00FB40B4"/>
    <w:rsid w:val="00FB54FF"/>
    <w:rsid w:val="00FB59D4"/>
    <w:rsid w:val="00FB5C7C"/>
    <w:rsid w:val="00FB6B1A"/>
    <w:rsid w:val="00FC035A"/>
    <w:rsid w:val="00FC0D34"/>
    <w:rsid w:val="00FC2BFE"/>
    <w:rsid w:val="00FC3460"/>
    <w:rsid w:val="00FC3608"/>
    <w:rsid w:val="00FC3ED5"/>
    <w:rsid w:val="00FC4F77"/>
    <w:rsid w:val="00FC78C5"/>
    <w:rsid w:val="00FD11BF"/>
    <w:rsid w:val="00FD1B54"/>
    <w:rsid w:val="00FD2385"/>
    <w:rsid w:val="00FD3853"/>
    <w:rsid w:val="00FD4AC9"/>
    <w:rsid w:val="00FD564D"/>
    <w:rsid w:val="00FD5956"/>
    <w:rsid w:val="00FD7343"/>
    <w:rsid w:val="00FD7AD7"/>
    <w:rsid w:val="00FD7D77"/>
    <w:rsid w:val="00FE042E"/>
    <w:rsid w:val="00FE0459"/>
    <w:rsid w:val="00FE05D2"/>
    <w:rsid w:val="00FE090F"/>
    <w:rsid w:val="00FE159E"/>
    <w:rsid w:val="00FE1654"/>
    <w:rsid w:val="00FE26CE"/>
    <w:rsid w:val="00FE27FA"/>
    <w:rsid w:val="00FE2E2D"/>
    <w:rsid w:val="00FE3DA9"/>
    <w:rsid w:val="00FE62E2"/>
    <w:rsid w:val="00FE6525"/>
    <w:rsid w:val="00FE6B91"/>
    <w:rsid w:val="00FE71F5"/>
    <w:rsid w:val="00FF1905"/>
    <w:rsid w:val="00FF1B59"/>
    <w:rsid w:val="00FF2C85"/>
    <w:rsid w:val="00FF36F3"/>
    <w:rsid w:val="00FF43F0"/>
    <w:rsid w:val="00FF482F"/>
    <w:rsid w:val="00FF4F6E"/>
    <w:rsid w:val="00FF5BFF"/>
    <w:rsid w:val="00FF5DD5"/>
    <w:rsid w:val="00FF5E06"/>
    <w:rsid w:val="00FF6364"/>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mago" w:eastAsiaTheme="minorHAnsi" w:hAnsi="Imago"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86D"/>
    <w:pPr>
      <w:keepNext/>
      <w:keepLines/>
      <w:spacing w:before="480" w:after="0"/>
      <w:outlineLvl w:val="0"/>
    </w:pPr>
    <w:rPr>
      <w:rFonts w:ascii="Minion" w:eastAsiaTheme="majorEastAsia" w:hAnsi="Minion" w:cstheme="majorBidi"/>
      <w:b/>
      <w:bCs/>
      <w:sz w:val="28"/>
      <w:szCs w:val="28"/>
    </w:rPr>
  </w:style>
  <w:style w:type="paragraph" w:styleId="Heading2">
    <w:name w:val="heading 2"/>
    <w:basedOn w:val="Normal"/>
    <w:next w:val="Normal"/>
    <w:link w:val="Heading2Char"/>
    <w:uiPriority w:val="9"/>
    <w:unhideWhenUsed/>
    <w:qFormat/>
    <w:rsid w:val="00EB286D"/>
    <w:pPr>
      <w:keepNext/>
      <w:keepLines/>
      <w:spacing w:before="200" w:after="0"/>
      <w:outlineLvl w:val="1"/>
    </w:pPr>
    <w:rPr>
      <w:rFonts w:ascii="Minion" w:eastAsiaTheme="majorEastAsia" w:hAnsi="Minion" w:cstheme="majorBidi"/>
      <w:b/>
      <w:bCs/>
      <w:sz w:val="26"/>
      <w:szCs w:val="26"/>
    </w:rPr>
  </w:style>
  <w:style w:type="paragraph" w:styleId="Heading3">
    <w:name w:val="heading 3"/>
    <w:basedOn w:val="Normal"/>
    <w:next w:val="Normal"/>
    <w:link w:val="Heading3Char"/>
    <w:uiPriority w:val="9"/>
    <w:unhideWhenUsed/>
    <w:qFormat/>
    <w:rsid w:val="00EB286D"/>
    <w:pPr>
      <w:keepNext/>
      <w:keepLines/>
      <w:spacing w:before="200" w:after="0"/>
      <w:outlineLvl w:val="2"/>
    </w:pPr>
    <w:rPr>
      <w:rFonts w:ascii="Minion" w:eastAsiaTheme="majorEastAsia" w:hAnsi="Minion" w:cstheme="majorBidi"/>
      <w:b/>
      <w:bCs/>
      <w:sz w:val="24"/>
    </w:rPr>
  </w:style>
  <w:style w:type="paragraph" w:styleId="Heading4">
    <w:name w:val="heading 4"/>
    <w:basedOn w:val="Normal"/>
    <w:next w:val="Normal"/>
    <w:link w:val="Heading4Char"/>
    <w:uiPriority w:val="9"/>
    <w:unhideWhenUsed/>
    <w:qFormat/>
    <w:rsid w:val="00EB286D"/>
    <w:pPr>
      <w:keepNext/>
      <w:keepLines/>
      <w:spacing w:before="200" w:after="0"/>
      <w:outlineLvl w:val="3"/>
    </w:pPr>
    <w:rPr>
      <w:rFonts w:ascii="Minion" w:eastAsiaTheme="majorEastAsia" w:hAnsi="Minion" w:cstheme="majorBidi"/>
      <w:b/>
      <w:bCs/>
      <w:i/>
      <w:iCs/>
      <w:sz w:val="24"/>
    </w:rPr>
  </w:style>
  <w:style w:type="paragraph" w:styleId="Heading5">
    <w:name w:val="heading 5"/>
    <w:basedOn w:val="Normal"/>
    <w:next w:val="Normal"/>
    <w:link w:val="Heading5Char"/>
    <w:uiPriority w:val="9"/>
    <w:unhideWhenUsed/>
    <w:qFormat/>
    <w:rsid w:val="003B128F"/>
    <w:pPr>
      <w:keepNext/>
      <w:keepLines/>
      <w:spacing w:before="200" w:after="0"/>
      <w:outlineLvl w:val="4"/>
    </w:pPr>
    <w:rPr>
      <w:rFonts w:ascii="Minion" w:eastAsiaTheme="majorEastAsia" w:hAnsi="Minio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6D"/>
    <w:rPr>
      <w:rFonts w:ascii="Tahoma" w:hAnsi="Tahoma" w:cs="Tahoma"/>
      <w:sz w:val="16"/>
      <w:szCs w:val="16"/>
    </w:rPr>
  </w:style>
  <w:style w:type="paragraph" w:customStyle="1" w:styleId="C-TableText">
    <w:name w:val="C-Table Text"/>
    <w:rsid w:val="00EB286D"/>
    <w:pPr>
      <w:spacing w:before="60" w:after="60" w:line="240" w:lineRule="auto"/>
    </w:pPr>
    <w:rPr>
      <w:rFonts w:ascii="Times New Roman" w:eastAsia="Times New Roman" w:hAnsi="Times New Roman" w:cs="Times New Roman"/>
      <w:szCs w:val="20"/>
    </w:rPr>
  </w:style>
  <w:style w:type="table" w:customStyle="1" w:styleId="C-Table">
    <w:name w:val="C-Table"/>
    <w:basedOn w:val="TableNormal"/>
    <w:rsid w:val="00EB286D"/>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ListParagraph">
    <w:name w:val="List Paragraph"/>
    <w:basedOn w:val="Normal"/>
    <w:uiPriority w:val="34"/>
    <w:qFormat/>
    <w:rsid w:val="00EB286D"/>
    <w:pPr>
      <w:ind w:left="720"/>
      <w:contextualSpacing/>
    </w:pPr>
  </w:style>
  <w:style w:type="character" w:customStyle="1" w:styleId="Heading1Char">
    <w:name w:val="Heading 1 Char"/>
    <w:basedOn w:val="DefaultParagraphFont"/>
    <w:link w:val="Heading1"/>
    <w:uiPriority w:val="9"/>
    <w:rsid w:val="00EB286D"/>
    <w:rPr>
      <w:rFonts w:ascii="Minion" w:eastAsiaTheme="majorEastAsia" w:hAnsi="Minion" w:cstheme="majorBidi"/>
      <w:b/>
      <w:bCs/>
      <w:sz w:val="28"/>
      <w:szCs w:val="28"/>
    </w:rPr>
  </w:style>
  <w:style w:type="character" w:customStyle="1" w:styleId="Heading2Char">
    <w:name w:val="Heading 2 Char"/>
    <w:basedOn w:val="DefaultParagraphFont"/>
    <w:link w:val="Heading2"/>
    <w:uiPriority w:val="9"/>
    <w:rsid w:val="00EB286D"/>
    <w:rPr>
      <w:rFonts w:ascii="Minion" w:eastAsiaTheme="majorEastAsia" w:hAnsi="Minion" w:cstheme="majorBidi"/>
      <w:b/>
      <w:bCs/>
      <w:sz w:val="26"/>
      <w:szCs w:val="26"/>
    </w:rPr>
  </w:style>
  <w:style w:type="character" w:customStyle="1" w:styleId="Heading3Char">
    <w:name w:val="Heading 3 Char"/>
    <w:basedOn w:val="DefaultParagraphFont"/>
    <w:link w:val="Heading3"/>
    <w:uiPriority w:val="9"/>
    <w:rsid w:val="00EB286D"/>
    <w:rPr>
      <w:rFonts w:ascii="Minion" w:eastAsiaTheme="majorEastAsia" w:hAnsi="Minion" w:cstheme="majorBidi"/>
      <w:b/>
      <w:bCs/>
      <w:sz w:val="24"/>
    </w:rPr>
  </w:style>
  <w:style w:type="character" w:customStyle="1" w:styleId="Heading4Char">
    <w:name w:val="Heading 4 Char"/>
    <w:basedOn w:val="DefaultParagraphFont"/>
    <w:link w:val="Heading4"/>
    <w:uiPriority w:val="9"/>
    <w:rsid w:val="00EB286D"/>
    <w:rPr>
      <w:rFonts w:ascii="Minion" w:eastAsiaTheme="majorEastAsia" w:hAnsi="Minion" w:cstheme="majorBidi"/>
      <w:b/>
      <w:bCs/>
      <w:i/>
      <w:iCs/>
      <w:sz w:val="24"/>
    </w:rPr>
  </w:style>
  <w:style w:type="paragraph" w:styleId="Header">
    <w:name w:val="header"/>
    <w:basedOn w:val="Normal"/>
    <w:link w:val="HeaderChar"/>
    <w:uiPriority w:val="99"/>
    <w:unhideWhenUsed/>
    <w:rsid w:val="00CF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F5A"/>
  </w:style>
  <w:style w:type="paragraph" w:styleId="Footer">
    <w:name w:val="footer"/>
    <w:basedOn w:val="Normal"/>
    <w:link w:val="FooterChar"/>
    <w:uiPriority w:val="99"/>
    <w:unhideWhenUsed/>
    <w:rsid w:val="00CF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F5A"/>
  </w:style>
  <w:style w:type="character" w:customStyle="1" w:styleId="Heading5Char">
    <w:name w:val="Heading 5 Char"/>
    <w:basedOn w:val="DefaultParagraphFont"/>
    <w:link w:val="Heading5"/>
    <w:uiPriority w:val="9"/>
    <w:rsid w:val="003B128F"/>
    <w:rPr>
      <w:rFonts w:ascii="Minion" w:eastAsiaTheme="majorEastAsia" w:hAnsi="Minion" w:cstheme="majorBidi"/>
      <w:b/>
    </w:rPr>
  </w:style>
  <w:style w:type="paragraph" w:styleId="Revision">
    <w:name w:val="Revision"/>
    <w:hidden/>
    <w:uiPriority w:val="99"/>
    <w:semiHidden/>
    <w:rsid w:val="00804BDA"/>
    <w:pPr>
      <w:spacing w:after="0" w:line="240" w:lineRule="auto"/>
    </w:pPr>
  </w:style>
  <w:style w:type="character" w:styleId="CommentReference">
    <w:name w:val="annotation reference"/>
    <w:basedOn w:val="DefaultParagraphFont"/>
    <w:uiPriority w:val="99"/>
    <w:semiHidden/>
    <w:unhideWhenUsed/>
    <w:rsid w:val="00A667BD"/>
    <w:rPr>
      <w:sz w:val="16"/>
      <w:szCs w:val="16"/>
    </w:rPr>
  </w:style>
  <w:style w:type="paragraph" w:styleId="CommentText">
    <w:name w:val="annotation text"/>
    <w:basedOn w:val="Normal"/>
    <w:link w:val="CommentTextChar"/>
    <w:uiPriority w:val="99"/>
    <w:semiHidden/>
    <w:unhideWhenUsed/>
    <w:rsid w:val="00A667BD"/>
    <w:pPr>
      <w:spacing w:line="240" w:lineRule="auto"/>
    </w:pPr>
    <w:rPr>
      <w:sz w:val="20"/>
      <w:szCs w:val="20"/>
    </w:rPr>
  </w:style>
  <w:style w:type="character" w:customStyle="1" w:styleId="CommentTextChar">
    <w:name w:val="Comment Text Char"/>
    <w:basedOn w:val="DefaultParagraphFont"/>
    <w:link w:val="CommentText"/>
    <w:uiPriority w:val="99"/>
    <w:semiHidden/>
    <w:rsid w:val="00A667BD"/>
    <w:rPr>
      <w:sz w:val="20"/>
      <w:szCs w:val="20"/>
    </w:rPr>
  </w:style>
  <w:style w:type="paragraph" w:styleId="CommentSubject">
    <w:name w:val="annotation subject"/>
    <w:basedOn w:val="CommentText"/>
    <w:next w:val="CommentText"/>
    <w:link w:val="CommentSubjectChar"/>
    <w:uiPriority w:val="99"/>
    <w:semiHidden/>
    <w:unhideWhenUsed/>
    <w:rsid w:val="00A667BD"/>
    <w:rPr>
      <w:b/>
      <w:bCs/>
    </w:rPr>
  </w:style>
  <w:style w:type="character" w:customStyle="1" w:styleId="CommentSubjectChar">
    <w:name w:val="Comment Subject Char"/>
    <w:basedOn w:val="CommentTextChar"/>
    <w:link w:val="CommentSubject"/>
    <w:uiPriority w:val="99"/>
    <w:semiHidden/>
    <w:rsid w:val="00A667BD"/>
    <w:rPr>
      <w:b/>
      <w:bCs/>
      <w:sz w:val="20"/>
      <w:szCs w:val="20"/>
    </w:rPr>
  </w:style>
  <w:style w:type="table" w:styleId="TableGrid">
    <w:name w:val="Table Grid"/>
    <w:basedOn w:val="TableNormal"/>
    <w:uiPriority w:val="59"/>
    <w:rsid w:val="00945F2B"/>
    <w:pPr>
      <w:spacing w:after="0" w:line="240" w:lineRule="auto"/>
    </w:pPr>
    <w:rPr>
      <w:rFonts w:asciiTheme="minorHAnsi" w:eastAsia="Cambria" w:hAnsiTheme="minorHAnsi"/>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mago" w:eastAsiaTheme="minorHAnsi" w:hAnsi="Imago"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286D"/>
    <w:pPr>
      <w:keepNext/>
      <w:keepLines/>
      <w:spacing w:before="480" w:after="0"/>
      <w:outlineLvl w:val="0"/>
    </w:pPr>
    <w:rPr>
      <w:rFonts w:ascii="Minion" w:eastAsiaTheme="majorEastAsia" w:hAnsi="Minion" w:cstheme="majorBidi"/>
      <w:b/>
      <w:bCs/>
      <w:sz w:val="28"/>
      <w:szCs w:val="28"/>
    </w:rPr>
  </w:style>
  <w:style w:type="paragraph" w:styleId="Heading2">
    <w:name w:val="heading 2"/>
    <w:basedOn w:val="Normal"/>
    <w:next w:val="Normal"/>
    <w:link w:val="Heading2Char"/>
    <w:uiPriority w:val="9"/>
    <w:unhideWhenUsed/>
    <w:qFormat/>
    <w:rsid w:val="00EB286D"/>
    <w:pPr>
      <w:keepNext/>
      <w:keepLines/>
      <w:spacing w:before="200" w:after="0"/>
      <w:outlineLvl w:val="1"/>
    </w:pPr>
    <w:rPr>
      <w:rFonts w:ascii="Minion" w:eastAsiaTheme="majorEastAsia" w:hAnsi="Minion" w:cstheme="majorBidi"/>
      <w:b/>
      <w:bCs/>
      <w:sz w:val="26"/>
      <w:szCs w:val="26"/>
    </w:rPr>
  </w:style>
  <w:style w:type="paragraph" w:styleId="Heading3">
    <w:name w:val="heading 3"/>
    <w:basedOn w:val="Normal"/>
    <w:next w:val="Normal"/>
    <w:link w:val="Heading3Char"/>
    <w:uiPriority w:val="9"/>
    <w:unhideWhenUsed/>
    <w:qFormat/>
    <w:rsid w:val="00EB286D"/>
    <w:pPr>
      <w:keepNext/>
      <w:keepLines/>
      <w:spacing w:before="200" w:after="0"/>
      <w:outlineLvl w:val="2"/>
    </w:pPr>
    <w:rPr>
      <w:rFonts w:ascii="Minion" w:eastAsiaTheme="majorEastAsia" w:hAnsi="Minion" w:cstheme="majorBidi"/>
      <w:b/>
      <w:bCs/>
      <w:sz w:val="24"/>
    </w:rPr>
  </w:style>
  <w:style w:type="paragraph" w:styleId="Heading4">
    <w:name w:val="heading 4"/>
    <w:basedOn w:val="Normal"/>
    <w:next w:val="Normal"/>
    <w:link w:val="Heading4Char"/>
    <w:uiPriority w:val="9"/>
    <w:unhideWhenUsed/>
    <w:qFormat/>
    <w:rsid w:val="00EB286D"/>
    <w:pPr>
      <w:keepNext/>
      <w:keepLines/>
      <w:spacing w:before="200" w:after="0"/>
      <w:outlineLvl w:val="3"/>
    </w:pPr>
    <w:rPr>
      <w:rFonts w:ascii="Minion" w:eastAsiaTheme="majorEastAsia" w:hAnsi="Minion" w:cstheme="majorBidi"/>
      <w:b/>
      <w:bCs/>
      <w:i/>
      <w:iCs/>
      <w:sz w:val="24"/>
    </w:rPr>
  </w:style>
  <w:style w:type="paragraph" w:styleId="Heading5">
    <w:name w:val="heading 5"/>
    <w:basedOn w:val="Normal"/>
    <w:next w:val="Normal"/>
    <w:link w:val="Heading5Char"/>
    <w:uiPriority w:val="9"/>
    <w:unhideWhenUsed/>
    <w:qFormat/>
    <w:rsid w:val="003B128F"/>
    <w:pPr>
      <w:keepNext/>
      <w:keepLines/>
      <w:spacing w:before="200" w:after="0"/>
      <w:outlineLvl w:val="4"/>
    </w:pPr>
    <w:rPr>
      <w:rFonts w:ascii="Minion" w:eastAsiaTheme="majorEastAsia" w:hAnsi="Minio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2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6D"/>
    <w:rPr>
      <w:rFonts w:ascii="Tahoma" w:hAnsi="Tahoma" w:cs="Tahoma"/>
      <w:sz w:val="16"/>
      <w:szCs w:val="16"/>
    </w:rPr>
  </w:style>
  <w:style w:type="paragraph" w:customStyle="1" w:styleId="C-TableText">
    <w:name w:val="C-Table Text"/>
    <w:rsid w:val="00EB286D"/>
    <w:pPr>
      <w:spacing w:before="60" w:after="60" w:line="240" w:lineRule="auto"/>
    </w:pPr>
    <w:rPr>
      <w:rFonts w:ascii="Times New Roman" w:eastAsia="Times New Roman" w:hAnsi="Times New Roman" w:cs="Times New Roman"/>
      <w:szCs w:val="20"/>
    </w:rPr>
  </w:style>
  <w:style w:type="table" w:customStyle="1" w:styleId="C-Table">
    <w:name w:val="C-Table"/>
    <w:basedOn w:val="TableNormal"/>
    <w:rsid w:val="00EB286D"/>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ListParagraph">
    <w:name w:val="List Paragraph"/>
    <w:basedOn w:val="Normal"/>
    <w:uiPriority w:val="34"/>
    <w:qFormat/>
    <w:rsid w:val="00EB286D"/>
    <w:pPr>
      <w:ind w:left="720"/>
      <w:contextualSpacing/>
    </w:pPr>
  </w:style>
  <w:style w:type="character" w:customStyle="1" w:styleId="Heading1Char">
    <w:name w:val="Heading 1 Char"/>
    <w:basedOn w:val="DefaultParagraphFont"/>
    <w:link w:val="Heading1"/>
    <w:uiPriority w:val="9"/>
    <w:rsid w:val="00EB286D"/>
    <w:rPr>
      <w:rFonts w:ascii="Minion" w:eastAsiaTheme="majorEastAsia" w:hAnsi="Minion" w:cstheme="majorBidi"/>
      <w:b/>
      <w:bCs/>
      <w:sz w:val="28"/>
      <w:szCs w:val="28"/>
    </w:rPr>
  </w:style>
  <w:style w:type="character" w:customStyle="1" w:styleId="Heading2Char">
    <w:name w:val="Heading 2 Char"/>
    <w:basedOn w:val="DefaultParagraphFont"/>
    <w:link w:val="Heading2"/>
    <w:uiPriority w:val="9"/>
    <w:rsid w:val="00EB286D"/>
    <w:rPr>
      <w:rFonts w:ascii="Minion" w:eastAsiaTheme="majorEastAsia" w:hAnsi="Minion" w:cstheme="majorBidi"/>
      <w:b/>
      <w:bCs/>
      <w:sz w:val="26"/>
      <w:szCs w:val="26"/>
    </w:rPr>
  </w:style>
  <w:style w:type="character" w:customStyle="1" w:styleId="Heading3Char">
    <w:name w:val="Heading 3 Char"/>
    <w:basedOn w:val="DefaultParagraphFont"/>
    <w:link w:val="Heading3"/>
    <w:uiPriority w:val="9"/>
    <w:rsid w:val="00EB286D"/>
    <w:rPr>
      <w:rFonts w:ascii="Minion" w:eastAsiaTheme="majorEastAsia" w:hAnsi="Minion" w:cstheme="majorBidi"/>
      <w:b/>
      <w:bCs/>
      <w:sz w:val="24"/>
    </w:rPr>
  </w:style>
  <w:style w:type="character" w:customStyle="1" w:styleId="Heading4Char">
    <w:name w:val="Heading 4 Char"/>
    <w:basedOn w:val="DefaultParagraphFont"/>
    <w:link w:val="Heading4"/>
    <w:uiPriority w:val="9"/>
    <w:rsid w:val="00EB286D"/>
    <w:rPr>
      <w:rFonts w:ascii="Minion" w:eastAsiaTheme="majorEastAsia" w:hAnsi="Minion" w:cstheme="majorBidi"/>
      <w:b/>
      <w:bCs/>
      <w:i/>
      <w:iCs/>
      <w:sz w:val="24"/>
    </w:rPr>
  </w:style>
  <w:style w:type="paragraph" w:styleId="Header">
    <w:name w:val="header"/>
    <w:basedOn w:val="Normal"/>
    <w:link w:val="HeaderChar"/>
    <w:uiPriority w:val="99"/>
    <w:unhideWhenUsed/>
    <w:rsid w:val="00CF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F5A"/>
  </w:style>
  <w:style w:type="paragraph" w:styleId="Footer">
    <w:name w:val="footer"/>
    <w:basedOn w:val="Normal"/>
    <w:link w:val="FooterChar"/>
    <w:uiPriority w:val="99"/>
    <w:unhideWhenUsed/>
    <w:rsid w:val="00CF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F5A"/>
  </w:style>
  <w:style w:type="character" w:customStyle="1" w:styleId="Heading5Char">
    <w:name w:val="Heading 5 Char"/>
    <w:basedOn w:val="DefaultParagraphFont"/>
    <w:link w:val="Heading5"/>
    <w:uiPriority w:val="9"/>
    <w:rsid w:val="003B128F"/>
    <w:rPr>
      <w:rFonts w:ascii="Minion" w:eastAsiaTheme="majorEastAsia" w:hAnsi="Minion" w:cstheme="majorBidi"/>
      <w:b/>
    </w:rPr>
  </w:style>
  <w:style w:type="paragraph" w:styleId="Revision">
    <w:name w:val="Revision"/>
    <w:hidden/>
    <w:uiPriority w:val="99"/>
    <w:semiHidden/>
    <w:rsid w:val="00804BDA"/>
    <w:pPr>
      <w:spacing w:after="0" w:line="240" w:lineRule="auto"/>
    </w:pPr>
  </w:style>
  <w:style w:type="character" w:styleId="CommentReference">
    <w:name w:val="annotation reference"/>
    <w:basedOn w:val="DefaultParagraphFont"/>
    <w:uiPriority w:val="99"/>
    <w:semiHidden/>
    <w:unhideWhenUsed/>
    <w:rsid w:val="00A667BD"/>
    <w:rPr>
      <w:sz w:val="16"/>
      <w:szCs w:val="16"/>
    </w:rPr>
  </w:style>
  <w:style w:type="paragraph" w:styleId="CommentText">
    <w:name w:val="annotation text"/>
    <w:basedOn w:val="Normal"/>
    <w:link w:val="CommentTextChar"/>
    <w:uiPriority w:val="99"/>
    <w:semiHidden/>
    <w:unhideWhenUsed/>
    <w:rsid w:val="00A667BD"/>
    <w:pPr>
      <w:spacing w:line="240" w:lineRule="auto"/>
    </w:pPr>
    <w:rPr>
      <w:sz w:val="20"/>
      <w:szCs w:val="20"/>
    </w:rPr>
  </w:style>
  <w:style w:type="character" w:customStyle="1" w:styleId="CommentTextChar">
    <w:name w:val="Comment Text Char"/>
    <w:basedOn w:val="DefaultParagraphFont"/>
    <w:link w:val="CommentText"/>
    <w:uiPriority w:val="99"/>
    <w:semiHidden/>
    <w:rsid w:val="00A667BD"/>
    <w:rPr>
      <w:sz w:val="20"/>
      <w:szCs w:val="20"/>
    </w:rPr>
  </w:style>
  <w:style w:type="paragraph" w:styleId="CommentSubject">
    <w:name w:val="annotation subject"/>
    <w:basedOn w:val="CommentText"/>
    <w:next w:val="CommentText"/>
    <w:link w:val="CommentSubjectChar"/>
    <w:uiPriority w:val="99"/>
    <w:semiHidden/>
    <w:unhideWhenUsed/>
    <w:rsid w:val="00A667BD"/>
    <w:rPr>
      <w:b/>
      <w:bCs/>
    </w:rPr>
  </w:style>
  <w:style w:type="character" w:customStyle="1" w:styleId="CommentSubjectChar">
    <w:name w:val="Comment Subject Char"/>
    <w:basedOn w:val="CommentTextChar"/>
    <w:link w:val="CommentSubject"/>
    <w:uiPriority w:val="99"/>
    <w:semiHidden/>
    <w:rsid w:val="00A667BD"/>
    <w:rPr>
      <w:b/>
      <w:bCs/>
      <w:sz w:val="20"/>
      <w:szCs w:val="20"/>
    </w:rPr>
  </w:style>
  <w:style w:type="table" w:styleId="TableGrid">
    <w:name w:val="Table Grid"/>
    <w:basedOn w:val="TableNormal"/>
    <w:uiPriority w:val="59"/>
    <w:rsid w:val="00945F2B"/>
    <w:pPr>
      <w:spacing w:after="0" w:line="240" w:lineRule="auto"/>
    </w:pPr>
    <w:rPr>
      <w:rFonts w:asciiTheme="minorHAnsi" w:eastAsia="Cambria" w:hAnsiTheme="minorHAnsi"/>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4917</Words>
  <Characters>27197</Characters>
  <Application>Microsoft Office Word</Application>
  <DocSecurity>0</DocSecurity>
  <Lines>555</Lines>
  <Paragraphs>300</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Pirfenidone</dc:title>
  <dc:subject>prescription medicines</dc:subject>
  <dc:creator>Roche Products Pty Ltd</dc:creator>
  <cp:keywords>AusPARs</cp:keywords>
  <cp:lastModifiedBy>STARKEY, Paige</cp:lastModifiedBy>
  <cp:revision>2</cp:revision>
  <cp:lastPrinted>2015-12-15T05:16:00Z</cp:lastPrinted>
  <dcterms:created xsi:type="dcterms:W3CDTF">2016-08-26T06:49:00Z</dcterms:created>
  <dcterms:modified xsi:type="dcterms:W3CDTF">2016-08-26T06:49:00Z</dcterms:modified>
</cp:coreProperties>
</file>